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300013">
      <w:pPr>
        <w:pStyle w:val="7"/>
        <w:keepNext/>
        <w:keepLines w:val="0"/>
        <w:pageBreakBefore w:val="0"/>
        <w:widowControl w:val="0"/>
        <w:kinsoku w:val="0"/>
        <w:wordWrap/>
        <w:overflowPunct w:val="0"/>
        <w:topLinePunct w:val="0"/>
        <w:autoSpaceDE w:val="0"/>
        <w:autoSpaceDN w:val="0"/>
        <w:bidi w:val="0"/>
        <w:adjustRightInd w:val="0"/>
        <w:snapToGrid w:val="0"/>
        <w:spacing w:after="0" w:line="500" w:lineRule="exact"/>
        <w:textAlignment w:val="auto"/>
        <w:rPr>
          <w:b/>
          <w:bCs/>
          <w:color w:val="auto"/>
          <w:sz w:val="36"/>
          <w:szCs w:val="36"/>
        </w:rPr>
      </w:pPr>
      <w:bookmarkStart w:id="0" w:name="_GoBack"/>
      <w:r>
        <w:rPr>
          <w:rFonts w:hint="eastAsia" w:ascii="仿宋_GB2312" w:eastAsia="仿宋_GB2312"/>
          <w:b/>
          <w:bCs/>
          <w:color w:val="auto"/>
          <w:kern w:val="0"/>
          <w:lang w:val="en-US" w:eastAsia="zh-CN" w:bidi="en-US"/>
        </w:rPr>
        <w:t>安庆望湖揽胜售楼部外立面LED显示屏项目跟踪审计与结算审计单位抽签说明</w:t>
      </w:r>
    </w:p>
    <w:p w14:paraId="43905637">
      <w:pPr>
        <w:keepNext w:val="0"/>
        <w:keepLines w:val="0"/>
        <w:pageBreakBefore w:val="0"/>
        <w:widowControl w:val="0"/>
        <w:kinsoku/>
        <w:wordWrap/>
        <w:overflowPunct/>
        <w:topLinePunct w:val="0"/>
        <w:autoSpaceDE/>
        <w:autoSpaceDN/>
        <w:bidi w:val="0"/>
        <w:adjustRightInd w:val="0"/>
        <w:snapToGrid w:val="0"/>
        <w:spacing w:line="500" w:lineRule="exact"/>
        <w:ind w:firstLine="562" w:firstLineChars="200"/>
        <w:textAlignment w:val="auto"/>
        <w:rPr>
          <w:rFonts w:ascii="宋体" w:hAnsi="宋体" w:eastAsia="宋体" w:cs="宋体"/>
          <w:b/>
          <w:bCs/>
          <w:color w:val="auto"/>
          <w:sz w:val="28"/>
          <w:szCs w:val="28"/>
        </w:rPr>
      </w:pPr>
      <w:r>
        <w:rPr>
          <w:rFonts w:hint="eastAsia" w:ascii="宋体" w:hAnsi="宋体" w:eastAsia="宋体" w:cs="宋体"/>
          <w:b/>
          <w:bCs/>
          <w:color w:val="auto"/>
          <w:sz w:val="28"/>
          <w:szCs w:val="28"/>
        </w:rPr>
        <w:t>一、抽签对象</w:t>
      </w:r>
    </w:p>
    <w:p w14:paraId="6490D715">
      <w:pPr>
        <w:keepNext w:val="0"/>
        <w:keepLines w:val="0"/>
        <w:pageBreakBefore w:val="0"/>
        <w:widowControl w:val="0"/>
        <w:kinsoku/>
        <w:wordWrap/>
        <w:overflowPunct/>
        <w:topLinePunct w:val="0"/>
        <w:autoSpaceDE/>
        <w:autoSpaceDN/>
        <w:bidi w:val="0"/>
        <w:adjustRightInd w:val="0"/>
        <w:snapToGrid w:val="0"/>
        <w:spacing w:line="500" w:lineRule="exact"/>
        <w:ind w:firstLine="560" w:firstLineChars="200"/>
        <w:textAlignment w:val="auto"/>
        <w:rPr>
          <w:rFonts w:ascii="宋体" w:hAnsi="宋体" w:eastAsia="宋体" w:cs="宋体"/>
          <w:color w:val="auto"/>
          <w:sz w:val="28"/>
          <w:szCs w:val="28"/>
        </w:rPr>
      </w:pPr>
      <w:r>
        <w:rPr>
          <w:rFonts w:hint="eastAsia" w:ascii="宋体" w:hAnsi="宋体" w:eastAsia="宋体" w:cs="宋体"/>
          <w:color w:val="auto"/>
          <w:sz w:val="28"/>
          <w:szCs w:val="28"/>
        </w:rPr>
        <w:t>交控集团合格服务供应商工程咨询名录中的单位并具有在安庆市造价站备案的资格。</w:t>
      </w:r>
    </w:p>
    <w:p w14:paraId="235127AF">
      <w:pPr>
        <w:keepNext w:val="0"/>
        <w:keepLines w:val="0"/>
        <w:pageBreakBefore w:val="0"/>
        <w:widowControl w:val="0"/>
        <w:kinsoku/>
        <w:wordWrap/>
        <w:overflowPunct/>
        <w:topLinePunct w:val="0"/>
        <w:autoSpaceDE/>
        <w:autoSpaceDN/>
        <w:bidi w:val="0"/>
        <w:adjustRightInd w:val="0"/>
        <w:snapToGrid w:val="0"/>
        <w:spacing w:line="500" w:lineRule="exact"/>
        <w:ind w:firstLine="562" w:firstLineChars="200"/>
        <w:textAlignment w:val="auto"/>
        <w:rPr>
          <w:rFonts w:ascii="宋体" w:hAnsi="宋体" w:eastAsia="宋体" w:cs="宋体"/>
          <w:b/>
          <w:bCs/>
          <w:color w:val="auto"/>
          <w:sz w:val="28"/>
          <w:szCs w:val="28"/>
        </w:rPr>
      </w:pPr>
      <w:r>
        <w:rPr>
          <w:rFonts w:hint="eastAsia" w:ascii="宋体" w:hAnsi="宋体" w:eastAsia="宋体" w:cs="宋体"/>
          <w:b/>
          <w:bCs/>
          <w:color w:val="auto"/>
          <w:sz w:val="28"/>
          <w:szCs w:val="28"/>
        </w:rPr>
        <w:t>二、签约与收费</w:t>
      </w:r>
    </w:p>
    <w:p w14:paraId="4FDBAD6F">
      <w:pPr>
        <w:keepNext w:val="0"/>
        <w:keepLines w:val="0"/>
        <w:pageBreakBefore w:val="0"/>
        <w:widowControl w:val="0"/>
        <w:kinsoku/>
        <w:wordWrap/>
        <w:overflowPunct/>
        <w:topLinePunct w:val="0"/>
        <w:autoSpaceDE/>
        <w:autoSpaceDN/>
        <w:bidi w:val="0"/>
        <w:adjustRightInd w:val="0"/>
        <w:snapToGrid w:val="0"/>
        <w:spacing w:line="500" w:lineRule="exact"/>
        <w:ind w:firstLine="560" w:firstLineChars="200"/>
        <w:textAlignment w:val="auto"/>
        <w:rPr>
          <w:rFonts w:ascii="宋体" w:hAnsi="宋体" w:eastAsia="宋体" w:cs="宋体"/>
          <w:color w:val="auto"/>
          <w:sz w:val="28"/>
          <w:szCs w:val="28"/>
        </w:rPr>
      </w:pPr>
      <w:r>
        <w:rPr>
          <w:rFonts w:hint="eastAsia" w:ascii="宋体" w:hAnsi="宋体" w:eastAsia="宋体" w:cs="宋体"/>
          <w:color w:val="auto"/>
          <w:sz w:val="28"/>
          <w:szCs w:val="28"/>
        </w:rPr>
        <w:t>中签人与</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u w:val="single"/>
          <w:lang w:val="en-US" w:eastAsia="zh-CN"/>
        </w:rPr>
        <w:t>安徽安扬产业运营有限公司</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签约，并按照交控集团合格服务供应商签订的相关协议支付服务费。</w:t>
      </w:r>
    </w:p>
    <w:p w14:paraId="323A6BC8">
      <w:pPr>
        <w:pStyle w:val="6"/>
        <w:keepNext w:val="0"/>
        <w:keepLines w:val="0"/>
        <w:pageBreakBefore w:val="0"/>
        <w:widowControl w:val="0"/>
        <w:kinsoku/>
        <w:wordWrap/>
        <w:overflowPunct/>
        <w:topLinePunct w:val="0"/>
        <w:autoSpaceDE/>
        <w:autoSpaceDN/>
        <w:bidi w:val="0"/>
        <w:adjustRightInd w:val="0"/>
        <w:snapToGrid w:val="0"/>
        <w:spacing w:line="500" w:lineRule="exact"/>
        <w:ind w:firstLine="560" w:firstLineChars="200"/>
        <w:textAlignment w:val="auto"/>
        <w:rPr>
          <w:color w:val="auto"/>
          <w:sz w:val="28"/>
          <w:szCs w:val="28"/>
          <w:lang w:val="en-US" w:eastAsia="zh-CN"/>
        </w:rPr>
      </w:pPr>
      <w:r>
        <w:rPr>
          <w:rFonts w:hint="eastAsia"/>
          <w:color w:val="auto"/>
          <w:sz w:val="28"/>
          <w:szCs w:val="28"/>
          <w:lang w:val="en-US" w:eastAsia="zh-CN"/>
        </w:rPr>
        <w:t>服务费说明：</w:t>
      </w:r>
      <w:r>
        <w:rPr>
          <w:rFonts w:hint="eastAsia"/>
          <w:color w:val="auto"/>
          <w:sz w:val="28"/>
          <w:szCs w:val="28"/>
          <w:lang w:val="en-US" w:eastAsia="zh-CN" w:bidi="ar-SA"/>
        </w:rPr>
        <w:t>低于30万元的，按安庆市交通控股集团有限公司工程造价咨询供应商名录合同协议书等约定的标准进行支付，超过30万元的按30万元计。</w:t>
      </w:r>
    </w:p>
    <w:p w14:paraId="74614322">
      <w:pPr>
        <w:keepNext w:val="0"/>
        <w:keepLines w:val="0"/>
        <w:pageBreakBefore w:val="0"/>
        <w:widowControl w:val="0"/>
        <w:numPr>
          <w:ilvl w:val="0"/>
          <w:numId w:val="1"/>
        </w:numPr>
        <w:kinsoku/>
        <w:wordWrap/>
        <w:overflowPunct/>
        <w:topLinePunct w:val="0"/>
        <w:autoSpaceDE/>
        <w:autoSpaceDN/>
        <w:bidi w:val="0"/>
        <w:adjustRightInd w:val="0"/>
        <w:snapToGrid w:val="0"/>
        <w:spacing w:line="500" w:lineRule="exact"/>
        <w:ind w:firstLine="562" w:firstLineChars="200"/>
        <w:textAlignment w:val="auto"/>
        <w:rPr>
          <w:rFonts w:ascii="宋体" w:hAnsi="宋体" w:eastAsia="宋体" w:cs="宋体"/>
          <w:b/>
          <w:bCs/>
          <w:color w:val="auto"/>
          <w:sz w:val="28"/>
          <w:szCs w:val="28"/>
        </w:rPr>
      </w:pPr>
      <w:r>
        <w:rPr>
          <w:rFonts w:hint="eastAsia" w:ascii="宋体" w:hAnsi="宋体" w:eastAsia="宋体" w:cs="宋体"/>
          <w:b/>
          <w:bCs/>
          <w:color w:val="auto"/>
          <w:sz w:val="28"/>
          <w:szCs w:val="28"/>
        </w:rPr>
        <w:t>服务内容</w:t>
      </w:r>
    </w:p>
    <w:p w14:paraId="7CFEA816">
      <w:pPr>
        <w:keepNext w:val="0"/>
        <w:keepLines w:val="0"/>
        <w:pageBreakBefore w:val="0"/>
        <w:widowControl w:val="0"/>
        <w:numPr>
          <w:ilvl w:val="0"/>
          <w:numId w:val="2"/>
        </w:numPr>
        <w:kinsoku/>
        <w:wordWrap/>
        <w:overflowPunct/>
        <w:topLinePunct w:val="0"/>
        <w:autoSpaceDE/>
        <w:autoSpaceDN/>
        <w:bidi w:val="0"/>
        <w:adjustRightInd w:val="0"/>
        <w:snapToGrid w:val="0"/>
        <w:spacing w:line="500" w:lineRule="exact"/>
        <w:ind w:firstLine="560" w:firstLineChars="200"/>
        <w:textAlignment w:val="auto"/>
        <w:rPr>
          <w:rFonts w:hint="eastAsia" w:ascii="宋体" w:hAnsi="宋体" w:eastAsia="宋体" w:cs="宋体"/>
          <w:color w:val="auto"/>
          <w:sz w:val="28"/>
          <w:szCs w:val="28"/>
          <w:lang w:bidi="zh-TW"/>
        </w:rPr>
      </w:pPr>
      <w:r>
        <w:rPr>
          <w:rFonts w:hint="eastAsia" w:ascii="宋体" w:hAnsi="宋体" w:eastAsia="宋体" w:cs="宋体"/>
          <w:color w:val="auto"/>
          <w:sz w:val="28"/>
          <w:szCs w:val="28"/>
          <w:u w:val="single"/>
          <w:lang w:bidi="zh-TW"/>
        </w:rPr>
        <w:t>安庆望湖揽胜售楼部外立面LED显示屏项目跟踪审计与结算审计</w:t>
      </w:r>
      <w:r>
        <w:rPr>
          <w:rFonts w:hint="eastAsia" w:ascii="宋体" w:hAnsi="宋体" w:eastAsia="宋体" w:cs="宋体"/>
          <w:color w:val="auto"/>
          <w:sz w:val="28"/>
          <w:szCs w:val="28"/>
          <w:lang w:bidi="zh-TW"/>
        </w:rPr>
        <w:t>涉及的内容。</w:t>
      </w:r>
    </w:p>
    <w:p w14:paraId="3B1A9AAB">
      <w:pPr>
        <w:keepNext w:val="0"/>
        <w:keepLines w:val="0"/>
        <w:pageBreakBefore w:val="0"/>
        <w:widowControl w:val="0"/>
        <w:numPr>
          <w:ilvl w:val="0"/>
          <w:numId w:val="2"/>
        </w:numPr>
        <w:kinsoku/>
        <w:wordWrap/>
        <w:overflowPunct/>
        <w:topLinePunct w:val="0"/>
        <w:autoSpaceDE/>
        <w:autoSpaceDN/>
        <w:bidi w:val="0"/>
        <w:adjustRightInd w:val="0"/>
        <w:snapToGrid w:val="0"/>
        <w:spacing w:line="500" w:lineRule="exact"/>
        <w:ind w:firstLine="560" w:firstLineChars="200"/>
        <w:textAlignment w:val="auto"/>
        <w:rPr>
          <w:rFonts w:hint="eastAsia" w:ascii="宋体" w:hAnsi="宋体" w:eastAsia="宋体" w:cs="宋体"/>
          <w:color w:val="auto"/>
          <w:sz w:val="28"/>
          <w:szCs w:val="28"/>
          <w:lang w:bidi="zh-TW"/>
        </w:rPr>
      </w:pPr>
      <w:r>
        <w:rPr>
          <w:rFonts w:hint="eastAsia" w:ascii="宋体" w:hAnsi="宋体" w:eastAsia="宋体" w:cs="宋体"/>
          <w:color w:val="auto"/>
          <w:sz w:val="28"/>
          <w:szCs w:val="28"/>
          <w:u w:val="single"/>
          <w:lang w:eastAsia="zh-CN" w:bidi="zh-TW"/>
        </w:rPr>
        <w:t>S22天天高速安庆至潜山段广告牌建设工程</w:t>
      </w:r>
      <w:r>
        <w:rPr>
          <w:rFonts w:hint="eastAsia" w:ascii="宋体" w:hAnsi="宋体" w:eastAsia="宋体" w:cs="宋体"/>
          <w:color w:val="auto"/>
          <w:sz w:val="28"/>
          <w:szCs w:val="28"/>
          <w:u w:val="single"/>
          <w:lang w:val="en-US" w:eastAsia="zh-CN" w:bidi="zh-TW"/>
        </w:rPr>
        <w:t>项目</w:t>
      </w:r>
      <w:r>
        <w:rPr>
          <w:rFonts w:hint="eastAsia" w:ascii="宋体" w:hAnsi="宋体" w:eastAsia="宋体" w:cs="宋体"/>
          <w:color w:val="auto"/>
          <w:sz w:val="28"/>
          <w:szCs w:val="28"/>
          <w:u w:val="single"/>
          <w:lang w:bidi="zh-TW"/>
        </w:rPr>
        <w:t>跟踪审计与结算审计</w:t>
      </w:r>
      <w:r>
        <w:rPr>
          <w:rFonts w:hint="eastAsia" w:ascii="宋体" w:hAnsi="宋体" w:eastAsia="宋体" w:cs="宋体"/>
          <w:color w:val="auto"/>
          <w:sz w:val="28"/>
          <w:szCs w:val="28"/>
          <w:lang w:bidi="zh-TW"/>
        </w:rPr>
        <w:t>涉及的内容。</w:t>
      </w:r>
      <w:r>
        <w:rPr>
          <w:rFonts w:hint="eastAsia" w:ascii="宋体" w:hAnsi="宋体" w:eastAsia="宋体" w:cs="宋体"/>
          <w:color w:val="auto"/>
          <w:sz w:val="28"/>
          <w:szCs w:val="28"/>
          <w:lang w:eastAsia="zh-CN" w:bidi="zh-TW"/>
        </w:rPr>
        <w:t>。</w:t>
      </w:r>
    </w:p>
    <w:p w14:paraId="1D6EFD45">
      <w:pPr>
        <w:keepNext w:val="0"/>
        <w:keepLines w:val="0"/>
        <w:pageBreakBefore w:val="0"/>
        <w:widowControl w:val="0"/>
        <w:kinsoku/>
        <w:wordWrap/>
        <w:overflowPunct/>
        <w:topLinePunct w:val="0"/>
        <w:autoSpaceDE/>
        <w:autoSpaceDN/>
        <w:bidi w:val="0"/>
        <w:adjustRightInd w:val="0"/>
        <w:snapToGrid w:val="0"/>
        <w:spacing w:line="500" w:lineRule="exact"/>
        <w:ind w:firstLine="562" w:firstLineChars="200"/>
        <w:textAlignment w:val="auto"/>
        <w:rPr>
          <w:rFonts w:hint="eastAsia" w:ascii="宋体" w:hAnsi="宋体" w:eastAsia="宋体" w:cs="宋体"/>
          <w:color w:val="auto"/>
          <w:sz w:val="28"/>
          <w:szCs w:val="28"/>
          <w:lang w:eastAsia="zh-CN"/>
        </w:rPr>
      </w:pPr>
      <w:r>
        <w:rPr>
          <w:rFonts w:hint="eastAsia" w:ascii="宋体" w:hAnsi="宋体" w:eastAsia="宋体" w:cs="宋体"/>
          <w:b/>
          <w:bCs/>
          <w:color w:val="auto"/>
          <w:sz w:val="28"/>
          <w:szCs w:val="28"/>
        </w:rPr>
        <w:t>四、服务时间</w:t>
      </w:r>
    </w:p>
    <w:p w14:paraId="394B272F">
      <w:pPr>
        <w:keepNext w:val="0"/>
        <w:keepLines w:val="0"/>
        <w:pageBreakBefore w:val="0"/>
        <w:widowControl w:val="0"/>
        <w:kinsoku/>
        <w:wordWrap/>
        <w:overflowPunct/>
        <w:topLinePunct w:val="0"/>
        <w:autoSpaceDE/>
        <w:autoSpaceDN/>
        <w:bidi w:val="0"/>
        <w:adjustRightInd w:val="0"/>
        <w:snapToGrid w:val="0"/>
        <w:spacing w:line="500" w:lineRule="exact"/>
        <w:ind w:firstLine="560" w:firstLineChars="200"/>
        <w:textAlignment w:val="auto"/>
        <w:rPr>
          <w:rFonts w:hint="eastAsia" w:ascii="宋体" w:hAnsi="宋体" w:eastAsia="宋体" w:cs="宋体"/>
          <w:color w:val="auto"/>
          <w:sz w:val="28"/>
          <w:szCs w:val="28"/>
          <w:lang w:eastAsia="zh-CN"/>
        </w:rPr>
      </w:pPr>
      <w:r>
        <w:rPr>
          <w:rFonts w:hint="eastAsia" w:ascii="宋体" w:hAnsi="宋体" w:eastAsia="宋体" w:cs="宋体"/>
          <w:color w:val="auto"/>
          <w:sz w:val="28"/>
          <w:szCs w:val="28"/>
          <w:lang w:val="en-US" w:eastAsia="zh-CN"/>
        </w:rPr>
        <w:t>1.</w:t>
      </w:r>
      <w:r>
        <w:rPr>
          <w:rFonts w:hint="eastAsia" w:ascii="宋体" w:hAnsi="宋体" w:eastAsia="宋体" w:cs="宋体"/>
          <w:color w:val="auto"/>
          <w:sz w:val="28"/>
          <w:szCs w:val="28"/>
          <w:lang w:eastAsia="zh-CN"/>
        </w:rPr>
        <w:t>跟踪审计：从项目开始至项目竣工验收全过程跟踪审计工作；</w:t>
      </w:r>
    </w:p>
    <w:p w14:paraId="53F34DF5">
      <w:pPr>
        <w:keepNext w:val="0"/>
        <w:keepLines w:val="0"/>
        <w:pageBreakBefore w:val="0"/>
        <w:widowControl w:val="0"/>
        <w:kinsoku/>
        <w:wordWrap/>
        <w:overflowPunct/>
        <w:topLinePunct w:val="0"/>
        <w:autoSpaceDE/>
        <w:autoSpaceDN/>
        <w:bidi w:val="0"/>
        <w:adjustRightInd w:val="0"/>
        <w:snapToGrid w:val="0"/>
        <w:spacing w:line="500" w:lineRule="exact"/>
        <w:ind w:firstLine="560" w:firstLineChars="200"/>
        <w:textAlignment w:val="auto"/>
        <w:rPr>
          <w:rFonts w:hint="eastAsia" w:ascii="宋体" w:hAnsi="宋体" w:eastAsia="宋体" w:cs="宋体"/>
          <w:color w:val="auto"/>
          <w:sz w:val="28"/>
          <w:szCs w:val="28"/>
          <w:lang w:eastAsia="zh-CN"/>
        </w:rPr>
      </w:pPr>
      <w:r>
        <w:rPr>
          <w:rFonts w:hint="eastAsia" w:ascii="宋体" w:hAnsi="宋体" w:eastAsia="宋体" w:cs="宋体"/>
          <w:color w:val="auto"/>
          <w:sz w:val="28"/>
          <w:szCs w:val="28"/>
          <w:lang w:val="en-US" w:eastAsia="zh-CN"/>
        </w:rPr>
        <w:t>2.</w:t>
      </w:r>
      <w:r>
        <w:rPr>
          <w:rFonts w:hint="eastAsia" w:ascii="宋体" w:hAnsi="宋体" w:eastAsia="宋体" w:cs="宋体"/>
          <w:color w:val="auto"/>
          <w:sz w:val="28"/>
          <w:szCs w:val="28"/>
          <w:lang w:eastAsia="zh-CN"/>
        </w:rPr>
        <w:t>结算审计：中签人在收到报审项目结算资料后</w:t>
      </w:r>
      <w:r>
        <w:rPr>
          <w:rFonts w:hint="eastAsia" w:ascii="宋体" w:hAnsi="宋体" w:eastAsia="宋体" w:cs="宋体"/>
          <w:color w:val="auto"/>
          <w:sz w:val="28"/>
          <w:szCs w:val="28"/>
          <w:u w:val="single"/>
          <w:lang w:val="en-US" w:eastAsia="zh-CN"/>
        </w:rPr>
        <w:t xml:space="preserve"> 15 </w:t>
      </w:r>
      <w:r>
        <w:rPr>
          <w:rFonts w:hint="eastAsia" w:ascii="宋体" w:hAnsi="宋体" w:eastAsia="宋体" w:cs="宋体"/>
          <w:color w:val="auto"/>
          <w:sz w:val="28"/>
          <w:szCs w:val="28"/>
          <w:lang w:eastAsia="zh-CN"/>
        </w:rPr>
        <w:t>个自然日内完成结算复核报告初稿编制工作、</w:t>
      </w:r>
      <w:r>
        <w:rPr>
          <w:rFonts w:hint="eastAsia" w:ascii="宋体" w:hAnsi="宋体" w:eastAsia="宋体" w:cs="宋体"/>
          <w:color w:val="auto"/>
          <w:sz w:val="28"/>
          <w:szCs w:val="28"/>
          <w:u w:val="single"/>
          <w:lang w:val="en-US" w:eastAsia="zh-CN"/>
        </w:rPr>
        <w:t xml:space="preserve"> 30 </w:t>
      </w:r>
      <w:r>
        <w:rPr>
          <w:rFonts w:hint="eastAsia" w:ascii="宋体" w:hAnsi="宋体" w:eastAsia="宋体" w:cs="宋体"/>
          <w:color w:val="auto"/>
          <w:sz w:val="28"/>
          <w:szCs w:val="28"/>
          <w:lang w:eastAsia="zh-CN"/>
        </w:rPr>
        <w:t>个自然日内完成结算复核报告定稿编制工作，并报采购人审核确认。若中签人未在规定时间内完成结算复核报告编制工作（采购人认可的情形除外），采购人有权不予支付费用并重新抽签选取其他单位进行复核。</w:t>
      </w:r>
    </w:p>
    <w:p w14:paraId="09C0C9D1">
      <w:pPr>
        <w:keepNext w:val="0"/>
        <w:keepLines w:val="0"/>
        <w:pageBreakBefore w:val="0"/>
        <w:widowControl w:val="0"/>
        <w:kinsoku/>
        <w:wordWrap/>
        <w:overflowPunct/>
        <w:topLinePunct w:val="0"/>
        <w:autoSpaceDE/>
        <w:autoSpaceDN/>
        <w:bidi w:val="0"/>
        <w:adjustRightInd w:val="0"/>
        <w:snapToGrid w:val="0"/>
        <w:spacing w:line="500" w:lineRule="exact"/>
        <w:ind w:firstLine="562" w:firstLineChars="200"/>
        <w:textAlignment w:val="auto"/>
        <w:rPr>
          <w:rFonts w:ascii="宋体" w:hAnsi="宋体" w:eastAsia="宋体" w:cs="宋体"/>
          <w:color w:val="auto"/>
          <w:sz w:val="28"/>
          <w:szCs w:val="28"/>
        </w:rPr>
      </w:pPr>
      <w:r>
        <w:rPr>
          <w:rFonts w:hint="eastAsia" w:ascii="宋体" w:hAnsi="宋体" w:eastAsia="宋体" w:cs="宋体"/>
          <w:b/>
          <w:bCs/>
          <w:color w:val="auto"/>
          <w:sz w:val="28"/>
          <w:szCs w:val="28"/>
        </w:rPr>
        <w:t>五、质量要求</w:t>
      </w:r>
    </w:p>
    <w:p w14:paraId="280B04EE">
      <w:pPr>
        <w:keepNext w:val="0"/>
        <w:keepLines w:val="0"/>
        <w:pageBreakBefore w:val="0"/>
        <w:widowControl w:val="0"/>
        <w:kinsoku/>
        <w:wordWrap/>
        <w:overflowPunct/>
        <w:topLinePunct w:val="0"/>
        <w:autoSpaceDE/>
        <w:autoSpaceDN/>
        <w:bidi w:val="0"/>
        <w:adjustRightInd w:val="0"/>
        <w:snapToGrid w:val="0"/>
        <w:spacing w:line="500" w:lineRule="exact"/>
        <w:ind w:firstLine="560" w:firstLineChars="200"/>
        <w:textAlignment w:val="auto"/>
        <w:rPr>
          <w:rFonts w:ascii="宋体" w:hAnsi="宋体" w:eastAsia="宋体" w:cs="宋体"/>
          <w:color w:val="auto"/>
          <w:sz w:val="28"/>
          <w:szCs w:val="28"/>
        </w:rPr>
      </w:pPr>
      <w:r>
        <w:rPr>
          <w:rFonts w:hint="eastAsia" w:ascii="宋体" w:hAnsi="宋体" w:eastAsia="宋体" w:cs="宋体"/>
          <w:color w:val="auto"/>
          <w:sz w:val="28"/>
          <w:szCs w:val="28"/>
        </w:rPr>
        <w:t>中签人应确保</w:t>
      </w:r>
      <w:r>
        <w:rPr>
          <w:rFonts w:hint="eastAsia" w:ascii="宋体" w:hAnsi="宋体" w:eastAsia="宋体" w:cs="宋体"/>
          <w:color w:val="auto"/>
          <w:sz w:val="28"/>
          <w:szCs w:val="28"/>
          <w:u w:val="single"/>
          <w:lang w:val="en-US" w:eastAsia="zh-CN"/>
        </w:rPr>
        <w:t xml:space="preserve"> 上述</w:t>
      </w:r>
      <w:r>
        <w:rPr>
          <w:rFonts w:hint="eastAsia" w:ascii="宋体" w:hAnsi="宋体" w:eastAsia="宋体" w:cs="宋体"/>
          <w:color w:val="auto"/>
          <w:sz w:val="28"/>
          <w:szCs w:val="28"/>
          <w:u w:val="single"/>
          <w:lang w:eastAsia="zh-CN" w:bidi="zh-TW"/>
        </w:rPr>
        <w:t>项目</w:t>
      </w:r>
      <w:r>
        <w:rPr>
          <w:rFonts w:hint="eastAsia" w:ascii="宋体" w:hAnsi="宋体" w:eastAsia="宋体" w:cs="宋体"/>
          <w:color w:val="auto"/>
          <w:sz w:val="28"/>
          <w:szCs w:val="28"/>
          <w:u w:val="single"/>
          <w:lang w:bidi="zh-TW"/>
        </w:rPr>
        <w:t xml:space="preserve">跟踪审计与结算审计 </w:t>
      </w:r>
      <w:r>
        <w:rPr>
          <w:rFonts w:hint="eastAsia" w:ascii="宋体" w:hAnsi="宋体" w:eastAsia="宋体" w:cs="宋体"/>
          <w:color w:val="auto"/>
          <w:sz w:val="28"/>
          <w:szCs w:val="28"/>
          <w:u w:val="none"/>
          <w:lang w:val="en-US" w:eastAsia="zh-CN" w:bidi="zh-TW"/>
        </w:rPr>
        <w:t>工作</w:t>
      </w:r>
      <w:r>
        <w:rPr>
          <w:rFonts w:hint="eastAsia" w:ascii="宋体" w:hAnsi="宋体" w:eastAsia="宋体" w:cs="宋体"/>
          <w:color w:val="auto"/>
          <w:sz w:val="28"/>
          <w:szCs w:val="28"/>
        </w:rPr>
        <w:t>质量，中签人出具的审核文件质量应符合现行国家或行业工程计价有关规定、标准、规范的要求，后续施工内容未变更的情况下，项目结算审计与施工图预算超过±3%，将按照交控集团《合格服务供应商管理办法》相关条款进行处置。</w:t>
      </w:r>
    </w:p>
    <w:bookmarkEnd w:id="0"/>
    <w:sectPr>
      <w:footerReference r:id="rId3" w:type="default"/>
      <w:pgSz w:w="11906" w:h="16838"/>
      <w:pgMar w:top="1418" w:right="1418" w:bottom="1191" w:left="141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2236E2">
    <w:pPr>
      <w:pStyle w:val="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2CE28BB9">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10G3Y3AgAAb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d0tK4+VP0F&#10;TKFlYat3lsc0USpvV8cAaTvFo0C9KuhU3GAOu54NbyYO+p/7LurxP7H8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C9dBt2NwIAAG8EAAAOAAAAAAAAAAEAIAAAAB8BAABkcnMvZTJvRG9jLnht&#10;bFBLBQYAAAAABgAGAFkBAADIBQAAAAA=&#10;">
              <v:fill on="f" focussize="0,0"/>
              <v:stroke on="f" weight="0.5pt"/>
              <v:imagedata o:title=""/>
              <o:lock v:ext="edit" aspectratio="f"/>
              <v:textbox inset="0mm,0mm,0mm,0mm" style="mso-fit-shape-to-text:t;">
                <w:txbxContent>
                  <w:p w14:paraId="2CE28BB9">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08B17B4"/>
    <w:multiLevelType w:val="singleLevel"/>
    <w:tmpl w:val="D08B17B4"/>
    <w:lvl w:ilvl="0" w:tentative="0">
      <w:start w:val="3"/>
      <w:numFmt w:val="chineseCounting"/>
      <w:suff w:val="nothing"/>
      <w:lvlText w:val="%1、"/>
      <w:lvlJc w:val="left"/>
      <w:rPr>
        <w:rFonts w:hint="eastAsia"/>
      </w:rPr>
    </w:lvl>
  </w:abstractNum>
  <w:abstractNum w:abstractNumId="1">
    <w:nsid w:val="EACA2CAF"/>
    <w:multiLevelType w:val="singleLevel"/>
    <w:tmpl w:val="EACA2CAF"/>
    <w:lvl w:ilvl="0" w:tentative="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9"/>
  <w:embedSystem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M1Mzc1ZjQxMDc2N2Q1MmVkNzc3Y2QxYWJlOTY1YmQifQ=="/>
  </w:docVars>
  <w:rsids>
    <w:rsidRoot w:val="5B2128FC"/>
    <w:rsid w:val="000B7089"/>
    <w:rsid w:val="002875D8"/>
    <w:rsid w:val="00354882"/>
    <w:rsid w:val="00630296"/>
    <w:rsid w:val="0083745B"/>
    <w:rsid w:val="009A7A27"/>
    <w:rsid w:val="009F2E32"/>
    <w:rsid w:val="00BF0BFE"/>
    <w:rsid w:val="00D1006C"/>
    <w:rsid w:val="00D14037"/>
    <w:rsid w:val="00E90654"/>
    <w:rsid w:val="00F21DDE"/>
    <w:rsid w:val="04383401"/>
    <w:rsid w:val="05601EF2"/>
    <w:rsid w:val="08F1099E"/>
    <w:rsid w:val="0C711923"/>
    <w:rsid w:val="0F5B1FBE"/>
    <w:rsid w:val="11B53B51"/>
    <w:rsid w:val="11F44192"/>
    <w:rsid w:val="12B248E4"/>
    <w:rsid w:val="1871606E"/>
    <w:rsid w:val="195014EA"/>
    <w:rsid w:val="197C5573"/>
    <w:rsid w:val="1A9A4006"/>
    <w:rsid w:val="1BE7496B"/>
    <w:rsid w:val="1DA750FA"/>
    <w:rsid w:val="1E1C5081"/>
    <w:rsid w:val="20DF76DB"/>
    <w:rsid w:val="210541FE"/>
    <w:rsid w:val="21D43713"/>
    <w:rsid w:val="26051F3D"/>
    <w:rsid w:val="27E770BC"/>
    <w:rsid w:val="2CBE2FDF"/>
    <w:rsid w:val="2E105A71"/>
    <w:rsid w:val="2F9310EA"/>
    <w:rsid w:val="31594CA4"/>
    <w:rsid w:val="32743D2D"/>
    <w:rsid w:val="35854B36"/>
    <w:rsid w:val="36B50576"/>
    <w:rsid w:val="3B6510C1"/>
    <w:rsid w:val="3E6D3FAA"/>
    <w:rsid w:val="40424C73"/>
    <w:rsid w:val="41474EF7"/>
    <w:rsid w:val="464955FE"/>
    <w:rsid w:val="46CB3530"/>
    <w:rsid w:val="48717DF9"/>
    <w:rsid w:val="499F0F8D"/>
    <w:rsid w:val="4A3F507F"/>
    <w:rsid w:val="4CC63FB4"/>
    <w:rsid w:val="50D62B25"/>
    <w:rsid w:val="53DC2C60"/>
    <w:rsid w:val="549441A6"/>
    <w:rsid w:val="5591114E"/>
    <w:rsid w:val="585C7372"/>
    <w:rsid w:val="59EC0C82"/>
    <w:rsid w:val="5A6F5C82"/>
    <w:rsid w:val="5B2128FC"/>
    <w:rsid w:val="5B3F4B18"/>
    <w:rsid w:val="5CAB7214"/>
    <w:rsid w:val="5E8C6045"/>
    <w:rsid w:val="5EE75425"/>
    <w:rsid w:val="5F20341C"/>
    <w:rsid w:val="660804A1"/>
    <w:rsid w:val="686D1EBF"/>
    <w:rsid w:val="692D1E3F"/>
    <w:rsid w:val="6AF96B9D"/>
    <w:rsid w:val="6F235BF5"/>
    <w:rsid w:val="70B67BE6"/>
    <w:rsid w:val="71380CEA"/>
    <w:rsid w:val="786F6B68"/>
    <w:rsid w:val="79BD71D4"/>
    <w:rsid w:val="7A49285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customStyle="1" w:styleId="6">
    <w:name w:val="Body text|1"/>
    <w:basedOn w:val="1"/>
    <w:qFormat/>
    <w:uiPriority w:val="0"/>
    <w:pPr>
      <w:spacing w:line="442" w:lineRule="auto"/>
      <w:ind w:firstLine="400"/>
    </w:pPr>
    <w:rPr>
      <w:rFonts w:ascii="宋体" w:hAnsi="宋体" w:eastAsia="宋体" w:cs="宋体"/>
      <w:sz w:val="30"/>
      <w:szCs w:val="30"/>
      <w:lang w:val="zh-TW" w:eastAsia="zh-TW" w:bidi="zh-TW"/>
    </w:rPr>
  </w:style>
  <w:style w:type="paragraph" w:customStyle="1" w:styleId="7">
    <w:name w:val="Heading #1|1"/>
    <w:basedOn w:val="1"/>
    <w:qFormat/>
    <w:uiPriority w:val="0"/>
    <w:pPr>
      <w:spacing w:after="520" w:line="653" w:lineRule="exact"/>
      <w:jc w:val="center"/>
      <w:outlineLvl w:val="0"/>
    </w:pPr>
    <w:rPr>
      <w:rFonts w:ascii="宋体" w:hAnsi="宋体" w:eastAsia="宋体" w:cs="宋体"/>
      <w:sz w:val="44"/>
      <w:szCs w:val="44"/>
      <w:lang w:val="zh-TW" w:eastAsia="zh-TW" w:bidi="zh-TW"/>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Pages>
  <Words>568</Words>
  <Characters>582</Characters>
  <Lines>3</Lines>
  <Paragraphs>1</Paragraphs>
  <TotalTime>1</TotalTime>
  <ScaleCrop>false</ScaleCrop>
  <LinksUpToDate>false</LinksUpToDate>
  <CharactersWithSpaces>590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2022-07-30T07:46:00Z</dcterms:created>
  <dc:creator>刘</dc:creator>
  <cp:lastModifiedBy>CHEN</cp:lastModifiedBy>
  <cp:lastPrinted>2022-08-10T02:15:00Z</cp:lastPrinted>
  <dcterms:modified xsi:type="dcterms:W3CDTF">2026-10-10T00:07:02Z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8125333DC1024DAA8E1E4E02BD609872_13</vt:lpwstr>
  </property>
  <property fmtid="{D5CDD505-2E9C-101B-9397-08002B2CF9AE}" pid="4" name="KSOTemplateDocerSaveRecord">
    <vt:lpwstr>eyJoZGlkIjoiNzM2OTNhY2ZjODkyMTQwMjY0MDEyZDIxZDdiZGE0Y2UiLCJ1c2VySWQiOiIzNjEyMzczMzAifQ==</vt:lpwstr>
  </property>
</Properties>
</file>