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71E1380">
      <w:pPr>
        <w:spacing w:line="480" w:lineRule="exact"/>
        <w:rPr>
          <w:rFonts w:hint="eastAsia" w:ascii="宋体" w:eastAsia="宋体"/>
          <w:color w:val="auto"/>
          <w:sz w:val="44"/>
          <w:szCs w:val="44"/>
          <w:highlight w:val="none"/>
          <w:lang w:eastAsia="zh-CN"/>
        </w:rPr>
      </w:pPr>
    </w:p>
    <w:p w14:paraId="640A586B">
      <w:pPr>
        <w:pStyle w:val="82"/>
        <w:ind w:left="0" w:leftChars="0" w:firstLine="0" w:firstLineChars="0"/>
        <w:jc w:val="center"/>
        <w:rPr>
          <w:rFonts w:hint="eastAsia" w:ascii="仿宋_GB2312" w:hAnsi="宋体" w:eastAsia="仿宋_GB2312"/>
          <w:b/>
          <w:color w:val="auto"/>
          <w:sz w:val="48"/>
          <w:szCs w:val="48"/>
          <w:highlight w:val="none"/>
          <w:lang w:eastAsia="zh-CN"/>
        </w:rPr>
      </w:pPr>
      <w:r>
        <w:rPr>
          <w:rFonts w:hint="eastAsia" w:ascii="仿宋_GB2312" w:hAnsi="宋体" w:eastAsia="仿宋_GB2312"/>
          <w:b/>
          <w:color w:val="auto"/>
          <w:sz w:val="48"/>
          <w:szCs w:val="48"/>
          <w:highlight w:val="none"/>
          <w:lang w:eastAsia="zh-CN"/>
        </w:rPr>
        <w:t>安</w:t>
      </w:r>
      <w:r>
        <w:rPr>
          <w:rFonts w:hint="eastAsia" w:ascii="仿宋_GB2312" w:hAnsi="宋体" w:eastAsia="仿宋_GB2312"/>
          <w:b/>
          <w:color w:val="auto"/>
          <w:sz w:val="48"/>
          <w:szCs w:val="48"/>
          <w:highlight w:val="none"/>
          <w:lang w:val="en-US" w:eastAsia="zh-CN"/>
        </w:rPr>
        <w:t>庆中安公司诉上海星徽汽车贸易有限公司合同纠纷案件</w:t>
      </w:r>
      <w:r>
        <w:rPr>
          <w:rFonts w:hint="eastAsia" w:ascii="仿宋_GB2312" w:hAnsi="宋体" w:eastAsia="仿宋_GB2312"/>
          <w:b/>
          <w:color w:val="auto"/>
          <w:sz w:val="48"/>
          <w:szCs w:val="48"/>
          <w:highlight w:val="none"/>
          <w:lang w:eastAsia="zh-CN"/>
        </w:rPr>
        <w:t>诉讼代理服务</w:t>
      </w:r>
    </w:p>
    <w:p w14:paraId="7128504D">
      <w:pPr>
        <w:pStyle w:val="82"/>
        <w:ind w:left="0" w:leftChars="0" w:firstLine="0" w:firstLineChars="0"/>
        <w:jc w:val="center"/>
        <w:rPr>
          <w:rFonts w:hint="eastAsia" w:ascii="仿宋_GB2312" w:hAnsi="宋体" w:eastAsia="仿宋_GB2312"/>
          <w:b/>
          <w:color w:val="auto"/>
          <w:sz w:val="48"/>
          <w:szCs w:val="48"/>
          <w:highlight w:val="none"/>
          <w:lang w:eastAsia="zh-CN"/>
        </w:rPr>
      </w:pPr>
      <w:r>
        <w:rPr>
          <w:rFonts w:hint="eastAsia" w:ascii="仿宋_GB2312" w:hAnsi="宋体" w:eastAsia="仿宋_GB2312"/>
          <w:b/>
          <w:color w:val="auto"/>
          <w:sz w:val="48"/>
          <w:szCs w:val="48"/>
          <w:highlight w:val="none"/>
          <w:lang w:eastAsia="zh-CN"/>
        </w:rPr>
        <w:t>（重新招标）</w:t>
      </w:r>
    </w:p>
    <w:p w14:paraId="4A9923AF">
      <w:pPr>
        <w:pStyle w:val="82"/>
        <w:ind w:left="0" w:leftChars="0" w:firstLine="0" w:firstLineChars="0"/>
        <w:jc w:val="center"/>
        <w:rPr>
          <w:rFonts w:hint="default" w:ascii="仿宋_GB2312" w:hAnsi="宋体" w:eastAsia="仿宋_GB2312"/>
          <w:b/>
          <w:color w:val="auto"/>
          <w:sz w:val="48"/>
          <w:szCs w:val="48"/>
          <w:highlight w:val="none"/>
          <w:lang w:val="en-US" w:eastAsia="zh-CN"/>
        </w:rPr>
      </w:pPr>
    </w:p>
    <w:p w14:paraId="22E13E14">
      <w:pPr>
        <w:pStyle w:val="82"/>
        <w:ind w:left="0" w:leftChars="0" w:firstLine="0" w:firstLineChars="0"/>
        <w:rPr>
          <w:color w:val="auto"/>
          <w:highlight w:val="none"/>
        </w:rPr>
      </w:pPr>
    </w:p>
    <w:p w14:paraId="166112D3">
      <w:pPr>
        <w:pStyle w:val="82"/>
        <w:rPr>
          <w:color w:val="auto"/>
          <w:highlight w:val="none"/>
        </w:rPr>
      </w:pPr>
    </w:p>
    <w:p w14:paraId="2AF2A3DA">
      <w:pPr>
        <w:spacing w:line="480" w:lineRule="exact"/>
        <w:jc w:val="center"/>
        <w:rPr>
          <w:rFonts w:ascii="宋体" w:hAnsi="宋体" w:cs="宋体"/>
          <w:b/>
          <w:bCs/>
          <w:color w:val="auto"/>
          <w:sz w:val="48"/>
          <w:szCs w:val="48"/>
          <w:highlight w:val="none"/>
        </w:rPr>
      </w:pPr>
      <w:r>
        <w:rPr>
          <w:rFonts w:hint="eastAsia" w:ascii="宋体" w:hAnsi="宋体" w:cs="宋体"/>
          <w:b/>
          <w:bCs/>
          <w:color w:val="auto"/>
          <w:sz w:val="48"/>
          <w:szCs w:val="48"/>
          <w:highlight w:val="none"/>
        </w:rPr>
        <w:t>比 选 文 件</w:t>
      </w:r>
    </w:p>
    <w:p w14:paraId="17343547">
      <w:pPr>
        <w:pStyle w:val="82"/>
        <w:spacing w:before="120"/>
        <w:ind w:firstLine="350"/>
        <w:rPr>
          <w:color w:val="auto"/>
          <w:highlight w:val="none"/>
        </w:rPr>
      </w:pPr>
    </w:p>
    <w:p w14:paraId="351B47E7">
      <w:pPr>
        <w:spacing w:line="480" w:lineRule="exact"/>
        <w:jc w:val="center"/>
        <w:rPr>
          <w:rFonts w:ascii="宋体" w:cs="宋体"/>
          <w:b/>
          <w:bCs/>
          <w:color w:val="auto"/>
          <w:sz w:val="48"/>
          <w:szCs w:val="48"/>
          <w:highlight w:val="none"/>
        </w:rPr>
      </w:pPr>
    </w:p>
    <w:p w14:paraId="682B95F9">
      <w:pPr>
        <w:pStyle w:val="82"/>
        <w:rPr>
          <w:color w:val="auto"/>
          <w:highlight w:val="none"/>
        </w:rPr>
      </w:pPr>
    </w:p>
    <w:p w14:paraId="42206FC8">
      <w:pPr>
        <w:spacing w:line="480" w:lineRule="exact"/>
        <w:jc w:val="center"/>
        <w:rPr>
          <w:rFonts w:hint="default" w:ascii="宋体" w:hAnsi="宋体" w:eastAsia="宋体" w:cs="仿宋_GB2312"/>
          <w:b/>
          <w:bCs/>
          <w:color w:val="auto"/>
          <w:sz w:val="28"/>
          <w:szCs w:val="28"/>
          <w:highlight w:val="none"/>
          <w:lang w:val="en-US" w:eastAsia="zh-CN"/>
        </w:rPr>
      </w:pPr>
      <w:r>
        <w:rPr>
          <w:rFonts w:hint="eastAsia" w:ascii="宋体" w:hAnsi="宋体" w:cs="宋体"/>
          <w:b/>
          <w:bCs/>
          <w:color w:val="auto"/>
          <w:sz w:val="28"/>
          <w:szCs w:val="28"/>
          <w:highlight w:val="none"/>
        </w:rPr>
        <w:t>项目编号：</w:t>
      </w:r>
      <w:r>
        <w:rPr>
          <w:rFonts w:hint="eastAsia" w:ascii="宋体" w:hAnsi="宋体" w:cs="宋体"/>
          <w:b/>
          <w:bCs/>
          <w:color w:val="auto"/>
          <w:sz w:val="28"/>
          <w:szCs w:val="28"/>
          <w:highlight w:val="none"/>
          <w:lang w:eastAsia="zh-CN"/>
        </w:rPr>
        <w:t>AQJK-CG-2026-097</w:t>
      </w:r>
    </w:p>
    <w:p w14:paraId="2F0EEB41">
      <w:pPr>
        <w:pStyle w:val="82"/>
        <w:spacing w:before="120"/>
        <w:ind w:left="0" w:leftChars="0" w:firstLine="0" w:firstLineChars="0"/>
        <w:rPr>
          <w:color w:val="auto"/>
          <w:highlight w:val="none"/>
        </w:rPr>
      </w:pPr>
    </w:p>
    <w:p w14:paraId="4E5A5848">
      <w:pPr>
        <w:pStyle w:val="82"/>
        <w:spacing w:before="120"/>
        <w:ind w:left="0" w:leftChars="0" w:firstLine="0" w:firstLineChars="0"/>
        <w:rPr>
          <w:color w:val="auto"/>
          <w:highlight w:val="none"/>
        </w:rPr>
      </w:pPr>
    </w:p>
    <w:p w14:paraId="2EB8AC39">
      <w:pPr>
        <w:spacing w:line="480" w:lineRule="exact"/>
        <w:rPr>
          <w:rFonts w:ascii="宋体" w:hAnsi="宋体" w:cs="仿宋_GB2312"/>
          <w:color w:val="auto"/>
          <w:szCs w:val="21"/>
          <w:highlight w:val="none"/>
        </w:rPr>
      </w:pPr>
    </w:p>
    <w:p w14:paraId="2CF0AD88">
      <w:pPr>
        <w:pStyle w:val="26"/>
        <w:rPr>
          <w:rFonts w:ascii="宋体" w:hAnsi="宋体" w:cs="仿宋_GB2312"/>
          <w:color w:val="auto"/>
          <w:szCs w:val="21"/>
          <w:highlight w:val="none"/>
        </w:rPr>
      </w:pPr>
    </w:p>
    <w:p w14:paraId="017E76BD">
      <w:pPr>
        <w:pStyle w:val="26"/>
        <w:rPr>
          <w:rFonts w:ascii="宋体" w:hAnsi="宋体" w:cs="仿宋_GB2312"/>
          <w:color w:val="auto"/>
          <w:szCs w:val="21"/>
          <w:highlight w:val="none"/>
        </w:rPr>
      </w:pPr>
    </w:p>
    <w:p w14:paraId="13C89828">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eastAsia" w:ascii="宋体" w:hAnsi="宋体" w:cs="仿宋_GB2312"/>
          <w:b/>
          <w:color w:val="auto"/>
          <w:sz w:val="30"/>
          <w:szCs w:val="30"/>
          <w:highlight w:val="none"/>
          <w:u w:val="single"/>
        </w:rPr>
      </w:pPr>
      <w:r>
        <w:rPr>
          <w:rFonts w:hint="eastAsia" w:ascii="宋体" w:hAnsi="宋体" w:cs="仿宋_GB2312"/>
          <w:b/>
          <w:color w:val="auto"/>
          <w:sz w:val="30"/>
          <w:szCs w:val="30"/>
          <w:highlight w:val="none"/>
        </w:rPr>
        <w:t>采购人：</w:t>
      </w:r>
      <w:r>
        <w:rPr>
          <w:rFonts w:hint="eastAsia"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eastAsia="zh-CN"/>
        </w:rPr>
        <w:t>安庆</w:t>
      </w:r>
      <w:r>
        <w:rPr>
          <w:rFonts w:hint="eastAsia" w:ascii="宋体" w:hAnsi="宋体" w:cs="仿宋_GB2312"/>
          <w:b/>
          <w:color w:val="auto"/>
          <w:sz w:val="30"/>
          <w:szCs w:val="30"/>
          <w:highlight w:val="none"/>
          <w:u w:val="single"/>
          <w:lang w:val="en-US" w:eastAsia="zh-CN"/>
        </w:rPr>
        <w:t>中安供应链管理</w:t>
      </w:r>
      <w:r>
        <w:rPr>
          <w:rFonts w:hint="eastAsia" w:ascii="宋体" w:hAnsi="宋体" w:cs="仿宋_GB2312"/>
          <w:b/>
          <w:color w:val="auto"/>
          <w:sz w:val="30"/>
          <w:szCs w:val="30"/>
          <w:highlight w:val="none"/>
          <w:u w:val="single"/>
          <w:lang w:eastAsia="zh-CN"/>
        </w:rPr>
        <w:t>有限</w:t>
      </w:r>
      <w:r>
        <w:rPr>
          <w:rFonts w:hint="eastAsia" w:ascii="宋体" w:hAnsi="宋体" w:cs="仿宋_GB2312"/>
          <w:b/>
          <w:color w:val="auto"/>
          <w:sz w:val="30"/>
          <w:szCs w:val="30"/>
          <w:highlight w:val="none"/>
          <w:u w:val="single"/>
          <w:lang w:val="en-US" w:eastAsia="zh-CN"/>
        </w:rPr>
        <w:t>责任</w:t>
      </w:r>
      <w:r>
        <w:rPr>
          <w:rFonts w:hint="eastAsia" w:ascii="宋体" w:hAnsi="宋体" w:cs="仿宋_GB2312"/>
          <w:b/>
          <w:color w:val="auto"/>
          <w:sz w:val="30"/>
          <w:szCs w:val="30"/>
          <w:highlight w:val="none"/>
          <w:u w:val="single"/>
          <w:lang w:eastAsia="zh-CN"/>
        </w:rPr>
        <w:t>公司</w:t>
      </w:r>
    </w:p>
    <w:p w14:paraId="68B35081">
      <w:pPr>
        <w:pStyle w:val="82"/>
        <w:rPr>
          <w:color w:val="auto"/>
          <w:highlight w:val="none"/>
        </w:rPr>
      </w:pPr>
    </w:p>
    <w:p w14:paraId="5A81F5FD">
      <w:pPr>
        <w:pStyle w:val="82"/>
        <w:ind w:left="0" w:leftChars="0" w:firstLine="0" w:firstLineChars="0"/>
        <w:rPr>
          <w:color w:val="auto"/>
          <w:highlight w:val="none"/>
        </w:rPr>
      </w:pPr>
    </w:p>
    <w:p w14:paraId="7F323A9D">
      <w:pPr>
        <w:spacing w:line="360" w:lineRule="auto"/>
        <w:rPr>
          <w:rFonts w:ascii="宋体" w:hAnsi="宋体" w:cs="仿宋_GB2312"/>
          <w:b/>
          <w:color w:val="auto"/>
          <w:sz w:val="24"/>
          <w:highlight w:val="none"/>
        </w:rPr>
      </w:pPr>
    </w:p>
    <w:p w14:paraId="6367D6EB">
      <w:pPr>
        <w:spacing w:line="480" w:lineRule="exact"/>
        <w:jc w:val="center"/>
        <w:rPr>
          <w:rFonts w:ascii="宋体" w:hAnsi="宋体" w:cs="仿宋_GB2312"/>
          <w:color w:val="auto"/>
          <w:szCs w:val="21"/>
          <w:highlight w:val="none"/>
        </w:rPr>
      </w:pPr>
      <w:r>
        <w:rPr>
          <w:rFonts w:hint="eastAsia" w:ascii="宋体" w:hAnsi="宋体" w:cs="仿宋_GB2312"/>
          <w:b/>
          <w:color w:val="auto"/>
          <w:sz w:val="30"/>
          <w:szCs w:val="30"/>
          <w:highlight w:val="none"/>
          <w:lang w:eastAsia="zh-CN"/>
        </w:rPr>
        <w:t>安庆市交通控股集团有限公司集采中心</w:t>
      </w:r>
    </w:p>
    <w:p w14:paraId="1A4841D3">
      <w:pPr>
        <w:spacing w:line="480" w:lineRule="exact"/>
        <w:jc w:val="center"/>
        <w:rPr>
          <w:rFonts w:hint="eastAsia" w:ascii="宋体" w:hAnsi="宋体" w:cs="仿宋_GB2312"/>
          <w:color w:val="auto"/>
          <w:sz w:val="32"/>
          <w:szCs w:val="32"/>
          <w:highlight w:val="none"/>
        </w:rPr>
      </w:pPr>
    </w:p>
    <w:p w14:paraId="1E140E55">
      <w:pPr>
        <w:spacing w:line="480" w:lineRule="exact"/>
        <w:jc w:val="center"/>
        <w:rPr>
          <w:rFonts w:hint="eastAsia" w:ascii="宋体" w:hAnsi="宋体" w:cs="仿宋_GB2312"/>
          <w:color w:val="auto"/>
          <w:sz w:val="32"/>
          <w:szCs w:val="32"/>
          <w:highlight w:val="none"/>
        </w:rPr>
      </w:pPr>
    </w:p>
    <w:p w14:paraId="44EA262C">
      <w:pPr>
        <w:spacing w:line="480" w:lineRule="exact"/>
        <w:jc w:val="center"/>
        <w:rPr>
          <w:rFonts w:hint="eastAsia" w:ascii="宋体" w:hAnsi="宋体" w:cs="仿宋_GB2312"/>
          <w:color w:val="auto"/>
          <w:sz w:val="32"/>
          <w:szCs w:val="32"/>
          <w:highlight w:val="none"/>
        </w:rPr>
      </w:pPr>
    </w:p>
    <w:p w14:paraId="25029AE8">
      <w:pPr>
        <w:spacing w:line="480" w:lineRule="exact"/>
        <w:jc w:val="center"/>
        <w:rPr>
          <w:rFonts w:hint="eastAsia" w:ascii="宋体" w:hAnsi="宋体" w:cs="仿宋_GB2312"/>
          <w:color w:val="auto"/>
          <w:sz w:val="32"/>
          <w:szCs w:val="32"/>
          <w:highlight w:val="none"/>
        </w:rPr>
      </w:pPr>
    </w:p>
    <w:p w14:paraId="4B14E407">
      <w:pPr>
        <w:spacing w:line="480" w:lineRule="exact"/>
        <w:jc w:val="center"/>
        <w:rPr>
          <w:color w:val="auto"/>
          <w:highlight w:val="none"/>
        </w:rPr>
      </w:pPr>
      <w:r>
        <w:rPr>
          <w:rFonts w:hint="eastAsia" w:ascii="宋体" w:hAnsi="宋体" w:cs="仿宋_GB2312"/>
          <w:color w:val="auto"/>
          <w:sz w:val="32"/>
          <w:szCs w:val="32"/>
          <w:highlight w:val="none"/>
        </w:rPr>
        <w:t>日期：二〇二</w:t>
      </w:r>
      <w:r>
        <w:rPr>
          <w:rFonts w:hint="eastAsia" w:ascii="宋体" w:hAnsi="宋体" w:cs="仿宋_GB2312"/>
          <w:color w:val="auto"/>
          <w:sz w:val="32"/>
          <w:szCs w:val="32"/>
          <w:highlight w:val="none"/>
          <w:lang w:val="en-US" w:eastAsia="zh-CN"/>
        </w:rPr>
        <w:t>六</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九</w:t>
      </w:r>
      <w:r>
        <w:rPr>
          <w:rFonts w:hint="eastAsia" w:ascii="宋体" w:hAnsi="宋体" w:cs="仿宋_GB2312"/>
          <w:color w:val="auto"/>
          <w:sz w:val="32"/>
          <w:szCs w:val="32"/>
          <w:highlight w:val="none"/>
        </w:rPr>
        <w:t>月</w:t>
      </w:r>
    </w:p>
    <w:p w14:paraId="7DCB51AF">
      <w:pPr>
        <w:spacing w:line="480" w:lineRule="auto"/>
        <w:jc w:val="center"/>
        <w:rPr>
          <w:rFonts w:ascii="宋体" w:hAnsi="宋体" w:cs="宋体"/>
          <w:b/>
          <w:color w:val="auto"/>
          <w:sz w:val="36"/>
          <w:szCs w:val="36"/>
          <w:highlight w:val="none"/>
          <w:lang w:val="zh-CN"/>
        </w:rPr>
      </w:pPr>
      <w:r>
        <w:rPr>
          <w:rFonts w:hint="eastAsia" w:ascii="宋体" w:hAnsi="宋体" w:cs="宋体"/>
          <w:b/>
          <w:color w:val="auto"/>
          <w:sz w:val="36"/>
          <w:szCs w:val="36"/>
          <w:highlight w:val="none"/>
          <w:lang w:val="zh-CN"/>
        </w:rPr>
        <w:t>目</w:t>
      </w:r>
      <w:r>
        <w:rPr>
          <w:rFonts w:hint="eastAsia" w:ascii="宋体" w:hAnsi="宋体" w:cs="宋体"/>
          <w:b/>
          <w:color w:val="auto"/>
          <w:sz w:val="36"/>
          <w:szCs w:val="36"/>
          <w:highlight w:val="none"/>
          <w:lang w:val="en-US" w:eastAsia="zh-CN"/>
        </w:rPr>
        <w:t xml:space="preserve">  </w:t>
      </w:r>
      <w:r>
        <w:rPr>
          <w:rFonts w:hint="eastAsia" w:ascii="宋体" w:hAnsi="宋体" w:cs="宋体"/>
          <w:b/>
          <w:color w:val="auto"/>
          <w:sz w:val="36"/>
          <w:szCs w:val="36"/>
          <w:highlight w:val="none"/>
          <w:lang w:val="zh-CN"/>
        </w:rPr>
        <w:t>录</w:t>
      </w:r>
    </w:p>
    <w:p w14:paraId="3D8BD52D">
      <w:pPr>
        <w:pStyle w:val="41"/>
        <w:tabs>
          <w:tab w:val="right" w:leader="dot" w:pos="9070"/>
        </w:tabs>
        <w:spacing w:line="480" w:lineRule="auto"/>
        <w:rPr>
          <w:color w:val="auto"/>
          <w:sz w:val="28"/>
          <w:szCs w:val="28"/>
          <w:highlight w:val="none"/>
        </w:rPr>
      </w:pPr>
      <w:bookmarkStart w:id="0" w:name="_Toc23467"/>
      <w:bookmarkStart w:id="1" w:name="_Toc54941328"/>
      <w:bookmarkStart w:id="2" w:name="_Toc21464"/>
      <w:bookmarkStart w:id="3" w:name="_Toc439316870"/>
      <w:r>
        <w:rPr>
          <w:color w:val="auto"/>
          <w:sz w:val="28"/>
          <w:szCs w:val="28"/>
          <w:highlight w:val="none"/>
        </w:rPr>
        <w:fldChar w:fldCharType="begin"/>
      </w:r>
      <w:r>
        <w:rPr>
          <w:color w:val="auto"/>
          <w:sz w:val="28"/>
          <w:szCs w:val="28"/>
          <w:highlight w:val="none"/>
        </w:rPr>
        <w:instrText xml:space="preserve">TOC \o "1-1" \h \u </w:instrText>
      </w:r>
      <w:r>
        <w:rPr>
          <w:color w:val="auto"/>
          <w:sz w:val="28"/>
          <w:szCs w:val="28"/>
          <w:highlight w:val="none"/>
        </w:rPr>
        <w:fldChar w:fldCharType="separate"/>
      </w:r>
      <w:r>
        <w:rPr>
          <w:color w:val="auto"/>
          <w:highlight w:val="none"/>
        </w:rPr>
        <w:fldChar w:fldCharType="begin"/>
      </w:r>
      <w:r>
        <w:rPr>
          <w:color w:val="auto"/>
          <w:highlight w:val="none"/>
        </w:rPr>
        <w:instrText xml:space="preserve"> HYPERLINK \l "_Toc170" </w:instrText>
      </w:r>
      <w:r>
        <w:rPr>
          <w:color w:val="auto"/>
          <w:highlight w:val="none"/>
        </w:rPr>
        <w:fldChar w:fldCharType="separate"/>
      </w:r>
      <w:r>
        <w:rPr>
          <w:rFonts w:hint="eastAsia"/>
          <w:bCs/>
          <w:iCs/>
          <w:color w:val="auto"/>
          <w:sz w:val="28"/>
          <w:szCs w:val="28"/>
          <w:highlight w:val="none"/>
        </w:rPr>
        <w:t>第一章 比选公告</w:t>
      </w:r>
      <w:r>
        <w:rPr>
          <w:color w:val="auto"/>
          <w:sz w:val="28"/>
          <w:szCs w:val="28"/>
          <w:highlight w:val="none"/>
        </w:rPr>
        <w:tab/>
      </w:r>
      <w:r>
        <w:rPr>
          <w:rFonts w:hint="eastAsia"/>
          <w:color w:val="auto"/>
          <w:sz w:val="28"/>
          <w:szCs w:val="28"/>
          <w:highlight w:val="none"/>
        </w:rPr>
        <w:fldChar w:fldCharType="end"/>
      </w:r>
      <w:r>
        <w:rPr>
          <w:rFonts w:hint="eastAsia"/>
          <w:color w:val="auto"/>
          <w:sz w:val="28"/>
          <w:szCs w:val="28"/>
          <w:highlight w:val="none"/>
        </w:rPr>
        <w:t>1</w:t>
      </w:r>
    </w:p>
    <w:p w14:paraId="51698EBE">
      <w:pPr>
        <w:pStyle w:val="41"/>
        <w:tabs>
          <w:tab w:val="right" w:leader="dot" w:pos="9070"/>
        </w:tabs>
        <w:spacing w:line="480" w:lineRule="auto"/>
        <w:rPr>
          <w:color w:val="auto"/>
          <w:sz w:val="28"/>
          <w:szCs w:val="28"/>
          <w:highlight w:val="none"/>
        </w:rPr>
      </w:pPr>
      <w:r>
        <w:rPr>
          <w:color w:val="auto"/>
          <w:highlight w:val="none"/>
        </w:rPr>
        <w:fldChar w:fldCharType="begin"/>
      </w:r>
      <w:r>
        <w:rPr>
          <w:color w:val="auto"/>
          <w:highlight w:val="none"/>
        </w:rPr>
        <w:instrText xml:space="preserve"> HYPERLINK \l "_Toc11223" </w:instrText>
      </w:r>
      <w:r>
        <w:rPr>
          <w:color w:val="auto"/>
          <w:highlight w:val="none"/>
        </w:rPr>
        <w:fldChar w:fldCharType="separate"/>
      </w:r>
      <w:r>
        <w:rPr>
          <w:rFonts w:hint="eastAsia" w:ascii="Arial" w:hAnsi="Arial"/>
          <w:color w:val="auto"/>
          <w:sz w:val="28"/>
          <w:szCs w:val="28"/>
          <w:highlight w:val="none"/>
        </w:rPr>
        <w:t>第二章 比选须知</w:t>
      </w:r>
      <w:r>
        <w:rPr>
          <w:color w:val="auto"/>
          <w:sz w:val="28"/>
          <w:szCs w:val="28"/>
          <w:highlight w:val="none"/>
        </w:rPr>
        <w:tab/>
      </w:r>
      <w:r>
        <w:rPr>
          <w:rFonts w:hint="eastAsia"/>
          <w:color w:val="auto"/>
          <w:sz w:val="28"/>
          <w:szCs w:val="28"/>
          <w:highlight w:val="none"/>
          <w:lang w:val="en-US" w:eastAsia="zh-CN"/>
        </w:rPr>
        <w:t>8</w:t>
      </w:r>
      <w:r>
        <w:rPr>
          <w:color w:val="auto"/>
          <w:sz w:val="28"/>
          <w:szCs w:val="28"/>
          <w:highlight w:val="none"/>
        </w:rPr>
        <w:fldChar w:fldCharType="end"/>
      </w:r>
    </w:p>
    <w:p w14:paraId="35922FCE">
      <w:pPr>
        <w:pStyle w:val="41"/>
        <w:tabs>
          <w:tab w:val="right" w:leader="dot" w:pos="9070"/>
        </w:tabs>
        <w:spacing w:line="480" w:lineRule="auto"/>
        <w:rPr>
          <w:rFonts w:hint="eastAsia" w:eastAsia="宋体"/>
          <w:color w:val="auto"/>
          <w:sz w:val="28"/>
          <w:szCs w:val="28"/>
          <w:highlight w:val="none"/>
          <w:lang w:val="en-US" w:eastAsia="zh-CN"/>
        </w:rPr>
      </w:pPr>
      <w:r>
        <w:rPr>
          <w:color w:val="auto"/>
          <w:highlight w:val="none"/>
        </w:rPr>
        <w:fldChar w:fldCharType="begin"/>
      </w:r>
      <w:r>
        <w:rPr>
          <w:color w:val="auto"/>
          <w:highlight w:val="none"/>
        </w:rPr>
        <w:instrText xml:space="preserve"> HYPERLINK \l "_Toc260" </w:instrText>
      </w:r>
      <w:r>
        <w:rPr>
          <w:color w:val="auto"/>
          <w:highlight w:val="none"/>
        </w:rPr>
        <w:fldChar w:fldCharType="separate"/>
      </w:r>
      <w:r>
        <w:rPr>
          <w:rFonts w:hint="eastAsia" w:ascii="Arial" w:hAnsi="Arial"/>
          <w:color w:val="auto"/>
          <w:sz w:val="28"/>
          <w:szCs w:val="28"/>
          <w:highlight w:val="none"/>
        </w:rPr>
        <w:t xml:space="preserve">第三章 </w:t>
      </w:r>
      <w:r>
        <w:rPr>
          <w:rFonts w:hint="eastAsia" w:ascii="Arial" w:hAnsi="Arial"/>
          <w:color w:val="auto"/>
          <w:sz w:val="28"/>
          <w:szCs w:val="28"/>
          <w:highlight w:val="none"/>
          <w:lang w:eastAsia="zh-CN"/>
        </w:rPr>
        <w:t>项目需求及技术要求</w:t>
      </w:r>
      <w:r>
        <w:rPr>
          <w:color w:val="auto"/>
          <w:sz w:val="28"/>
          <w:szCs w:val="28"/>
          <w:highlight w:val="none"/>
        </w:rPr>
        <w:tab/>
      </w:r>
      <w:r>
        <w:rPr>
          <w:rFonts w:hint="eastAsia"/>
          <w:color w:val="auto"/>
          <w:sz w:val="28"/>
          <w:szCs w:val="28"/>
          <w:highlight w:val="none"/>
        </w:rPr>
        <w:t>1</w:t>
      </w:r>
      <w:r>
        <w:rPr>
          <w:rFonts w:hint="eastAsia"/>
          <w:color w:val="auto"/>
          <w:sz w:val="28"/>
          <w:szCs w:val="28"/>
          <w:highlight w:val="none"/>
        </w:rPr>
        <w:fldChar w:fldCharType="end"/>
      </w:r>
      <w:r>
        <w:rPr>
          <w:rFonts w:hint="eastAsia"/>
          <w:color w:val="auto"/>
          <w:sz w:val="28"/>
          <w:szCs w:val="28"/>
          <w:highlight w:val="none"/>
          <w:lang w:val="en-US" w:eastAsia="zh-CN"/>
        </w:rPr>
        <w:t>8</w:t>
      </w:r>
    </w:p>
    <w:p w14:paraId="03F48B5D">
      <w:pPr>
        <w:pStyle w:val="41"/>
        <w:tabs>
          <w:tab w:val="right" w:leader="dot" w:pos="9070"/>
        </w:tabs>
        <w:spacing w:line="480" w:lineRule="auto"/>
        <w:rPr>
          <w:rFonts w:hint="eastAsia" w:eastAsia="宋体"/>
          <w:color w:val="auto"/>
          <w:highlight w:val="none"/>
          <w:lang w:val="en-US" w:eastAsia="zh-CN"/>
        </w:rPr>
      </w:pPr>
      <w:r>
        <w:rPr>
          <w:color w:val="auto"/>
          <w:highlight w:val="none"/>
        </w:rPr>
        <w:fldChar w:fldCharType="begin"/>
      </w:r>
      <w:r>
        <w:rPr>
          <w:color w:val="auto"/>
          <w:highlight w:val="none"/>
        </w:rPr>
        <w:instrText xml:space="preserve"> HYPERLINK \l "_Toc260" </w:instrText>
      </w:r>
      <w:r>
        <w:rPr>
          <w:color w:val="auto"/>
          <w:highlight w:val="none"/>
        </w:rPr>
        <w:fldChar w:fldCharType="separate"/>
      </w:r>
      <w:r>
        <w:rPr>
          <w:rFonts w:hint="eastAsia" w:ascii="Arial" w:hAnsi="Arial"/>
          <w:color w:val="auto"/>
          <w:sz w:val="28"/>
          <w:szCs w:val="28"/>
          <w:highlight w:val="none"/>
        </w:rPr>
        <w:t>第四章 合同主要条款</w:t>
      </w:r>
      <w:r>
        <w:rPr>
          <w:color w:val="auto"/>
          <w:sz w:val="28"/>
          <w:szCs w:val="28"/>
          <w:highlight w:val="none"/>
        </w:rPr>
        <w:tab/>
      </w:r>
      <w:r>
        <w:rPr>
          <w:rFonts w:hint="eastAsia"/>
          <w:color w:val="auto"/>
          <w:sz w:val="28"/>
          <w:szCs w:val="28"/>
          <w:highlight w:val="none"/>
          <w:lang w:val="en-US" w:eastAsia="zh-CN"/>
        </w:rPr>
        <w:t>2</w:t>
      </w:r>
      <w:r>
        <w:rPr>
          <w:rFonts w:hint="eastAsia"/>
          <w:color w:val="auto"/>
          <w:sz w:val="28"/>
          <w:szCs w:val="28"/>
          <w:highlight w:val="none"/>
        </w:rPr>
        <w:fldChar w:fldCharType="end"/>
      </w:r>
      <w:r>
        <w:rPr>
          <w:rFonts w:hint="eastAsia"/>
          <w:color w:val="auto"/>
          <w:sz w:val="28"/>
          <w:szCs w:val="28"/>
          <w:highlight w:val="none"/>
          <w:lang w:val="en-US" w:eastAsia="zh-CN"/>
        </w:rPr>
        <w:t>1</w:t>
      </w:r>
    </w:p>
    <w:p w14:paraId="14846035">
      <w:pPr>
        <w:pStyle w:val="41"/>
        <w:tabs>
          <w:tab w:val="right" w:leader="dot" w:pos="9070"/>
        </w:tabs>
        <w:spacing w:line="480" w:lineRule="auto"/>
        <w:rPr>
          <w:color w:val="auto"/>
          <w:sz w:val="28"/>
          <w:szCs w:val="28"/>
          <w:highlight w:val="none"/>
        </w:rPr>
      </w:pPr>
      <w:r>
        <w:rPr>
          <w:color w:val="auto"/>
          <w:highlight w:val="none"/>
        </w:rPr>
        <w:fldChar w:fldCharType="begin"/>
      </w:r>
      <w:r>
        <w:rPr>
          <w:color w:val="auto"/>
          <w:highlight w:val="none"/>
        </w:rPr>
        <w:instrText xml:space="preserve"> HYPERLINK \l "_Toc25399" </w:instrText>
      </w:r>
      <w:r>
        <w:rPr>
          <w:color w:val="auto"/>
          <w:highlight w:val="none"/>
        </w:rPr>
        <w:fldChar w:fldCharType="separate"/>
      </w:r>
      <w:r>
        <w:rPr>
          <w:rFonts w:hint="eastAsia" w:ascii="Arial" w:hAnsi="Arial"/>
          <w:color w:val="auto"/>
          <w:sz w:val="28"/>
          <w:szCs w:val="28"/>
          <w:highlight w:val="none"/>
          <w:lang w:val="zh-CN"/>
        </w:rPr>
        <w:t>第</w:t>
      </w:r>
      <w:r>
        <w:rPr>
          <w:rFonts w:hint="eastAsia" w:ascii="Arial" w:hAnsi="Arial"/>
          <w:color w:val="auto"/>
          <w:sz w:val="28"/>
          <w:szCs w:val="28"/>
          <w:highlight w:val="none"/>
        </w:rPr>
        <w:t>五</w:t>
      </w:r>
      <w:r>
        <w:rPr>
          <w:rFonts w:hint="eastAsia" w:ascii="Arial" w:hAnsi="Arial"/>
          <w:color w:val="auto"/>
          <w:sz w:val="28"/>
          <w:szCs w:val="28"/>
          <w:highlight w:val="none"/>
          <w:lang w:val="zh-CN"/>
        </w:rPr>
        <w:t>章</w:t>
      </w:r>
      <w:r>
        <w:rPr>
          <w:rFonts w:hint="eastAsia" w:ascii="Arial" w:hAnsi="Arial"/>
          <w:color w:val="auto"/>
          <w:sz w:val="28"/>
          <w:szCs w:val="28"/>
          <w:highlight w:val="none"/>
        </w:rPr>
        <w:t xml:space="preserve"> 参选文件格式</w:t>
      </w:r>
      <w:r>
        <w:rPr>
          <w:color w:val="auto"/>
          <w:sz w:val="28"/>
          <w:szCs w:val="28"/>
          <w:highlight w:val="none"/>
        </w:rPr>
        <w:tab/>
      </w:r>
      <w:r>
        <w:rPr>
          <w:rFonts w:hint="eastAsia"/>
          <w:color w:val="auto"/>
          <w:sz w:val="28"/>
          <w:szCs w:val="28"/>
          <w:highlight w:val="none"/>
          <w:lang w:val="en-US" w:eastAsia="zh-CN"/>
        </w:rPr>
        <w:t>4</w:t>
      </w:r>
      <w:r>
        <w:rPr>
          <w:rFonts w:hint="eastAsia"/>
          <w:color w:val="auto"/>
          <w:sz w:val="28"/>
          <w:szCs w:val="28"/>
          <w:highlight w:val="none"/>
        </w:rPr>
        <w:fldChar w:fldCharType="end"/>
      </w:r>
      <w:r>
        <w:rPr>
          <w:rFonts w:hint="eastAsia"/>
          <w:color w:val="auto"/>
          <w:sz w:val="28"/>
          <w:szCs w:val="28"/>
          <w:highlight w:val="none"/>
          <w:lang w:val="en-US" w:eastAsia="zh-CN"/>
        </w:rPr>
        <w:t>0</w:t>
      </w:r>
      <w:r>
        <w:rPr>
          <w:color w:val="auto"/>
          <w:sz w:val="28"/>
          <w:szCs w:val="28"/>
          <w:highlight w:val="none"/>
        </w:rPr>
        <w:fldChar w:fldCharType="end"/>
      </w:r>
      <w:bookmarkEnd w:id="0"/>
      <w:bookmarkEnd w:id="1"/>
      <w:bookmarkEnd w:id="2"/>
    </w:p>
    <w:p w14:paraId="35C5842F">
      <w:pPr>
        <w:rPr>
          <w:rFonts w:ascii="Arial" w:hAnsi="Arial" w:eastAsia="黑体"/>
          <w:b/>
          <w:i w:val="0"/>
          <w:color w:val="auto"/>
          <w:sz w:val="32"/>
          <w:szCs w:val="32"/>
          <w:highlight w:val="none"/>
        </w:rPr>
      </w:pPr>
      <w:r>
        <w:rPr>
          <w:rFonts w:hint="eastAsia" w:ascii="Arial" w:hAnsi="Arial" w:eastAsia="黑体"/>
          <w:b/>
          <w:i w:val="0"/>
          <w:color w:val="auto"/>
          <w:sz w:val="32"/>
          <w:szCs w:val="32"/>
          <w:highlight w:val="none"/>
          <w:lang w:eastAsia="zh-CN"/>
        </w:rPr>
        <w:br w:type="page"/>
      </w:r>
    </w:p>
    <w:p w14:paraId="77D98324">
      <w:pPr>
        <w:pStyle w:val="41"/>
        <w:numPr>
          <w:ilvl w:val="0"/>
          <w:numId w:val="6"/>
        </w:numPr>
        <w:tabs>
          <w:tab w:val="right" w:leader="dot" w:pos="9070"/>
        </w:tabs>
        <w:spacing w:line="480" w:lineRule="auto"/>
        <w:jc w:val="center"/>
        <w:rPr>
          <w:rFonts w:ascii="Arial" w:hAnsi="Arial" w:eastAsia="黑体"/>
          <w:b/>
          <w:i w:val="0"/>
          <w:color w:val="auto"/>
          <w:sz w:val="32"/>
          <w:szCs w:val="32"/>
          <w:highlight w:val="none"/>
        </w:rPr>
      </w:pPr>
      <w:r>
        <w:rPr>
          <w:rFonts w:hint="eastAsia" w:ascii="Arial" w:hAnsi="Arial" w:eastAsia="黑体"/>
          <w:b/>
          <w:i w:val="0"/>
          <w:color w:val="auto"/>
          <w:sz w:val="32"/>
          <w:szCs w:val="32"/>
          <w:highlight w:val="none"/>
          <w:lang w:val="en-US" w:eastAsia="zh-CN"/>
        </w:rPr>
        <w:t>安庆中安公司诉上海星徽汽车贸易有限公司</w:t>
      </w:r>
      <w:r>
        <w:rPr>
          <w:rFonts w:hint="eastAsia" w:ascii="Arial" w:hAnsi="Arial" w:eastAsia="黑体"/>
          <w:b/>
          <w:i w:val="0"/>
          <w:color w:val="auto"/>
          <w:sz w:val="32"/>
          <w:szCs w:val="32"/>
          <w:highlight w:val="none"/>
          <w:lang w:eastAsia="zh-CN"/>
        </w:rPr>
        <w:t>诉讼代理服务（重新招标）</w:t>
      </w:r>
      <w:r>
        <w:rPr>
          <w:rFonts w:hint="eastAsia" w:ascii="Arial" w:hAnsi="Arial" w:eastAsia="黑体"/>
          <w:b/>
          <w:i w:val="0"/>
          <w:color w:val="auto"/>
          <w:sz w:val="30"/>
          <w:szCs w:val="30"/>
          <w:highlight w:val="none"/>
        </w:rPr>
        <w:t>比选公告</w:t>
      </w:r>
    </w:p>
    <w:p w14:paraId="75BCEECC">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00" w:firstLineChars="200"/>
        <w:jc w:val="both"/>
        <w:textAlignment w:val="auto"/>
        <w:rPr>
          <w:rFonts w:hint="eastAsia" w:ascii="仿宋" w:hAnsi="仿宋" w:eastAsia="仿宋" w:cs="仿宋"/>
          <w:b/>
          <w:bCs/>
          <w:color w:val="auto"/>
          <w:sz w:val="32"/>
          <w:szCs w:val="32"/>
          <w:highlight w:val="none"/>
        </w:rPr>
      </w:pPr>
      <w:bookmarkStart w:id="4" w:name="_Toc35393798"/>
      <w:bookmarkStart w:id="5" w:name="_Toc28359012"/>
      <w:bookmarkStart w:id="6" w:name="_Toc35393629"/>
      <w:bookmarkStart w:id="7" w:name="_Toc28359089"/>
      <w:r>
        <w:rPr>
          <w:rFonts w:hint="eastAsia" w:ascii="仿宋" w:hAnsi="仿宋" w:eastAsia="仿宋" w:cs="仿宋"/>
          <w:color w:val="auto"/>
          <w:sz w:val="30"/>
          <w:szCs w:val="30"/>
          <w:highlight w:val="none"/>
          <w:lang w:eastAsia="zh-CN"/>
        </w:rPr>
        <w:t>安庆市交通控股集团有限公司集采中心受</w:t>
      </w:r>
      <w:r>
        <w:rPr>
          <w:rFonts w:hint="eastAsia" w:ascii="仿宋" w:hAnsi="仿宋" w:eastAsia="仿宋" w:cs="仿宋"/>
          <w:color w:val="auto"/>
          <w:sz w:val="30"/>
          <w:szCs w:val="30"/>
          <w:highlight w:val="none"/>
          <w:lang w:val="en-US" w:eastAsia="zh-CN"/>
        </w:rPr>
        <w:t>安庆中安供应链管理有限责任公司</w:t>
      </w:r>
      <w:r>
        <w:rPr>
          <w:rFonts w:hint="eastAsia" w:ascii="仿宋" w:hAnsi="仿宋" w:eastAsia="仿宋" w:cs="仿宋"/>
          <w:color w:val="auto"/>
          <w:sz w:val="30"/>
          <w:szCs w:val="30"/>
          <w:highlight w:val="none"/>
          <w:lang w:eastAsia="zh-CN"/>
        </w:rPr>
        <w:t>委托，现对安</w:t>
      </w:r>
      <w:r>
        <w:rPr>
          <w:rFonts w:hint="eastAsia" w:ascii="仿宋" w:hAnsi="仿宋" w:eastAsia="仿宋" w:cs="仿宋"/>
          <w:color w:val="auto"/>
          <w:sz w:val="30"/>
          <w:szCs w:val="30"/>
          <w:highlight w:val="none"/>
          <w:lang w:val="en-US" w:eastAsia="zh-CN"/>
        </w:rPr>
        <w:t>庆中安公司诉</w:t>
      </w:r>
      <w:r>
        <w:rPr>
          <w:rFonts w:hint="eastAsia" w:ascii="仿宋" w:hAnsi="仿宋" w:eastAsia="仿宋" w:cs="仿宋"/>
          <w:color w:val="auto"/>
          <w:sz w:val="30"/>
          <w:szCs w:val="30"/>
          <w:highlight w:val="none"/>
          <w:u w:val="single"/>
          <w:lang w:val="en-US" w:eastAsia="zh-CN"/>
        </w:rPr>
        <w:t>上海星徽汽车贸易有限公司合同纠纷案件</w:t>
      </w:r>
      <w:r>
        <w:rPr>
          <w:rFonts w:hint="eastAsia" w:ascii="仿宋" w:hAnsi="仿宋" w:eastAsia="仿宋" w:cs="仿宋"/>
          <w:color w:val="auto"/>
          <w:sz w:val="30"/>
          <w:szCs w:val="30"/>
          <w:highlight w:val="none"/>
          <w:u w:val="single"/>
          <w:lang w:eastAsia="zh-CN"/>
        </w:rPr>
        <w:t>诉讼</w:t>
      </w:r>
      <w:r>
        <w:rPr>
          <w:rFonts w:hint="eastAsia" w:ascii="仿宋" w:hAnsi="仿宋" w:eastAsia="仿宋" w:cs="仿宋"/>
          <w:color w:val="auto"/>
          <w:sz w:val="30"/>
          <w:szCs w:val="30"/>
          <w:highlight w:val="none"/>
          <w:u w:val="single"/>
          <w:lang w:val="en-US" w:eastAsia="zh-CN"/>
        </w:rPr>
        <w:t>代理服务</w:t>
      </w:r>
      <w:r>
        <w:rPr>
          <w:rFonts w:hint="eastAsia" w:ascii="仿宋" w:hAnsi="仿宋" w:eastAsia="仿宋" w:cs="仿宋"/>
          <w:color w:val="auto"/>
          <w:sz w:val="30"/>
          <w:szCs w:val="30"/>
          <w:highlight w:val="none"/>
          <w:u w:val="single"/>
          <w:lang w:eastAsia="zh-CN"/>
        </w:rPr>
        <w:t>（</w:t>
      </w:r>
      <w:r>
        <w:rPr>
          <w:rFonts w:hint="eastAsia" w:ascii="仿宋" w:hAnsi="仿宋" w:eastAsia="仿宋" w:cs="仿宋"/>
          <w:color w:val="auto"/>
          <w:sz w:val="30"/>
          <w:szCs w:val="30"/>
          <w:highlight w:val="none"/>
          <w:u w:val="single"/>
          <w:lang w:val="en-US" w:eastAsia="zh-CN"/>
        </w:rPr>
        <w:t>重新招标）</w:t>
      </w:r>
      <w:r>
        <w:rPr>
          <w:rFonts w:hint="eastAsia" w:ascii="仿宋" w:hAnsi="仿宋" w:eastAsia="仿宋" w:cs="仿宋"/>
          <w:color w:val="auto"/>
          <w:sz w:val="30"/>
          <w:szCs w:val="30"/>
          <w:highlight w:val="none"/>
        </w:rPr>
        <w:t>（项目编号：</w:t>
      </w:r>
      <w:r>
        <w:rPr>
          <w:rFonts w:hint="eastAsia" w:ascii="仿宋" w:hAnsi="仿宋" w:eastAsia="仿宋" w:cs="仿宋"/>
          <w:color w:val="auto"/>
          <w:sz w:val="30"/>
          <w:szCs w:val="30"/>
          <w:highlight w:val="none"/>
          <w:lang w:eastAsia="zh-CN"/>
        </w:rPr>
        <w:t>AQJK-CG-2026-097</w:t>
      </w:r>
      <w:r>
        <w:rPr>
          <w:rFonts w:hint="eastAsia" w:ascii="仿宋" w:hAnsi="仿宋" w:eastAsia="仿宋" w:cs="仿宋"/>
          <w:color w:val="auto"/>
          <w:sz w:val="30"/>
          <w:szCs w:val="30"/>
          <w:highlight w:val="none"/>
        </w:rPr>
        <w:t>）进行比选。</w:t>
      </w:r>
    </w:p>
    <w:p w14:paraId="077FE8F8">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43" w:firstLineChars="200"/>
        <w:jc w:val="both"/>
        <w:textAlignment w:val="auto"/>
        <w:rPr>
          <w:rFonts w:hint="eastAsia" w:ascii="仿宋" w:hAnsi="仿宋" w:eastAsia="仿宋" w:cs="仿宋"/>
          <w:b/>
          <w:bCs w:val="0"/>
          <w:color w:val="auto"/>
          <w:sz w:val="32"/>
          <w:szCs w:val="32"/>
          <w:highlight w:val="none"/>
        </w:rPr>
      </w:pPr>
      <w:r>
        <w:rPr>
          <w:rFonts w:hint="eastAsia" w:ascii="仿宋" w:hAnsi="仿宋" w:eastAsia="仿宋" w:cs="仿宋"/>
          <w:b/>
          <w:bCs w:val="0"/>
          <w:color w:val="auto"/>
          <w:sz w:val="32"/>
          <w:szCs w:val="32"/>
          <w:highlight w:val="none"/>
        </w:rPr>
        <w:t>一、项目基本情况：</w:t>
      </w:r>
    </w:p>
    <w:p w14:paraId="4541B70A">
      <w:pPr>
        <w:keepNext w:val="0"/>
        <w:keepLines w:val="0"/>
        <w:pageBreakBefore w:val="0"/>
        <w:widowControl w:val="0"/>
        <w:numPr>
          <w:ilvl w:val="0"/>
          <w:numId w:val="7"/>
        </w:numPr>
        <w:kinsoku/>
        <w:wordWrap/>
        <w:overflowPunct/>
        <w:topLinePunct w:val="0"/>
        <w:autoSpaceDE/>
        <w:autoSpaceDN/>
        <w:bidi w:val="0"/>
        <w:adjustRightInd w:val="0"/>
        <w:snapToGrid w:val="0"/>
        <w:spacing w:line="580" w:lineRule="exact"/>
        <w:ind w:left="0" w:leftChars="0" w:firstLine="600" w:firstLineChars="200"/>
        <w:jc w:val="both"/>
        <w:textAlignment w:val="auto"/>
        <w:rPr>
          <w:rFonts w:hint="eastAsia" w:ascii="仿宋" w:hAnsi="仿宋" w:eastAsia="仿宋" w:cs="仿宋"/>
          <w:color w:val="auto"/>
          <w:sz w:val="30"/>
          <w:szCs w:val="30"/>
          <w:highlight w:val="none"/>
          <w:u w:val="none"/>
          <w:lang w:eastAsia="zh-CN"/>
        </w:rPr>
      </w:pPr>
      <w:r>
        <w:rPr>
          <w:rFonts w:hint="eastAsia" w:ascii="仿宋" w:hAnsi="仿宋" w:eastAsia="仿宋" w:cs="仿宋"/>
          <w:color w:val="auto"/>
          <w:sz w:val="30"/>
          <w:szCs w:val="30"/>
          <w:highlight w:val="none"/>
          <w:u w:val="none"/>
        </w:rPr>
        <w:t>项目名称：</w:t>
      </w:r>
      <w:r>
        <w:rPr>
          <w:rFonts w:hint="eastAsia" w:ascii="仿宋" w:hAnsi="仿宋" w:eastAsia="仿宋" w:cs="仿宋"/>
          <w:color w:val="auto"/>
          <w:sz w:val="30"/>
          <w:szCs w:val="30"/>
          <w:highlight w:val="none"/>
          <w:u w:val="none"/>
          <w:lang w:val="en-US" w:eastAsia="zh-CN"/>
        </w:rPr>
        <w:t>上海星徽汽车贸易有限公司合同纠纷案件</w:t>
      </w:r>
      <w:r>
        <w:rPr>
          <w:rFonts w:hint="eastAsia" w:ascii="仿宋" w:hAnsi="仿宋" w:eastAsia="仿宋" w:cs="仿宋"/>
          <w:color w:val="auto"/>
          <w:sz w:val="30"/>
          <w:szCs w:val="30"/>
          <w:highlight w:val="none"/>
          <w:u w:val="none"/>
          <w:lang w:eastAsia="zh-CN"/>
        </w:rPr>
        <w:t>诉讼代理服务（重新招标）。</w:t>
      </w:r>
      <w:r>
        <w:rPr>
          <w:rFonts w:hint="eastAsia" w:ascii="仿宋" w:hAnsi="仿宋" w:eastAsia="仿宋" w:cs="仿宋"/>
          <w:color w:val="auto"/>
          <w:sz w:val="30"/>
          <w:szCs w:val="30"/>
          <w:highlight w:val="none"/>
          <w:u w:val="none"/>
          <w:lang w:val="en-US" w:eastAsia="zh-CN"/>
        </w:rPr>
        <w:t>根据</w:t>
      </w:r>
      <w:r>
        <w:rPr>
          <w:rFonts w:hint="eastAsia" w:ascii="仿宋" w:hAnsi="仿宋" w:eastAsia="仿宋" w:cs="仿宋"/>
          <w:color w:val="auto"/>
          <w:sz w:val="30"/>
          <w:szCs w:val="30"/>
          <w:highlight w:val="none"/>
          <w:u w:val="none"/>
          <w:lang w:eastAsia="zh-CN"/>
        </w:rPr>
        <w:t>安庆市交通控股集团有限公司法律顾问咨询服务商采购项目比选</w:t>
      </w:r>
      <w:r>
        <w:rPr>
          <w:rFonts w:hint="eastAsia" w:ascii="仿宋" w:hAnsi="仿宋" w:eastAsia="仿宋" w:cs="仿宋"/>
          <w:color w:val="auto"/>
          <w:sz w:val="30"/>
          <w:szCs w:val="30"/>
          <w:highlight w:val="none"/>
          <w:u w:val="none"/>
          <w:lang w:val="en-US" w:eastAsia="zh-CN"/>
        </w:rPr>
        <w:t>文件约定，成交人服务期内，涉诉争议标的额1000万元以上的案件，由采购人组织入选的5家供应商比选报价，根据比价结果另行签订合同。</w:t>
      </w:r>
    </w:p>
    <w:p w14:paraId="1D1A71CA">
      <w:pPr>
        <w:keepNext w:val="0"/>
        <w:keepLines w:val="0"/>
        <w:pageBreakBefore w:val="0"/>
        <w:widowControl w:val="0"/>
        <w:numPr>
          <w:ilvl w:val="0"/>
          <w:numId w:val="7"/>
        </w:numPr>
        <w:kinsoku/>
        <w:wordWrap/>
        <w:overflowPunct/>
        <w:topLinePunct w:val="0"/>
        <w:autoSpaceDE/>
        <w:autoSpaceDN/>
        <w:bidi w:val="0"/>
        <w:adjustRightInd w:val="0"/>
        <w:snapToGrid w:val="0"/>
        <w:spacing w:line="580" w:lineRule="exact"/>
        <w:ind w:left="0" w:leftChars="0" w:firstLine="600" w:firstLineChars="200"/>
        <w:jc w:val="both"/>
        <w:textAlignment w:val="auto"/>
        <w:rPr>
          <w:rFonts w:hint="default" w:ascii="仿宋" w:hAnsi="仿宋" w:eastAsia="仿宋" w:cs="仿宋"/>
          <w:color w:val="auto"/>
          <w:sz w:val="30"/>
          <w:szCs w:val="30"/>
          <w:highlight w:val="none"/>
          <w:u w:val="none"/>
          <w:lang w:val="en-US" w:eastAsia="zh-CN"/>
        </w:rPr>
      </w:pPr>
      <w:r>
        <w:rPr>
          <w:rFonts w:hint="eastAsia" w:ascii="仿宋" w:hAnsi="仿宋" w:eastAsia="仿宋" w:cs="仿宋"/>
          <w:color w:val="auto"/>
          <w:sz w:val="30"/>
          <w:szCs w:val="30"/>
          <w:highlight w:val="none"/>
          <w:u w:val="none"/>
          <w:lang w:val="en-US" w:eastAsia="zh-CN"/>
        </w:rPr>
        <w:t>案件概况</w:t>
      </w:r>
      <w:r>
        <w:rPr>
          <w:rFonts w:hint="eastAsia" w:ascii="仿宋" w:hAnsi="仿宋" w:eastAsia="仿宋" w:cs="仿宋"/>
          <w:color w:val="auto"/>
          <w:sz w:val="30"/>
          <w:szCs w:val="30"/>
          <w:highlight w:val="none"/>
          <w:u w:val="none"/>
          <w:lang w:eastAsia="zh-CN"/>
        </w:rPr>
        <w:t>：</w:t>
      </w:r>
    </w:p>
    <w:p w14:paraId="4EF86BFF">
      <w:pPr>
        <w:keepNext w:val="0"/>
        <w:keepLines w:val="0"/>
        <w:pageBreakBefore w:val="0"/>
        <w:widowControl w:val="0"/>
        <w:numPr>
          <w:ilvl w:val="0"/>
          <w:numId w:val="8"/>
        </w:numPr>
        <w:kinsoku/>
        <w:wordWrap/>
        <w:overflowPunct/>
        <w:topLinePunct w:val="0"/>
        <w:autoSpaceDE/>
        <w:autoSpaceDN/>
        <w:bidi w:val="0"/>
        <w:adjustRightInd w:val="0"/>
        <w:snapToGrid w:val="0"/>
        <w:spacing w:line="580" w:lineRule="exact"/>
        <w:ind w:left="0" w:leftChars="0" w:firstLine="600" w:firstLineChars="200"/>
        <w:jc w:val="both"/>
        <w:textAlignment w:val="auto"/>
        <w:rPr>
          <w:rFonts w:hint="default" w:ascii="仿宋" w:hAnsi="仿宋" w:eastAsia="仿宋" w:cs="仿宋"/>
          <w:color w:val="auto"/>
          <w:sz w:val="30"/>
          <w:szCs w:val="30"/>
          <w:highlight w:val="none"/>
          <w:u w:val="none"/>
          <w:lang w:val="en-US" w:eastAsia="zh-CN"/>
        </w:rPr>
      </w:pPr>
      <w:r>
        <w:rPr>
          <w:rFonts w:hint="eastAsia" w:ascii="仿宋" w:hAnsi="仿宋" w:eastAsia="仿宋" w:cs="仿宋"/>
          <w:color w:val="auto"/>
          <w:sz w:val="30"/>
          <w:szCs w:val="30"/>
          <w:highlight w:val="none"/>
          <w:u w:val="none"/>
          <w:lang w:val="en-US" w:eastAsia="zh-CN"/>
        </w:rPr>
        <w:t>原告：安庆中安供应链管理有限责任公司；</w:t>
      </w:r>
    </w:p>
    <w:p w14:paraId="129120D7">
      <w:pPr>
        <w:keepNext w:val="0"/>
        <w:keepLines w:val="0"/>
        <w:pageBreakBefore w:val="0"/>
        <w:widowControl w:val="0"/>
        <w:numPr>
          <w:ilvl w:val="0"/>
          <w:numId w:val="8"/>
        </w:numPr>
        <w:kinsoku/>
        <w:wordWrap/>
        <w:overflowPunct/>
        <w:topLinePunct w:val="0"/>
        <w:autoSpaceDE/>
        <w:autoSpaceDN/>
        <w:bidi w:val="0"/>
        <w:adjustRightInd w:val="0"/>
        <w:snapToGrid w:val="0"/>
        <w:spacing w:line="580" w:lineRule="exact"/>
        <w:ind w:left="0" w:leftChars="0" w:firstLine="600" w:firstLineChars="200"/>
        <w:jc w:val="both"/>
        <w:textAlignment w:val="auto"/>
        <w:rPr>
          <w:rFonts w:hint="default" w:ascii="仿宋" w:hAnsi="仿宋" w:eastAsia="仿宋" w:cs="仿宋"/>
          <w:color w:val="auto"/>
          <w:sz w:val="30"/>
          <w:szCs w:val="30"/>
          <w:highlight w:val="none"/>
          <w:u w:val="none"/>
          <w:lang w:val="en-US" w:eastAsia="zh-CN"/>
        </w:rPr>
      </w:pPr>
      <w:r>
        <w:rPr>
          <w:rFonts w:hint="eastAsia" w:ascii="仿宋" w:hAnsi="仿宋" w:eastAsia="仿宋" w:cs="仿宋"/>
          <w:color w:val="auto"/>
          <w:sz w:val="30"/>
          <w:szCs w:val="30"/>
          <w:highlight w:val="none"/>
          <w:u w:val="none"/>
          <w:lang w:val="en-US" w:eastAsia="zh-CN"/>
        </w:rPr>
        <w:t>被告：①被告一:上海星徽汽车贸易有限公司；②被告二:上海星微国际贸易有限公司；</w:t>
      </w:r>
    </w:p>
    <w:p w14:paraId="6883533C">
      <w:pPr>
        <w:keepNext w:val="0"/>
        <w:keepLines w:val="0"/>
        <w:pageBreakBefore w:val="0"/>
        <w:widowControl w:val="0"/>
        <w:numPr>
          <w:ilvl w:val="0"/>
          <w:numId w:val="8"/>
        </w:numPr>
        <w:kinsoku/>
        <w:wordWrap/>
        <w:overflowPunct/>
        <w:topLinePunct w:val="0"/>
        <w:autoSpaceDE/>
        <w:autoSpaceDN/>
        <w:bidi w:val="0"/>
        <w:adjustRightInd w:val="0"/>
        <w:snapToGrid w:val="0"/>
        <w:spacing w:line="580" w:lineRule="exact"/>
        <w:ind w:left="0" w:leftChars="0" w:firstLine="600" w:firstLineChars="200"/>
        <w:jc w:val="both"/>
        <w:textAlignment w:val="auto"/>
        <w:rPr>
          <w:rFonts w:hint="default" w:ascii="仿宋" w:hAnsi="仿宋" w:eastAsia="仿宋" w:cs="仿宋"/>
          <w:color w:val="auto"/>
          <w:sz w:val="30"/>
          <w:szCs w:val="30"/>
          <w:highlight w:val="none"/>
          <w:u w:val="none"/>
          <w:lang w:val="en-US" w:eastAsia="zh-CN"/>
        </w:rPr>
      </w:pPr>
      <w:r>
        <w:rPr>
          <w:rFonts w:hint="eastAsia" w:ascii="仿宋" w:hAnsi="仿宋" w:eastAsia="仿宋" w:cs="仿宋"/>
          <w:color w:val="auto"/>
          <w:sz w:val="30"/>
          <w:szCs w:val="30"/>
          <w:highlight w:val="none"/>
          <w:u w:val="none"/>
          <w:lang w:val="en-US" w:eastAsia="zh-CN"/>
        </w:rPr>
        <w:t>诉讼标的额：4312.85万元；</w:t>
      </w:r>
    </w:p>
    <w:p w14:paraId="12B80C78">
      <w:pPr>
        <w:keepNext w:val="0"/>
        <w:keepLines w:val="0"/>
        <w:pageBreakBefore w:val="0"/>
        <w:widowControl w:val="0"/>
        <w:numPr>
          <w:ilvl w:val="0"/>
          <w:numId w:val="7"/>
        </w:numPr>
        <w:kinsoku/>
        <w:wordWrap/>
        <w:overflowPunct/>
        <w:topLinePunct w:val="0"/>
        <w:autoSpaceDE/>
        <w:autoSpaceDN/>
        <w:bidi w:val="0"/>
        <w:adjustRightInd w:val="0"/>
        <w:snapToGrid w:val="0"/>
        <w:spacing w:line="580" w:lineRule="exact"/>
        <w:ind w:left="0" w:leftChars="0" w:firstLine="600" w:firstLineChars="200"/>
        <w:jc w:val="both"/>
        <w:textAlignment w:val="auto"/>
        <w:rPr>
          <w:rFonts w:hint="eastAsia" w:ascii="仿宋" w:hAnsi="仿宋" w:eastAsia="仿宋" w:cs="仿宋"/>
          <w:color w:val="auto"/>
          <w:sz w:val="30"/>
          <w:szCs w:val="30"/>
          <w:highlight w:val="none"/>
          <w:u w:val="none"/>
          <w:lang w:val="en-US" w:eastAsia="zh-CN"/>
        </w:rPr>
      </w:pPr>
      <w:r>
        <w:rPr>
          <w:rFonts w:hint="eastAsia" w:ascii="仿宋" w:hAnsi="仿宋" w:eastAsia="仿宋" w:cs="仿宋"/>
          <w:color w:val="auto"/>
          <w:sz w:val="30"/>
          <w:szCs w:val="30"/>
          <w:highlight w:val="none"/>
          <w:u w:val="none"/>
          <w:lang w:val="en-US" w:eastAsia="zh-CN"/>
        </w:rPr>
        <w:t>最高限价</w:t>
      </w:r>
      <w:r>
        <w:rPr>
          <w:rFonts w:hint="eastAsia" w:ascii="仿宋" w:hAnsi="仿宋" w:eastAsia="仿宋" w:cs="仿宋"/>
          <w:color w:val="auto"/>
          <w:sz w:val="30"/>
          <w:szCs w:val="30"/>
          <w:highlight w:val="none"/>
          <w:u w:val="none"/>
        </w:rPr>
        <w:t>：</w:t>
      </w:r>
      <w:r>
        <w:rPr>
          <w:rFonts w:hint="eastAsia" w:ascii="仿宋" w:hAnsi="仿宋" w:eastAsia="仿宋" w:cs="仿宋"/>
          <w:color w:val="auto"/>
          <w:sz w:val="30"/>
          <w:szCs w:val="30"/>
          <w:highlight w:val="none"/>
          <w:u w:val="none"/>
          <w:lang w:val="en-US" w:eastAsia="zh-CN"/>
        </w:rPr>
        <w:t>以根据安徽省物价局2016年2月10日发布的《安徽律师收费标准》{皖价服[2016]13号}文件得出的计算结果（以下限为准）*50%，</w:t>
      </w:r>
      <w:r>
        <w:rPr>
          <w:rFonts w:hint="eastAsia" w:ascii="仿宋" w:hAnsi="仿宋" w:eastAsia="仿宋" w:cs="仿宋"/>
          <w:b/>
          <w:bCs/>
          <w:color w:val="auto"/>
          <w:sz w:val="30"/>
          <w:szCs w:val="30"/>
          <w:highlight w:val="none"/>
          <w:u w:val="none"/>
          <w:lang w:val="en-US" w:eastAsia="zh-CN"/>
        </w:rPr>
        <w:t>比选的最高限价24.41万元</w:t>
      </w:r>
      <w:r>
        <w:rPr>
          <w:rFonts w:hint="eastAsia" w:ascii="仿宋" w:hAnsi="仿宋" w:eastAsia="仿宋" w:cs="仿宋"/>
          <w:color w:val="auto"/>
          <w:sz w:val="30"/>
          <w:szCs w:val="30"/>
          <w:highlight w:val="none"/>
          <w:u w:val="none"/>
          <w:lang w:val="en-US" w:eastAsia="zh-CN"/>
        </w:rPr>
        <w:t>。</w:t>
      </w:r>
    </w:p>
    <w:p w14:paraId="03AEFC4B">
      <w:pPr>
        <w:keepNext w:val="0"/>
        <w:keepLines w:val="0"/>
        <w:pageBreakBefore w:val="0"/>
        <w:widowControl w:val="0"/>
        <w:numPr>
          <w:ilvl w:val="0"/>
          <w:numId w:val="7"/>
        </w:numPr>
        <w:kinsoku/>
        <w:wordWrap/>
        <w:overflowPunct/>
        <w:topLinePunct w:val="0"/>
        <w:autoSpaceDE/>
        <w:autoSpaceDN/>
        <w:bidi w:val="0"/>
        <w:adjustRightInd w:val="0"/>
        <w:snapToGrid w:val="0"/>
        <w:spacing w:line="580" w:lineRule="exact"/>
        <w:ind w:left="0" w:leftChars="0" w:firstLine="600" w:firstLineChars="200"/>
        <w:jc w:val="both"/>
        <w:textAlignment w:val="auto"/>
        <w:rPr>
          <w:rFonts w:hint="eastAsia" w:ascii="仿宋" w:hAnsi="仿宋" w:eastAsia="仿宋" w:cs="仿宋"/>
          <w:color w:val="auto"/>
          <w:sz w:val="30"/>
          <w:szCs w:val="30"/>
          <w:highlight w:val="none"/>
          <w:u w:val="none"/>
          <w:lang w:val="en-US" w:eastAsia="zh-CN"/>
        </w:rPr>
      </w:pPr>
      <w:r>
        <w:rPr>
          <w:rFonts w:hint="eastAsia" w:ascii="仿宋" w:hAnsi="仿宋" w:eastAsia="仿宋" w:cs="仿宋"/>
          <w:color w:val="auto"/>
          <w:sz w:val="30"/>
          <w:szCs w:val="30"/>
          <w:highlight w:val="none"/>
          <w:u w:val="none"/>
          <w:lang w:val="en-US" w:eastAsia="zh-CN"/>
        </w:rPr>
        <w:t>付款方式：若案件周期大于一年，则在案件首次开庭后一年</w:t>
      </w:r>
      <w:r>
        <w:rPr>
          <w:rFonts w:hint="eastAsia" w:ascii="仿宋" w:hAnsi="仿宋" w:eastAsia="仿宋" w:cs="仿宋"/>
          <w:color w:val="auto"/>
          <w:sz w:val="30"/>
          <w:szCs w:val="30"/>
          <w:highlight w:val="none"/>
          <w:u w:val="none"/>
          <w:lang w:val="en-US" w:eastAsia="zh-CN"/>
        </w:rPr>
        <w:t>后支付至基础服务费的30%</w:t>
      </w:r>
      <w:r>
        <w:rPr>
          <w:rFonts w:hint="eastAsia" w:ascii="仿宋" w:hAnsi="仿宋" w:eastAsia="仿宋" w:cs="仿宋"/>
          <w:color w:val="auto"/>
          <w:sz w:val="30"/>
          <w:szCs w:val="30"/>
          <w:highlight w:val="none"/>
          <w:u w:val="none"/>
          <w:lang w:val="en-US" w:eastAsia="zh-CN"/>
        </w:rPr>
        <w:t>，剩余代理费待案件终结并办理结算后一次性支付；若案件在一年内终结，则所有案件代理费均在案件终结并办理结算后一次性支付</w:t>
      </w:r>
      <w:r>
        <w:rPr>
          <w:rFonts w:hint="eastAsia" w:ascii="仿宋" w:hAnsi="仿宋" w:eastAsia="仿宋" w:cs="仿宋"/>
          <w:color w:val="auto"/>
          <w:sz w:val="30"/>
          <w:szCs w:val="30"/>
          <w:highlight w:val="none"/>
          <w:u w:val="none"/>
          <w:lang w:eastAsia="zh-CN"/>
        </w:rPr>
        <w:t>。</w:t>
      </w:r>
    </w:p>
    <w:p w14:paraId="2A6A9F0D">
      <w:pPr>
        <w:keepNext w:val="0"/>
        <w:keepLines w:val="0"/>
        <w:pageBreakBefore w:val="0"/>
        <w:widowControl w:val="0"/>
        <w:numPr>
          <w:ilvl w:val="0"/>
          <w:numId w:val="7"/>
        </w:numPr>
        <w:kinsoku/>
        <w:wordWrap/>
        <w:overflowPunct/>
        <w:topLinePunct w:val="0"/>
        <w:autoSpaceDE/>
        <w:autoSpaceDN/>
        <w:bidi w:val="0"/>
        <w:adjustRightInd w:val="0"/>
        <w:snapToGrid w:val="0"/>
        <w:spacing w:line="580" w:lineRule="exact"/>
        <w:ind w:left="0" w:leftChars="0" w:firstLine="600" w:firstLineChars="200"/>
        <w:jc w:val="both"/>
        <w:textAlignment w:val="auto"/>
        <w:rPr>
          <w:rFonts w:hint="eastAsia" w:ascii="仿宋" w:hAnsi="仿宋" w:eastAsia="仿宋" w:cs="仿宋"/>
          <w:color w:val="auto"/>
          <w:sz w:val="30"/>
          <w:szCs w:val="30"/>
          <w:highlight w:val="none"/>
          <w:u w:val="none"/>
          <w:lang w:val="en-US" w:eastAsia="zh-CN"/>
        </w:rPr>
      </w:pPr>
      <w:r>
        <w:rPr>
          <w:rFonts w:hint="eastAsia" w:ascii="仿宋" w:hAnsi="仿宋" w:eastAsia="仿宋" w:cs="仿宋"/>
          <w:color w:val="auto"/>
          <w:sz w:val="30"/>
          <w:szCs w:val="30"/>
          <w:highlight w:val="none"/>
          <w:u w:val="none"/>
          <w:lang w:val="en-US" w:eastAsia="zh-CN"/>
        </w:rPr>
        <w:t>服务期限：自接受采购人委托通知之日起到案件执行终结，包括所有诉讼阶段，包括但不限于一审、二审、再审（如有）、强制执行等全部司法阶段；若本案出具终审裁判文书后，</w:t>
      </w:r>
      <w:r>
        <w:rPr>
          <w:rFonts w:hint="eastAsia" w:ascii="仿宋" w:hAnsi="仿宋" w:eastAsia="仿宋" w:cs="仿宋"/>
          <w:color w:val="auto"/>
          <w:sz w:val="30"/>
          <w:szCs w:val="30"/>
          <w:highlight w:val="none"/>
          <w:u w:val="none"/>
          <w:lang w:val="en-US" w:eastAsia="zh-CN"/>
        </w:rPr>
        <w:t>被告</w:t>
      </w:r>
      <w:r>
        <w:rPr>
          <w:rFonts w:hint="eastAsia" w:ascii="仿宋" w:hAnsi="仿宋" w:eastAsia="仿宋" w:cs="仿宋"/>
          <w:color w:val="auto"/>
          <w:sz w:val="30"/>
          <w:szCs w:val="30"/>
          <w:highlight w:val="none"/>
          <w:u w:val="none"/>
          <w:lang w:val="en-US" w:eastAsia="zh-CN"/>
        </w:rPr>
        <w:t>基于同一事实、同一法律关系另行起诉的，成交人仍应提供全流程代理服务，对应服务成本已全部包含在合同总价内，采购人无需另行支付任何费用。</w:t>
      </w:r>
    </w:p>
    <w:p w14:paraId="4B2A4E90">
      <w:pPr>
        <w:keepNext w:val="0"/>
        <w:keepLines w:val="0"/>
        <w:pageBreakBefore w:val="0"/>
        <w:widowControl w:val="0"/>
        <w:numPr>
          <w:ilvl w:val="0"/>
          <w:numId w:val="7"/>
        </w:numPr>
        <w:kinsoku/>
        <w:wordWrap/>
        <w:overflowPunct/>
        <w:topLinePunct w:val="0"/>
        <w:autoSpaceDE/>
        <w:autoSpaceDN/>
        <w:bidi w:val="0"/>
        <w:adjustRightInd w:val="0"/>
        <w:snapToGrid w:val="0"/>
        <w:spacing w:line="580" w:lineRule="exact"/>
        <w:ind w:left="0" w:leftChars="0" w:firstLine="600" w:firstLineChars="200"/>
        <w:jc w:val="both"/>
        <w:textAlignment w:val="auto"/>
        <w:rPr>
          <w:rFonts w:hint="eastAsia" w:ascii="仿宋" w:hAnsi="仿宋" w:eastAsia="仿宋" w:cs="仿宋"/>
          <w:color w:val="auto"/>
          <w:sz w:val="30"/>
          <w:szCs w:val="30"/>
          <w:highlight w:val="none"/>
          <w:u w:val="none"/>
          <w:lang w:val="en-US" w:eastAsia="zh-CN"/>
        </w:rPr>
      </w:pPr>
      <w:r>
        <w:rPr>
          <w:rFonts w:hint="eastAsia" w:ascii="仿宋" w:hAnsi="仿宋" w:eastAsia="仿宋" w:cs="仿宋"/>
          <w:color w:val="auto"/>
          <w:sz w:val="30"/>
          <w:szCs w:val="30"/>
          <w:highlight w:val="none"/>
          <w:u w:val="none"/>
          <w:lang w:val="en-US" w:eastAsia="zh-CN"/>
        </w:rPr>
        <w:t>评标办法：</w:t>
      </w:r>
      <w:r>
        <w:rPr>
          <w:rFonts w:hint="eastAsia" w:ascii="仿宋" w:hAnsi="仿宋" w:eastAsia="仿宋" w:cs="仿宋"/>
          <w:color w:val="auto"/>
          <w:sz w:val="30"/>
          <w:szCs w:val="30"/>
          <w:highlight w:val="none"/>
          <w:u w:val="none"/>
          <w:lang w:val="en-US" w:eastAsia="zh-CN"/>
        </w:rPr>
        <w:t>最低评标价法</w:t>
      </w:r>
    </w:p>
    <w:p w14:paraId="5FC9BD99">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43" w:firstLineChars="200"/>
        <w:jc w:val="both"/>
        <w:textAlignment w:val="auto"/>
        <w:rPr>
          <w:rFonts w:hint="eastAsia" w:ascii="仿宋" w:hAnsi="仿宋" w:eastAsia="仿宋" w:cs="仿宋"/>
          <w:b/>
          <w:bCs w:val="0"/>
          <w:color w:val="auto"/>
          <w:sz w:val="32"/>
          <w:szCs w:val="32"/>
          <w:highlight w:val="none"/>
        </w:rPr>
      </w:pPr>
      <w:r>
        <w:rPr>
          <w:rFonts w:hint="eastAsia" w:ascii="仿宋" w:hAnsi="仿宋" w:eastAsia="仿宋" w:cs="仿宋"/>
          <w:b/>
          <w:bCs w:val="0"/>
          <w:color w:val="auto"/>
          <w:sz w:val="32"/>
          <w:szCs w:val="32"/>
          <w:highlight w:val="none"/>
        </w:rPr>
        <w:t>二、参选人的资格要求：</w:t>
      </w:r>
    </w:p>
    <w:bookmarkEnd w:id="4"/>
    <w:bookmarkEnd w:id="5"/>
    <w:bookmarkEnd w:id="6"/>
    <w:bookmarkEnd w:id="7"/>
    <w:p w14:paraId="1B68A11A">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00" w:firstLineChars="200"/>
        <w:jc w:val="both"/>
        <w:textAlignment w:val="auto"/>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1.可参选对象：安庆市交通控股集团有限公司法律顾问咨询服务商采购项目成交人。</w:t>
      </w:r>
    </w:p>
    <w:p w14:paraId="0EBCDE3C">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00" w:firstLineChars="200"/>
        <w:jc w:val="both"/>
        <w:textAlignment w:val="auto"/>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2.本项目不接受联合体参选。</w:t>
      </w:r>
    </w:p>
    <w:p w14:paraId="2CCD4ADF">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00" w:firstLineChars="200"/>
        <w:jc w:val="both"/>
        <w:textAlignment w:val="auto"/>
        <w:rPr>
          <w:rFonts w:hint="eastAsia" w:ascii="仿宋" w:hAnsi="仿宋" w:eastAsia="仿宋" w:cs="仿宋"/>
          <w:color w:val="auto"/>
          <w:kern w:val="2"/>
          <w:sz w:val="30"/>
          <w:szCs w:val="30"/>
          <w:highlight w:val="none"/>
          <w:lang w:val="en-US" w:eastAsia="zh-CN" w:bidi="ar-SA"/>
        </w:rPr>
      </w:pPr>
      <w:r>
        <w:rPr>
          <w:rFonts w:hint="eastAsia" w:ascii="仿宋" w:hAnsi="仿宋" w:eastAsia="仿宋" w:cs="仿宋"/>
          <w:color w:val="auto"/>
          <w:sz w:val="30"/>
          <w:szCs w:val="30"/>
          <w:highlight w:val="none"/>
          <w:lang w:val="en-US" w:eastAsia="zh-CN"/>
        </w:rPr>
        <w:t>3.</w:t>
      </w:r>
      <w:r>
        <w:rPr>
          <w:rFonts w:hint="eastAsia" w:ascii="仿宋" w:hAnsi="仿宋" w:eastAsia="仿宋" w:cs="仿宋"/>
          <w:color w:val="auto"/>
          <w:kern w:val="2"/>
          <w:sz w:val="30"/>
          <w:szCs w:val="30"/>
          <w:highlight w:val="none"/>
          <w:lang w:val="en-US" w:eastAsia="zh-CN" w:bidi="ar-SA"/>
        </w:rPr>
        <w:t>参选人有以下情形不得参与本次比选活动：</w:t>
      </w:r>
    </w:p>
    <w:p w14:paraId="59DBF700">
      <w:pPr>
        <w:pStyle w:val="82"/>
        <w:keepNext w:val="0"/>
        <w:keepLines w:val="0"/>
        <w:pageBreakBefore w:val="0"/>
        <w:widowControl w:val="0"/>
        <w:kinsoku/>
        <w:wordWrap/>
        <w:overflowPunct/>
        <w:topLinePunct w:val="0"/>
        <w:autoSpaceDE/>
        <w:autoSpaceDN/>
        <w:bidi w:val="0"/>
        <w:adjustRightInd w:val="0"/>
        <w:snapToGrid w:val="0"/>
        <w:spacing w:beforeLines="0" w:after="0" w:line="580" w:lineRule="exact"/>
        <w:ind w:left="0" w:leftChars="0" w:firstLine="600" w:firstLineChars="200"/>
        <w:jc w:val="both"/>
        <w:textAlignment w:val="auto"/>
        <w:rPr>
          <w:rFonts w:hint="eastAsia" w:ascii="仿宋" w:hAnsi="仿宋" w:eastAsia="仿宋" w:cs="仿宋"/>
          <w:color w:val="auto"/>
          <w:kern w:val="2"/>
          <w:sz w:val="30"/>
          <w:szCs w:val="30"/>
          <w:highlight w:val="none"/>
          <w:lang w:val="en-US" w:eastAsia="zh-CN" w:bidi="ar-SA"/>
        </w:rPr>
      </w:pPr>
      <w:r>
        <w:rPr>
          <w:rFonts w:hint="eastAsia" w:ascii="仿宋" w:hAnsi="仿宋" w:eastAsia="仿宋" w:cs="仿宋"/>
          <w:color w:val="auto"/>
          <w:kern w:val="2"/>
          <w:sz w:val="30"/>
          <w:szCs w:val="30"/>
          <w:highlight w:val="none"/>
          <w:lang w:val="en-US" w:eastAsia="zh-CN" w:bidi="ar-SA"/>
        </w:rPr>
        <w:t>3.1被列入安庆市交通控股集团有限公司黑名单管理系统；</w:t>
      </w:r>
    </w:p>
    <w:p w14:paraId="7B3192F9">
      <w:pPr>
        <w:pStyle w:val="82"/>
        <w:keepNext w:val="0"/>
        <w:keepLines w:val="0"/>
        <w:pageBreakBefore w:val="0"/>
        <w:widowControl w:val="0"/>
        <w:kinsoku/>
        <w:wordWrap/>
        <w:overflowPunct/>
        <w:topLinePunct w:val="0"/>
        <w:autoSpaceDE/>
        <w:autoSpaceDN/>
        <w:bidi w:val="0"/>
        <w:adjustRightInd w:val="0"/>
        <w:snapToGrid w:val="0"/>
        <w:spacing w:beforeLines="0" w:after="0" w:line="580" w:lineRule="exact"/>
        <w:ind w:left="0" w:leftChars="0" w:firstLine="600" w:firstLineChars="200"/>
        <w:jc w:val="both"/>
        <w:textAlignment w:val="auto"/>
        <w:rPr>
          <w:rFonts w:hint="eastAsia" w:ascii="仿宋" w:hAnsi="仿宋" w:eastAsia="仿宋" w:cs="仿宋"/>
          <w:color w:val="auto"/>
          <w:kern w:val="2"/>
          <w:sz w:val="30"/>
          <w:szCs w:val="30"/>
          <w:highlight w:val="none"/>
          <w:lang w:val="en-US" w:eastAsia="zh-CN" w:bidi="ar-SA"/>
        </w:rPr>
      </w:pPr>
      <w:r>
        <w:rPr>
          <w:rFonts w:hint="eastAsia" w:ascii="仿宋" w:hAnsi="仿宋" w:eastAsia="仿宋" w:cs="仿宋"/>
          <w:color w:val="auto"/>
          <w:kern w:val="2"/>
          <w:sz w:val="30"/>
          <w:szCs w:val="30"/>
          <w:highlight w:val="none"/>
          <w:lang w:val="en-US" w:eastAsia="zh-CN" w:bidi="ar-SA"/>
        </w:rPr>
        <w:t>3.2在安庆市交通控股集团有限公司处罚限制期限内的投标人或参选人；</w:t>
      </w:r>
    </w:p>
    <w:p w14:paraId="05968A48">
      <w:pPr>
        <w:pStyle w:val="82"/>
        <w:keepNext w:val="0"/>
        <w:keepLines w:val="0"/>
        <w:pageBreakBefore w:val="0"/>
        <w:widowControl w:val="0"/>
        <w:kinsoku/>
        <w:wordWrap/>
        <w:overflowPunct/>
        <w:topLinePunct w:val="0"/>
        <w:autoSpaceDE/>
        <w:autoSpaceDN/>
        <w:bidi w:val="0"/>
        <w:adjustRightInd w:val="0"/>
        <w:snapToGrid w:val="0"/>
        <w:spacing w:beforeLines="0" w:after="0" w:line="580" w:lineRule="exact"/>
        <w:ind w:left="0" w:leftChars="0" w:firstLine="600" w:firstLineChars="200"/>
        <w:jc w:val="both"/>
        <w:textAlignment w:val="auto"/>
        <w:rPr>
          <w:rFonts w:hint="eastAsia" w:ascii="仿宋" w:hAnsi="仿宋" w:eastAsia="仿宋" w:cs="仿宋"/>
          <w:color w:val="auto"/>
          <w:kern w:val="2"/>
          <w:sz w:val="30"/>
          <w:szCs w:val="30"/>
          <w:highlight w:val="none"/>
          <w:lang w:val="en-US" w:eastAsia="zh-CN" w:bidi="ar-SA"/>
        </w:rPr>
      </w:pPr>
      <w:r>
        <w:rPr>
          <w:rFonts w:hint="eastAsia" w:ascii="仿宋" w:hAnsi="仿宋" w:eastAsia="仿宋" w:cs="仿宋"/>
          <w:color w:val="auto"/>
          <w:kern w:val="2"/>
          <w:sz w:val="30"/>
          <w:szCs w:val="30"/>
          <w:highlight w:val="none"/>
          <w:lang w:val="en-US" w:eastAsia="zh-CN" w:bidi="ar-SA"/>
        </w:rPr>
        <w:t>3.3前期参与安庆市交通控股集团有限公司组织的招标采购活动获得中标候选人资格而放弃中标资格不签订合同的投标人或参选人，在处罚期内的投标人或参选人不得参与本次比选活动。</w:t>
      </w:r>
    </w:p>
    <w:p w14:paraId="017DC520">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43" w:firstLineChars="200"/>
        <w:jc w:val="both"/>
        <w:textAlignment w:val="auto"/>
        <w:rPr>
          <w:rFonts w:hint="eastAsia" w:ascii="仿宋" w:hAnsi="仿宋" w:eastAsia="仿宋" w:cs="仿宋"/>
          <w:b/>
          <w:bCs w:val="0"/>
          <w:color w:val="auto"/>
          <w:sz w:val="32"/>
          <w:szCs w:val="32"/>
          <w:highlight w:val="none"/>
        </w:rPr>
      </w:pPr>
      <w:r>
        <w:rPr>
          <w:rFonts w:hint="eastAsia" w:ascii="仿宋" w:hAnsi="仿宋" w:eastAsia="仿宋" w:cs="仿宋"/>
          <w:b/>
          <w:bCs w:val="0"/>
          <w:color w:val="auto"/>
          <w:sz w:val="32"/>
          <w:szCs w:val="32"/>
          <w:highlight w:val="none"/>
        </w:rPr>
        <w:t>三、比选文件获取：</w:t>
      </w:r>
    </w:p>
    <w:p w14:paraId="50968604">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00" w:firstLineChars="200"/>
        <w:jc w:val="both"/>
        <w:textAlignment w:val="auto"/>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1.潜在参选人</w:t>
      </w:r>
      <w:r>
        <w:rPr>
          <w:rFonts w:hint="eastAsia" w:ascii="仿宋" w:hAnsi="仿宋" w:eastAsia="仿宋" w:cs="仿宋"/>
          <w:color w:val="auto"/>
          <w:sz w:val="30"/>
          <w:szCs w:val="30"/>
          <w:highlight w:val="none"/>
          <w:u w:val="none"/>
        </w:rPr>
        <w:t>于</w:t>
      </w:r>
      <w:r>
        <w:rPr>
          <w:rFonts w:hint="eastAsia" w:ascii="仿宋" w:hAnsi="仿宋" w:eastAsia="仿宋" w:cs="仿宋"/>
          <w:color w:val="auto"/>
          <w:sz w:val="30"/>
          <w:szCs w:val="30"/>
          <w:highlight w:val="none"/>
          <w:u w:val="none"/>
          <w:lang w:val="en-US" w:eastAsia="zh-CN"/>
        </w:rPr>
        <w:t>2026</w:t>
      </w:r>
      <w:r>
        <w:rPr>
          <w:rFonts w:hint="eastAsia" w:ascii="仿宋" w:hAnsi="仿宋" w:eastAsia="仿宋" w:cs="仿宋"/>
          <w:color w:val="auto"/>
          <w:sz w:val="30"/>
          <w:szCs w:val="30"/>
          <w:highlight w:val="none"/>
          <w:u w:val="none"/>
        </w:rPr>
        <w:t>年</w:t>
      </w:r>
      <w:r>
        <w:rPr>
          <w:rFonts w:hint="eastAsia" w:ascii="仿宋" w:hAnsi="仿宋" w:eastAsia="仿宋" w:cs="仿宋"/>
          <w:color w:val="auto"/>
          <w:sz w:val="30"/>
          <w:szCs w:val="30"/>
          <w:highlight w:val="none"/>
          <w:u w:val="none"/>
          <w:lang w:val="en-US" w:eastAsia="zh-CN"/>
        </w:rPr>
        <w:t>9月22日</w:t>
      </w:r>
      <w:r>
        <w:rPr>
          <w:rFonts w:hint="eastAsia" w:ascii="仿宋" w:hAnsi="仿宋" w:eastAsia="仿宋" w:cs="仿宋"/>
          <w:color w:val="auto"/>
          <w:sz w:val="30"/>
          <w:szCs w:val="30"/>
          <w:highlight w:val="none"/>
          <w:u w:val="none"/>
        </w:rPr>
        <w:t>17</w:t>
      </w:r>
      <w:r>
        <w:rPr>
          <w:rFonts w:hint="eastAsia" w:ascii="仿宋" w:hAnsi="仿宋" w:eastAsia="仿宋" w:cs="仿宋"/>
          <w:color w:val="auto"/>
          <w:sz w:val="30"/>
          <w:szCs w:val="30"/>
          <w:highlight w:val="none"/>
        </w:rPr>
        <w:t>点30分</w:t>
      </w:r>
      <w:r>
        <w:rPr>
          <w:rFonts w:hint="eastAsia" w:ascii="仿宋" w:hAnsi="仿宋" w:eastAsia="仿宋" w:cs="仿宋"/>
          <w:color w:val="auto"/>
          <w:sz w:val="30"/>
          <w:szCs w:val="30"/>
          <w:highlight w:val="none"/>
        </w:rPr>
        <w:t>前，每天8:00至17:30（北京时间）登录安庆市交通控股集团有限公司</w:t>
      </w:r>
      <w:r>
        <w:rPr>
          <w:rFonts w:hint="eastAsia" w:ascii="仿宋" w:hAnsi="仿宋" w:eastAsia="仿宋" w:cs="仿宋"/>
          <w:color w:val="auto"/>
          <w:sz w:val="30"/>
          <w:szCs w:val="30"/>
          <w:highlight w:val="none"/>
          <w:lang w:eastAsia="zh-CN"/>
        </w:rPr>
        <w:t>集采平台</w:t>
      </w:r>
      <w:r>
        <w:rPr>
          <w:rFonts w:hint="eastAsia" w:ascii="仿宋" w:hAnsi="仿宋" w:eastAsia="仿宋" w:cs="仿宋"/>
          <w:color w:val="auto"/>
          <w:sz w:val="30"/>
          <w:szCs w:val="30"/>
          <w:highlight w:val="none"/>
        </w:rPr>
        <w:t>（http://jc.zh0556.com/）获取比选文件。</w:t>
      </w:r>
    </w:p>
    <w:p w14:paraId="2EF9AB39">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00" w:firstLineChars="200"/>
        <w:jc w:val="both"/>
        <w:textAlignment w:val="auto"/>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2.参选文件及相关资料工本费：不收取。</w:t>
      </w:r>
    </w:p>
    <w:p w14:paraId="57BB57A4">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00" w:firstLineChars="200"/>
        <w:jc w:val="both"/>
        <w:textAlignment w:val="auto"/>
        <w:rPr>
          <w:rFonts w:hint="eastAsia" w:ascii="仿宋" w:hAnsi="仿宋" w:eastAsia="仿宋" w:cs="仿宋"/>
          <w:color w:val="auto"/>
          <w:sz w:val="30"/>
          <w:szCs w:val="30"/>
          <w:highlight w:val="none"/>
          <w:u w:val="none"/>
        </w:rPr>
      </w:pPr>
      <w:r>
        <w:rPr>
          <w:rFonts w:hint="eastAsia" w:ascii="仿宋" w:hAnsi="仿宋" w:eastAsia="仿宋" w:cs="仿宋"/>
          <w:color w:val="auto"/>
          <w:sz w:val="30"/>
          <w:szCs w:val="30"/>
          <w:highlight w:val="none"/>
        </w:rPr>
        <w:t>3.报名方式：</w:t>
      </w:r>
      <w:r>
        <w:rPr>
          <w:rFonts w:hint="eastAsia" w:ascii="仿宋" w:hAnsi="仿宋" w:eastAsia="仿宋" w:cs="仿宋"/>
          <w:color w:val="auto"/>
          <w:sz w:val="30"/>
          <w:szCs w:val="30"/>
          <w:highlight w:val="none"/>
        </w:rPr>
        <w:fldChar w:fldCharType="begin"/>
      </w:r>
      <w:r>
        <w:rPr>
          <w:rFonts w:hint="eastAsia" w:ascii="仿宋" w:hAnsi="仿宋" w:eastAsia="仿宋" w:cs="仿宋"/>
          <w:color w:val="auto"/>
          <w:sz w:val="30"/>
          <w:szCs w:val="30"/>
          <w:highlight w:val="none"/>
        </w:rPr>
        <w:instrText xml:space="preserve"> HYPERLINK "mailto:将\“确定参与比选的函\”盖供应商公章在2024年4月18日17点30分前发邮箱1179928670@qq.com（报名截止后发送，报名无效。）" </w:instrText>
      </w:r>
      <w:r>
        <w:rPr>
          <w:rFonts w:hint="eastAsia" w:ascii="仿宋" w:hAnsi="仿宋" w:eastAsia="仿宋" w:cs="仿宋"/>
          <w:color w:val="auto"/>
          <w:sz w:val="30"/>
          <w:szCs w:val="30"/>
          <w:highlight w:val="none"/>
        </w:rPr>
        <w:fldChar w:fldCharType="separate"/>
      </w:r>
      <w:r>
        <w:rPr>
          <w:rFonts w:hint="eastAsia" w:ascii="仿宋" w:hAnsi="仿宋" w:eastAsia="仿宋" w:cs="仿宋"/>
          <w:color w:val="auto"/>
          <w:sz w:val="30"/>
          <w:szCs w:val="30"/>
          <w:highlight w:val="none"/>
        </w:rPr>
        <w:t>将“确定参与比</w:t>
      </w:r>
      <w:r>
        <w:rPr>
          <w:rFonts w:hint="eastAsia" w:ascii="仿宋" w:hAnsi="仿宋" w:eastAsia="仿宋" w:cs="仿宋"/>
          <w:strike w:val="0"/>
          <w:dstrike w:val="0"/>
          <w:color w:val="auto"/>
          <w:sz w:val="30"/>
          <w:szCs w:val="30"/>
          <w:highlight w:val="none"/>
          <w:u w:val="none"/>
        </w:rPr>
        <w:t>选的函”盖供应商公章在</w:t>
      </w:r>
      <w:r>
        <w:rPr>
          <w:rFonts w:hint="eastAsia" w:ascii="仿宋" w:hAnsi="仿宋" w:eastAsia="仿宋" w:cs="仿宋"/>
          <w:strike w:val="0"/>
          <w:dstrike w:val="0"/>
          <w:color w:val="auto"/>
          <w:sz w:val="30"/>
          <w:szCs w:val="30"/>
          <w:highlight w:val="none"/>
          <w:u w:val="none"/>
          <w:lang w:val="en-US" w:eastAsia="zh-CN"/>
        </w:rPr>
        <w:t>2026</w:t>
      </w:r>
      <w:r>
        <w:rPr>
          <w:rFonts w:hint="eastAsia" w:ascii="仿宋" w:hAnsi="仿宋" w:eastAsia="仿宋" w:cs="仿宋"/>
          <w:strike w:val="0"/>
          <w:dstrike w:val="0"/>
          <w:color w:val="auto"/>
          <w:sz w:val="30"/>
          <w:szCs w:val="30"/>
          <w:highlight w:val="none"/>
          <w:u w:val="none"/>
        </w:rPr>
        <w:t>年</w:t>
      </w:r>
      <w:r>
        <w:rPr>
          <w:rFonts w:hint="eastAsia" w:ascii="仿宋" w:hAnsi="仿宋" w:eastAsia="仿宋" w:cs="仿宋"/>
          <w:color w:val="auto"/>
          <w:sz w:val="30"/>
          <w:szCs w:val="30"/>
          <w:highlight w:val="none"/>
          <w:u w:val="none"/>
          <w:lang w:val="en-US" w:eastAsia="zh-CN"/>
        </w:rPr>
        <w:t>9月22日</w:t>
      </w:r>
      <w:r>
        <w:rPr>
          <w:rFonts w:hint="eastAsia" w:ascii="仿宋" w:hAnsi="仿宋" w:eastAsia="仿宋" w:cs="仿宋"/>
          <w:strike w:val="0"/>
          <w:dstrike w:val="0"/>
          <w:color w:val="auto"/>
          <w:sz w:val="30"/>
          <w:szCs w:val="30"/>
          <w:highlight w:val="none"/>
          <w:u w:val="none"/>
        </w:rPr>
        <w:t>17</w:t>
      </w:r>
      <w:r>
        <w:rPr>
          <w:rFonts w:hint="eastAsia" w:ascii="仿宋" w:hAnsi="仿宋" w:eastAsia="仿宋" w:cs="仿宋"/>
          <w:color w:val="auto"/>
          <w:sz w:val="30"/>
          <w:szCs w:val="30"/>
          <w:highlight w:val="none"/>
        </w:rPr>
        <w:t>点30分</w:t>
      </w:r>
      <w:r>
        <w:rPr>
          <w:rFonts w:hint="eastAsia" w:ascii="仿宋" w:hAnsi="仿宋" w:eastAsia="仿宋" w:cs="仿宋"/>
          <w:color w:val="auto"/>
          <w:sz w:val="30"/>
          <w:szCs w:val="30"/>
          <w:highlight w:val="none"/>
        </w:rPr>
        <w:t>前发邮箱</w:t>
      </w:r>
      <w:r>
        <w:rPr>
          <w:rFonts w:hint="eastAsia" w:ascii="仿宋" w:hAnsi="仿宋" w:eastAsia="仿宋" w:cs="仿宋"/>
          <w:color w:val="auto"/>
          <w:sz w:val="30"/>
          <w:szCs w:val="30"/>
          <w:highlight w:val="none"/>
          <w:lang w:val="en-US" w:eastAsia="zh-CN"/>
        </w:rPr>
        <w:t>1179928670</w:t>
      </w:r>
      <w:r>
        <w:rPr>
          <w:rFonts w:hint="eastAsia" w:ascii="仿宋" w:hAnsi="仿宋" w:eastAsia="仿宋" w:cs="仿宋"/>
          <w:color w:val="auto"/>
          <w:sz w:val="30"/>
          <w:szCs w:val="30"/>
          <w:highlight w:val="none"/>
        </w:rPr>
        <w:t>@qq.com（报名截止后发送，报名无效）</w:t>
      </w:r>
      <w:r>
        <w:rPr>
          <w:rFonts w:hint="eastAsia" w:ascii="仿宋" w:hAnsi="仿宋" w:eastAsia="仿宋" w:cs="仿宋"/>
          <w:color w:val="auto"/>
          <w:sz w:val="30"/>
          <w:szCs w:val="30"/>
          <w:highlight w:val="none"/>
        </w:rPr>
        <w:fldChar w:fldCharType="end"/>
      </w:r>
      <w:r>
        <w:rPr>
          <w:rFonts w:hint="eastAsia" w:ascii="仿宋" w:hAnsi="仿宋" w:eastAsia="仿宋" w:cs="仿宋"/>
          <w:color w:val="auto"/>
          <w:sz w:val="30"/>
          <w:szCs w:val="30"/>
          <w:highlight w:val="none"/>
        </w:rPr>
        <w:t>。</w:t>
      </w:r>
    </w:p>
    <w:p w14:paraId="380EB7DF">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00" w:firstLineChars="200"/>
        <w:jc w:val="both"/>
        <w:textAlignment w:val="auto"/>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4</w:t>
      </w:r>
      <w:r>
        <w:rPr>
          <w:rFonts w:hint="eastAsia" w:ascii="仿宋" w:hAnsi="仿宋" w:eastAsia="仿宋" w:cs="仿宋"/>
          <w:color w:val="auto"/>
          <w:sz w:val="30"/>
          <w:szCs w:val="30"/>
          <w:highlight w:val="none"/>
        </w:rPr>
        <w:t>.已发确认参与函，而放弃参加比选的参选人，须在比选时间截止日前一天以公司名义向1179928670@</w:t>
      </w:r>
      <w:r>
        <w:rPr>
          <w:rFonts w:hint="eastAsia" w:ascii="仿宋" w:hAnsi="仿宋" w:eastAsia="仿宋" w:cs="仿宋"/>
          <w:color w:val="auto"/>
          <w:sz w:val="30"/>
          <w:szCs w:val="30"/>
          <w:highlight w:val="none"/>
          <w:lang w:val="en-US" w:eastAsia="zh-CN"/>
        </w:rPr>
        <w:t>QQ</w:t>
      </w:r>
      <w:r>
        <w:rPr>
          <w:rFonts w:hint="eastAsia" w:ascii="仿宋" w:hAnsi="仿宋" w:eastAsia="仿宋" w:cs="仿宋"/>
          <w:color w:val="auto"/>
          <w:sz w:val="30"/>
          <w:szCs w:val="30"/>
          <w:highlight w:val="none"/>
        </w:rPr>
        <w:t>.com发送放弃参与函（格式自拟）</w:t>
      </w:r>
      <w:r>
        <w:rPr>
          <w:rFonts w:hint="eastAsia" w:ascii="仿宋" w:hAnsi="仿宋" w:eastAsia="仿宋" w:cs="仿宋"/>
          <w:color w:val="auto"/>
          <w:sz w:val="30"/>
          <w:szCs w:val="30"/>
          <w:highlight w:val="none"/>
          <w:lang w:eastAsia="zh-CN"/>
        </w:rPr>
        <w:t>，</w:t>
      </w:r>
      <w:r>
        <w:rPr>
          <w:rFonts w:hint="eastAsia" w:ascii="仿宋" w:hAnsi="仿宋" w:eastAsia="仿宋" w:cs="仿宋"/>
          <w:color w:val="auto"/>
          <w:sz w:val="30"/>
          <w:szCs w:val="30"/>
          <w:highlight w:val="none"/>
        </w:rPr>
        <w:t>否则</w:t>
      </w:r>
      <w:r>
        <w:rPr>
          <w:rFonts w:hint="eastAsia" w:ascii="仿宋" w:hAnsi="仿宋" w:eastAsia="仿宋" w:cs="仿宋"/>
          <w:color w:val="auto"/>
          <w:sz w:val="30"/>
          <w:szCs w:val="30"/>
          <w:highlight w:val="none"/>
          <w:lang w:val="en-US" w:eastAsia="zh-CN"/>
        </w:rPr>
        <w:t>采购</w:t>
      </w:r>
      <w:r>
        <w:rPr>
          <w:rFonts w:hint="eastAsia" w:ascii="仿宋" w:hAnsi="仿宋" w:eastAsia="仿宋" w:cs="仿宋"/>
          <w:color w:val="auto"/>
          <w:sz w:val="30"/>
          <w:szCs w:val="30"/>
          <w:highlight w:val="none"/>
        </w:rPr>
        <w:t>管理人将予拉入集团黑名单处理</w:t>
      </w:r>
      <w:r>
        <w:rPr>
          <w:rFonts w:hint="eastAsia" w:ascii="仿宋" w:hAnsi="仿宋" w:eastAsia="仿宋" w:cs="仿宋"/>
          <w:color w:val="auto"/>
          <w:sz w:val="30"/>
          <w:szCs w:val="30"/>
          <w:highlight w:val="none"/>
          <w:lang w:eastAsia="zh-CN"/>
        </w:rPr>
        <w:t>。</w:t>
      </w:r>
    </w:p>
    <w:p w14:paraId="5BD5B093">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43" w:firstLineChars="200"/>
        <w:jc w:val="both"/>
        <w:textAlignment w:val="auto"/>
        <w:rPr>
          <w:rFonts w:hint="eastAsia" w:ascii="仿宋" w:hAnsi="仿宋" w:eastAsia="仿宋" w:cs="仿宋"/>
          <w:b/>
          <w:bCs w:val="0"/>
          <w:color w:val="auto"/>
          <w:sz w:val="32"/>
          <w:szCs w:val="32"/>
          <w:highlight w:val="none"/>
        </w:rPr>
      </w:pPr>
      <w:r>
        <w:rPr>
          <w:rFonts w:hint="eastAsia" w:ascii="仿宋" w:hAnsi="仿宋" w:eastAsia="仿宋" w:cs="仿宋"/>
          <w:b/>
          <w:bCs w:val="0"/>
          <w:color w:val="auto"/>
          <w:sz w:val="32"/>
          <w:szCs w:val="32"/>
          <w:highlight w:val="none"/>
        </w:rPr>
        <w:t>四、比选时间及地点：</w:t>
      </w:r>
    </w:p>
    <w:p w14:paraId="06B63F6D">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00" w:firstLineChars="200"/>
        <w:jc w:val="both"/>
        <w:textAlignment w:val="auto"/>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时间：</w:t>
      </w:r>
      <w:r>
        <w:rPr>
          <w:rFonts w:hint="eastAsia" w:ascii="仿宋" w:hAnsi="仿宋" w:eastAsia="仿宋" w:cs="仿宋"/>
          <w:color w:val="auto"/>
          <w:sz w:val="30"/>
          <w:szCs w:val="30"/>
          <w:highlight w:val="none"/>
          <w:u w:val="none"/>
          <w:lang w:val="en-US" w:eastAsia="zh-CN"/>
        </w:rPr>
        <w:t>2</w:t>
      </w:r>
      <w:r>
        <w:rPr>
          <w:rFonts w:hint="eastAsia" w:ascii="仿宋" w:hAnsi="仿宋" w:eastAsia="仿宋" w:cs="仿宋"/>
          <w:color w:val="auto"/>
          <w:sz w:val="30"/>
          <w:szCs w:val="30"/>
          <w:highlight w:val="none"/>
          <w:u w:val="none"/>
          <w:lang w:val="en-US" w:eastAsia="zh-CN"/>
        </w:rPr>
        <w:t>026</w:t>
      </w:r>
      <w:r>
        <w:rPr>
          <w:rFonts w:hint="eastAsia" w:ascii="仿宋" w:hAnsi="仿宋" w:eastAsia="仿宋" w:cs="仿宋"/>
          <w:color w:val="auto"/>
          <w:sz w:val="30"/>
          <w:szCs w:val="30"/>
          <w:highlight w:val="none"/>
          <w:u w:val="none"/>
        </w:rPr>
        <w:t>年</w:t>
      </w:r>
      <w:r>
        <w:rPr>
          <w:rFonts w:hint="eastAsia" w:ascii="仿宋" w:hAnsi="仿宋" w:eastAsia="仿宋" w:cs="仿宋"/>
          <w:color w:val="auto"/>
          <w:sz w:val="30"/>
          <w:szCs w:val="30"/>
          <w:highlight w:val="none"/>
          <w:u w:val="none"/>
          <w:lang w:val="en-US" w:eastAsia="zh-CN"/>
        </w:rPr>
        <w:t>9月23日9</w:t>
      </w:r>
      <w:r>
        <w:rPr>
          <w:rFonts w:hint="eastAsia" w:ascii="仿宋" w:hAnsi="仿宋" w:eastAsia="仿宋" w:cs="仿宋"/>
          <w:color w:val="auto"/>
          <w:sz w:val="30"/>
          <w:szCs w:val="30"/>
          <w:highlight w:val="none"/>
          <w:u w:val="none"/>
        </w:rPr>
        <w:t>时</w:t>
      </w:r>
      <w:r>
        <w:rPr>
          <w:rFonts w:hint="eastAsia" w:ascii="仿宋" w:hAnsi="仿宋" w:eastAsia="仿宋" w:cs="仿宋"/>
          <w:color w:val="auto"/>
          <w:sz w:val="30"/>
          <w:szCs w:val="30"/>
          <w:highlight w:val="none"/>
          <w:u w:val="none"/>
          <w:lang w:val="en-US" w:eastAsia="zh-CN"/>
        </w:rPr>
        <w:t>30</w:t>
      </w:r>
      <w:r>
        <w:rPr>
          <w:rFonts w:hint="eastAsia" w:ascii="仿宋" w:hAnsi="仿宋" w:eastAsia="仿宋" w:cs="仿宋"/>
          <w:color w:val="auto"/>
          <w:sz w:val="30"/>
          <w:szCs w:val="30"/>
          <w:highlight w:val="none"/>
          <w:u w:val="none"/>
        </w:rPr>
        <w:t>分</w:t>
      </w:r>
    </w:p>
    <w:p w14:paraId="213CC804">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00" w:firstLineChars="200"/>
        <w:jc w:val="both"/>
        <w:textAlignment w:val="auto"/>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地点：安庆市大观区集贤南路52号二楼集采中心开标室</w:t>
      </w:r>
    </w:p>
    <w:p w14:paraId="653CA2C8">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43" w:firstLineChars="200"/>
        <w:jc w:val="both"/>
        <w:textAlignment w:val="auto"/>
        <w:rPr>
          <w:rFonts w:hint="eastAsia" w:ascii="仿宋" w:hAnsi="仿宋" w:eastAsia="仿宋" w:cs="仿宋"/>
          <w:b/>
          <w:bCs w:val="0"/>
          <w:color w:val="auto"/>
          <w:sz w:val="32"/>
          <w:szCs w:val="32"/>
          <w:highlight w:val="none"/>
        </w:rPr>
      </w:pPr>
      <w:r>
        <w:rPr>
          <w:rFonts w:hint="eastAsia" w:ascii="仿宋" w:hAnsi="仿宋" w:eastAsia="仿宋" w:cs="仿宋"/>
          <w:b/>
          <w:bCs w:val="0"/>
          <w:color w:val="auto"/>
          <w:sz w:val="32"/>
          <w:szCs w:val="32"/>
          <w:highlight w:val="none"/>
        </w:rPr>
        <w:t>五、其他补充事宜：</w:t>
      </w:r>
    </w:p>
    <w:p w14:paraId="7A872AAE">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00" w:firstLineChars="200"/>
        <w:jc w:val="both"/>
        <w:textAlignment w:val="auto"/>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1.参选人的联系人电话(手机)、电子邮箱等通讯方式在比选过程中必须保持畅通，否则因上述原因造成的后果，责任自负。</w:t>
      </w:r>
    </w:p>
    <w:p w14:paraId="1F287335">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00" w:firstLineChars="200"/>
        <w:jc w:val="both"/>
        <w:textAlignment w:val="auto"/>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2.本项目比选实行纸质参选，比选活动线下完成。比选时参选人需要按时到达比选现场进行签到</w:t>
      </w:r>
      <w:r>
        <w:rPr>
          <w:rFonts w:hint="eastAsia" w:ascii="仿宋" w:hAnsi="仿宋" w:eastAsia="仿宋" w:cs="仿宋"/>
          <w:color w:val="auto"/>
          <w:sz w:val="30"/>
          <w:szCs w:val="30"/>
          <w:highlight w:val="none"/>
          <w:lang w:val="en-US" w:eastAsia="zh-CN"/>
        </w:rPr>
        <w:t>并递交投标文件</w:t>
      </w:r>
      <w:r>
        <w:rPr>
          <w:rFonts w:hint="eastAsia" w:ascii="仿宋" w:hAnsi="仿宋" w:eastAsia="仿宋" w:cs="仿宋"/>
          <w:color w:val="auto"/>
          <w:sz w:val="30"/>
          <w:szCs w:val="30"/>
          <w:highlight w:val="none"/>
        </w:rPr>
        <w:t>，因参选人未按时</w:t>
      </w:r>
      <w:r>
        <w:rPr>
          <w:rFonts w:hint="eastAsia" w:ascii="仿宋" w:hAnsi="仿宋" w:eastAsia="仿宋" w:cs="仿宋"/>
          <w:color w:val="auto"/>
          <w:sz w:val="30"/>
          <w:szCs w:val="30"/>
          <w:highlight w:val="none"/>
          <w:lang w:eastAsia="zh-CN"/>
        </w:rPr>
        <w:t>到达</w:t>
      </w:r>
      <w:r>
        <w:rPr>
          <w:rFonts w:hint="eastAsia" w:ascii="仿宋" w:hAnsi="仿宋" w:eastAsia="仿宋" w:cs="仿宋"/>
          <w:color w:val="auto"/>
          <w:sz w:val="30"/>
          <w:szCs w:val="30"/>
          <w:highlight w:val="none"/>
        </w:rPr>
        <w:t>比选现场，则视为主动放弃，对比选造成的不利后果由其自行承担。</w:t>
      </w:r>
    </w:p>
    <w:p w14:paraId="2841A692">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00" w:firstLineChars="200"/>
        <w:jc w:val="both"/>
        <w:textAlignment w:val="auto"/>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3.成交人应在采购人要求的时间内与采购人签订合同。</w:t>
      </w:r>
    </w:p>
    <w:p w14:paraId="69E1EF6D">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43" w:firstLineChars="200"/>
        <w:jc w:val="both"/>
        <w:textAlignment w:val="auto"/>
        <w:rPr>
          <w:rFonts w:hint="eastAsia" w:ascii="仿宋" w:hAnsi="仿宋" w:eastAsia="仿宋" w:cs="仿宋"/>
          <w:b/>
          <w:bCs w:val="0"/>
          <w:color w:val="auto"/>
          <w:sz w:val="32"/>
          <w:szCs w:val="32"/>
          <w:highlight w:val="none"/>
        </w:rPr>
      </w:pPr>
      <w:bookmarkStart w:id="8" w:name="_Toc35393636"/>
      <w:bookmarkStart w:id="9" w:name="_Toc35393805"/>
      <w:bookmarkStart w:id="10" w:name="_Toc28359095"/>
      <w:bookmarkStart w:id="11" w:name="_Toc28359018"/>
      <w:r>
        <w:rPr>
          <w:rFonts w:hint="eastAsia" w:ascii="仿宋" w:hAnsi="仿宋" w:eastAsia="仿宋" w:cs="仿宋"/>
          <w:b/>
          <w:bCs w:val="0"/>
          <w:color w:val="auto"/>
          <w:sz w:val="32"/>
          <w:szCs w:val="32"/>
          <w:highlight w:val="none"/>
          <w:lang w:val="en-US" w:eastAsia="zh-CN"/>
        </w:rPr>
        <w:t>六</w:t>
      </w:r>
      <w:r>
        <w:rPr>
          <w:rFonts w:hint="eastAsia" w:ascii="仿宋" w:hAnsi="仿宋" w:eastAsia="仿宋" w:cs="仿宋"/>
          <w:b/>
          <w:bCs w:val="0"/>
          <w:color w:val="auto"/>
          <w:sz w:val="32"/>
          <w:szCs w:val="32"/>
          <w:highlight w:val="none"/>
        </w:rPr>
        <w:t>、凡对本次比选提出询问，请按以下方式联系</w:t>
      </w:r>
      <w:bookmarkEnd w:id="8"/>
      <w:bookmarkEnd w:id="9"/>
      <w:bookmarkEnd w:id="10"/>
      <w:bookmarkEnd w:id="11"/>
    </w:p>
    <w:p w14:paraId="3691C051">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00" w:firstLineChars="200"/>
        <w:jc w:val="both"/>
        <w:textAlignment w:val="auto"/>
        <w:rPr>
          <w:rFonts w:hint="eastAsia" w:ascii="仿宋" w:hAnsi="仿宋" w:eastAsia="仿宋" w:cs="仿宋"/>
          <w:color w:val="auto"/>
          <w:sz w:val="30"/>
          <w:szCs w:val="30"/>
          <w:highlight w:val="none"/>
        </w:rPr>
      </w:pPr>
      <w:bookmarkStart w:id="12" w:name="_Toc28359019"/>
      <w:bookmarkStart w:id="13" w:name="_Toc35393806"/>
      <w:bookmarkStart w:id="14" w:name="_Toc28359096"/>
      <w:bookmarkStart w:id="15" w:name="_Toc35393637"/>
      <w:r>
        <w:rPr>
          <w:rFonts w:hint="eastAsia" w:ascii="仿宋" w:hAnsi="仿宋" w:eastAsia="仿宋" w:cs="仿宋"/>
          <w:color w:val="auto"/>
          <w:sz w:val="30"/>
          <w:szCs w:val="30"/>
          <w:highlight w:val="none"/>
        </w:rPr>
        <w:t>1.采购人信息</w:t>
      </w:r>
      <w:bookmarkEnd w:id="12"/>
      <w:bookmarkEnd w:id="13"/>
      <w:bookmarkEnd w:id="14"/>
      <w:bookmarkEnd w:id="15"/>
    </w:p>
    <w:p w14:paraId="54B4F562">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00" w:firstLineChars="200"/>
        <w:jc w:val="both"/>
        <w:textAlignment w:val="auto"/>
        <w:rPr>
          <w:rFonts w:hint="eastAsia" w:ascii="仿宋" w:hAnsi="仿宋" w:eastAsia="仿宋" w:cs="仿宋"/>
          <w:bCs/>
          <w:color w:val="auto"/>
          <w:sz w:val="30"/>
          <w:szCs w:val="30"/>
          <w:highlight w:val="none"/>
          <w:lang w:val="en-US" w:eastAsia="zh-CN"/>
        </w:rPr>
      </w:pPr>
      <w:r>
        <w:rPr>
          <w:rFonts w:hint="eastAsia" w:ascii="仿宋" w:hAnsi="仿宋" w:eastAsia="仿宋" w:cs="仿宋"/>
          <w:bCs/>
          <w:color w:val="auto"/>
          <w:sz w:val="30"/>
          <w:szCs w:val="30"/>
          <w:highlight w:val="none"/>
          <w:lang w:val="en-US" w:eastAsia="zh-CN"/>
        </w:rPr>
        <w:t>名    称：安庆中安供应链管理有限责任公司</w:t>
      </w:r>
    </w:p>
    <w:p w14:paraId="79A49898">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00" w:firstLineChars="200"/>
        <w:jc w:val="both"/>
        <w:textAlignment w:val="auto"/>
        <w:rPr>
          <w:rFonts w:hint="eastAsia" w:ascii="仿宋" w:hAnsi="仿宋" w:eastAsia="仿宋" w:cs="仿宋"/>
          <w:bCs/>
          <w:color w:val="auto"/>
          <w:sz w:val="30"/>
          <w:szCs w:val="30"/>
          <w:highlight w:val="none"/>
          <w:lang w:val="en-US" w:eastAsia="zh-CN"/>
        </w:rPr>
      </w:pPr>
      <w:r>
        <w:rPr>
          <w:rFonts w:hint="eastAsia" w:ascii="仿宋" w:hAnsi="仿宋" w:eastAsia="仿宋" w:cs="仿宋"/>
          <w:bCs/>
          <w:color w:val="auto"/>
          <w:sz w:val="30"/>
          <w:szCs w:val="30"/>
          <w:highlight w:val="none"/>
          <w:lang w:val="en-US" w:eastAsia="zh-CN"/>
        </w:rPr>
        <w:t>地    址：安徽省安庆市大观区宜园路16号</w:t>
      </w:r>
    </w:p>
    <w:p w14:paraId="56FE964C">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00" w:firstLineChars="200"/>
        <w:jc w:val="both"/>
        <w:textAlignment w:val="auto"/>
        <w:rPr>
          <w:rFonts w:hint="eastAsia" w:ascii="仿宋" w:hAnsi="仿宋" w:eastAsia="仿宋" w:cs="仿宋"/>
          <w:bCs/>
          <w:color w:val="auto"/>
          <w:sz w:val="30"/>
          <w:szCs w:val="30"/>
          <w:highlight w:val="none"/>
          <w:lang w:val="en-US" w:eastAsia="zh-CN"/>
        </w:rPr>
      </w:pPr>
      <w:r>
        <w:rPr>
          <w:rFonts w:hint="eastAsia" w:ascii="仿宋" w:hAnsi="仿宋" w:eastAsia="仿宋" w:cs="仿宋"/>
          <w:bCs/>
          <w:color w:val="auto"/>
          <w:sz w:val="30"/>
          <w:szCs w:val="30"/>
          <w:highlight w:val="none"/>
          <w:lang w:val="en-US" w:eastAsia="zh-CN"/>
        </w:rPr>
        <w:t>联 系 人：郭训梅</w:t>
      </w:r>
    </w:p>
    <w:p w14:paraId="4374FA9F">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00" w:firstLineChars="200"/>
        <w:jc w:val="both"/>
        <w:textAlignment w:val="auto"/>
        <w:rPr>
          <w:rFonts w:hint="default" w:ascii="仿宋" w:hAnsi="仿宋" w:eastAsia="仿宋" w:cs="仿宋"/>
          <w:bCs/>
          <w:color w:val="auto"/>
          <w:sz w:val="30"/>
          <w:szCs w:val="30"/>
          <w:highlight w:val="none"/>
          <w:lang w:val="en-US" w:eastAsia="zh-CN"/>
        </w:rPr>
      </w:pPr>
      <w:r>
        <w:rPr>
          <w:rFonts w:hint="eastAsia" w:ascii="仿宋" w:hAnsi="仿宋" w:eastAsia="仿宋" w:cs="仿宋"/>
          <w:bCs/>
          <w:color w:val="auto"/>
          <w:sz w:val="30"/>
          <w:szCs w:val="30"/>
          <w:highlight w:val="none"/>
          <w:lang w:val="en-US" w:eastAsia="zh-CN"/>
        </w:rPr>
        <w:t>联系方式：18056924260</w:t>
      </w:r>
    </w:p>
    <w:p w14:paraId="56BEA14F">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00" w:firstLineChars="200"/>
        <w:jc w:val="both"/>
        <w:textAlignment w:val="auto"/>
        <w:rPr>
          <w:rFonts w:hint="eastAsia" w:ascii="仿宋" w:hAnsi="仿宋" w:eastAsia="仿宋" w:cs="仿宋"/>
          <w:bCs/>
          <w:color w:val="auto"/>
          <w:sz w:val="30"/>
          <w:szCs w:val="30"/>
          <w:highlight w:val="none"/>
          <w:lang w:val="en-US" w:eastAsia="zh-CN"/>
        </w:rPr>
      </w:pPr>
      <w:r>
        <w:rPr>
          <w:rFonts w:hint="eastAsia" w:ascii="仿宋" w:hAnsi="仿宋" w:eastAsia="仿宋" w:cs="仿宋"/>
          <w:bCs/>
          <w:color w:val="auto"/>
          <w:sz w:val="30"/>
          <w:szCs w:val="30"/>
          <w:highlight w:val="none"/>
          <w:lang w:val="en-US" w:eastAsia="zh-CN"/>
        </w:rPr>
        <w:t>2.采购管理部门信息</w:t>
      </w:r>
    </w:p>
    <w:p w14:paraId="7408381C">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00" w:firstLineChars="200"/>
        <w:jc w:val="both"/>
        <w:textAlignment w:val="auto"/>
        <w:rPr>
          <w:rFonts w:hint="eastAsia" w:ascii="仿宋" w:hAnsi="仿宋" w:eastAsia="仿宋" w:cs="仿宋"/>
          <w:bCs/>
          <w:color w:val="auto"/>
          <w:sz w:val="30"/>
          <w:szCs w:val="30"/>
          <w:highlight w:val="none"/>
          <w:lang w:val="en-US" w:eastAsia="zh-CN"/>
        </w:rPr>
      </w:pPr>
      <w:r>
        <w:rPr>
          <w:rFonts w:hint="eastAsia" w:ascii="仿宋" w:hAnsi="仿宋" w:eastAsia="仿宋" w:cs="仿宋"/>
          <w:bCs/>
          <w:color w:val="auto"/>
          <w:sz w:val="30"/>
          <w:szCs w:val="30"/>
          <w:highlight w:val="none"/>
          <w:lang w:val="en-US" w:eastAsia="zh-CN"/>
        </w:rPr>
        <w:t>名    称：安庆市交通控股集团有限公司集采中心</w:t>
      </w:r>
    </w:p>
    <w:p w14:paraId="601A9673">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00" w:firstLineChars="200"/>
        <w:jc w:val="both"/>
        <w:textAlignment w:val="auto"/>
        <w:rPr>
          <w:rFonts w:hint="eastAsia" w:ascii="仿宋" w:hAnsi="仿宋" w:eastAsia="仿宋" w:cs="仿宋"/>
          <w:bCs/>
          <w:color w:val="auto"/>
          <w:sz w:val="30"/>
          <w:szCs w:val="30"/>
          <w:highlight w:val="none"/>
          <w:lang w:val="en-US" w:eastAsia="zh-CN"/>
        </w:rPr>
      </w:pPr>
      <w:r>
        <w:rPr>
          <w:rFonts w:hint="eastAsia" w:ascii="仿宋" w:hAnsi="仿宋" w:eastAsia="仿宋" w:cs="仿宋"/>
          <w:bCs/>
          <w:color w:val="auto"/>
          <w:sz w:val="30"/>
          <w:szCs w:val="30"/>
          <w:highlight w:val="none"/>
          <w:lang w:val="en-US" w:eastAsia="zh-CN"/>
        </w:rPr>
        <w:t>地    址：安庆市大观区集贤南路52号</w:t>
      </w:r>
    </w:p>
    <w:p w14:paraId="48623EBE">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00" w:firstLineChars="200"/>
        <w:jc w:val="both"/>
        <w:textAlignment w:val="auto"/>
        <w:rPr>
          <w:rFonts w:hint="eastAsia" w:ascii="仿宋" w:hAnsi="仿宋" w:eastAsia="仿宋" w:cs="仿宋"/>
          <w:bCs/>
          <w:color w:val="auto"/>
          <w:sz w:val="30"/>
          <w:szCs w:val="30"/>
          <w:highlight w:val="none"/>
          <w:lang w:val="en-US" w:eastAsia="zh-CN"/>
        </w:rPr>
      </w:pPr>
      <w:r>
        <w:rPr>
          <w:rFonts w:hint="eastAsia" w:ascii="仿宋" w:hAnsi="仿宋" w:eastAsia="仿宋" w:cs="仿宋"/>
          <w:bCs/>
          <w:color w:val="auto"/>
          <w:sz w:val="30"/>
          <w:szCs w:val="30"/>
          <w:highlight w:val="none"/>
          <w:lang w:val="en-US" w:eastAsia="zh-CN"/>
        </w:rPr>
        <w:t>联 系 人：王欣怡</w:t>
      </w:r>
    </w:p>
    <w:p w14:paraId="0358993B">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00" w:firstLineChars="200"/>
        <w:jc w:val="both"/>
        <w:textAlignment w:val="auto"/>
        <w:rPr>
          <w:rFonts w:hint="eastAsia" w:ascii="仿宋" w:hAnsi="仿宋" w:eastAsia="仿宋" w:cs="仿宋"/>
          <w:bCs/>
          <w:color w:val="auto"/>
          <w:sz w:val="28"/>
          <w:szCs w:val="28"/>
          <w:highlight w:val="none"/>
          <w:lang w:val="en-US" w:eastAsia="zh-CN"/>
        </w:rPr>
      </w:pPr>
      <w:r>
        <w:rPr>
          <w:rFonts w:hint="eastAsia" w:ascii="仿宋" w:hAnsi="仿宋" w:eastAsia="仿宋" w:cs="仿宋"/>
          <w:bCs/>
          <w:color w:val="auto"/>
          <w:sz w:val="30"/>
          <w:szCs w:val="30"/>
          <w:highlight w:val="none"/>
          <w:lang w:val="en-US" w:eastAsia="zh-CN"/>
        </w:rPr>
        <w:t>联系方式：</w:t>
      </w:r>
      <w:r>
        <w:rPr>
          <w:rFonts w:hint="eastAsia" w:ascii="仿宋" w:hAnsi="仿宋" w:eastAsia="仿宋" w:cs="仿宋"/>
          <w:i w:val="0"/>
          <w:iCs w:val="0"/>
          <w:caps w:val="0"/>
          <w:color w:val="auto"/>
          <w:spacing w:val="0"/>
          <w:sz w:val="30"/>
          <w:szCs w:val="30"/>
          <w:highlight w:val="none"/>
          <w:shd w:val="clear" w:fill="FFFFFF"/>
        </w:rPr>
        <w:t>0556-5990510</w:t>
      </w:r>
    </w:p>
    <w:p w14:paraId="01548478">
      <w:pPr>
        <w:rPr>
          <w:rFonts w:ascii="宋体" w:hAnsi="宋体" w:cs="宋体"/>
          <w:b/>
          <w:bCs/>
          <w:color w:val="auto"/>
          <w:sz w:val="28"/>
          <w:szCs w:val="28"/>
          <w:highlight w:val="none"/>
        </w:rPr>
      </w:pPr>
      <w:r>
        <w:rPr>
          <w:rFonts w:ascii="宋体" w:hAnsi="宋体" w:cs="宋体"/>
          <w:b/>
          <w:bCs/>
          <w:color w:val="auto"/>
          <w:sz w:val="28"/>
          <w:szCs w:val="28"/>
          <w:highlight w:val="none"/>
        </w:rPr>
        <w:br w:type="page"/>
      </w:r>
    </w:p>
    <w:p w14:paraId="5BE92320">
      <w:pPr>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Times New Roman"/>
          <w:color w:val="auto"/>
          <w:sz w:val="28"/>
          <w:szCs w:val="28"/>
          <w:highlight w:val="none"/>
          <w:u w:val="none"/>
        </w:rPr>
      </w:pPr>
      <w:r>
        <w:rPr>
          <w:rFonts w:hint="eastAsia" w:ascii="仿宋" w:hAnsi="仿宋" w:eastAsia="仿宋" w:cs="Times New Roman"/>
          <w:b w:val="0"/>
          <w:bCs w:val="0"/>
          <w:color w:val="auto"/>
          <w:sz w:val="32"/>
          <w:szCs w:val="32"/>
          <w:highlight w:val="none"/>
          <w:u w:val="none"/>
          <w:lang w:val="en-US" w:eastAsia="zh-CN"/>
        </w:rPr>
        <w:t>附：</w:t>
      </w:r>
    </w:p>
    <w:p w14:paraId="47253E42">
      <w:pPr>
        <w:keepNext/>
        <w:keepLines/>
        <w:widowControl w:val="0"/>
        <w:spacing w:before="340" w:after="330" w:line="578" w:lineRule="auto"/>
        <w:jc w:val="center"/>
        <w:outlineLvl w:val="0"/>
        <w:rPr>
          <w:rFonts w:hint="eastAsia" w:ascii="宋体" w:hAnsi="宋体" w:eastAsia="宋体" w:cs="宋体"/>
          <w:b/>
          <w:bCs/>
          <w:color w:val="auto"/>
          <w:kern w:val="44"/>
          <w:sz w:val="44"/>
          <w:szCs w:val="44"/>
          <w:highlight w:val="none"/>
          <w:lang w:val="en-US" w:eastAsia="zh-CN" w:bidi="ar-SA"/>
        </w:rPr>
      </w:pPr>
      <w:bookmarkStart w:id="16" w:name="_Toc13660"/>
      <w:r>
        <w:rPr>
          <w:rFonts w:hint="eastAsia" w:ascii="宋体" w:hAnsi="宋体" w:eastAsia="宋体" w:cs="宋体"/>
          <w:b/>
          <w:bCs/>
          <w:color w:val="auto"/>
          <w:kern w:val="44"/>
          <w:sz w:val="44"/>
          <w:szCs w:val="44"/>
          <w:highlight w:val="none"/>
          <w:lang w:val="en-US" w:eastAsia="zh-CN" w:bidi="ar-SA"/>
        </w:rPr>
        <w:t>确定参与比选的函</w:t>
      </w:r>
      <w:bookmarkEnd w:id="16"/>
    </w:p>
    <w:p w14:paraId="43B04224">
      <w:pPr>
        <w:jc w:val="both"/>
        <w:rPr>
          <w:rFonts w:hint="eastAsia" w:ascii="仿宋" w:hAnsi="仿宋" w:eastAsia="仿宋" w:cs="仿宋"/>
          <w:b w:val="0"/>
          <w:bCs w:val="0"/>
          <w:color w:val="auto"/>
          <w:sz w:val="32"/>
          <w:szCs w:val="32"/>
          <w:highlight w:val="none"/>
          <w:u w:val="none"/>
          <w:lang w:val="en-US" w:eastAsia="zh-CN"/>
        </w:rPr>
      </w:pPr>
      <w:r>
        <w:rPr>
          <w:rFonts w:hint="eastAsia" w:ascii="仿宋" w:hAnsi="仿宋" w:eastAsia="仿宋" w:cs="仿宋"/>
          <w:b w:val="0"/>
          <w:bCs w:val="0"/>
          <w:color w:val="auto"/>
          <w:sz w:val="32"/>
          <w:szCs w:val="32"/>
          <w:highlight w:val="none"/>
          <w:u w:val="none"/>
          <w:lang w:val="en-US" w:eastAsia="zh-CN"/>
        </w:rPr>
        <w:t>安庆市交通控股集团有限公司集采中心：</w:t>
      </w:r>
    </w:p>
    <w:p w14:paraId="035D8B86">
      <w:pPr>
        <w:ind w:firstLine="640"/>
        <w:jc w:val="both"/>
        <w:rPr>
          <w:rFonts w:hint="eastAsia" w:ascii="仿宋" w:hAnsi="仿宋" w:eastAsia="仿宋" w:cs="仿宋"/>
          <w:b w:val="0"/>
          <w:bCs w:val="0"/>
          <w:color w:val="auto"/>
          <w:sz w:val="32"/>
          <w:szCs w:val="32"/>
          <w:highlight w:val="none"/>
          <w:u w:val="none"/>
          <w:lang w:val="en-US" w:eastAsia="zh-CN"/>
        </w:rPr>
      </w:pPr>
      <w:r>
        <w:rPr>
          <w:rFonts w:hint="eastAsia" w:ascii="仿宋" w:hAnsi="仿宋" w:eastAsia="仿宋" w:cs="仿宋"/>
          <w:b w:val="0"/>
          <w:bCs w:val="0"/>
          <w:color w:val="auto"/>
          <w:sz w:val="32"/>
          <w:szCs w:val="32"/>
          <w:highlight w:val="none"/>
          <w:u w:val="none"/>
          <w:lang w:val="en-US" w:eastAsia="zh-CN"/>
        </w:rPr>
        <w:t>我单位确定参与</w:t>
      </w:r>
      <w:r>
        <w:rPr>
          <w:rFonts w:hint="eastAsia" w:ascii="仿宋" w:hAnsi="仿宋" w:eastAsia="仿宋" w:cs="仿宋"/>
          <w:b w:val="0"/>
          <w:bCs w:val="0"/>
          <w:color w:val="auto"/>
          <w:sz w:val="32"/>
          <w:szCs w:val="32"/>
          <w:highlight w:val="none"/>
          <w:u w:val="single"/>
          <w:lang w:val="en-US" w:eastAsia="zh-CN"/>
        </w:rPr>
        <w:t>安庆中安公司诉上海星徽汽车贸易有限公司合同纠纷案件诉讼代理服务（重新招标）</w:t>
      </w:r>
      <w:r>
        <w:rPr>
          <w:rFonts w:hint="eastAsia" w:ascii="仿宋" w:hAnsi="仿宋" w:eastAsia="仿宋" w:cs="仿宋"/>
          <w:b w:val="0"/>
          <w:bCs w:val="0"/>
          <w:color w:val="auto"/>
          <w:sz w:val="32"/>
          <w:szCs w:val="32"/>
          <w:highlight w:val="none"/>
          <w:u w:val="none"/>
          <w:lang w:val="en-US" w:eastAsia="zh-CN"/>
        </w:rPr>
        <w:t>项目，并承诺按比选文件的要求，按时参与比选开标。</w:t>
      </w:r>
    </w:p>
    <w:p w14:paraId="667FC54F">
      <w:pPr>
        <w:ind w:firstLine="640" w:firstLineChars="200"/>
        <w:jc w:val="both"/>
        <w:rPr>
          <w:rFonts w:hint="eastAsia" w:ascii="仿宋" w:hAnsi="仿宋" w:eastAsia="仿宋" w:cs="仿宋"/>
          <w:b w:val="0"/>
          <w:bCs w:val="0"/>
          <w:color w:val="auto"/>
          <w:sz w:val="32"/>
          <w:szCs w:val="32"/>
          <w:highlight w:val="none"/>
          <w:u w:val="none"/>
          <w:lang w:val="en-US" w:eastAsia="zh-CN"/>
        </w:rPr>
      </w:pPr>
      <w:r>
        <w:rPr>
          <w:rFonts w:hint="eastAsia" w:ascii="仿宋" w:hAnsi="仿宋" w:eastAsia="仿宋" w:cs="仿宋"/>
          <w:b w:val="0"/>
          <w:bCs w:val="0"/>
          <w:color w:val="auto"/>
          <w:sz w:val="32"/>
          <w:szCs w:val="32"/>
          <w:highlight w:val="none"/>
          <w:u w:val="none"/>
          <w:lang w:val="en-US" w:eastAsia="zh-CN"/>
        </w:rPr>
        <w:t>联系人：</w:t>
      </w:r>
    </w:p>
    <w:p w14:paraId="7F6F12C3">
      <w:pPr>
        <w:ind w:firstLine="640" w:firstLineChars="200"/>
        <w:jc w:val="both"/>
        <w:rPr>
          <w:rFonts w:hint="eastAsia" w:ascii="仿宋" w:hAnsi="仿宋" w:eastAsia="仿宋" w:cs="仿宋"/>
          <w:b w:val="0"/>
          <w:bCs w:val="0"/>
          <w:color w:val="auto"/>
          <w:sz w:val="32"/>
          <w:szCs w:val="32"/>
          <w:highlight w:val="none"/>
          <w:u w:val="none"/>
          <w:lang w:val="en-US" w:eastAsia="zh-CN"/>
        </w:rPr>
      </w:pPr>
      <w:r>
        <w:rPr>
          <w:rFonts w:hint="eastAsia" w:ascii="仿宋" w:hAnsi="仿宋" w:eastAsia="仿宋" w:cs="仿宋"/>
          <w:b w:val="0"/>
          <w:bCs w:val="0"/>
          <w:color w:val="auto"/>
          <w:sz w:val="32"/>
          <w:szCs w:val="32"/>
          <w:highlight w:val="none"/>
          <w:u w:val="none"/>
          <w:lang w:val="en-US" w:eastAsia="zh-CN"/>
        </w:rPr>
        <w:t>联系电话：</w:t>
      </w:r>
    </w:p>
    <w:p w14:paraId="37147403">
      <w:pPr>
        <w:ind w:firstLine="640"/>
        <w:jc w:val="both"/>
        <w:rPr>
          <w:rFonts w:hint="eastAsia" w:ascii="仿宋" w:hAnsi="仿宋" w:eastAsia="仿宋" w:cs="仿宋"/>
          <w:b w:val="0"/>
          <w:bCs w:val="0"/>
          <w:color w:val="auto"/>
          <w:sz w:val="32"/>
          <w:szCs w:val="32"/>
          <w:highlight w:val="none"/>
          <w:u w:val="none"/>
          <w:lang w:val="en-US" w:eastAsia="zh-CN"/>
        </w:rPr>
      </w:pPr>
    </w:p>
    <w:p w14:paraId="02AC4DF3">
      <w:pPr>
        <w:pStyle w:val="81"/>
        <w:rPr>
          <w:rFonts w:hint="eastAsia" w:ascii="仿宋" w:hAnsi="仿宋" w:eastAsia="仿宋" w:cs="仿宋"/>
          <w:b w:val="0"/>
          <w:bCs w:val="0"/>
          <w:color w:val="auto"/>
          <w:sz w:val="32"/>
          <w:szCs w:val="32"/>
          <w:highlight w:val="none"/>
          <w:u w:val="none"/>
          <w:lang w:val="en-US" w:eastAsia="zh-CN"/>
        </w:rPr>
      </w:pPr>
    </w:p>
    <w:p w14:paraId="3BBAE40A">
      <w:pPr>
        <w:pStyle w:val="81"/>
        <w:rPr>
          <w:rFonts w:hint="eastAsia" w:ascii="仿宋" w:hAnsi="仿宋" w:eastAsia="仿宋" w:cs="仿宋"/>
          <w:b w:val="0"/>
          <w:bCs w:val="0"/>
          <w:color w:val="auto"/>
          <w:sz w:val="32"/>
          <w:szCs w:val="32"/>
          <w:highlight w:val="none"/>
          <w:u w:val="none"/>
          <w:lang w:val="en-US" w:eastAsia="zh-CN"/>
        </w:rPr>
      </w:pPr>
    </w:p>
    <w:p w14:paraId="324B7CC7">
      <w:pPr>
        <w:pStyle w:val="81"/>
        <w:rPr>
          <w:rFonts w:hint="eastAsia" w:ascii="仿宋" w:hAnsi="仿宋" w:eastAsia="仿宋" w:cs="仿宋"/>
          <w:b w:val="0"/>
          <w:bCs w:val="0"/>
          <w:color w:val="auto"/>
          <w:sz w:val="32"/>
          <w:szCs w:val="32"/>
          <w:highlight w:val="none"/>
          <w:u w:val="none"/>
          <w:lang w:val="en-US" w:eastAsia="zh-CN"/>
        </w:rPr>
      </w:pPr>
    </w:p>
    <w:p w14:paraId="2A947E7E">
      <w:pPr>
        <w:wordWrap w:val="0"/>
        <w:ind w:firstLine="640"/>
        <w:jc w:val="right"/>
        <w:rPr>
          <w:rFonts w:hint="default" w:ascii="仿宋" w:hAnsi="仿宋" w:eastAsia="仿宋" w:cs="仿宋"/>
          <w:b w:val="0"/>
          <w:bCs w:val="0"/>
          <w:color w:val="auto"/>
          <w:sz w:val="32"/>
          <w:szCs w:val="32"/>
          <w:highlight w:val="none"/>
          <w:u w:val="none"/>
          <w:lang w:val="en-US" w:eastAsia="zh-CN"/>
        </w:rPr>
      </w:pPr>
      <w:r>
        <w:rPr>
          <w:rFonts w:hint="eastAsia" w:ascii="仿宋" w:hAnsi="仿宋" w:eastAsia="仿宋" w:cs="仿宋"/>
          <w:b w:val="0"/>
          <w:bCs w:val="0"/>
          <w:color w:val="auto"/>
          <w:sz w:val="32"/>
          <w:szCs w:val="32"/>
          <w:highlight w:val="none"/>
          <w:u w:val="none"/>
          <w:lang w:val="en-US" w:eastAsia="zh-CN"/>
        </w:rPr>
        <w:t xml:space="preserve">单位名称（盖章）                   </w:t>
      </w:r>
    </w:p>
    <w:p w14:paraId="0FFD0F8D">
      <w:pPr>
        <w:ind w:firstLine="640"/>
        <w:jc w:val="right"/>
        <w:rPr>
          <w:rFonts w:hint="eastAsia" w:ascii="仿宋" w:hAnsi="仿宋" w:eastAsia="仿宋" w:cs="仿宋"/>
          <w:b w:val="0"/>
          <w:bCs w:val="0"/>
          <w:color w:val="auto"/>
          <w:sz w:val="32"/>
          <w:szCs w:val="32"/>
          <w:highlight w:val="none"/>
          <w:u w:val="none"/>
          <w:lang w:val="en-US" w:eastAsia="zh-CN"/>
        </w:rPr>
      </w:pPr>
      <w:r>
        <w:rPr>
          <w:rFonts w:hint="eastAsia" w:ascii="仿宋" w:hAnsi="仿宋" w:eastAsia="仿宋" w:cs="仿宋"/>
          <w:b w:val="0"/>
          <w:bCs w:val="0"/>
          <w:color w:val="auto"/>
          <w:sz w:val="32"/>
          <w:szCs w:val="32"/>
          <w:highlight w:val="none"/>
          <w:u w:val="none"/>
          <w:lang w:val="en-US" w:eastAsia="zh-CN"/>
        </w:rPr>
        <w:t>年   月   日</w:t>
      </w:r>
    </w:p>
    <w:p w14:paraId="28D5CEEA">
      <w:pPr>
        <w:rPr>
          <w:rFonts w:ascii="宋体" w:hAnsi="宋体" w:cs="宋体"/>
          <w:b/>
          <w:bCs/>
          <w:color w:val="auto"/>
          <w:sz w:val="28"/>
          <w:szCs w:val="28"/>
          <w:highlight w:val="none"/>
        </w:rPr>
      </w:pPr>
      <w:r>
        <w:rPr>
          <w:rFonts w:ascii="宋体" w:hAnsi="宋体" w:cs="宋体"/>
          <w:b/>
          <w:bCs/>
          <w:color w:val="auto"/>
          <w:sz w:val="28"/>
          <w:szCs w:val="28"/>
          <w:highlight w:val="none"/>
        </w:rPr>
        <w:br w:type="page"/>
      </w:r>
    </w:p>
    <w:p w14:paraId="5D32225D">
      <w:pPr>
        <w:pStyle w:val="2"/>
        <w:spacing w:before="62" w:beforeLines="20" w:after="62" w:afterLines="20" w:line="480" w:lineRule="exact"/>
        <w:ind w:firstLine="0" w:firstLineChars="0"/>
        <w:jc w:val="center"/>
        <w:rPr>
          <w:rFonts w:ascii="Arial" w:hAnsi="Arial"/>
          <w:color w:val="auto"/>
          <w:kern w:val="2"/>
          <w:sz w:val="32"/>
          <w:szCs w:val="32"/>
          <w:highlight w:val="none"/>
        </w:rPr>
      </w:pPr>
      <w:bookmarkStart w:id="17" w:name="_Toc54941329"/>
      <w:bookmarkStart w:id="18" w:name="_Toc26069"/>
      <w:bookmarkStart w:id="19" w:name="_Toc11223"/>
      <w:r>
        <w:rPr>
          <w:rFonts w:hint="eastAsia" w:ascii="Arial" w:hAnsi="Arial"/>
          <w:color w:val="auto"/>
          <w:kern w:val="2"/>
          <w:sz w:val="32"/>
          <w:szCs w:val="32"/>
          <w:highlight w:val="none"/>
        </w:rPr>
        <w:t>第二章  比选须知</w:t>
      </w:r>
      <w:bookmarkEnd w:id="3"/>
      <w:bookmarkEnd w:id="17"/>
      <w:bookmarkEnd w:id="18"/>
      <w:bookmarkEnd w:id="19"/>
    </w:p>
    <w:p w14:paraId="4F179406">
      <w:pPr>
        <w:pStyle w:val="3"/>
        <w:rPr>
          <w:rFonts w:cs="Tahoma"/>
          <w:bCs/>
          <w:color w:val="auto"/>
          <w:kern w:val="0"/>
          <w:sz w:val="32"/>
          <w:szCs w:val="32"/>
          <w:highlight w:val="none"/>
        </w:rPr>
      </w:pPr>
      <w:bookmarkStart w:id="20" w:name="_Toc17862"/>
      <w:bookmarkStart w:id="21" w:name="_Toc54941330"/>
      <w:bookmarkStart w:id="22" w:name="_Toc439316871"/>
      <w:r>
        <w:rPr>
          <w:rFonts w:hint="eastAsia" w:cs="Tahoma"/>
          <w:bCs/>
          <w:color w:val="auto"/>
          <w:kern w:val="0"/>
          <w:sz w:val="32"/>
          <w:szCs w:val="32"/>
          <w:highlight w:val="none"/>
        </w:rPr>
        <w:t>第一节 参选人须知前附表</w:t>
      </w:r>
      <w:bookmarkEnd w:id="20"/>
      <w:bookmarkEnd w:id="21"/>
      <w:bookmarkEnd w:id="22"/>
    </w:p>
    <w:tbl>
      <w:tblPr>
        <w:tblStyle w:val="61"/>
        <w:tblW w:w="913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19"/>
        <w:gridCol w:w="2125"/>
        <w:gridCol w:w="6487"/>
      </w:tblGrid>
      <w:tr w14:paraId="25AD4B2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41591DD2">
            <w:pPr>
              <w:keepNext w:val="0"/>
              <w:keepLines w:val="0"/>
              <w:pageBreakBefore w:val="0"/>
              <w:suppressLineNumbers w:val="0"/>
              <w:kinsoku/>
              <w:wordWrap/>
              <w:overflowPunct/>
              <w:topLinePunct w:val="0"/>
              <w:bidi w:val="0"/>
              <w:spacing w:before="0" w:beforeAutospacing="0" w:after="0" w:afterAutospacing="0" w:line="420" w:lineRule="exact"/>
              <w:ind w:left="0" w:right="-358"/>
              <w:textAlignment w:val="auto"/>
              <w:rPr>
                <w:rFonts w:hint="default" w:ascii="宋体"/>
                <w:color w:val="auto"/>
                <w:szCs w:val="21"/>
                <w:highlight w:val="none"/>
              </w:rPr>
            </w:pPr>
            <w:r>
              <w:rPr>
                <w:rFonts w:hint="eastAsia" w:ascii="宋体" w:hAnsi="宋体"/>
                <w:color w:val="auto"/>
                <w:szCs w:val="21"/>
                <w:highlight w:val="none"/>
              </w:rPr>
              <w:t>序号</w:t>
            </w:r>
          </w:p>
        </w:tc>
        <w:tc>
          <w:tcPr>
            <w:tcW w:w="2125" w:type="dxa"/>
            <w:tcBorders>
              <w:top w:val="single" w:color="auto" w:sz="4" w:space="0"/>
              <w:left w:val="single" w:color="auto" w:sz="4" w:space="0"/>
              <w:bottom w:val="single" w:color="auto" w:sz="4" w:space="0"/>
              <w:right w:val="single" w:color="auto" w:sz="4" w:space="0"/>
            </w:tcBorders>
          </w:tcPr>
          <w:p w14:paraId="1A66B73C">
            <w:pPr>
              <w:keepNext w:val="0"/>
              <w:keepLines w:val="0"/>
              <w:pageBreakBefore w:val="0"/>
              <w:suppressLineNumbers w:val="0"/>
              <w:kinsoku/>
              <w:wordWrap/>
              <w:overflowPunct/>
              <w:topLinePunct w:val="0"/>
              <w:bidi w:val="0"/>
              <w:spacing w:before="0" w:beforeAutospacing="0" w:after="0" w:afterAutospacing="0" w:line="420" w:lineRule="exact"/>
              <w:ind w:left="0" w:right="0"/>
              <w:jc w:val="center"/>
              <w:textAlignment w:val="auto"/>
              <w:rPr>
                <w:rFonts w:hint="default" w:ascii="宋体"/>
                <w:color w:val="auto"/>
                <w:szCs w:val="21"/>
                <w:highlight w:val="none"/>
              </w:rPr>
            </w:pPr>
            <w:r>
              <w:rPr>
                <w:rFonts w:hint="eastAsia" w:ascii="宋体" w:hAnsi="宋体"/>
                <w:color w:val="auto"/>
                <w:szCs w:val="21"/>
                <w:highlight w:val="none"/>
              </w:rPr>
              <w:t>内容</w:t>
            </w:r>
          </w:p>
        </w:tc>
        <w:tc>
          <w:tcPr>
            <w:tcW w:w="6487" w:type="dxa"/>
            <w:tcBorders>
              <w:top w:val="single" w:color="auto" w:sz="4" w:space="0"/>
              <w:left w:val="single" w:color="auto" w:sz="4" w:space="0"/>
              <w:bottom w:val="single" w:color="auto" w:sz="4" w:space="0"/>
            </w:tcBorders>
            <w:vAlign w:val="center"/>
          </w:tcPr>
          <w:p w14:paraId="42D55860">
            <w:pPr>
              <w:keepNext w:val="0"/>
              <w:keepLines w:val="0"/>
              <w:pageBreakBefore w:val="0"/>
              <w:suppressLineNumbers w:val="0"/>
              <w:tabs>
                <w:tab w:val="left" w:pos="1180"/>
              </w:tabs>
              <w:kinsoku/>
              <w:wordWrap/>
              <w:overflowPunct/>
              <w:topLinePunct w:val="0"/>
              <w:bidi w:val="0"/>
              <w:spacing w:before="0" w:beforeAutospacing="0" w:after="0" w:afterAutospacing="0" w:line="420" w:lineRule="exact"/>
              <w:ind w:left="0" w:right="0"/>
              <w:jc w:val="center"/>
              <w:textAlignment w:val="auto"/>
              <w:rPr>
                <w:rFonts w:hint="default" w:ascii="宋体"/>
                <w:color w:val="auto"/>
                <w:szCs w:val="21"/>
                <w:highlight w:val="none"/>
              </w:rPr>
            </w:pPr>
            <w:r>
              <w:rPr>
                <w:rFonts w:hint="eastAsia" w:ascii="宋体" w:hAnsi="宋体"/>
                <w:color w:val="auto"/>
                <w:szCs w:val="21"/>
                <w:highlight w:val="none"/>
              </w:rPr>
              <w:t>说明与要求</w:t>
            </w:r>
          </w:p>
        </w:tc>
      </w:tr>
      <w:tr w14:paraId="22AEB6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60" w:hRule="atLeast"/>
          <w:jc w:val="center"/>
        </w:trPr>
        <w:tc>
          <w:tcPr>
            <w:tcW w:w="519" w:type="dxa"/>
            <w:tcBorders>
              <w:top w:val="single" w:color="auto" w:sz="4" w:space="0"/>
              <w:bottom w:val="single" w:color="auto" w:sz="4" w:space="0"/>
              <w:right w:val="single" w:color="auto" w:sz="4" w:space="0"/>
            </w:tcBorders>
            <w:vAlign w:val="center"/>
          </w:tcPr>
          <w:p w14:paraId="427FE82F">
            <w:pPr>
              <w:keepNext w:val="0"/>
              <w:keepLines w:val="0"/>
              <w:pageBreakBefore w:val="0"/>
              <w:suppressLineNumbers w:val="0"/>
              <w:kinsoku/>
              <w:wordWrap/>
              <w:overflowPunct/>
              <w:topLinePunct w:val="0"/>
              <w:bidi w:val="0"/>
              <w:spacing w:before="0" w:beforeAutospacing="0" w:after="0" w:afterAutospacing="0" w:line="420" w:lineRule="exact"/>
              <w:ind w:left="0" w:right="0"/>
              <w:jc w:val="center"/>
              <w:textAlignment w:val="auto"/>
              <w:rPr>
                <w:rFonts w:hint="eastAsia" w:ascii="宋体" w:eastAsia="宋体"/>
                <w:color w:val="auto"/>
                <w:szCs w:val="21"/>
                <w:highlight w:val="none"/>
                <w:lang w:eastAsia="zh-CN"/>
              </w:rPr>
            </w:pPr>
            <w:r>
              <w:rPr>
                <w:rFonts w:hint="eastAsia" w:ascii="宋体" w:hAnsi="宋体"/>
                <w:color w:val="auto"/>
                <w:szCs w:val="21"/>
                <w:highlight w:val="none"/>
                <w:lang w:val="en-US" w:eastAsia="zh-CN"/>
              </w:rPr>
              <w:t>1</w:t>
            </w:r>
          </w:p>
        </w:tc>
        <w:tc>
          <w:tcPr>
            <w:tcW w:w="2125" w:type="dxa"/>
            <w:tcBorders>
              <w:top w:val="single" w:color="auto" w:sz="4" w:space="0"/>
              <w:left w:val="single" w:color="auto" w:sz="4" w:space="0"/>
              <w:bottom w:val="single" w:color="auto" w:sz="4" w:space="0"/>
              <w:right w:val="single" w:color="auto" w:sz="4" w:space="0"/>
            </w:tcBorders>
            <w:vAlign w:val="center"/>
          </w:tcPr>
          <w:p w14:paraId="4B61788E">
            <w:pPr>
              <w:keepNext w:val="0"/>
              <w:keepLines w:val="0"/>
              <w:pageBreakBefore w:val="0"/>
              <w:suppressLineNumbers w:val="0"/>
              <w:kinsoku/>
              <w:wordWrap/>
              <w:overflowPunct/>
              <w:topLinePunct w:val="0"/>
              <w:bidi w:val="0"/>
              <w:spacing w:before="0" w:beforeAutospacing="0" w:after="0" w:afterAutospacing="0" w:line="420" w:lineRule="exact"/>
              <w:ind w:left="0" w:right="0"/>
              <w:jc w:val="center"/>
              <w:textAlignment w:val="auto"/>
              <w:rPr>
                <w:rFonts w:hint="default" w:ascii="宋体"/>
                <w:b w:val="0"/>
                <w:bCs w:val="0"/>
                <w:color w:val="auto"/>
                <w:sz w:val="21"/>
                <w:szCs w:val="21"/>
                <w:highlight w:val="none"/>
              </w:rPr>
            </w:pPr>
            <w:r>
              <w:rPr>
                <w:rFonts w:hint="eastAsia" w:ascii="宋体" w:hAnsi="宋体"/>
                <w:b w:val="0"/>
                <w:bCs w:val="0"/>
                <w:color w:val="auto"/>
                <w:sz w:val="21"/>
                <w:szCs w:val="21"/>
                <w:highlight w:val="none"/>
              </w:rPr>
              <w:t>项目名称</w:t>
            </w:r>
          </w:p>
        </w:tc>
        <w:tc>
          <w:tcPr>
            <w:tcW w:w="6487" w:type="dxa"/>
            <w:tcBorders>
              <w:top w:val="single" w:color="auto" w:sz="4" w:space="0"/>
              <w:left w:val="single" w:color="auto" w:sz="4" w:space="0"/>
              <w:bottom w:val="single" w:color="auto" w:sz="4" w:space="0"/>
            </w:tcBorders>
            <w:vAlign w:val="center"/>
          </w:tcPr>
          <w:p w14:paraId="7116AEE7">
            <w:pPr>
              <w:keepNext w:val="0"/>
              <w:keepLines w:val="0"/>
              <w:pageBreakBefore w:val="0"/>
              <w:widowControl/>
              <w:suppressLineNumbers w:val="0"/>
              <w:kinsoku/>
              <w:wordWrap/>
              <w:overflowPunct/>
              <w:topLinePunct w:val="0"/>
              <w:bidi w:val="0"/>
              <w:snapToGrid w:val="0"/>
              <w:spacing w:before="0" w:beforeAutospacing="0" w:after="0" w:afterAutospacing="0" w:line="420" w:lineRule="exact"/>
              <w:ind w:left="0" w:right="0"/>
              <w:textAlignment w:val="auto"/>
              <w:rPr>
                <w:rFonts w:hint="default" w:eastAsia="宋体"/>
                <w:b w:val="0"/>
                <w:bCs w:val="0"/>
                <w:color w:val="auto"/>
                <w:sz w:val="21"/>
                <w:szCs w:val="21"/>
                <w:highlight w:val="none"/>
                <w:lang w:val="en-US" w:eastAsia="zh-CN"/>
              </w:rPr>
            </w:pPr>
            <w:r>
              <w:rPr>
                <w:rFonts w:hint="eastAsia"/>
                <w:b w:val="0"/>
                <w:bCs w:val="0"/>
                <w:color w:val="auto"/>
                <w:sz w:val="21"/>
                <w:szCs w:val="21"/>
                <w:highlight w:val="none"/>
                <w:lang w:val="en-US" w:eastAsia="zh-CN"/>
              </w:rPr>
              <w:t>安庆中安公司诉上海星徽汽车贸易有限公司合同纠纷案件诉讼代理服务（重新招标）</w:t>
            </w:r>
          </w:p>
        </w:tc>
      </w:tr>
      <w:tr w14:paraId="0DAFA4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60" w:hRule="atLeast"/>
          <w:jc w:val="center"/>
        </w:trPr>
        <w:tc>
          <w:tcPr>
            <w:tcW w:w="519" w:type="dxa"/>
            <w:tcBorders>
              <w:top w:val="single" w:color="auto" w:sz="4" w:space="0"/>
              <w:bottom w:val="single" w:color="auto" w:sz="4" w:space="0"/>
              <w:right w:val="single" w:color="auto" w:sz="4" w:space="0"/>
            </w:tcBorders>
            <w:vAlign w:val="center"/>
          </w:tcPr>
          <w:p w14:paraId="11190683">
            <w:pPr>
              <w:keepNext w:val="0"/>
              <w:keepLines w:val="0"/>
              <w:pageBreakBefore w:val="0"/>
              <w:suppressLineNumbers w:val="0"/>
              <w:kinsoku/>
              <w:wordWrap/>
              <w:overflowPunct/>
              <w:topLinePunct w:val="0"/>
              <w:bidi w:val="0"/>
              <w:spacing w:before="0" w:beforeAutospacing="0" w:after="0" w:afterAutospacing="0" w:line="420" w:lineRule="exact"/>
              <w:ind w:left="0" w:right="0"/>
              <w:jc w:val="center"/>
              <w:textAlignment w:val="auto"/>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2</w:t>
            </w:r>
          </w:p>
        </w:tc>
        <w:tc>
          <w:tcPr>
            <w:tcW w:w="2125" w:type="dxa"/>
            <w:tcBorders>
              <w:top w:val="single" w:color="auto" w:sz="4" w:space="0"/>
              <w:left w:val="single" w:color="auto" w:sz="4" w:space="0"/>
              <w:bottom w:val="single" w:color="auto" w:sz="4" w:space="0"/>
              <w:right w:val="single" w:color="auto" w:sz="4" w:space="0"/>
            </w:tcBorders>
            <w:vAlign w:val="center"/>
          </w:tcPr>
          <w:p w14:paraId="35A02CAC">
            <w:pPr>
              <w:keepNext w:val="0"/>
              <w:keepLines w:val="0"/>
              <w:pageBreakBefore w:val="0"/>
              <w:suppressLineNumbers w:val="0"/>
              <w:kinsoku/>
              <w:wordWrap/>
              <w:overflowPunct/>
              <w:topLinePunct w:val="0"/>
              <w:bidi w:val="0"/>
              <w:spacing w:before="0" w:beforeAutospacing="0" w:after="0" w:afterAutospacing="0" w:line="420" w:lineRule="exact"/>
              <w:ind w:left="0" w:right="0"/>
              <w:jc w:val="center"/>
              <w:textAlignment w:val="auto"/>
              <w:rPr>
                <w:rFonts w:hint="eastAsia" w:ascii="宋体" w:hAnsi="宋体"/>
                <w:b w:val="0"/>
                <w:bCs w:val="0"/>
                <w:color w:val="auto"/>
                <w:sz w:val="21"/>
                <w:szCs w:val="21"/>
                <w:highlight w:val="none"/>
              </w:rPr>
            </w:pPr>
            <w:r>
              <w:rPr>
                <w:rFonts w:hint="eastAsia" w:ascii="宋体" w:hAnsi="宋体" w:eastAsia="宋体" w:cs="Times New Roman"/>
                <w:color w:val="auto"/>
                <w:szCs w:val="21"/>
                <w:highlight w:val="none"/>
              </w:rPr>
              <w:t>项目编号</w:t>
            </w:r>
          </w:p>
        </w:tc>
        <w:tc>
          <w:tcPr>
            <w:tcW w:w="6487" w:type="dxa"/>
            <w:tcBorders>
              <w:top w:val="single" w:color="auto" w:sz="4" w:space="0"/>
              <w:left w:val="single" w:color="auto" w:sz="4" w:space="0"/>
              <w:bottom w:val="single" w:color="auto" w:sz="4" w:space="0"/>
            </w:tcBorders>
            <w:vAlign w:val="center"/>
          </w:tcPr>
          <w:p w14:paraId="6473DFA8">
            <w:pPr>
              <w:keepNext w:val="0"/>
              <w:keepLines w:val="0"/>
              <w:pageBreakBefore w:val="0"/>
              <w:widowControl/>
              <w:suppressLineNumbers w:val="0"/>
              <w:kinsoku/>
              <w:wordWrap/>
              <w:overflowPunct/>
              <w:topLinePunct w:val="0"/>
              <w:bidi w:val="0"/>
              <w:snapToGrid w:val="0"/>
              <w:spacing w:before="0" w:beforeAutospacing="0" w:after="0" w:afterAutospacing="0" w:line="420" w:lineRule="exact"/>
              <w:ind w:left="0" w:right="0"/>
              <w:textAlignment w:val="auto"/>
              <w:rPr>
                <w:rFonts w:hint="default" w:ascii="宋体"/>
                <w:b w:val="0"/>
                <w:bCs w:val="0"/>
                <w:caps/>
                <w:smallCaps w:val="0"/>
                <w:color w:val="auto"/>
                <w:spacing w:val="0"/>
                <w:sz w:val="21"/>
                <w:szCs w:val="21"/>
                <w:highlight w:val="none"/>
                <w:lang w:val="en-US" w:eastAsia="zh-CN"/>
              </w:rPr>
            </w:pPr>
            <w:r>
              <w:rPr>
                <w:rFonts w:hint="eastAsia" w:ascii="宋体"/>
                <w:b w:val="0"/>
                <w:bCs w:val="0"/>
                <w:caps/>
                <w:smallCaps w:val="0"/>
                <w:color w:val="auto"/>
                <w:spacing w:val="0"/>
                <w:sz w:val="21"/>
                <w:szCs w:val="21"/>
                <w:highlight w:val="none"/>
                <w:lang w:val="en-US" w:eastAsia="zh-CN"/>
              </w:rPr>
              <w:t>AQJK-CG-2026-097</w:t>
            </w:r>
          </w:p>
        </w:tc>
      </w:tr>
      <w:tr w14:paraId="5E2465F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19" w:type="dxa"/>
            <w:tcBorders>
              <w:top w:val="single" w:color="auto" w:sz="4" w:space="0"/>
              <w:bottom w:val="single" w:color="auto" w:sz="4" w:space="0"/>
              <w:right w:val="single" w:color="auto" w:sz="4" w:space="0"/>
            </w:tcBorders>
            <w:vAlign w:val="center"/>
          </w:tcPr>
          <w:p w14:paraId="5D5A74D8">
            <w:pPr>
              <w:keepNext w:val="0"/>
              <w:keepLines w:val="0"/>
              <w:pageBreakBefore w:val="0"/>
              <w:suppressLineNumbers w:val="0"/>
              <w:kinsoku/>
              <w:wordWrap/>
              <w:overflowPunct/>
              <w:topLinePunct w:val="0"/>
              <w:bidi w:val="0"/>
              <w:spacing w:before="0" w:beforeAutospacing="0" w:after="0" w:afterAutospacing="0" w:line="420" w:lineRule="exact"/>
              <w:ind w:left="0" w:right="0"/>
              <w:jc w:val="center"/>
              <w:textAlignment w:val="auto"/>
              <w:rPr>
                <w:rFonts w:hint="default" w:ascii="宋体" w:eastAsia="宋体"/>
                <w:color w:val="auto"/>
                <w:szCs w:val="21"/>
                <w:highlight w:val="none"/>
                <w:lang w:val="en-US" w:eastAsia="zh-CN"/>
              </w:rPr>
            </w:pPr>
            <w:r>
              <w:rPr>
                <w:rFonts w:hint="eastAsia" w:ascii="宋体"/>
                <w:color w:val="auto"/>
                <w:szCs w:val="21"/>
                <w:highlight w:val="none"/>
                <w:lang w:val="en-US" w:eastAsia="zh-CN"/>
              </w:rPr>
              <w:t>3</w:t>
            </w:r>
          </w:p>
        </w:tc>
        <w:tc>
          <w:tcPr>
            <w:tcW w:w="2125" w:type="dxa"/>
            <w:tcBorders>
              <w:top w:val="single" w:color="auto" w:sz="4" w:space="0"/>
              <w:left w:val="single" w:color="auto" w:sz="4" w:space="0"/>
              <w:bottom w:val="single" w:color="auto" w:sz="4" w:space="0"/>
              <w:right w:val="single" w:color="auto" w:sz="4" w:space="0"/>
            </w:tcBorders>
            <w:vAlign w:val="center"/>
          </w:tcPr>
          <w:p w14:paraId="0A11FFD1">
            <w:pPr>
              <w:keepNext w:val="0"/>
              <w:keepLines w:val="0"/>
              <w:pageBreakBefore w:val="0"/>
              <w:suppressLineNumbers w:val="0"/>
              <w:kinsoku/>
              <w:wordWrap/>
              <w:overflowPunct/>
              <w:topLinePunct w:val="0"/>
              <w:bidi w:val="0"/>
              <w:spacing w:before="0" w:beforeAutospacing="0" w:after="0" w:afterAutospacing="0" w:line="420" w:lineRule="exact"/>
              <w:ind w:left="0" w:right="0"/>
              <w:jc w:val="center"/>
              <w:textAlignment w:val="auto"/>
              <w:rPr>
                <w:rFonts w:hint="eastAsia" w:ascii="宋体" w:eastAsia="宋体"/>
                <w:b w:val="0"/>
                <w:bCs w:val="0"/>
                <w:color w:val="auto"/>
                <w:sz w:val="21"/>
                <w:szCs w:val="21"/>
                <w:highlight w:val="none"/>
                <w:lang w:eastAsia="zh-CN"/>
              </w:rPr>
            </w:pPr>
            <w:r>
              <w:rPr>
                <w:rFonts w:hint="eastAsia" w:ascii="宋体" w:hAnsi="宋体"/>
                <w:b w:val="0"/>
                <w:bCs w:val="0"/>
                <w:color w:val="auto"/>
                <w:sz w:val="21"/>
                <w:szCs w:val="21"/>
                <w:highlight w:val="none"/>
                <w:lang w:eastAsia="zh-CN"/>
              </w:rPr>
              <w:t>采购人</w:t>
            </w:r>
          </w:p>
        </w:tc>
        <w:tc>
          <w:tcPr>
            <w:tcW w:w="6487" w:type="dxa"/>
            <w:tcBorders>
              <w:top w:val="single" w:color="auto" w:sz="4" w:space="0"/>
              <w:left w:val="single" w:color="auto" w:sz="4" w:space="0"/>
              <w:bottom w:val="single" w:color="auto" w:sz="4" w:space="0"/>
            </w:tcBorders>
            <w:vAlign w:val="center"/>
          </w:tcPr>
          <w:p w14:paraId="2EC96699">
            <w:pPr>
              <w:keepNext w:val="0"/>
              <w:keepLines w:val="0"/>
              <w:pageBreakBefore w:val="0"/>
              <w:widowControl/>
              <w:suppressLineNumbers w:val="0"/>
              <w:kinsoku/>
              <w:wordWrap/>
              <w:overflowPunct/>
              <w:topLinePunct w:val="0"/>
              <w:bidi w:val="0"/>
              <w:snapToGrid w:val="0"/>
              <w:spacing w:before="0" w:beforeAutospacing="0" w:after="0" w:afterAutospacing="0" w:line="420" w:lineRule="exact"/>
              <w:ind w:left="0" w:right="0"/>
              <w:textAlignment w:val="auto"/>
              <w:rPr>
                <w:rFonts w:hint="eastAsia" w:eastAsia="宋体"/>
                <w:b w:val="0"/>
                <w:bCs w:val="0"/>
                <w:color w:val="auto"/>
                <w:sz w:val="21"/>
                <w:szCs w:val="21"/>
                <w:highlight w:val="none"/>
                <w:lang w:eastAsia="zh-CN"/>
              </w:rPr>
            </w:pPr>
            <w:r>
              <w:rPr>
                <w:rFonts w:hint="eastAsia"/>
                <w:b w:val="0"/>
                <w:bCs w:val="0"/>
                <w:color w:val="auto"/>
                <w:sz w:val="21"/>
                <w:szCs w:val="21"/>
                <w:highlight w:val="none"/>
                <w:lang w:eastAsia="zh-CN"/>
              </w:rPr>
              <w:t>安庆</w:t>
            </w:r>
            <w:r>
              <w:rPr>
                <w:rFonts w:hint="eastAsia"/>
                <w:b w:val="0"/>
                <w:bCs w:val="0"/>
                <w:color w:val="auto"/>
                <w:sz w:val="21"/>
                <w:szCs w:val="21"/>
                <w:highlight w:val="none"/>
                <w:lang w:val="en-US" w:eastAsia="zh-CN"/>
              </w:rPr>
              <w:t>中安供应链管理</w:t>
            </w:r>
            <w:r>
              <w:rPr>
                <w:rFonts w:hint="eastAsia"/>
                <w:b w:val="0"/>
                <w:bCs w:val="0"/>
                <w:color w:val="auto"/>
                <w:sz w:val="21"/>
                <w:szCs w:val="21"/>
                <w:highlight w:val="none"/>
                <w:lang w:eastAsia="zh-CN"/>
              </w:rPr>
              <w:t>有限</w:t>
            </w:r>
            <w:r>
              <w:rPr>
                <w:rFonts w:hint="eastAsia"/>
                <w:b w:val="0"/>
                <w:bCs w:val="0"/>
                <w:color w:val="auto"/>
                <w:sz w:val="21"/>
                <w:szCs w:val="21"/>
                <w:highlight w:val="none"/>
                <w:lang w:val="en-US" w:eastAsia="zh-CN"/>
              </w:rPr>
              <w:t>责任</w:t>
            </w:r>
            <w:r>
              <w:rPr>
                <w:rFonts w:hint="eastAsia"/>
                <w:b w:val="0"/>
                <w:bCs w:val="0"/>
                <w:color w:val="auto"/>
                <w:sz w:val="21"/>
                <w:szCs w:val="21"/>
                <w:highlight w:val="none"/>
                <w:lang w:eastAsia="zh-CN"/>
              </w:rPr>
              <w:t>公司</w:t>
            </w:r>
          </w:p>
        </w:tc>
      </w:tr>
      <w:tr w14:paraId="38066B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687A631E">
            <w:pPr>
              <w:keepNext w:val="0"/>
              <w:keepLines w:val="0"/>
              <w:pageBreakBefore w:val="0"/>
              <w:suppressLineNumbers w:val="0"/>
              <w:kinsoku/>
              <w:wordWrap/>
              <w:overflowPunct/>
              <w:topLinePunct w:val="0"/>
              <w:bidi w:val="0"/>
              <w:spacing w:before="0" w:beforeAutospacing="0" w:after="0" w:afterAutospacing="0" w:line="420" w:lineRule="exact"/>
              <w:ind w:left="0" w:right="0"/>
              <w:jc w:val="center"/>
              <w:textAlignment w:val="auto"/>
              <w:rPr>
                <w:rFonts w:hint="default" w:ascii="宋体" w:cs="Times New Roman"/>
                <w:color w:val="auto"/>
                <w:kern w:val="2"/>
                <w:sz w:val="21"/>
                <w:szCs w:val="21"/>
                <w:highlight w:val="none"/>
                <w:lang w:val="en-US" w:eastAsia="zh-CN" w:bidi="ar-SA"/>
              </w:rPr>
            </w:pPr>
            <w:r>
              <w:rPr>
                <w:rFonts w:hint="eastAsia" w:ascii="宋体" w:cs="Times New Roman"/>
                <w:color w:val="auto"/>
                <w:kern w:val="2"/>
                <w:sz w:val="21"/>
                <w:szCs w:val="21"/>
                <w:highlight w:val="none"/>
                <w:lang w:val="en-US" w:eastAsia="zh-CN" w:bidi="ar-SA"/>
              </w:rPr>
              <w:t>4</w:t>
            </w:r>
          </w:p>
        </w:tc>
        <w:tc>
          <w:tcPr>
            <w:tcW w:w="2125" w:type="dxa"/>
            <w:tcBorders>
              <w:top w:val="single" w:color="auto" w:sz="4" w:space="0"/>
              <w:left w:val="single" w:color="auto" w:sz="4" w:space="0"/>
              <w:bottom w:val="single" w:color="auto" w:sz="4" w:space="0"/>
              <w:right w:val="single" w:color="auto" w:sz="4" w:space="0"/>
            </w:tcBorders>
            <w:vAlign w:val="center"/>
          </w:tcPr>
          <w:p w14:paraId="4AD2E697">
            <w:pPr>
              <w:keepNext w:val="0"/>
              <w:keepLines w:val="0"/>
              <w:pageBreakBefore w:val="0"/>
              <w:suppressLineNumbers w:val="0"/>
              <w:kinsoku/>
              <w:wordWrap/>
              <w:overflowPunct/>
              <w:topLinePunct w:val="0"/>
              <w:bidi w:val="0"/>
              <w:spacing w:before="0" w:beforeAutospacing="0" w:after="0" w:afterAutospacing="0" w:line="420" w:lineRule="exact"/>
              <w:ind w:left="0" w:right="0"/>
              <w:jc w:val="center"/>
              <w:textAlignment w:val="auto"/>
              <w:rPr>
                <w:rFonts w:hint="eastAsia" w:ascii="宋体" w:hAnsi="Times New Roman" w:eastAsia="宋体" w:cs="Times New Roman"/>
                <w:color w:val="auto"/>
                <w:kern w:val="2"/>
                <w:sz w:val="21"/>
                <w:szCs w:val="21"/>
                <w:highlight w:val="none"/>
                <w:lang w:val="en-US" w:eastAsia="zh-CN" w:bidi="ar-SA"/>
              </w:rPr>
            </w:pPr>
            <w:r>
              <w:rPr>
                <w:rFonts w:hint="eastAsia" w:ascii="宋体" w:hAnsi="宋体" w:eastAsia="宋体" w:cs="宋体"/>
                <w:color w:val="auto"/>
                <w:szCs w:val="21"/>
                <w:highlight w:val="none"/>
                <w:lang w:val="en-US" w:eastAsia="zh-CN"/>
              </w:rPr>
              <w:t>采购管理</w:t>
            </w:r>
            <w:r>
              <w:rPr>
                <w:rFonts w:hint="eastAsia" w:ascii="宋体" w:hAnsi="宋体" w:cs="宋体"/>
                <w:color w:val="auto"/>
                <w:szCs w:val="21"/>
                <w:highlight w:val="none"/>
                <w:lang w:val="en-US" w:eastAsia="zh-CN"/>
              </w:rPr>
              <w:t>部门</w:t>
            </w:r>
          </w:p>
        </w:tc>
        <w:tc>
          <w:tcPr>
            <w:tcW w:w="6487" w:type="dxa"/>
            <w:tcBorders>
              <w:top w:val="single" w:color="auto" w:sz="4" w:space="0"/>
              <w:left w:val="single" w:color="auto" w:sz="4" w:space="0"/>
              <w:bottom w:val="single" w:color="auto" w:sz="4" w:space="0"/>
            </w:tcBorders>
            <w:vAlign w:val="center"/>
          </w:tcPr>
          <w:p w14:paraId="08F2E3DE">
            <w:pPr>
              <w:keepNext w:val="0"/>
              <w:keepLines w:val="0"/>
              <w:pageBreakBefore w:val="0"/>
              <w:suppressLineNumbers w:val="0"/>
              <w:kinsoku/>
              <w:wordWrap/>
              <w:overflowPunct/>
              <w:topLinePunct w:val="0"/>
              <w:bidi w:val="0"/>
              <w:spacing w:before="0" w:beforeAutospacing="0" w:after="0" w:afterAutospacing="0" w:line="420" w:lineRule="exact"/>
              <w:ind w:left="0" w:right="0"/>
              <w:jc w:val="left"/>
              <w:textAlignment w:val="auto"/>
              <w:rPr>
                <w:rFonts w:hint="eastAsia" w:ascii="宋体" w:hAnsi="Times New Roman" w:eastAsia="宋体" w:cs="宋体"/>
                <w:color w:val="auto"/>
                <w:kern w:val="0"/>
                <w:sz w:val="21"/>
                <w:szCs w:val="21"/>
                <w:highlight w:val="none"/>
                <w:lang w:val="en-US" w:eastAsia="zh-CN" w:bidi="ar-SA"/>
              </w:rPr>
            </w:pPr>
            <w:r>
              <w:rPr>
                <w:rFonts w:hint="eastAsia" w:cs="Times New Roman"/>
                <w:color w:val="auto"/>
                <w:szCs w:val="21"/>
                <w:highlight w:val="none"/>
                <w:lang w:val="en-US" w:eastAsia="zh-CN"/>
              </w:rPr>
              <w:t>安庆市交通控股集团有限公司集采中心</w:t>
            </w:r>
          </w:p>
        </w:tc>
      </w:tr>
      <w:tr w14:paraId="6BF068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591087A0">
            <w:pPr>
              <w:keepNext w:val="0"/>
              <w:keepLines w:val="0"/>
              <w:pageBreakBefore w:val="0"/>
              <w:suppressLineNumbers w:val="0"/>
              <w:kinsoku/>
              <w:wordWrap/>
              <w:overflowPunct/>
              <w:topLinePunct w:val="0"/>
              <w:bidi w:val="0"/>
              <w:spacing w:before="0" w:beforeAutospacing="0" w:after="0" w:afterAutospacing="0" w:line="420" w:lineRule="exact"/>
              <w:ind w:left="0" w:right="0"/>
              <w:jc w:val="center"/>
              <w:textAlignment w:val="auto"/>
              <w:rPr>
                <w:rFonts w:hint="default" w:ascii="宋体" w:hAnsi="Times New Roman" w:eastAsia="宋体" w:cs="Times New Roman"/>
                <w:color w:val="auto"/>
                <w:kern w:val="2"/>
                <w:sz w:val="21"/>
                <w:szCs w:val="21"/>
                <w:highlight w:val="none"/>
                <w:lang w:val="en-US" w:eastAsia="zh-CN" w:bidi="ar-SA"/>
              </w:rPr>
            </w:pPr>
            <w:r>
              <w:rPr>
                <w:rFonts w:hint="eastAsia" w:ascii="宋体" w:cs="Times New Roman"/>
                <w:color w:val="auto"/>
                <w:kern w:val="2"/>
                <w:sz w:val="21"/>
                <w:szCs w:val="21"/>
                <w:highlight w:val="none"/>
                <w:lang w:val="en-US" w:eastAsia="zh-CN" w:bidi="ar-SA"/>
              </w:rPr>
              <w:t>5</w:t>
            </w:r>
          </w:p>
        </w:tc>
        <w:tc>
          <w:tcPr>
            <w:tcW w:w="2125" w:type="dxa"/>
            <w:tcBorders>
              <w:top w:val="single" w:color="auto" w:sz="4" w:space="0"/>
              <w:left w:val="single" w:color="auto" w:sz="4" w:space="0"/>
              <w:bottom w:val="single" w:color="auto" w:sz="4" w:space="0"/>
              <w:right w:val="single" w:color="auto" w:sz="4" w:space="0"/>
            </w:tcBorders>
            <w:vAlign w:val="center"/>
          </w:tcPr>
          <w:p w14:paraId="15ED8534">
            <w:pPr>
              <w:keepNext w:val="0"/>
              <w:keepLines w:val="0"/>
              <w:pageBreakBefore w:val="0"/>
              <w:suppressLineNumbers w:val="0"/>
              <w:kinsoku/>
              <w:wordWrap/>
              <w:overflowPunct/>
              <w:topLinePunct w:val="0"/>
              <w:bidi w:val="0"/>
              <w:spacing w:before="0" w:beforeAutospacing="0" w:after="0" w:afterAutospacing="0" w:line="420" w:lineRule="exact"/>
              <w:ind w:left="0" w:right="0"/>
              <w:jc w:val="center"/>
              <w:textAlignment w:val="auto"/>
              <w:rPr>
                <w:rFonts w:hint="default"/>
                <w:color w:val="auto"/>
                <w:szCs w:val="21"/>
                <w:highlight w:val="none"/>
              </w:rPr>
            </w:pPr>
            <w:r>
              <w:rPr>
                <w:rFonts w:hint="eastAsia"/>
                <w:color w:val="auto"/>
                <w:szCs w:val="21"/>
                <w:highlight w:val="none"/>
              </w:rPr>
              <w:t>资金来源</w:t>
            </w:r>
          </w:p>
        </w:tc>
        <w:tc>
          <w:tcPr>
            <w:tcW w:w="6487" w:type="dxa"/>
            <w:tcBorders>
              <w:top w:val="single" w:color="auto" w:sz="4" w:space="0"/>
              <w:left w:val="single" w:color="auto" w:sz="4" w:space="0"/>
              <w:bottom w:val="single" w:color="auto" w:sz="4" w:space="0"/>
            </w:tcBorders>
            <w:vAlign w:val="center"/>
          </w:tcPr>
          <w:p w14:paraId="30305924">
            <w:pPr>
              <w:keepNext w:val="0"/>
              <w:keepLines w:val="0"/>
              <w:pageBreakBefore w:val="0"/>
              <w:suppressLineNumbers w:val="0"/>
              <w:kinsoku/>
              <w:wordWrap/>
              <w:overflowPunct/>
              <w:topLinePunct w:val="0"/>
              <w:bidi w:val="0"/>
              <w:spacing w:before="0" w:beforeAutospacing="0" w:after="0" w:afterAutospacing="0" w:line="420" w:lineRule="exact"/>
              <w:ind w:left="0" w:right="0"/>
              <w:textAlignment w:val="auto"/>
              <w:rPr>
                <w:rFonts w:hint="default" w:eastAsia="宋体"/>
                <w:color w:val="auto"/>
                <w:szCs w:val="21"/>
                <w:highlight w:val="none"/>
                <w:lang w:val="en-US" w:eastAsia="zh-CN"/>
              </w:rPr>
            </w:pPr>
            <w:r>
              <w:rPr>
                <w:rFonts w:hint="eastAsia"/>
                <w:color w:val="auto"/>
                <w:szCs w:val="21"/>
                <w:highlight w:val="none"/>
                <w:lang w:val="en-US" w:eastAsia="zh-CN"/>
              </w:rPr>
              <w:t>自筹</w:t>
            </w:r>
          </w:p>
        </w:tc>
      </w:tr>
      <w:tr w14:paraId="6A0456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36" w:hRule="atLeast"/>
          <w:jc w:val="center"/>
        </w:trPr>
        <w:tc>
          <w:tcPr>
            <w:tcW w:w="519" w:type="dxa"/>
            <w:tcBorders>
              <w:top w:val="single" w:color="auto" w:sz="4" w:space="0"/>
              <w:right w:val="single" w:color="auto" w:sz="4" w:space="0"/>
            </w:tcBorders>
            <w:vAlign w:val="center"/>
          </w:tcPr>
          <w:p w14:paraId="5C619CED">
            <w:pPr>
              <w:keepNext w:val="0"/>
              <w:keepLines w:val="0"/>
              <w:pageBreakBefore w:val="0"/>
              <w:suppressLineNumbers w:val="0"/>
              <w:kinsoku/>
              <w:wordWrap/>
              <w:overflowPunct/>
              <w:topLinePunct w:val="0"/>
              <w:bidi w:val="0"/>
              <w:spacing w:before="0" w:beforeAutospacing="0" w:after="0" w:afterAutospacing="0" w:line="420" w:lineRule="exact"/>
              <w:ind w:left="0" w:right="0"/>
              <w:jc w:val="center"/>
              <w:textAlignment w:val="auto"/>
              <w:rPr>
                <w:rFonts w:hint="default" w:ascii="宋体" w:hAnsi="Times New Roman" w:eastAsia="宋体" w:cs="Times New Roman"/>
                <w:color w:val="auto"/>
                <w:kern w:val="2"/>
                <w:sz w:val="21"/>
                <w:szCs w:val="21"/>
                <w:highlight w:val="none"/>
                <w:lang w:val="en-US" w:eastAsia="zh-CN" w:bidi="ar-SA"/>
              </w:rPr>
            </w:pPr>
            <w:r>
              <w:rPr>
                <w:rFonts w:hint="eastAsia" w:ascii="宋体" w:cs="Times New Roman"/>
                <w:color w:val="auto"/>
                <w:kern w:val="2"/>
                <w:sz w:val="21"/>
                <w:szCs w:val="21"/>
                <w:highlight w:val="none"/>
                <w:lang w:val="en-US" w:eastAsia="zh-CN" w:bidi="ar-SA"/>
              </w:rPr>
              <w:t>6</w:t>
            </w:r>
          </w:p>
        </w:tc>
        <w:tc>
          <w:tcPr>
            <w:tcW w:w="2125" w:type="dxa"/>
            <w:tcBorders>
              <w:top w:val="single" w:color="auto" w:sz="4" w:space="0"/>
              <w:left w:val="single" w:color="auto" w:sz="4" w:space="0"/>
              <w:right w:val="single" w:color="auto" w:sz="4" w:space="0"/>
            </w:tcBorders>
            <w:vAlign w:val="center"/>
          </w:tcPr>
          <w:p w14:paraId="637C96A9">
            <w:pPr>
              <w:keepNext w:val="0"/>
              <w:keepLines w:val="0"/>
              <w:pageBreakBefore w:val="0"/>
              <w:suppressLineNumbers w:val="0"/>
              <w:kinsoku/>
              <w:wordWrap/>
              <w:overflowPunct/>
              <w:topLinePunct w:val="0"/>
              <w:bidi w:val="0"/>
              <w:spacing w:before="0" w:beforeAutospacing="0" w:after="0" w:afterAutospacing="0" w:line="420" w:lineRule="exact"/>
              <w:ind w:left="0" w:right="0"/>
              <w:jc w:val="center"/>
              <w:textAlignment w:val="auto"/>
              <w:rPr>
                <w:rFonts w:hint="default" w:eastAsia="宋体"/>
                <w:color w:val="auto"/>
                <w:szCs w:val="21"/>
                <w:highlight w:val="none"/>
                <w:lang w:val="en-US" w:eastAsia="zh-CN"/>
              </w:rPr>
            </w:pPr>
            <w:r>
              <w:rPr>
                <w:rFonts w:hint="eastAsia"/>
                <w:color w:val="auto"/>
                <w:szCs w:val="21"/>
                <w:highlight w:val="none"/>
                <w:lang w:val="en-US" w:eastAsia="zh-CN"/>
              </w:rPr>
              <w:t>最高投标限价</w:t>
            </w:r>
          </w:p>
        </w:tc>
        <w:tc>
          <w:tcPr>
            <w:tcW w:w="6487" w:type="dxa"/>
            <w:tcBorders>
              <w:top w:val="single" w:color="auto" w:sz="4" w:space="0"/>
              <w:left w:val="single" w:color="auto" w:sz="4" w:space="0"/>
              <w:bottom w:val="single" w:color="auto" w:sz="4" w:space="0"/>
            </w:tcBorders>
            <w:vAlign w:val="center"/>
          </w:tcPr>
          <w:p w14:paraId="2FB81315">
            <w:pPr>
              <w:keepNext w:val="0"/>
              <w:keepLines w:val="0"/>
              <w:pageBreakBefore w:val="0"/>
              <w:numPr>
                <w:ilvl w:val="0"/>
                <w:numId w:val="0"/>
              </w:numPr>
              <w:suppressLineNumbers w:val="0"/>
              <w:kinsoku/>
              <w:wordWrap/>
              <w:overflowPunct/>
              <w:topLinePunct w:val="0"/>
              <w:bidi w:val="0"/>
              <w:spacing w:before="0" w:beforeAutospacing="0" w:after="0" w:afterAutospacing="0" w:line="420" w:lineRule="exact"/>
              <w:ind w:left="0" w:right="0"/>
              <w:jc w:val="left"/>
              <w:textAlignment w:val="auto"/>
              <w:rPr>
                <w:rFonts w:hint="default" w:eastAsia="宋体"/>
                <w:color w:val="auto"/>
                <w:szCs w:val="21"/>
                <w:highlight w:val="none"/>
                <w:lang w:val="en-US" w:eastAsia="zh-CN"/>
              </w:rPr>
            </w:pPr>
            <w:r>
              <w:rPr>
                <w:rFonts w:hint="eastAsia"/>
                <w:color w:val="auto"/>
                <w:szCs w:val="21"/>
                <w:highlight w:val="none"/>
                <w:lang w:val="en-US" w:eastAsia="zh-CN"/>
              </w:rPr>
              <w:t>详见比选公告</w:t>
            </w:r>
          </w:p>
        </w:tc>
      </w:tr>
      <w:tr w14:paraId="117476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428BD70E">
            <w:pPr>
              <w:keepNext w:val="0"/>
              <w:keepLines w:val="0"/>
              <w:pageBreakBefore w:val="0"/>
              <w:suppressLineNumbers w:val="0"/>
              <w:kinsoku/>
              <w:wordWrap/>
              <w:overflowPunct/>
              <w:topLinePunct w:val="0"/>
              <w:bidi w:val="0"/>
              <w:spacing w:before="0" w:beforeAutospacing="0" w:after="0" w:afterAutospacing="0" w:line="420" w:lineRule="exact"/>
              <w:ind w:left="0" w:right="0"/>
              <w:jc w:val="center"/>
              <w:textAlignment w:val="auto"/>
              <w:rPr>
                <w:rFonts w:hint="default" w:ascii="宋体" w:hAnsi="Times New Roman" w:eastAsia="宋体" w:cs="Times New Roman"/>
                <w:color w:val="auto"/>
                <w:kern w:val="2"/>
                <w:sz w:val="21"/>
                <w:szCs w:val="21"/>
                <w:highlight w:val="none"/>
                <w:lang w:val="en-US" w:eastAsia="zh-CN" w:bidi="ar-SA"/>
              </w:rPr>
            </w:pPr>
            <w:r>
              <w:rPr>
                <w:rFonts w:hint="eastAsia" w:ascii="宋体" w:cs="Times New Roman"/>
                <w:color w:val="auto"/>
                <w:kern w:val="2"/>
                <w:sz w:val="21"/>
                <w:szCs w:val="21"/>
                <w:highlight w:val="none"/>
                <w:lang w:val="en-US" w:eastAsia="zh-CN" w:bidi="ar-SA"/>
              </w:rPr>
              <w:t>7</w:t>
            </w:r>
          </w:p>
        </w:tc>
        <w:tc>
          <w:tcPr>
            <w:tcW w:w="2125" w:type="dxa"/>
            <w:tcBorders>
              <w:top w:val="single" w:color="auto" w:sz="4" w:space="0"/>
              <w:left w:val="single" w:color="auto" w:sz="4" w:space="0"/>
              <w:bottom w:val="single" w:color="auto" w:sz="4" w:space="0"/>
              <w:right w:val="single" w:color="auto" w:sz="4" w:space="0"/>
            </w:tcBorders>
            <w:vAlign w:val="center"/>
          </w:tcPr>
          <w:p w14:paraId="3B9D9AA6">
            <w:pPr>
              <w:keepNext w:val="0"/>
              <w:keepLines w:val="0"/>
              <w:pageBreakBefore w:val="0"/>
              <w:suppressLineNumbers w:val="0"/>
              <w:kinsoku/>
              <w:wordWrap/>
              <w:overflowPunct/>
              <w:topLinePunct w:val="0"/>
              <w:bidi w:val="0"/>
              <w:spacing w:before="0" w:beforeAutospacing="0" w:after="0" w:afterAutospacing="0" w:line="420" w:lineRule="exact"/>
              <w:ind w:left="0" w:right="0"/>
              <w:jc w:val="center"/>
              <w:textAlignment w:val="auto"/>
              <w:rPr>
                <w:rFonts w:hint="default" w:eastAsia="宋体"/>
                <w:color w:val="auto"/>
                <w:szCs w:val="21"/>
                <w:highlight w:val="none"/>
                <w:lang w:val="en-US" w:eastAsia="zh-CN"/>
              </w:rPr>
            </w:pPr>
            <w:r>
              <w:rPr>
                <w:rFonts w:hint="eastAsia"/>
                <w:color w:val="auto"/>
                <w:szCs w:val="21"/>
                <w:highlight w:val="none"/>
                <w:lang w:val="en-US" w:eastAsia="zh-CN"/>
              </w:rPr>
              <w:t>资格条件</w:t>
            </w:r>
          </w:p>
        </w:tc>
        <w:tc>
          <w:tcPr>
            <w:tcW w:w="6487" w:type="dxa"/>
            <w:tcBorders>
              <w:top w:val="single" w:color="auto" w:sz="4" w:space="0"/>
              <w:left w:val="single" w:color="auto" w:sz="4" w:space="0"/>
              <w:bottom w:val="single" w:color="auto" w:sz="4" w:space="0"/>
            </w:tcBorders>
            <w:vAlign w:val="center"/>
          </w:tcPr>
          <w:p w14:paraId="7DBF2BA3">
            <w:pPr>
              <w:keepNext w:val="0"/>
              <w:keepLines w:val="0"/>
              <w:pageBreakBefore w:val="0"/>
              <w:suppressLineNumbers w:val="0"/>
              <w:kinsoku/>
              <w:wordWrap/>
              <w:overflowPunct/>
              <w:topLinePunct w:val="0"/>
              <w:bidi w:val="0"/>
              <w:spacing w:before="0" w:beforeAutospacing="0" w:after="0" w:afterAutospacing="0" w:line="420" w:lineRule="exact"/>
              <w:ind w:left="0" w:right="0"/>
              <w:textAlignment w:val="auto"/>
              <w:rPr>
                <w:rFonts w:hint="eastAsia"/>
                <w:color w:val="auto"/>
                <w:szCs w:val="21"/>
                <w:highlight w:val="none"/>
                <w:lang w:val="en-US" w:eastAsia="zh-CN"/>
              </w:rPr>
            </w:pPr>
            <w:r>
              <w:rPr>
                <w:rFonts w:hint="eastAsia"/>
                <w:color w:val="auto"/>
                <w:szCs w:val="21"/>
                <w:highlight w:val="none"/>
                <w:lang w:val="en-US" w:eastAsia="zh-CN"/>
              </w:rPr>
              <w:t>1.可参选对象：安庆市交通控股集团有限公司法律顾问咨询服务商采购项目成交人。</w:t>
            </w:r>
          </w:p>
          <w:p w14:paraId="0570D9DC">
            <w:pPr>
              <w:keepNext w:val="0"/>
              <w:keepLines w:val="0"/>
              <w:pageBreakBefore w:val="0"/>
              <w:suppressLineNumbers w:val="0"/>
              <w:kinsoku/>
              <w:wordWrap/>
              <w:overflowPunct/>
              <w:topLinePunct w:val="0"/>
              <w:bidi w:val="0"/>
              <w:spacing w:before="0" w:beforeAutospacing="0" w:after="0" w:afterAutospacing="0" w:line="420" w:lineRule="exact"/>
              <w:ind w:left="0" w:right="0"/>
              <w:textAlignment w:val="auto"/>
              <w:rPr>
                <w:rFonts w:hint="default" w:eastAsia="宋体"/>
                <w:color w:val="auto"/>
                <w:szCs w:val="21"/>
                <w:highlight w:val="none"/>
                <w:lang w:val="en-US" w:eastAsia="zh-CN"/>
              </w:rPr>
            </w:pPr>
            <w:r>
              <w:rPr>
                <w:rFonts w:hint="eastAsia"/>
                <w:color w:val="auto"/>
                <w:szCs w:val="21"/>
                <w:highlight w:val="none"/>
                <w:lang w:val="en-US" w:eastAsia="zh-CN"/>
              </w:rPr>
              <w:t>2.本项目不接受联合体。</w:t>
            </w:r>
          </w:p>
        </w:tc>
      </w:tr>
      <w:tr w14:paraId="3A8B14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6F5ACED7">
            <w:pPr>
              <w:keepNext w:val="0"/>
              <w:keepLines w:val="0"/>
              <w:pageBreakBefore w:val="0"/>
              <w:suppressLineNumbers w:val="0"/>
              <w:kinsoku/>
              <w:wordWrap/>
              <w:overflowPunct/>
              <w:topLinePunct w:val="0"/>
              <w:bidi w:val="0"/>
              <w:spacing w:before="0" w:beforeAutospacing="0" w:after="0" w:afterAutospacing="0" w:line="420" w:lineRule="exact"/>
              <w:ind w:left="0" w:right="0"/>
              <w:jc w:val="center"/>
              <w:textAlignment w:val="auto"/>
              <w:rPr>
                <w:rFonts w:hint="default" w:ascii="宋体" w:hAnsi="Times New Roman" w:eastAsia="宋体" w:cs="Times New Roman"/>
                <w:color w:val="auto"/>
                <w:kern w:val="2"/>
                <w:sz w:val="21"/>
                <w:szCs w:val="21"/>
                <w:highlight w:val="none"/>
                <w:lang w:val="en-US" w:eastAsia="zh-CN" w:bidi="ar-SA"/>
              </w:rPr>
            </w:pPr>
            <w:r>
              <w:rPr>
                <w:rFonts w:hint="eastAsia" w:ascii="宋体" w:cs="Times New Roman"/>
                <w:color w:val="auto"/>
                <w:kern w:val="2"/>
                <w:sz w:val="21"/>
                <w:szCs w:val="21"/>
                <w:highlight w:val="none"/>
                <w:lang w:val="en-US" w:eastAsia="zh-CN" w:bidi="ar-SA"/>
              </w:rPr>
              <w:t>8</w:t>
            </w:r>
          </w:p>
        </w:tc>
        <w:tc>
          <w:tcPr>
            <w:tcW w:w="2125" w:type="dxa"/>
            <w:tcBorders>
              <w:top w:val="single" w:color="auto" w:sz="4" w:space="0"/>
              <w:left w:val="single" w:color="auto" w:sz="4" w:space="0"/>
              <w:bottom w:val="single" w:color="auto" w:sz="4" w:space="0"/>
              <w:right w:val="single" w:color="auto" w:sz="4" w:space="0"/>
            </w:tcBorders>
            <w:vAlign w:val="center"/>
          </w:tcPr>
          <w:p w14:paraId="52205EC7">
            <w:pPr>
              <w:keepNext w:val="0"/>
              <w:keepLines w:val="0"/>
              <w:pageBreakBefore w:val="0"/>
              <w:suppressLineNumbers w:val="0"/>
              <w:kinsoku/>
              <w:wordWrap/>
              <w:overflowPunct/>
              <w:topLinePunct w:val="0"/>
              <w:bidi w:val="0"/>
              <w:spacing w:before="0" w:beforeAutospacing="0" w:after="0" w:afterAutospacing="0" w:line="420" w:lineRule="exact"/>
              <w:ind w:left="0" w:right="0"/>
              <w:jc w:val="center"/>
              <w:textAlignment w:val="auto"/>
              <w:rPr>
                <w:rFonts w:hint="default" w:ascii="宋体"/>
                <w:color w:val="auto"/>
                <w:szCs w:val="21"/>
                <w:highlight w:val="none"/>
              </w:rPr>
            </w:pPr>
            <w:r>
              <w:rPr>
                <w:rFonts w:hint="eastAsia" w:ascii="宋体" w:hAnsi="宋体"/>
                <w:color w:val="auto"/>
                <w:szCs w:val="21"/>
                <w:highlight w:val="none"/>
              </w:rPr>
              <w:t>资格审查方式</w:t>
            </w:r>
          </w:p>
        </w:tc>
        <w:tc>
          <w:tcPr>
            <w:tcW w:w="6487" w:type="dxa"/>
            <w:tcBorders>
              <w:top w:val="single" w:color="auto" w:sz="4" w:space="0"/>
              <w:left w:val="single" w:color="auto" w:sz="4" w:space="0"/>
              <w:bottom w:val="single" w:color="auto" w:sz="4" w:space="0"/>
            </w:tcBorders>
            <w:vAlign w:val="center"/>
          </w:tcPr>
          <w:p w14:paraId="24DBBFF8">
            <w:pPr>
              <w:keepNext w:val="0"/>
              <w:keepLines w:val="0"/>
              <w:pageBreakBefore w:val="0"/>
              <w:suppressLineNumbers w:val="0"/>
              <w:kinsoku/>
              <w:wordWrap/>
              <w:overflowPunct/>
              <w:topLinePunct w:val="0"/>
              <w:bidi w:val="0"/>
              <w:spacing w:before="0" w:beforeAutospacing="0" w:after="0" w:afterAutospacing="0" w:line="420" w:lineRule="exact"/>
              <w:ind w:left="0" w:right="0"/>
              <w:textAlignment w:val="auto"/>
              <w:rPr>
                <w:rFonts w:hint="eastAsia" w:ascii="宋体" w:eastAsia="宋体"/>
                <w:color w:val="auto"/>
                <w:szCs w:val="21"/>
                <w:highlight w:val="none"/>
                <w:lang w:val="en-US" w:eastAsia="zh-CN"/>
              </w:rPr>
            </w:pPr>
            <w:r>
              <w:rPr>
                <w:rFonts w:hint="eastAsia" w:ascii="宋体"/>
                <w:color w:val="auto"/>
                <w:szCs w:val="21"/>
                <w:highlight w:val="none"/>
              </w:rPr>
              <w:t>资格后审</w:t>
            </w:r>
            <w:r>
              <w:rPr>
                <w:rFonts w:hint="eastAsia" w:ascii="宋体"/>
                <w:color w:val="auto"/>
                <w:szCs w:val="21"/>
                <w:highlight w:val="none"/>
                <w:lang w:val="en-US" w:eastAsia="zh-CN"/>
              </w:rPr>
              <w:t xml:space="preserve"> </w:t>
            </w:r>
          </w:p>
        </w:tc>
      </w:tr>
      <w:tr w14:paraId="74E748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3B552178">
            <w:pPr>
              <w:keepNext w:val="0"/>
              <w:keepLines w:val="0"/>
              <w:pageBreakBefore w:val="0"/>
              <w:suppressLineNumbers w:val="0"/>
              <w:kinsoku/>
              <w:wordWrap/>
              <w:overflowPunct/>
              <w:topLinePunct w:val="0"/>
              <w:bidi w:val="0"/>
              <w:spacing w:before="0" w:beforeAutospacing="0" w:after="0" w:afterAutospacing="0" w:line="420" w:lineRule="exact"/>
              <w:ind w:left="0" w:right="0"/>
              <w:jc w:val="center"/>
              <w:textAlignment w:val="auto"/>
              <w:rPr>
                <w:rFonts w:hint="default" w:ascii="宋体" w:hAnsi="Times New Roman" w:eastAsia="宋体" w:cs="Times New Roman"/>
                <w:color w:val="auto"/>
                <w:kern w:val="2"/>
                <w:sz w:val="21"/>
                <w:szCs w:val="21"/>
                <w:highlight w:val="none"/>
                <w:lang w:val="en-US" w:eastAsia="zh-CN" w:bidi="ar-SA"/>
              </w:rPr>
            </w:pPr>
            <w:r>
              <w:rPr>
                <w:rFonts w:hint="eastAsia" w:ascii="宋体" w:cs="Times New Roman"/>
                <w:color w:val="auto"/>
                <w:kern w:val="2"/>
                <w:sz w:val="21"/>
                <w:szCs w:val="21"/>
                <w:highlight w:val="none"/>
                <w:lang w:val="en-US" w:eastAsia="zh-CN" w:bidi="ar-SA"/>
              </w:rPr>
              <w:t>9</w:t>
            </w:r>
          </w:p>
        </w:tc>
        <w:tc>
          <w:tcPr>
            <w:tcW w:w="2125" w:type="dxa"/>
            <w:tcBorders>
              <w:top w:val="single" w:color="auto" w:sz="4" w:space="0"/>
              <w:left w:val="single" w:color="auto" w:sz="4" w:space="0"/>
              <w:bottom w:val="single" w:color="auto" w:sz="4" w:space="0"/>
              <w:right w:val="single" w:color="auto" w:sz="4" w:space="0"/>
            </w:tcBorders>
            <w:vAlign w:val="center"/>
          </w:tcPr>
          <w:p w14:paraId="297130E3">
            <w:pPr>
              <w:keepNext w:val="0"/>
              <w:keepLines w:val="0"/>
              <w:pageBreakBefore w:val="0"/>
              <w:suppressLineNumbers w:val="0"/>
              <w:kinsoku/>
              <w:wordWrap/>
              <w:overflowPunct/>
              <w:topLinePunct w:val="0"/>
              <w:bidi w:val="0"/>
              <w:spacing w:before="0" w:beforeAutospacing="0" w:after="0" w:afterAutospacing="0" w:line="420" w:lineRule="exact"/>
              <w:ind w:left="0" w:right="0"/>
              <w:jc w:val="center"/>
              <w:textAlignment w:val="auto"/>
              <w:rPr>
                <w:rFonts w:hint="default" w:ascii="宋体"/>
                <w:color w:val="auto"/>
                <w:szCs w:val="21"/>
                <w:highlight w:val="none"/>
              </w:rPr>
            </w:pPr>
            <w:r>
              <w:rPr>
                <w:rFonts w:hint="eastAsia" w:ascii="宋体" w:hAnsi="宋体"/>
                <w:color w:val="auto"/>
                <w:szCs w:val="21"/>
                <w:highlight w:val="none"/>
              </w:rPr>
              <w:t>招标方式</w:t>
            </w:r>
          </w:p>
        </w:tc>
        <w:tc>
          <w:tcPr>
            <w:tcW w:w="6487" w:type="dxa"/>
            <w:tcBorders>
              <w:top w:val="single" w:color="auto" w:sz="4" w:space="0"/>
              <w:left w:val="single" w:color="auto" w:sz="4" w:space="0"/>
              <w:bottom w:val="single" w:color="auto" w:sz="4" w:space="0"/>
            </w:tcBorders>
            <w:vAlign w:val="center"/>
          </w:tcPr>
          <w:p w14:paraId="3F6E6A99">
            <w:pPr>
              <w:keepNext w:val="0"/>
              <w:keepLines w:val="0"/>
              <w:pageBreakBefore w:val="0"/>
              <w:suppressLineNumbers w:val="0"/>
              <w:kinsoku/>
              <w:wordWrap/>
              <w:overflowPunct/>
              <w:topLinePunct w:val="0"/>
              <w:bidi w:val="0"/>
              <w:spacing w:before="0" w:beforeAutospacing="0" w:after="0" w:afterAutospacing="0" w:line="420" w:lineRule="exact"/>
              <w:ind w:left="0" w:right="0"/>
              <w:textAlignment w:val="auto"/>
              <w:rPr>
                <w:rFonts w:hint="default" w:ascii="宋体"/>
                <w:color w:val="auto"/>
                <w:szCs w:val="21"/>
                <w:highlight w:val="none"/>
              </w:rPr>
            </w:pPr>
            <w:r>
              <w:rPr>
                <w:rFonts w:hint="eastAsia" w:ascii="宋体" w:hAnsi="宋体"/>
                <w:color w:val="auto"/>
                <w:szCs w:val="21"/>
                <w:highlight w:val="none"/>
              </w:rPr>
              <w:t>比选招标</w:t>
            </w:r>
          </w:p>
        </w:tc>
      </w:tr>
      <w:tr w14:paraId="51D6BF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57479D9B">
            <w:pPr>
              <w:keepNext w:val="0"/>
              <w:keepLines w:val="0"/>
              <w:pageBreakBefore w:val="0"/>
              <w:suppressLineNumbers w:val="0"/>
              <w:kinsoku/>
              <w:wordWrap/>
              <w:overflowPunct/>
              <w:topLinePunct w:val="0"/>
              <w:bidi w:val="0"/>
              <w:spacing w:before="0" w:beforeAutospacing="0" w:after="0" w:afterAutospacing="0" w:line="420" w:lineRule="exact"/>
              <w:ind w:left="0" w:right="0"/>
              <w:jc w:val="center"/>
              <w:textAlignment w:val="auto"/>
              <w:rPr>
                <w:rFonts w:hint="default" w:ascii="宋体" w:hAnsi="Times New Roman" w:eastAsia="宋体" w:cs="Times New Roman"/>
                <w:color w:val="auto"/>
                <w:kern w:val="2"/>
                <w:sz w:val="21"/>
                <w:szCs w:val="21"/>
                <w:highlight w:val="none"/>
                <w:lang w:val="en-US" w:eastAsia="zh-CN" w:bidi="ar-SA"/>
              </w:rPr>
            </w:pPr>
            <w:r>
              <w:rPr>
                <w:rFonts w:hint="eastAsia" w:ascii="宋体" w:cs="Times New Roman"/>
                <w:color w:val="auto"/>
                <w:kern w:val="2"/>
                <w:sz w:val="21"/>
                <w:szCs w:val="21"/>
                <w:highlight w:val="none"/>
                <w:lang w:val="en-US" w:eastAsia="zh-CN" w:bidi="ar-SA"/>
              </w:rPr>
              <w:t>10</w:t>
            </w:r>
          </w:p>
        </w:tc>
        <w:tc>
          <w:tcPr>
            <w:tcW w:w="2125" w:type="dxa"/>
            <w:tcBorders>
              <w:top w:val="single" w:color="auto" w:sz="4" w:space="0"/>
              <w:left w:val="single" w:color="auto" w:sz="4" w:space="0"/>
              <w:bottom w:val="single" w:color="auto" w:sz="4" w:space="0"/>
              <w:right w:val="single" w:color="auto" w:sz="4" w:space="0"/>
            </w:tcBorders>
            <w:vAlign w:val="center"/>
          </w:tcPr>
          <w:p w14:paraId="3653A406">
            <w:pPr>
              <w:keepNext w:val="0"/>
              <w:keepLines w:val="0"/>
              <w:pageBreakBefore w:val="0"/>
              <w:suppressLineNumbers w:val="0"/>
              <w:kinsoku/>
              <w:wordWrap/>
              <w:overflowPunct/>
              <w:topLinePunct w:val="0"/>
              <w:bidi w:val="0"/>
              <w:spacing w:before="0" w:beforeAutospacing="0" w:after="0" w:afterAutospacing="0" w:line="420" w:lineRule="exact"/>
              <w:ind w:left="0" w:right="0"/>
              <w:jc w:val="center"/>
              <w:textAlignment w:val="auto"/>
              <w:rPr>
                <w:rFonts w:hint="default" w:ascii="宋体"/>
                <w:color w:val="auto"/>
                <w:szCs w:val="21"/>
                <w:highlight w:val="none"/>
              </w:rPr>
            </w:pPr>
            <w:r>
              <w:rPr>
                <w:rFonts w:hint="eastAsia" w:ascii="宋体" w:hAnsi="宋体"/>
                <w:color w:val="auto"/>
                <w:szCs w:val="21"/>
                <w:highlight w:val="none"/>
                <w:lang w:val="en-US" w:eastAsia="zh-CN"/>
              </w:rPr>
              <w:t>参选</w:t>
            </w:r>
            <w:r>
              <w:rPr>
                <w:rFonts w:hint="eastAsia" w:ascii="宋体" w:hAnsi="宋体"/>
                <w:color w:val="auto"/>
                <w:szCs w:val="21"/>
                <w:highlight w:val="none"/>
              </w:rPr>
              <w:t>有效期</w:t>
            </w:r>
          </w:p>
        </w:tc>
        <w:tc>
          <w:tcPr>
            <w:tcW w:w="6487" w:type="dxa"/>
            <w:tcBorders>
              <w:top w:val="single" w:color="auto" w:sz="4" w:space="0"/>
              <w:left w:val="single" w:color="auto" w:sz="4" w:space="0"/>
              <w:bottom w:val="single" w:color="auto" w:sz="4" w:space="0"/>
            </w:tcBorders>
            <w:vAlign w:val="center"/>
          </w:tcPr>
          <w:p w14:paraId="1062F443">
            <w:pPr>
              <w:keepNext w:val="0"/>
              <w:keepLines w:val="0"/>
              <w:pageBreakBefore w:val="0"/>
              <w:suppressLineNumbers w:val="0"/>
              <w:kinsoku/>
              <w:wordWrap/>
              <w:overflowPunct/>
              <w:topLinePunct w:val="0"/>
              <w:bidi w:val="0"/>
              <w:spacing w:before="0" w:beforeAutospacing="0" w:after="0" w:afterAutospacing="0" w:line="420" w:lineRule="exact"/>
              <w:ind w:left="-2" w:leftChars="-1" w:right="0" w:firstLine="2"/>
              <w:textAlignment w:val="auto"/>
              <w:rPr>
                <w:rFonts w:hint="default" w:ascii="宋体"/>
                <w:color w:val="auto"/>
                <w:szCs w:val="21"/>
                <w:highlight w:val="none"/>
              </w:rPr>
            </w:pPr>
            <w:r>
              <w:rPr>
                <w:rFonts w:hint="eastAsia" w:ascii="宋体" w:hAnsi="宋体"/>
                <w:color w:val="auto"/>
                <w:szCs w:val="21"/>
                <w:highlight w:val="none"/>
                <w:u w:val="single"/>
                <w:lang w:val="en-US" w:eastAsia="zh-CN"/>
              </w:rPr>
              <w:t>9</w:t>
            </w:r>
            <w:r>
              <w:rPr>
                <w:rFonts w:hint="default" w:ascii="宋体" w:hAnsi="宋体"/>
                <w:color w:val="auto"/>
                <w:szCs w:val="21"/>
                <w:highlight w:val="none"/>
                <w:u w:val="single"/>
              </w:rPr>
              <w:t>0日历天</w:t>
            </w:r>
            <w:r>
              <w:rPr>
                <w:rFonts w:hint="eastAsia" w:ascii="宋体" w:hAnsi="宋体"/>
                <w:color w:val="auto"/>
                <w:szCs w:val="21"/>
                <w:highlight w:val="none"/>
                <w:u w:val="single"/>
              </w:rPr>
              <w:t>（从</w:t>
            </w:r>
            <w:r>
              <w:rPr>
                <w:rFonts w:hint="eastAsia" w:ascii="宋体" w:hAnsi="宋体"/>
                <w:color w:val="auto"/>
                <w:szCs w:val="21"/>
                <w:highlight w:val="none"/>
                <w:u w:val="single"/>
                <w:lang w:eastAsia="zh-CN"/>
              </w:rPr>
              <w:t>参选文件递交</w:t>
            </w:r>
            <w:r>
              <w:rPr>
                <w:rFonts w:hint="eastAsia" w:ascii="宋体" w:hAnsi="宋体"/>
                <w:color w:val="auto"/>
                <w:szCs w:val="21"/>
                <w:highlight w:val="none"/>
                <w:u w:val="single"/>
              </w:rPr>
              <w:t>截止时间算起）</w:t>
            </w:r>
          </w:p>
        </w:tc>
      </w:tr>
      <w:tr w14:paraId="7C458F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42EE111C">
            <w:pPr>
              <w:keepNext w:val="0"/>
              <w:keepLines w:val="0"/>
              <w:pageBreakBefore w:val="0"/>
              <w:suppressLineNumbers w:val="0"/>
              <w:kinsoku/>
              <w:wordWrap/>
              <w:overflowPunct/>
              <w:topLinePunct w:val="0"/>
              <w:bidi w:val="0"/>
              <w:spacing w:before="0" w:beforeAutospacing="0" w:after="0" w:afterAutospacing="0" w:line="420" w:lineRule="exact"/>
              <w:ind w:left="0" w:right="0"/>
              <w:jc w:val="center"/>
              <w:textAlignment w:val="auto"/>
              <w:rPr>
                <w:rFonts w:hint="default" w:ascii="宋体" w:hAnsi="Times New Roman" w:eastAsia="宋体" w:cs="Times New Roman"/>
                <w:color w:val="auto"/>
                <w:kern w:val="2"/>
                <w:sz w:val="21"/>
                <w:szCs w:val="21"/>
                <w:highlight w:val="none"/>
                <w:lang w:val="en-US" w:eastAsia="zh-CN" w:bidi="ar-SA"/>
              </w:rPr>
            </w:pPr>
            <w:r>
              <w:rPr>
                <w:rFonts w:hint="eastAsia" w:ascii="宋体" w:cs="Times New Roman"/>
                <w:color w:val="auto"/>
                <w:kern w:val="2"/>
                <w:sz w:val="21"/>
                <w:szCs w:val="21"/>
                <w:highlight w:val="none"/>
                <w:lang w:val="en-US" w:eastAsia="zh-CN" w:bidi="ar-SA"/>
              </w:rPr>
              <w:t>11</w:t>
            </w:r>
          </w:p>
        </w:tc>
        <w:tc>
          <w:tcPr>
            <w:tcW w:w="2125" w:type="dxa"/>
            <w:tcBorders>
              <w:top w:val="single" w:color="auto" w:sz="4" w:space="0"/>
              <w:left w:val="single" w:color="auto" w:sz="4" w:space="0"/>
              <w:bottom w:val="single" w:color="auto" w:sz="4" w:space="0"/>
              <w:right w:val="single" w:color="auto" w:sz="4" w:space="0"/>
            </w:tcBorders>
            <w:vAlign w:val="center"/>
          </w:tcPr>
          <w:p w14:paraId="66DC0607">
            <w:pPr>
              <w:keepNext w:val="0"/>
              <w:keepLines w:val="0"/>
              <w:pageBreakBefore w:val="0"/>
              <w:suppressLineNumbers w:val="0"/>
              <w:kinsoku/>
              <w:wordWrap/>
              <w:overflowPunct/>
              <w:topLinePunct w:val="0"/>
              <w:bidi w:val="0"/>
              <w:spacing w:before="0" w:beforeAutospacing="0" w:after="0" w:afterAutospacing="0" w:line="420" w:lineRule="exact"/>
              <w:ind w:left="0" w:right="0"/>
              <w:jc w:val="center"/>
              <w:textAlignment w:val="auto"/>
              <w:rPr>
                <w:rFonts w:hint="default" w:ascii="宋体"/>
                <w:color w:val="auto"/>
                <w:szCs w:val="21"/>
                <w:highlight w:val="none"/>
              </w:rPr>
            </w:pPr>
            <w:r>
              <w:rPr>
                <w:rFonts w:hint="eastAsia" w:ascii="宋体" w:hAnsi="宋体"/>
                <w:color w:val="auto"/>
                <w:szCs w:val="21"/>
                <w:highlight w:val="none"/>
                <w:lang w:val="en-US" w:eastAsia="zh-CN"/>
              </w:rPr>
              <w:t>参选</w:t>
            </w:r>
            <w:r>
              <w:rPr>
                <w:rFonts w:hint="eastAsia" w:ascii="宋体" w:hAnsi="宋体"/>
                <w:color w:val="auto"/>
                <w:szCs w:val="21"/>
                <w:highlight w:val="none"/>
              </w:rPr>
              <w:t>保证金</w:t>
            </w:r>
          </w:p>
        </w:tc>
        <w:tc>
          <w:tcPr>
            <w:tcW w:w="6487" w:type="dxa"/>
            <w:tcBorders>
              <w:top w:val="single" w:color="auto" w:sz="4" w:space="0"/>
              <w:left w:val="single" w:color="auto" w:sz="4" w:space="0"/>
              <w:bottom w:val="single" w:color="auto" w:sz="4" w:space="0"/>
            </w:tcBorders>
            <w:vAlign w:val="center"/>
          </w:tcPr>
          <w:p w14:paraId="4BF023C5">
            <w:pPr>
              <w:keepNext w:val="0"/>
              <w:keepLines w:val="0"/>
              <w:pageBreakBefore w:val="0"/>
              <w:suppressLineNumbers w:val="0"/>
              <w:kinsoku/>
              <w:wordWrap/>
              <w:overflowPunct/>
              <w:topLinePunct w:val="0"/>
              <w:bidi w:val="0"/>
              <w:spacing w:before="0" w:beforeAutospacing="0" w:after="0" w:afterAutospacing="0" w:line="420" w:lineRule="exact"/>
              <w:ind w:left="0" w:right="0"/>
              <w:textAlignment w:val="auto"/>
              <w:rPr>
                <w:rFonts w:hint="default" w:eastAsia="宋体"/>
                <w:color w:val="auto"/>
                <w:szCs w:val="20"/>
                <w:highlight w:val="none"/>
                <w:lang w:val="en-US" w:eastAsia="zh-CN"/>
              </w:rPr>
            </w:pPr>
            <w:r>
              <w:rPr>
                <w:rFonts w:hint="eastAsia"/>
                <w:color w:val="auto"/>
                <w:szCs w:val="20"/>
                <w:highlight w:val="none"/>
                <w:lang w:val="en-US" w:eastAsia="zh-CN"/>
              </w:rPr>
              <w:t>本项目不收取</w:t>
            </w:r>
          </w:p>
        </w:tc>
      </w:tr>
      <w:tr w14:paraId="7EACEC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4EC88002">
            <w:pPr>
              <w:keepNext w:val="0"/>
              <w:keepLines w:val="0"/>
              <w:pageBreakBefore w:val="0"/>
              <w:suppressLineNumbers w:val="0"/>
              <w:kinsoku/>
              <w:wordWrap/>
              <w:overflowPunct/>
              <w:topLinePunct w:val="0"/>
              <w:bidi w:val="0"/>
              <w:spacing w:before="0" w:beforeAutospacing="0" w:after="0" w:afterAutospacing="0" w:line="420" w:lineRule="exact"/>
              <w:ind w:left="0" w:right="0"/>
              <w:jc w:val="center"/>
              <w:textAlignment w:val="auto"/>
              <w:rPr>
                <w:rFonts w:hint="default" w:ascii="宋体" w:hAnsi="Times New Roman" w:eastAsia="宋体" w:cs="Times New Roman"/>
                <w:color w:val="auto"/>
                <w:kern w:val="2"/>
                <w:sz w:val="21"/>
                <w:szCs w:val="21"/>
                <w:highlight w:val="none"/>
                <w:lang w:val="en-US" w:eastAsia="zh-CN" w:bidi="ar-SA"/>
              </w:rPr>
            </w:pPr>
            <w:r>
              <w:rPr>
                <w:rFonts w:hint="eastAsia" w:ascii="宋体" w:hAnsi="宋体" w:cs="宋体"/>
                <w:color w:val="auto"/>
                <w:szCs w:val="21"/>
                <w:highlight w:val="none"/>
                <w:lang w:val="en-US" w:eastAsia="zh-CN"/>
              </w:rPr>
              <w:t>12</w:t>
            </w:r>
          </w:p>
        </w:tc>
        <w:tc>
          <w:tcPr>
            <w:tcW w:w="2125" w:type="dxa"/>
            <w:tcBorders>
              <w:top w:val="single" w:color="auto" w:sz="4" w:space="0"/>
              <w:left w:val="single" w:color="auto" w:sz="4" w:space="0"/>
              <w:bottom w:val="single" w:color="auto" w:sz="4" w:space="0"/>
              <w:right w:val="single" w:color="auto" w:sz="4" w:space="0"/>
            </w:tcBorders>
            <w:vAlign w:val="center"/>
          </w:tcPr>
          <w:p w14:paraId="67B51F08">
            <w:pPr>
              <w:keepNext w:val="0"/>
              <w:keepLines w:val="0"/>
              <w:pageBreakBefore w:val="0"/>
              <w:suppressLineNumbers w:val="0"/>
              <w:kinsoku/>
              <w:wordWrap/>
              <w:overflowPunct/>
              <w:topLinePunct w:val="0"/>
              <w:bidi w:val="0"/>
              <w:spacing w:before="0" w:beforeAutospacing="0" w:after="0" w:afterAutospacing="0" w:line="420" w:lineRule="exact"/>
              <w:ind w:left="0" w:right="0"/>
              <w:jc w:val="center"/>
              <w:textAlignment w:val="auto"/>
              <w:rPr>
                <w:rFonts w:hint="default" w:ascii="宋体"/>
                <w:color w:val="auto"/>
                <w:szCs w:val="21"/>
                <w:highlight w:val="none"/>
              </w:rPr>
            </w:pPr>
            <w:r>
              <w:rPr>
                <w:rFonts w:hint="eastAsia" w:ascii="宋体" w:hAnsi="宋体" w:cs="宋体"/>
                <w:color w:val="auto"/>
                <w:szCs w:val="21"/>
                <w:highlight w:val="none"/>
                <w:lang w:eastAsia="zh-CN"/>
              </w:rPr>
              <w:t>递交</w:t>
            </w:r>
            <w:r>
              <w:rPr>
                <w:rFonts w:hint="eastAsia" w:ascii="宋体" w:hAnsi="宋体" w:cs="宋体"/>
                <w:color w:val="auto"/>
                <w:szCs w:val="21"/>
                <w:highlight w:val="none"/>
                <w:lang w:val="en-US" w:eastAsia="zh-CN"/>
              </w:rPr>
              <w:t>参选文件</w:t>
            </w:r>
          </w:p>
        </w:tc>
        <w:tc>
          <w:tcPr>
            <w:tcW w:w="6487" w:type="dxa"/>
            <w:tcBorders>
              <w:top w:val="single" w:color="auto" w:sz="4" w:space="0"/>
              <w:left w:val="single" w:color="auto" w:sz="4" w:space="0"/>
              <w:bottom w:val="single" w:color="auto" w:sz="4" w:space="0"/>
            </w:tcBorders>
            <w:vAlign w:val="center"/>
          </w:tcPr>
          <w:p w14:paraId="3E732722">
            <w:pPr>
              <w:pStyle w:val="22"/>
              <w:keepNext w:val="0"/>
              <w:keepLines w:val="0"/>
              <w:widowControl/>
              <w:numPr>
                <w:ilvl w:val="0"/>
                <w:numId w:val="0"/>
              </w:numPr>
              <w:suppressLineNumbers w:val="0"/>
              <w:spacing w:before="0" w:beforeAutospacing="0" w:after="0" w:afterAutospacing="0" w:line="420" w:lineRule="exact"/>
              <w:ind w:left="0" w:right="0"/>
              <w:jc w:val="both"/>
              <w:rPr>
                <w:rFonts w:hint="eastAsia" w:ascii="宋体" w:hAnsi="宋体" w:eastAsia="宋体" w:cs="宋体"/>
                <w:b/>
                <w:bCs/>
                <w:color w:val="auto"/>
                <w:sz w:val="21"/>
                <w:szCs w:val="21"/>
                <w:highlight w:val="none"/>
                <w:u w:val="none"/>
                <w:lang w:val="en-US" w:eastAsia="zh-CN"/>
              </w:rPr>
            </w:pPr>
            <w:r>
              <w:rPr>
                <w:rFonts w:hint="eastAsia" w:ascii="宋体" w:hAnsi="宋体" w:eastAsia="宋体" w:cs="宋体"/>
                <w:b/>
                <w:bCs/>
                <w:color w:val="auto"/>
                <w:sz w:val="21"/>
                <w:szCs w:val="21"/>
                <w:highlight w:val="none"/>
                <w:u w:val="none"/>
                <w:lang w:val="en-US" w:eastAsia="zh-CN"/>
              </w:rPr>
              <w:t>1.参选文件份数：壹份正本，贰份副本；</w:t>
            </w:r>
          </w:p>
          <w:p w14:paraId="72305ABA">
            <w:pPr>
              <w:pStyle w:val="22"/>
              <w:keepNext w:val="0"/>
              <w:keepLines w:val="0"/>
              <w:widowControl/>
              <w:numPr>
                <w:ilvl w:val="0"/>
                <w:numId w:val="0"/>
              </w:numPr>
              <w:suppressLineNumbers w:val="0"/>
              <w:spacing w:before="0" w:beforeAutospacing="0" w:after="0" w:afterAutospacing="0" w:line="420" w:lineRule="exact"/>
              <w:ind w:left="0" w:right="0"/>
              <w:jc w:val="both"/>
              <w:rPr>
                <w:rFonts w:hint="eastAsia" w:ascii="宋体" w:hAnsi="宋体" w:eastAsia="宋体" w:cs="宋体"/>
                <w:b/>
                <w:bCs/>
                <w:color w:val="auto"/>
                <w:sz w:val="21"/>
                <w:szCs w:val="21"/>
                <w:highlight w:val="none"/>
                <w:u w:val="none"/>
                <w:lang w:val="en-US" w:eastAsia="zh-CN"/>
              </w:rPr>
            </w:pPr>
            <w:r>
              <w:rPr>
                <w:rFonts w:hint="eastAsia" w:ascii="宋体" w:hAnsi="宋体" w:eastAsia="宋体" w:cs="宋体"/>
                <w:b/>
                <w:bCs/>
                <w:color w:val="auto"/>
                <w:sz w:val="21"/>
                <w:szCs w:val="21"/>
                <w:highlight w:val="none"/>
                <w:u w:val="none"/>
                <w:lang w:val="en-US" w:eastAsia="zh-CN"/>
              </w:rPr>
              <w:t>2.参选人应将参选文件的正本和副本同时装于一个袋内。包装密封，并于密封袋上加盖单位公章。密封袋上须写明：项目名称、供应商名称、项目编号。</w:t>
            </w:r>
          </w:p>
          <w:p w14:paraId="6650E3AA">
            <w:pPr>
              <w:pStyle w:val="22"/>
              <w:keepNext w:val="0"/>
              <w:keepLines w:val="0"/>
              <w:widowControl/>
              <w:numPr>
                <w:ilvl w:val="0"/>
                <w:numId w:val="0"/>
              </w:numPr>
              <w:suppressLineNumbers w:val="0"/>
              <w:spacing w:before="0" w:beforeAutospacing="0" w:after="0" w:afterAutospacing="0" w:line="420" w:lineRule="exact"/>
              <w:ind w:left="0" w:right="0"/>
              <w:jc w:val="both"/>
              <w:rPr>
                <w:rFonts w:hint="eastAsia" w:ascii="宋体" w:hAnsi="宋体" w:eastAsia="宋体" w:cs="宋体"/>
                <w:b/>
                <w:bCs/>
                <w:color w:val="auto"/>
                <w:sz w:val="21"/>
                <w:szCs w:val="21"/>
                <w:highlight w:val="none"/>
                <w:u w:val="none"/>
                <w:lang w:val="en-US" w:eastAsia="zh-CN"/>
              </w:rPr>
            </w:pPr>
            <w:r>
              <w:rPr>
                <w:rFonts w:hint="eastAsia" w:ascii="宋体" w:hAnsi="宋体" w:cs="宋体"/>
                <w:b/>
                <w:bCs/>
                <w:color w:val="auto"/>
                <w:sz w:val="21"/>
                <w:szCs w:val="21"/>
                <w:highlight w:val="none"/>
                <w:u w:val="none"/>
                <w:lang w:val="en-US" w:eastAsia="zh-CN"/>
              </w:rPr>
              <w:t>3</w:t>
            </w:r>
            <w:r>
              <w:rPr>
                <w:rFonts w:hint="eastAsia" w:ascii="宋体" w:hAnsi="宋体" w:eastAsia="宋体" w:cs="宋体"/>
                <w:b/>
                <w:bCs/>
                <w:color w:val="auto"/>
                <w:sz w:val="21"/>
                <w:szCs w:val="21"/>
                <w:highlight w:val="none"/>
                <w:u w:val="none"/>
                <w:lang w:val="en-US" w:eastAsia="zh-CN"/>
              </w:rPr>
              <w:t>.参选文件正本和副本均需胶装成册并标明页码，不得采用活页或容易拆解的装订形式。</w:t>
            </w:r>
          </w:p>
          <w:p w14:paraId="123E4BC5">
            <w:pPr>
              <w:pStyle w:val="22"/>
              <w:keepNext w:val="0"/>
              <w:keepLines w:val="0"/>
              <w:widowControl/>
              <w:numPr>
                <w:ilvl w:val="0"/>
                <w:numId w:val="0"/>
              </w:numPr>
              <w:suppressLineNumbers w:val="0"/>
              <w:spacing w:before="0" w:beforeAutospacing="0" w:after="0" w:afterAutospacing="0" w:line="420" w:lineRule="exact"/>
              <w:ind w:left="0" w:right="0"/>
              <w:jc w:val="both"/>
              <w:rPr>
                <w:rFonts w:hint="eastAsia" w:ascii="宋体" w:hAnsi="宋体" w:eastAsia="宋体" w:cs="宋体"/>
                <w:b/>
                <w:bCs/>
                <w:color w:val="auto"/>
                <w:sz w:val="21"/>
                <w:szCs w:val="21"/>
                <w:highlight w:val="none"/>
                <w:u w:val="none"/>
                <w:lang w:val="en-US" w:eastAsia="zh-CN"/>
              </w:rPr>
            </w:pPr>
            <w:r>
              <w:rPr>
                <w:rFonts w:hint="eastAsia" w:ascii="宋体" w:hAnsi="宋体" w:eastAsia="宋体" w:cs="宋体"/>
                <w:b/>
                <w:bCs/>
                <w:color w:val="auto"/>
                <w:sz w:val="21"/>
                <w:szCs w:val="21"/>
                <w:highlight w:val="none"/>
                <w:u w:val="none"/>
                <w:lang w:val="en-US" w:eastAsia="zh-CN"/>
              </w:rPr>
              <w:t>4.参选文件封面的需清楚地注明“正本”或“副本”。</w:t>
            </w:r>
          </w:p>
          <w:p w14:paraId="2674B5D0">
            <w:pPr>
              <w:pStyle w:val="22"/>
              <w:keepNext w:val="0"/>
              <w:keepLines w:val="0"/>
              <w:widowControl/>
              <w:numPr>
                <w:ilvl w:val="0"/>
                <w:numId w:val="0"/>
              </w:numPr>
              <w:suppressLineNumbers w:val="0"/>
              <w:spacing w:before="0" w:beforeAutospacing="0" w:after="0" w:afterAutospacing="0" w:line="420" w:lineRule="exact"/>
              <w:ind w:left="0" w:right="0"/>
              <w:jc w:val="both"/>
              <w:rPr>
                <w:rFonts w:hint="default" w:ascii="宋体" w:hAnsi="宋体" w:eastAsia="宋体" w:cs="宋体"/>
                <w:color w:val="auto"/>
                <w:sz w:val="21"/>
                <w:szCs w:val="21"/>
                <w:highlight w:val="none"/>
                <w:u w:val="none"/>
                <w:lang w:val="en-US" w:eastAsia="zh-CN"/>
              </w:rPr>
            </w:pPr>
            <w:r>
              <w:rPr>
                <w:rFonts w:hint="eastAsia" w:ascii="宋体" w:hAnsi="宋体" w:cs="宋体"/>
                <w:b/>
                <w:bCs/>
                <w:color w:val="auto"/>
                <w:sz w:val="21"/>
                <w:szCs w:val="21"/>
                <w:highlight w:val="none"/>
                <w:u w:val="none"/>
                <w:lang w:val="en-US" w:eastAsia="zh-CN"/>
              </w:rPr>
              <w:t>5.参选人须在递交参选文件截止时间前，到达比选地点现场递交参选文件。</w:t>
            </w:r>
          </w:p>
        </w:tc>
      </w:tr>
      <w:tr w14:paraId="561A90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527FB0B1">
            <w:pPr>
              <w:keepNext w:val="0"/>
              <w:keepLines w:val="0"/>
              <w:pageBreakBefore w:val="0"/>
              <w:suppressLineNumbers w:val="0"/>
              <w:kinsoku/>
              <w:wordWrap/>
              <w:overflowPunct/>
              <w:topLinePunct w:val="0"/>
              <w:bidi w:val="0"/>
              <w:spacing w:before="0" w:beforeAutospacing="0" w:after="0" w:afterAutospacing="0" w:line="420" w:lineRule="exact"/>
              <w:ind w:left="0" w:right="0"/>
              <w:jc w:val="center"/>
              <w:textAlignment w:val="auto"/>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13</w:t>
            </w:r>
          </w:p>
        </w:tc>
        <w:tc>
          <w:tcPr>
            <w:tcW w:w="2125" w:type="dxa"/>
            <w:tcBorders>
              <w:top w:val="single" w:color="auto" w:sz="4" w:space="0"/>
              <w:left w:val="single" w:color="auto" w:sz="4" w:space="0"/>
              <w:bottom w:val="single" w:color="auto" w:sz="4" w:space="0"/>
              <w:right w:val="single" w:color="auto" w:sz="4" w:space="0"/>
            </w:tcBorders>
            <w:vAlign w:val="center"/>
          </w:tcPr>
          <w:p w14:paraId="140835B6">
            <w:pPr>
              <w:keepNext w:val="0"/>
              <w:keepLines w:val="0"/>
              <w:pageBreakBefore w:val="0"/>
              <w:suppressLineNumbers w:val="0"/>
              <w:kinsoku/>
              <w:wordWrap/>
              <w:overflowPunct/>
              <w:topLinePunct w:val="0"/>
              <w:bidi w:val="0"/>
              <w:spacing w:before="0" w:beforeAutospacing="0" w:after="0" w:afterAutospacing="0" w:line="420" w:lineRule="exact"/>
              <w:ind w:left="0" w:right="0"/>
              <w:jc w:val="center"/>
              <w:textAlignment w:val="auto"/>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媒介发布</w:t>
            </w:r>
          </w:p>
        </w:tc>
        <w:tc>
          <w:tcPr>
            <w:tcW w:w="6487" w:type="dxa"/>
            <w:tcBorders>
              <w:top w:val="single" w:color="auto" w:sz="4" w:space="0"/>
              <w:left w:val="single" w:color="auto" w:sz="4" w:space="0"/>
              <w:bottom w:val="single" w:color="auto" w:sz="4" w:space="0"/>
            </w:tcBorders>
            <w:vAlign w:val="center"/>
          </w:tcPr>
          <w:p w14:paraId="7F800101">
            <w:pPr>
              <w:keepNext w:val="0"/>
              <w:keepLines w:val="0"/>
              <w:pageBreakBefore w:val="0"/>
              <w:suppressLineNumbers w:val="0"/>
              <w:kinsoku/>
              <w:wordWrap/>
              <w:overflowPunct/>
              <w:topLinePunct w:val="0"/>
              <w:autoSpaceDE w:val="0"/>
              <w:autoSpaceDN w:val="0"/>
              <w:bidi w:val="0"/>
              <w:adjustRightInd w:val="0"/>
              <w:spacing w:before="0" w:beforeAutospacing="0" w:after="0" w:afterAutospacing="0" w:line="420" w:lineRule="exact"/>
              <w:ind w:left="0" w:right="0"/>
              <w:jc w:val="left"/>
              <w:textAlignment w:val="auto"/>
              <w:rPr>
                <w:rFonts w:hint="eastAsia" w:ascii="宋体" w:hAnsi="宋体"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安庆市交通控股集团有限公司</w:t>
            </w:r>
            <w:r>
              <w:rPr>
                <w:rFonts w:hint="eastAsia" w:cs="Times New Roman"/>
                <w:color w:val="auto"/>
                <w:szCs w:val="21"/>
                <w:highlight w:val="none"/>
                <w:lang w:val="en-US" w:eastAsia="zh-CN"/>
              </w:rPr>
              <w:t>集采平台</w:t>
            </w:r>
            <w:r>
              <w:rPr>
                <w:rFonts w:hint="eastAsia" w:ascii="Times New Roman" w:hAnsi="Times New Roman" w:eastAsia="宋体" w:cs="Times New Roman"/>
                <w:color w:val="auto"/>
                <w:szCs w:val="21"/>
                <w:highlight w:val="none"/>
                <w:lang w:val="en-US" w:eastAsia="zh-CN"/>
              </w:rPr>
              <w:t>（http：//jc.zh0556.com/）</w:t>
            </w:r>
            <w:r>
              <w:rPr>
                <w:rFonts w:hint="eastAsia" w:ascii="宋体" w:hAnsi="宋体" w:eastAsia="宋体" w:cs="宋体"/>
                <w:color w:val="auto"/>
                <w:sz w:val="21"/>
                <w:szCs w:val="21"/>
                <w:highlight w:val="none"/>
                <w:lang w:val="en-US" w:eastAsia="zh-CN"/>
              </w:rPr>
              <w:t>发布。</w:t>
            </w:r>
          </w:p>
        </w:tc>
      </w:tr>
      <w:tr w14:paraId="7DA3FA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051E4B2B">
            <w:pPr>
              <w:keepNext w:val="0"/>
              <w:keepLines w:val="0"/>
              <w:pageBreakBefore w:val="0"/>
              <w:suppressLineNumbers w:val="0"/>
              <w:kinsoku/>
              <w:wordWrap/>
              <w:overflowPunct/>
              <w:topLinePunct w:val="0"/>
              <w:bidi w:val="0"/>
              <w:spacing w:before="0" w:beforeAutospacing="0" w:after="0" w:afterAutospacing="0" w:line="420" w:lineRule="exact"/>
              <w:ind w:left="0" w:right="0"/>
              <w:jc w:val="center"/>
              <w:textAlignment w:val="auto"/>
              <w:rPr>
                <w:rFonts w:hint="default" w:ascii="宋体" w:hAnsi="Times New Roman" w:eastAsia="宋体" w:cs="Times New Roman"/>
                <w:color w:val="auto"/>
                <w:kern w:val="2"/>
                <w:sz w:val="21"/>
                <w:szCs w:val="21"/>
                <w:highlight w:val="none"/>
                <w:lang w:val="en-US" w:eastAsia="zh-CN" w:bidi="ar-SA"/>
              </w:rPr>
            </w:pPr>
            <w:r>
              <w:rPr>
                <w:rFonts w:hint="eastAsia" w:ascii="宋体" w:hAnsi="宋体"/>
                <w:color w:val="auto"/>
                <w:szCs w:val="21"/>
                <w:highlight w:val="none"/>
                <w:lang w:val="en-US" w:eastAsia="zh-CN"/>
              </w:rPr>
              <w:t>14</w:t>
            </w:r>
          </w:p>
        </w:tc>
        <w:tc>
          <w:tcPr>
            <w:tcW w:w="2125" w:type="dxa"/>
            <w:tcBorders>
              <w:top w:val="single" w:color="auto" w:sz="4" w:space="0"/>
              <w:left w:val="single" w:color="auto" w:sz="4" w:space="0"/>
              <w:bottom w:val="single" w:color="auto" w:sz="4" w:space="0"/>
              <w:right w:val="single" w:color="auto" w:sz="4" w:space="0"/>
            </w:tcBorders>
            <w:vAlign w:val="center"/>
          </w:tcPr>
          <w:p w14:paraId="59DBC0EC">
            <w:pPr>
              <w:keepNext w:val="0"/>
              <w:keepLines w:val="0"/>
              <w:pageBreakBefore w:val="0"/>
              <w:suppressLineNumbers w:val="0"/>
              <w:kinsoku/>
              <w:wordWrap/>
              <w:overflowPunct/>
              <w:topLinePunct w:val="0"/>
              <w:bidi w:val="0"/>
              <w:spacing w:before="0" w:beforeAutospacing="0" w:after="0" w:afterAutospacing="0" w:line="420" w:lineRule="exact"/>
              <w:ind w:left="0" w:right="0"/>
              <w:jc w:val="center"/>
              <w:textAlignment w:val="auto"/>
              <w:rPr>
                <w:rFonts w:hint="default" w:ascii="宋体"/>
                <w:color w:val="auto"/>
                <w:szCs w:val="21"/>
                <w:highlight w:val="none"/>
              </w:rPr>
            </w:pPr>
            <w:r>
              <w:rPr>
                <w:rFonts w:hint="eastAsia" w:ascii="宋体" w:hAnsi="宋体"/>
                <w:color w:val="auto"/>
                <w:szCs w:val="21"/>
                <w:highlight w:val="none"/>
                <w:lang w:val="en-US" w:eastAsia="zh-CN"/>
              </w:rPr>
              <w:t>参选截止</w:t>
            </w:r>
            <w:r>
              <w:rPr>
                <w:rFonts w:hint="eastAsia" w:ascii="宋体" w:hAnsi="宋体"/>
                <w:color w:val="auto"/>
                <w:szCs w:val="21"/>
                <w:highlight w:val="none"/>
              </w:rPr>
              <w:t>时间和地点</w:t>
            </w:r>
          </w:p>
        </w:tc>
        <w:tc>
          <w:tcPr>
            <w:tcW w:w="6487" w:type="dxa"/>
            <w:tcBorders>
              <w:top w:val="single" w:color="auto" w:sz="4" w:space="0"/>
              <w:left w:val="single" w:color="auto" w:sz="4" w:space="0"/>
              <w:bottom w:val="single" w:color="auto" w:sz="4" w:space="0"/>
            </w:tcBorders>
            <w:vAlign w:val="center"/>
          </w:tcPr>
          <w:p w14:paraId="58A9FC49">
            <w:pPr>
              <w:keepNext w:val="0"/>
              <w:keepLines w:val="0"/>
              <w:suppressLineNumbers w:val="0"/>
              <w:spacing w:before="0" w:beforeAutospacing="0" w:after="0" w:afterAutospacing="0" w:line="420" w:lineRule="exact"/>
              <w:ind w:left="0" w:right="0"/>
              <w:rPr>
                <w:rFonts w:hint="eastAsia" w:ascii="宋体" w:hAnsi="宋体" w:cs="宋体"/>
                <w:b w:val="0"/>
                <w:bCs w:val="0"/>
                <w:color w:val="auto"/>
                <w:szCs w:val="21"/>
                <w:highlight w:val="none"/>
              </w:rPr>
            </w:pPr>
            <w:r>
              <w:rPr>
                <w:rFonts w:hint="eastAsia" w:ascii="宋体" w:hAnsi="宋体" w:cs="宋体"/>
                <w:b w:val="0"/>
                <w:bCs w:val="0"/>
                <w:color w:val="auto"/>
                <w:szCs w:val="21"/>
                <w:highlight w:val="none"/>
              </w:rPr>
              <w:t>北京时间:</w:t>
            </w:r>
            <w:r>
              <w:rPr>
                <w:rFonts w:hint="eastAsia" w:ascii="宋体" w:hAnsi="宋体" w:cs="宋体"/>
                <w:b w:val="0"/>
                <w:bCs w:val="0"/>
                <w:color w:val="auto"/>
                <w:szCs w:val="21"/>
                <w:highlight w:val="none"/>
                <w:lang w:val="en-US" w:eastAsia="zh-CN"/>
              </w:rPr>
              <w:t>2026</w:t>
            </w:r>
            <w:r>
              <w:rPr>
                <w:rFonts w:hint="eastAsia" w:ascii="宋体" w:hAnsi="宋体" w:cs="宋体"/>
                <w:b w:val="0"/>
                <w:bCs w:val="0"/>
                <w:color w:val="auto"/>
                <w:szCs w:val="21"/>
                <w:highlight w:val="none"/>
              </w:rPr>
              <w:t>年</w:t>
            </w:r>
            <w:r>
              <w:rPr>
                <w:rFonts w:hint="eastAsia" w:ascii="宋体" w:hAnsi="宋体" w:cs="宋体"/>
                <w:b w:val="0"/>
                <w:bCs w:val="0"/>
                <w:color w:val="auto"/>
                <w:szCs w:val="21"/>
                <w:highlight w:val="none"/>
                <w:lang w:val="en-US" w:eastAsia="zh-CN"/>
              </w:rPr>
              <w:t>9月23日9</w:t>
            </w:r>
            <w:r>
              <w:rPr>
                <w:rFonts w:hint="eastAsia" w:ascii="宋体" w:hAnsi="宋体" w:cs="宋体"/>
                <w:b w:val="0"/>
                <w:bCs w:val="0"/>
                <w:color w:val="auto"/>
                <w:szCs w:val="21"/>
                <w:highlight w:val="none"/>
              </w:rPr>
              <w:t>时</w:t>
            </w:r>
            <w:r>
              <w:rPr>
                <w:rFonts w:hint="eastAsia" w:ascii="宋体" w:hAnsi="宋体" w:cs="宋体"/>
                <w:b w:val="0"/>
                <w:bCs w:val="0"/>
                <w:color w:val="auto"/>
                <w:szCs w:val="21"/>
                <w:highlight w:val="none"/>
                <w:lang w:val="en-US" w:eastAsia="zh-CN"/>
              </w:rPr>
              <w:t>30</w:t>
            </w:r>
            <w:r>
              <w:rPr>
                <w:rFonts w:hint="eastAsia" w:ascii="宋体" w:hAnsi="宋体" w:cs="宋体"/>
                <w:b w:val="0"/>
                <w:bCs w:val="0"/>
                <w:color w:val="auto"/>
                <w:szCs w:val="21"/>
                <w:highlight w:val="none"/>
              </w:rPr>
              <w:t>分</w:t>
            </w:r>
          </w:p>
          <w:p w14:paraId="224C4887">
            <w:pPr>
              <w:keepNext w:val="0"/>
              <w:keepLines w:val="0"/>
              <w:suppressLineNumbers w:val="0"/>
              <w:spacing w:before="0" w:beforeAutospacing="0" w:after="0" w:afterAutospacing="0" w:line="420" w:lineRule="exact"/>
              <w:ind w:left="0" w:right="0"/>
              <w:rPr>
                <w:rFonts w:hint="default" w:ascii="宋体" w:hAnsi="宋体" w:eastAsia="宋体" w:cs="宋体"/>
                <w:color w:val="auto"/>
                <w:sz w:val="21"/>
                <w:szCs w:val="21"/>
                <w:highlight w:val="none"/>
                <w:lang w:val="en-US" w:eastAsia="zh-CN"/>
              </w:rPr>
            </w:pPr>
            <w:r>
              <w:rPr>
                <w:rFonts w:hint="eastAsia" w:ascii="宋体" w:hAnsi="宋体" w:cs="宋体"/>
                <w:b w:val="0"/>
                <w:bCs w:val="0"/>
                <w:color w:val="auto"/>
                <w:szCs w:val="21"/>
                <w:highlight w:val="none"/>
              </w:rPr>
              <w:t>地点:安庆市大观区集贤南路52号二楼集采中心开标室</w:t>
            </w:r>
          </w:p>
        </w:tc>
      </w:tr>
      <w:tr w14:paraId="6CA16FE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004501AB">
            <w:pPr>
              <w:keepNext w:val="0"/>
              <w:keepLines w:val="0"/>
              <w:pageBreakBefore w:val="0"/>
              <w:suppressLineNumbers w:val="0"/>
              <w:kinsoku/>
              <w:wordWrap/>
              <w:overflowPunct/>
              <w:topLinePunct w:val="0"/>
              <w:bidi w:val="0"/>
              <w:spacing w:before="0" w:beforeAutospacing="0" w:after="0" w:afterAutospacing="0" w:line="420" w:lineRule="exact"/>
              <w:ind w:left="0" w:right="0"/>
              <w:jc w:val="center"/>
              <w:textAlignment w:val="auto"/>
              <w:rPr>
                <w:rFonts w:hint="default" w:ascii="宋体" w:hAnsi="宋体" w:eastAsia="宋体" w:cs="Times New Roman"/>
                <w:color w:val="auto"/>
                <w:kern w:val="2"/>
                <w:sz w:val="21"/>
                <w:szCs w:val="21"/>
                <w:highlight w:val="none"/>
                <w:lang w:val="en-US" w:eastAsia="zh-CN" w:bidi="ar-SA"/>
              </w:rPr>
            </w:pPr>
            <w:r>
              <w:rPr>
                <w:rFonts w:hint="eastAsia" w:ascii="宋体" w:hAnsi="宋体"/>
                <w:color w:val="auto"/>
                <w:szCs w:val="21"/>
                <w:highlight w:val="none"/>
                <w:lang w:val="en-US" w:eastAsia="zh-CN"/>
              </w:rPr>
              <w:t>15</w:t>
            </w:r>
          </w:p>
        </w:tc>
        <w:tc>
          <w:tcPr>
            <w:tcW w:w="2125" w:type="dxa"/>
            <w:tcBorders>
              <w:top w:val="single" w:color="auto" w:sz="4" w:space="0"/>
              <w:left w:val="single" w:color="auto" w:sz="4" w:space="0"/>
              <w:bottom w:val="single" w:color="auto" w:sz="4" w:space="0"/>
              <w:right w:val="single" w:color="auto" w:sz="4" w:space="0"/>
            </w:tcBorders>
          </w:tcPr>
          <w:p w14:paraId="12AD85FB">
            <w:pPr>
              <w:keepNext w:val="0"/>
              <w:keepLines w:val="0"/>
              <w:pageBreakBefore w:val="0"/>
              <w:suppressLineNumbers w:val="0"/>
              <w:kinsoku/>
              <w:wordWrap/>
              <w:overflowPunct/>
              <w:topLinePunct w:val="0"/>
              <w:bidi w:val="0"/>
              <w:spacing w:before="0" w:beforeAutospacing="0" w:after="0" w:afterAutospacing="0" w:line="420" w:lineRule="exact"/>
              <w:ind w:left="0" w:right="0"/>
              <w:jc w:val="center"/>
              <w:textAlignment w:val="auto"/>
              <w:rPr>
                <w:rFonts w:hint="default" w:ascii="宋体"/>
                <w:color w:val="auto"/>
                <w:szCs w:val="21"/>
                <w:highlight w:val="none"/>
              </w:rPr>
            </w:pPr>
            <w:r>
              <w:rPr>
                <w:rFonts w:hint="eastAsia" w:ascii="宋体" w:hAnsi="宋体"/>
                <w:color w:val="auto"/>
                <w:szCs w:val="21"/>
                <w:highlight w:val="none"/>
              </w:rPr>
              <w:t>评审方法</w:t>
            </w:r>
          </w:p>
        </w:tc>
        <w:tc>
          <w:tcPr>
            <w:tcW w:w="6487" w:type="dxa"/>
            <w:tcBorders>
              <w:top w:val="single" w:color="auto" w:sz="4" w:space="0"/>
              <w:left w:val="single" w:color="auto" w:sz="4" w:space="0"/>
              <w:bottom w:val="single" w:color="auto" w:sz="4" w:space="0"/>
            </w:tcBorders>
            <w:vAlign w:val="center"/>
          </w:tcPr>
          <w:p w14:paraId="77DB9DDD">
            <w:pPr>
              <w:keepNext w:val="0"/>
              <w:keepLines w:val="0"/>
              <w:pageBreakBefore w:val="0"/>
              <w:suppressLineNumbers w:val="0"/>
              <w:kinsoku/>
              <w:wordWrap/>
              <w:overflowPunct/>
              <w:topLinePunct w:val="0"/>
              <w:bidi w:val="0"/>
              <w:spacing w:before="0" w:beforeAutospacing="0" w:after="0" w:afterAutospacing="0" w:line="420" w:lineRule="exact"/>
              <w:ind w:left="0" w:right="0"/>
              <w:textAlignment w:val="auto"/>
              <w:rPr>
                <w:rFonts w:hint="eastAsia" w:ascii="宋体" w:hAnsi="宋体" w:eastAsia="宋体" w:cs="宋体"/>
                <w:color w:val="auto"/>
                <w:sz w:val="21"/>
                <w:szCs w:val="21"/>
                <w:highlight w:val="none"/>
                <w:lang w:val="en-US" w:eastAsia="zh-CN"/>
              </w:rPr>
            </w:pPr>
            <w:r>
              <w:rPr>
                <w:rFonts w:hint="eastAsia" w:ascii="宋体"/>
                <w:color w:val="auto"/>
                <w:szCs w:val="21"/>
                <w:highlight w:val="none"/>
                <w:lang w:eastAsia="zh-CN"/>
              </w:rPr>
              <w:t>最低评标价法</w:t>
            </w:r>
          </w:p>
        </w:tc>
      </w:tr>
      <w:tr w14:paraId="60EBB1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3B8875D8">
            <w:pPr>
              <w:keepNext w:val="0"/>
              <w:keepLines w:val="0"/>
              <w:pageBreakBefore w:val="0"/>
              <w:suppressLineNumbers w:val="0"/>
              <w:kinsoku/>
              <w:wordWrap/>
              <w:overflowPunct/>
              <w:topLinePunct w:val="0"/>
              <w:bidi w:val="0"/>
              <w:spacing w:before="0" w:beforeAutospacing="0" w:after="0" w:afterAutospacing="0" w:line="420" w:lineRule="exact"/>
              <w:ind w:left="0" w:right="0"/>
              <w:jc w:val="center"/>
              <w:textAlignment w:val="auto"/>
              <w:rPr>
                <w:rFonts w:hint="default" w:ascii="宋体" w:hAnsi="Times New Roman" w:eastAsia="宋体" w:cs="Times New Roman"/>
                <w:color w:val="auto"/>
                <w:kern w:val="2"/>
                <w:sz w:val="21"/>
                <w:szCs w:val="21"/>
                <w:highlight w:val="none"/>
                <w:lang w:val="en-US" w:eastAsia="zh-CN" w:bidi="ar-SA"/>
              </w:rPr>
            </w:pPr>
            <w:r>
              <w:rPr>
                <w:rFonts w:hint="eastAsia" w:ascii="宋体" w:hAnsi="宋体"/>
                <w:color w:val="auto"/>
                <w:szCs w:val="21"/>
                <w:highlight w:val="none"/>
                <w:lang w:val="en-US" w:eastAsia="zh-CN"/>
              </w:rPr>
              <w:t>16</w:t>
            </w:r>
          </w:p>
        </w:tc>
        <w:tc>
          <w:tcPr>
            <w:tcW w:w="2125" w:type="dxa"/>
            <w:tcBorders>
              <w:top w:val="single" w:color="auto" w:sz="4" w:space="0"/>
              <w:left w:val="single" w:color="auto" w:sz="4" w:space="0"/>
              <w:bottom w:val="single" w:color="auto" w:sz="4" w:space="0"/>
              <w:right w:val="single" w:color="auto" w:sz="4" w:space="0"/>
            </w:tcBorders>
            <w:vAlign w:val="center"/>
          </w:tcPr>
          <w:p w14:paraId="395893CA">
            <w:pPr>
              <w:keepNext w:val="0"/>
              <w:keepLines w:val="0"/>
              <w:pageBreakBefore w:val="0"/>
              <w:suppressLineNumbers w:val="0"/>
              <w:kinsoku/>
              <w:wordWrap/>
              <w:overflowPunct/>
              <w:topLinePunct w:val="0"/>
              <w:bidi w:val="0"/>
              <w:spacing w:before="0" w:beforeAutospacing="0" w:after="0" w:afterAutospacing="0" w:line="420" w:lineRule="exact"/>
              <w:ind w:left="0" w:right="0"/>
              <w:jc w:val="center"/>
              <w:textAlignment w:val="auto"/>
              <w:rPr>
                <w:rFonts w:hint="default" w:ascii="宋体"/>
                <w:color w:val="auto"/>
                <w:szCs w:val="21"/>
                <w:highlight w:val="none"/>
              </w:rPr>
            </w:pPr>
            <w:r>
              <w:rPr>
                <w:rFonts w:hint="eastAsia" w:ascii="宋体" w:hAnsi="宋体"/>
                <w:color w:val="auto"/>
                <w:szCs w:val="21"/>
                <w:highlight w:val="none"/>
              </w:rPr>
              <w:t>履约保证金</w:t>
            </w:r>
          </w:p>
        </w:tc>
        <w:tc>
          <w:tcPr>
            <w:tcW w:w="6487" w:type="dxa"/>
            <w:tcBorders>
              <w:top w:val="single" w:color="auto" w:sz="4" w:space="0"/>
              <w:left w:val="single" w:color="auto" w:sz="4" w:space="0"/>
              <w:bottom w:val="single" w:color="auto" w:sz="4" w:space="0"/>
            </w:tcBorders>
            <w:vAlign w:val="center"/>
          </w:tcPr>
          <w:p w14:paraId="0ECF2FB4">
            <w:pPr>
              <w:keepNext w:val="0"/>
              <w:keepLines w:val="0"/>
              <w:pageBreakBefore w:val="0"/>
              <w:suppressLineNumbers w:val="0"/>
              <w:kinsoku/>
              <w:wordWrap/>
              <w:overflowPunct/>
              <w:topLinePunct w:val="0"/>
              <w:bidi w:val="0"/>
              <w:spacing w:before="0" w:beforeAutospacing="0" w:after="0" w:afterAutospacing="0" w:line="420" w:lineRule="exact"/>
              <w:ind w:left="0" w:right="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是否要求投标人递交履约保证金：</w:t>
            </w:r>
          </w:p>
          <w:p w14:paraId="0269AE34">
            <w:pPr>
              <w:keepNext w:val="0"/>
              <w:keepLines w:val="0"/>
              <w:pageBreakBefore w:val="0"/>
              <w:suppressLineNumbers w:val="0"/>
              <w:kinsoku/>
              <w:wordWrap/>
              <w:overflowPunct/>
              <w:topLinePunct w:val="0"/>
              <w:bidi w:val="0"/>
              <w:spacing w:before="0" w:beforeAutospacing="0" w:after="0" w:afterAutospacing="0" w:line="420" w:lineRule="exact"/>
              <w:ind w:left="0" w:right="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☑不要求</w:t>
            </w:r>
          </w:p>
          <w:p w14:paraId="31A93009">
            <w:pPr>
              <w:keepNext w:val="0"/>
              <w:keepLines w:val="0"/>
              <w:pageBreakBefore w:val="0"/>
              <w:suppressLineNumbers w:val="0"/>
              <w:kinsoku/>
              <w:wordWrap/>
              <w:overflowPunct/>
              <w:topLinePunct w:val="0"/>
              <w:bidi w:val="0"/>
              <w:spacing w:before="0" w:beforeAutospacing="0" w:after="0" w:afterAutospacing="0" w:line="420" w:lineRule="exact"/>
              <w:ind w:left="0" w:right="0"/>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要求，具体如下：</w:t>
            </w:r>
          </w:p>
          <w:p w14:paraId="45163499">
            <w:pPr>
              <w:keepNext w:val="0"/>
              <w:keepLines w:val="0"/>
              <w:pageBreakBefore w:val="0"/>
              <w:suppressLineNumbers w:val="0"/>
              <w:kinsoku/>
              <w:wordWrap/>
              <w:overflowPunct/>
              <w:topLinePunct w:val="0"/>
              <w:bidi w:val="0"/>
              <w:spacing w:before="0" w:beforeAutospacing="0" w:after="0" w:afterAutospacing="0" w:line="420" w:lineRule="exact"/>
              <w:ind w:left="0" w:right="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（1）比例：中标合同金额的 2 ％。</w:t>
            </w:r>
          </w:p>
          <w:p w14:paraId="2C50FE81">
            <w:pPr>
              <w:keepNext w:val="0"/>
              <w:keepLines w:val="0"/>
              <w:pageBreakBefore w:val="0"/>
              <w:suppressLineNumbers w:val="0"/>
              <w:kinsoku/>
              <w:wordWrap/>
              <w:overflowPunct/>
              <w:topLinePunct w:val="0"/>
              <w:bidi w:val="0"/>
              <w:spacing w:before="0" w:beforeAutospacing="0" w:after="0" w:afterAutospacing="0" w:line="420" w:lineRule="exact"/>
              <w:ind w:left="0" w:right="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（2）履约保证金形式：</w:t>
            </w:r>
          </w:p>
          <w:p w14:paraId="2DB6691F">
            <w:pPr>
              <w:keepNext w:val="0"/>
              <w:keepLines w:val="0"/>
              <w:pageBreakBefore w:val="0"/>
              <w:suppressLineNumbers w:val="0"/>
              <w:kinsoku/>
              <w:wordWrap/>
              <w:overflowPunct/>
              <w:topLinePunct w:val="0"/>
              <w:bidi w:val="0"/>
              <w:spacing w:before="0" w:beforeAutospacing="0" w:after="0" w:afterAutospacing="0" w:line="420" w:lineRule="exact"/>
              <w:ind w:left="0" w:right="0"/>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银行转账</w:t>
            </w:r>
          </w:p>
          <w:p w14:paraId="34ADE4A4">
            <w:pPr>
              <w:keepNext w:val="0"/>
              <w:keepLines w:val="0"/>
              <w:pageBreakBefore w:val="0"/>
              <w:suppressLineNumbers w:val="0"/>
              <w:kinsoku/>
              <w:wordWrap/>
              <w:overflowPunct/>
              <w:topLinePunct w:val="0"/>
              <w:bidi w:val="0"/>
              <w:spacing w:before="0" w:beforeAutospacing="0" w:after="0" w:afterAutospacing="0" w:line="420" w:lineRule="exact"/>
              <w:ind w:left="0" w:right="0"/>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银行电汇</w:t>
            </w:r>
          </w:p>
          <w:p w14:paraId="696E27BF">
            <w:pPr>
              <w:keepNext w:val="0"/>
              <w:keepLines w:val="0"/>
              <w:pageBreakBefore w:val="0"/>
              <w:suppressLineNumbers w:val="0"/>
              <w:kinsoku/>
              <w:wordWrap/>
              <w:overflowPunct/>
              <w:topLinePunct w:val="0"/>
              <w:bidi w:val="0"/>
              <w:spacing w:before="0" w:beforeAutospacing="0" w:after="0" w:afterAutospacing="0" w:line="420" w:lineRule="exact"/>
              <w:ind w:left="0" w:right="0"/>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银行保函</w:t>
            </w:r>
          </w:p>
          <w:p w14:paraId="12E4DDA9">
            <w:pPr>
              <w:keepNext w:val="0"/>
              <w:keepLines w:val="0"/>
              <w:pageBreakBefore w:val="0"/>
              <w:suppressLineNumbers w:val="0"/>
              <w:kinsoku/>
              <w:wordWrap/>
              <w:overflowPunct/>
              <w:topLinePunct w:val="0"/>
              <w:bidi w:val="0"/>
              <w:spacing w:before="0" w:beforeAutospacing="0" w:after="0" w:afterAutospacing="0" w:line="420" w:lineRule="exact"/>
              <w:ind w:left="0" w:right="0"/>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担保机构担保</w:t>
            </w:r>
          </w:p>
          <w:p w14:paraId="4DA7434D">
            <w:pPr>
              <w:keepNext w:val="0"/>
              <w:keepLines w:val="0"/>
              <w:pageBreakBefore w:val="0"/>
              <w:suppressLineNumbers w:val="0"/>
              <w:kinsoku/>
              <w:wordWrap/>
              <w:overflowPunct/>
              <w:topLinePunct w:val="0"/>
              <w:bidi w:val="0"/>
              <w:spacing w:before="0" w:beforeAutospacing="0" w:after="0" w:afterAutospacing="0" w:line="420" w:lineRule="exact"/>
              <w:ind w:left="0" w:right="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（3）具体要求：</w:t>
            </w:r>
          </w:p>
          <w:p w14:paraId="0FEAF8C0">
            <w:pPr>
              <w:keepNext w:val="0"/>
              <w:keepLines w:val="0"/>
              <w:pageBreakBefore w:val="0"/>
              <w:suppressLineNumbers w:val="0"/>
              <w:kinsoku/>
              <w:wordWrap/>
              <w:overflowPunct/>
              <w:topLinePunct w:val="0"/>
              <w:bidi w:val="0"/>
              <w:spacing w:before="0" w:beforeAutospacing="0" w:after="0" w:afterAutospacing="0" w:line="420" w:lineRule="exact"/>
              <w:ind w:left="0" w:right="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①采用银行保函的，应为不可撤销、不可转让的见索即付独立保函。</w:t>
            </w:r>
          </w:p>
          <w:p w14:paraId="44FA5A38">
            <w:pPr>
              <w:keepNext w:val="0"/>
              <w:keepLines w:val="0"/>
              <w:pageBreakBefore w:val="0"/>
              <w:suppressLineNumbers w:val="0"/>
              <w:kinsoku/>
              <w:wordWrap/>
              <w:overflowPunct/>
              <w:topLinePunct w:val="0"/>
              <w:bidi w:val="0"/>
              <w:spacing w:before="0" w:beforeAutospacing="0" w:after="0" w:afterAutospacing="0" w:line="420" w:lineRule="exact"/>
              <w:ind w:left="0" w:right="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②采用担保机构担保的，应为依法取得融资担保业务经营许可证的融资担保机构出具的不可撤销、不可转让的见索即付独立保函。</w:t>
            </w:r>
          </w:p>
          <w:p w14:paraId="5A7087D0">
            <w:pPr>
              <w:keepNext w:val="0"/>
              <w:keepLines w:val="0"/>
              <w:pageBreakBefore w:val="0"/>
              <w:suppressLineNumbers w:val="0"/>
              <w:kinsoku/>
              <w:wordWrap/>
              <w:overflowPunct/>
              <w:topLinePunct w:val="0"/>
              <w:bidi w:val="0"/>
              <w:spacing w:before="0" w:beforeAutospacing="0" w:after="0" w:afterAutospacing="0" w:line="420" w:lineRule="exact"/>
              <w:ind w:left="0" w:right="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③采用保证保险的，应为保险公司出具的不可撤销、不可转让的见索即付保证保险。</w:t>
            </w:r>
          </w:p>
          <w:p w14:paraId="357E067D">
            <w:pPr>
              <w:keepNext w:val="0"/>
              <w:keepLines w:val="0"/>
              <w:pageBreakBefore w:val="0"/>
              <w:suppressLineNumbers w:val="0"/>
              <w:kinsoku/>
              <w:wordWrap/>
              <w:overflowPunct/>
              <w:topLinePunct w:val="0"/>
              <w:bidi w:val="0"/>
              <w:spacing w:before="0" w:beforeAutospacing="0" w:after="0" w:afterAutospacing="0" w:line="420" w:lineRule="exact"/>
              <w:ind w:left="0" w:right="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（4）本招标项目是否减免履约保证金：</w:t>
            </w:r>
          </w:p>
          <w:p w14:paraId="2205B9FD">
            <w:pPr>
              <w:keepNext w:val="0"/>
              <w:keepLines w:val="0"/>
              <w:pageBreakBefore w:val="0"/>
              <w:suppressLineNumbers w:val="0"/>
              <w:kinsoku/>
              <w:wordWrap/>
              <w:overflowPunct/>
              <w:topLinePunct w:val="0"/>
              <w:bidi w:val="0"/>
              <w:spacing w:before="0" w:beforeAutospacing="0" w:after="0" w:afterAutospacing="0" w:line="420" w:lineRule="exact"/>
              <w:ind w:left="0" w:right="0"/>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不减免</w:t>
            </w:r>
          </w:p>
          <w:p w14:paraId="469F7078">
            <w:pPr>
              <w:keepNext w:val="0"/>
              <w:keepLines w:val="0"/>
              <w:pageBreakBefore w:val="0"/>
              <w:suppressLineNumbers w:val="0"/>
              <w:kinsoku/>
              <w:wordWrap/>
              <w:overflowPunct/>
              <w:topLinePunct w:val="0"/>
              <w:bidi w:val="0"/>
              <w:spacing w:before="0" w:beforeAutospacing="0" w:after="0" w:afterAutospacing="0" w:line="420" w:lineRule="exact"/>
              <w:ind w:left="0" w:right="0"/>
              <w:textAlignment w:val="auto"/>
              <w:rPr>
                <w:rFonts w:hint="eastAsia" w:ascii="宋体" w:hAnsi="宋体" w:eastAsia="宋体" w:cs="宋体"/>
                <w:color w:val="auto"/>
                <w:sz w:val="21"/>
                <w:szCs w:val="21"/>
                <w:highlight w:val="none"/>
                <w:u w:val="single"/>
                <w:lang w:val="en-US" w:eastAsia="zh-CN"/>
              </w:rPr>
            </w:pPr>
            <w:r>
              <w:rPr>
                <w:rFonts w:hint="eastAsia" w:ascii="宋体" w:hAnsi="宋体" w:eastAsia="宋体" w:cs="宋体"/>
                <w:color w:val="auto"/>
                <w:sz w:val="21"/>
                <w:szCs w:val="21"/>
                <w:highlight w:val="none"/>
                <w:lang w:val="en-US" w:eastAsia="zh-CN"/>
              </w:rPr>
              <w:t>减免，适用减免履约保证金的情形：</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 xml:space="preserve"> /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none"/>
                <w:lang w:val="en-US" w:eastAsia="zh-CN"/>
              </w:rPr>
              <w:t>。</w:t>
            </w:r>
          </w:p>
          <w:p w14:paraId="166E3FFD">
            <w:pPr>
              <w:keepNext w:val="0"/>
              <w:keepLines w:val="0"/>
              <w:pageBreakBefore w:val="0"/>
              <w:suppressLineNumbers w:val="0"/>
              <w:kinsoku/>
              <w:wordWrap/>
              <w:overflowPunct/>
              <w:topLinePunct w:val="0"/>
              <w:bidi w:val="0"/>
              <w:spacing w:before="0" w:beforeAutospacing="0" w:after="0" w:afterAutospacing="0" w:line="420" w:lineRule="exact"/>
              <w:ind w:left="0" w:right="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（5）其他要求：</w:t>
            </w:r>
            <w:r>
              <w:rPr>
                <w:rFonts w:hint="eastAsia" w:ascii="宋体" w:hAnsi="宋体" w:eastAsia="宋体" w:cs="宋体"/>
                <w:color w:val="auto"/>
                <w:sz w:val="21"/>
                <w:szCs w:val="21"/>
                <w:highlight w:val="none"/>
                <w:u w:val="single"/>
                <w:lang w:val="en-US" w:eastAsia="zh-CN"/>
              </w:rPr>
              <w:t xml:space="preserve">  /  </w:t>
            </w:r>
            <w:r>
              <w:rPr>
                <w:rFonts w:hint="eastAsia" w:ascii="宋体" w:hAnsi="宋体" w:cs="宋体"/>
                <w:color w:val="auto"/>
                <w:sz w:val="21"/>
                <w:szCs w:val="21"/>
                <w:highlight w:val="none"/>
                <w:u w:val="none"/>
                <w:lang w:val="en-US" w:eastAsia="zh-CN"/>
              </w:rPr>
              <w:t>。</w:t>
            </w:r>
          </w:p>
        </w:tc>
      </w:tr>
      <w:tr w14:paraId="3FC87DF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2545BD99">
            <w:pPr>
              <w:keepNext w:val="0"/>
              <w:keepLines w:val="0"/>
              <w:pageBreakBefore w:val="0"/>
              <w:suppressLineNumbers w:val="0"/>
              <w:kinsoku/>
              <w:wordWrap/>
              <w:overflowPunct/>
              <w:topLinePunct w:val="0"/>
              <w:bidi w:val="0"/>
              <w:spacing w:before="0" w:beforeAutospacing="0" w:after="0" w:afterAutospacing="0" w:line="420" w:lineRule="exact"/>
              <w:ind w:left="0" w:right="0"/>
              <w:jc w:val="center"/>
              <w:textAlignment w:val="auto"/>
              <w:rPr>
                <w:rFonts w:hint="default" w:ascii="宋体" w:hAnsi="宋体" w:eastAsia="宋体"/>
                <w:b/>
                <w:bCs/>
                <w:color w:val="auto"/>
                <w:szCs w:val="21"/>
                <w:highlight w:val="none"/>
                <w:lang w:val="en-US" w:eastAsia="zh-CN"/>
              </w:rPr>
            </w:pPr>
            <w:r>
              <w:rPr>
                <w:rFonts w:hint="eastAsia" w:ascii="宋体" w:hAnsi="宋体"/>
                <w:b/>
                <w:bCs/>
                <w:color w:val="auto"/>
                <w:szCs w:val="21"/>
                <w:highlight w:val="none"/>
                <w:lang w:val="en-US" w:eastAsia="zh-CN"/>
              </w:rPr>
              <w:t>17</w:t>
            </w:r>
          </w:p>
        </w:tc>
        <w:tc>
          <w:tcPr>
            <w:tcW w:w="2125" w:type="dxa"/>
            <w:tcBorders>
              <w:top w:val="single" w:color="auto" w:sz="4" w:space="0"/>
              <w:left w:val="single" w:color="auto" w:sz="4" w:space="0"/>
              <w:bottom w:val="single" w:color="auto" w:sz="4" w:space="0"/>
              <w:right w:val="single" w:color="auto" w:sz="4" w:space="0"/>
            </w:tcBorders>
            <w:vAlign w:val="top"/>
          </w:tcPr>
          <w:p w14:paraId="20FA3D65">
            <w:pPr>
              <w:keepNext w:val="0"/>
              <w:keepLines w:val="0"/>
              <w:pageBreakBefore w:val="0"/>
              <w:suppressLineNumbers w:val="0"/>
              <w:kinsoku/>
              <w:wordWrap/>
              <w:overflowPunct/>
              <w:topLinePunct w:val="0"/>
              <w:bidi w:val="0"/>
              <w:spacing w:before="0" w:beforeAutospacing="0" w:after="0" w:afterAutospacing="0" w:line="420" w:lineRule="exact"/>
              <w:ind w:left="0" w:right="0"/>
              <w:jc w:val="center"/>
              <w:textAlignment w:val="auto"/>
              <w:rPr>
                <w:rFonts w:hint="eastAsia" w:ascii="宋体" w:hAnsi="宋体" w:eastAsia="宋体" w:cs="Times New Roman"/>
                <w:b/>
                <w:bCs/>
                <w:color w:val="auto"/>
                <w:kern w:val="2"/>
                <w:sz w:val="21"/>
                <w:szCs w:val="21"/>
                <w:highlight w:val="none"/>
                <w:lang w:val="en-US" w:eastAsia="zh-CN" w:bidi="ar-SA"/>
              </w:rPr>
            </w:pPr>
            <w:r>
              <w:rPr>
                <w:rFonts w:hint="eastAsia" w:ascii="宋体" w:hAnsi="宋体" w:eastAsia="宋体" w:cs="Times New Roman"/>
                <w:b/>
                <w:bCs/>
                <w:color w:val="auto"/>
                <w:szCs w:val="21"/>
                <w:highlight w:val="none"/>
                <w:lang w:val="en-US" w:eastAsia="zh-CN"/>
              </w:rPr>
              <w:t>专家评审费（元）</w:t>
            </w:r>
          </w:p>
        </w:tc>
        <w:tc>
          <w:tcPr>
            <w:tcW w:w="6487" w:type="dxa"/>
            <w:tcBorders>
              <w:top w:val="single" w:color="auto" w:sz="4" w:space="0"/>
              <w:left w:val="single" w:color="auto" w:sz="4" w:space="0"/>
              <w:bottom w:val="single" w:color="auto" w:sz="4" w:space="0"/>
            </w:tcBorders>
            <w:vAlign w:val="center"/>
          </w:tcPr>
          <w:p w14:paraId="177C30C0">
            <w:pPr>
              <w:keepNext w:val="0"/>
              <w:keepLines w:val="0"/>
              <w:pageBreakBefore w:val="0"/>
              <w:suppressLineNumbers w:val="0"/>
              <w:kinsoku/>
              <w:wordWrap/>
              <w:overflowPunct/>
              <w:topLinePunct w:val="0"/>
              <w:bidi w:val="0"/>
              <w:spacing w:before="0" w:beforeAutospacing="0" w:after="0" w:afterAutospacing="0" w:line="420" w:lineRule="exact"/>
              <w:ind w:left="0" w:right="0"/>
              <w:textAlignment w:val="auto"/>
              <w:rPr>
                <w:rFonts w:hint="eastAsia" w:ascii="宋体" w:hAnsi="Times New Roman" w:eastAsia="宋体" w:cs="Times New Roman"/>
                <w:b/>
                <w:bCs/>
                <w:color w:val="auto"/>
                <w:kern w:val="2"/>
                <w:sz w:val="21"/>
                <w:szCs w:val="21"/>
                <w:highlight w:val="none"/>
                <w:lang w:val="en-US" w:eastAsia="zh-CN" w:bidi="ar-SA"/>
              </w:rPr>
            </w:pPr>
            <w:r>
              <w:rPr>
                <w:rFonts w:hint="eastAsia" w:ascii="宋体" w:hAnsi="Times New Roman" w:eastAsia="宋体" w:cs="Times New Roman"/>
                <w:b/>
                <w:bCs/>
                <w:color w:val="auto"/>
                <w:szCs w:val="21"/>
                <w:highlight w:val="none"/>
                <w:lang w:val="en-US" w:eastAsia="zh-CN"/>
              </w:rPr>
              <w:t>由成交人承担</w:t>
            </w:r>
          </w:p>
        </w:tc>
      </w:tr>
      <w:tr w14:paraId="7C0EEAF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552D8ECC">
            <w:pPr>
              <w:keepNext w:val="0"/>
              <w:keepLines w:val="0"/>
              <w:pageBreakBefore w:val="0"/>
              <w:suppressLineNumbers w:val="0"/>
              <w:kinsoku/>
              <w:wordWrap/>
              <w:overflowPunct/>
              <w:topLinePunct w:val="0"/>
              <w:bidi w:val="0"/>
              <w:spacing w:before="0" w:beforeAutospacing="0" w:after="0" w:afterAutospacing="0" w:line="420" w:lineRule="exact"/>
              <w:ind w:left="0" w:right="0"/>
              <w:jc w:val="center"/>
              <w:textAlignment w:val="auto"/>
              <w:rPr>
                <w:rFonts w:hint="default" w:ascii="宋体" w:hAnsi="Times New Roman" w:eastAsia="宋体" w:cs="Times New Roman"/>
                <w:color w:val="auto"/>
                <w:kern w:val="2"/>
                <w:sz w:val="21"/>
                <w:szCs w:val="21"/>
                <w:highlight w:val="none"/>
                <w:lang w:val="en-US" w:eastAsia="zh-CN" w:bidi="ar-SA"/>
              </w:rPr>
            </w:pPr>
            <w:r>
              <w:rPr>
                <w:rFonts w:hint="eastAsia" w:ascii="宋体" w:cs="Times New Roman"/>
                <w:color w:val="auto"/>
                <w:kern w:val="2"/>
                <w:sz w:val="21"/>
                <w:szCs w:val="21"/>
                <w:highlight w:val="none"/>
                <w:lang w:val="en-US" w:eastAsia="zh-CN" w:bidi="ar-SA"/>
              </w:rPr>
              <w:t>18</w:t>
            </w:r>
          </w:p>
        </w:tc>
        <w:tc>
          <w:tcPr>
            <w:tcW w:w="2125" w:type="dxa"/>
            <w:tcBorders>
              <w:top w:val="single" w:color="auto" w:sz="4" w:space="0"/>
              <w:left w:val="single" w:color="auto" w:sz="4" w:space="0"/>
              <w:bottom w:val="single" w:color="auto" w:sz="4" w:space="0"/>
              <w:right w:val="single" w:color="auto" w:sz="4" w:space="0"/>
            </w:tcBorders>
            <w:vAlign w:val="center"/>
          </w:tcPr>
          <w:p w14:paraId="5EBD4E1D">
            <w:pPr>
              <w:keepNext w:val="0"/>
              <w:keepLines w:val="0"/>
              <w:pageBreakBefore w:val="0"/>
              <w:suppressLineNumbers w:val="0"/>
              <w:kinsoku/>
              <w:wordWrap/>
              <w:overflowPunct/>
              <w:topLinePunct w:val="0"/>
              <w:bidi w:val="0"/>
              <w:spacing w:before="0" w:beforeAutospacing="0" w:after="0" w:afterAutospacing="0" w:line="420" w:lineRule="exact"/>
              <w:ind w:left="0" w:right="0"/>
              <w:jc w:val="center"/>
              <w:textAlignment w:val="auto"/>
              <w:rPr>
                <w:rFonts w:hint="default" w:ascii="宋体"/>
                <w:color w:val="auto"/>
                <w:szCs w:val="21"/>
                <w:highlight w:val="none"/>
              </w:rPr>
            </w:pPr>
            <w:r>
              <w:rPr>
                <w:rFonts w:hint="eastAsia" w:ascii="宋体" w:hAnsi="宋体"/>
                <w:color w:val="auto"/>
                <w:szCs w:val="21"/>
                <w:highlight w:val="none"/>
              </w:rPr>
              <w:t>付款方式</w:t>
            </w:r>
          </w:p>
        </w:tc>
        <w:tc>
          <w:tcPr>
            <w:tcW w:w="6487" w:type="dxa"/>
            <w:tcBorders>
              <w:top w:val="single" w:color="auto" w:sz="4" w:space="0"/>
              <w:left w:val="single" w:color="auto" w:sz="4" w:space="0"/>
              <w:bottom w:val="single" w:color="auto" w:sz="4" w:space="0"/>
            </w:tcBorders>
            <w:vAlign w:val="center"/>
          </w:tcPr>
          <w:p w14:paraId="3F0E5C22">
            <w:pPr>
              <w:keepNext w:val="0"/>
              <w:keepLines w:val="0"/>
              <w:suppressLineNumbers w:val="0"/>
              <w:spacing w:before="0" w:beforeAutospacing="0" w:after="0" w:afterAutospacing="0" w:line="360" w:lineRule="auto"/>
              <w:ind w:left="0" w:right="0"/>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详见比选公告。</w:t>
            </w:r>
          </w:p>
        </w:tc>
      </w:tr>
      <w:tr w14:paraId="7B2979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58" w:hRule="atLeast"/>
          <w:jc w:val="center"/>
        </w:trPr>
        <w:tc>
          <w:tcPr>
            <w:tcW w:w="519" w:type="dxa"/>
            <w:tcBorders>
              <w:top w:val="single" w:color="auto" w:sz="4" w:space="0"/>
              <w:bottom w:val="single" w:color="auto" w:sz="4" w:space="0"/>
              <w:right w:val="single" w:color="auto" w:sz="4" w:space="0"/>
            </w:tcBorders>
            <w:vAlign w:val="center"/>
          </w:tcPr>
          <w:p w14:paraId="291D85C2">
            <w:pPr>
              <w:keepNext w:val="0"/>
              <w:keepLines w:val="0"/>
              <w:pageBreakBefore w:val="0"/>
              <w:suppressLineNumbers w:val="0"/>
              <w:kinsoku/>
              <w:wordWrap/>
              <w:overflowPunct/>
              <w:topLinePunct w:val="0"/>
              <w:bidi w:val="0"/>
              <w:spacing w:before="0" w:beforeAutospacing="0" w:after="0" w:afterAutospacing="0" w:line="420" w:lineRule="exact"/>
              <w:ind w:left="0" w:right="0"/>
              <w:jc w:val="center"/>
              <w:textAlignment w:val="auto"/>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19</w:t>
            </w:r>
          </w:p>
        </w:tc>
        <w:tc>
          <w:tcPr>
            <w:tcW w:w="2125" w:type="dxa"/>
            <w:tcBorders>
              <w:top w:val="single" w:color="auto" w:sz="4" w:space="0"/>
              <w:left w:val="single" w:color="auto" w:sz="4" w:space="0"/>
              <w:bottom w:val="single" w:color="auto" w:sz="4" w:space="0"/>
              <w:right w:val="single" w:color="auto" w:sz="4" w:space="0"/>
            </w:tcBorders>
            <w:vAlign w:val="center"/>
          </w:tcPr>
          <w:p w14:paraId="2BA55E69">
            <w:pPr>
              <w:keepNext w:val="0"/>
              <w:keepLines w:val="0"/>
              <w:pageBreakBefore w:val="0"/>
              <w:suppressLineNumbers w:val="0"/>
              <w:kinsoku/>
              <w:wordWrap/>
              <w:overflowPunct/>
              <w:topLinePunct w:val="0"/>
              <w:bidi w:val="0"/>
              <w:spacing w:before="0" w:beforeAutospacing="0" w:after="0" w:afterAutospacing="0" w:line="420" w:lineRule="exact"/>
              <w:ind w:left="0" w:right="0"/>
              <w:jc w:val="center"/>
              <w:textAlignment w:val="auto"/>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报价要求</w:t>
            </w:r>
          </w:p>
        </w:tc>
        <w:tc>
          <w:tcPr>
            <w:tcW w:w="6487" w:type="dxa"/>
            <w:tcBorders>
              <w:top w:val="single" w:color="auto" w:sz="4" w:space="0"/>
              <w:left w:val="single" w:color="auto" w:sz="4" w:space="0"/>
              <w:bottom w:val="single" w:color="auto" w:sz="4" w:space="0"/>
            </w:tcBorders>
            <w:vAlign w:val="center"/>
          </w:tcPr>
          <w:p w14:paraId="415F2D04">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1、报价应含参选人完成本项目所有工作内容。</w:t>
            </w:r>
          </w:p>
          <w:p w14:paraId="350A07B6">
            <w:pPr>
              <w:pStyle w:val="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firstLine="0" w:firstLineChars="0"/>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2、为完成本比选文件规定的义务，参选人认为有必要计入的其它费用。</w:t>
            </w:r>
          </w:p>
        </w:tc>
      </w:tr>
      <w:tr w14:paraId="21F8016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519" w:type="dxa"/>
            <w:tcBorders>
              <w:top w:val="single" w:color="auto" w:sz="4" w:space="0"/>
              <w:bottom w:val="single" w:color="auto" w:sz="4" w:space="0"/>
              <w:right w:val="single" w:color="auto" w:sz="4" w:space="0"/>
            </w:tcBorders>
            <w:vAlign w:val="center"/>
          </w:tcPr>
          <w:p w14:paraId="42BBFF45">
            <w:pPr>
              <w:keepNext w:val="0"/>
              <w:keepLines w:val="0"/>
              <w:pageBreakBefore w:val="0"/>
              <w:suppressLineNumbers w:val="0"/>
              <w:kinsoku/>
              <w:wordWrap/>
              <w:overflowPunct/>
              <w:topLinePunct w:val="0"/>
              <w:bidi w:val="0"/>
              <w:spacing w:before="0" w:beforeAutospacing="0" w:after="0" w:afterAutospacing="0" w:line="420" w:lineRule="exact"/>
              <w:ind w:left="0" w:right="0"/>
              <w:jc w:val="center"/>
              <w:textAlignment w:val="auto"/>
              <w:rPr>
                <w:rFonts w:hint="default" w:ascii="宋体" w:hAnsi="Times New Roman" w:eastAsia="宋体" w:cs="Times New Roman"/>
                <w:color w:val="auto"/>
                <w:kern w:val="2"/>
                <w:sz w:val="21"/>
                <w:szCs w:val="21"/>
                <w:highlight w:val="none"/>
                <w:lang w:val="en-US" w:eastAsia="zh-CN" w:bidi="ar-SA"/>
              </w:rPr>
            </w:pPr>
            <w:r>
              <w:rPr>
                <w:rFonts w:hint="eastAsia" w:ascii="宋体" w:cs="Times New Roman"/>
                <w:color w:val="auto"/>
                <w:kern w:val="2"/>
                <w:sz w:val="21"/>
                <w:szCs w:val="21"/>
                <w:highlight w:val="none"/>
                <w:lang w:val="en-US" w:eastAsia="zh-CN" w:bidi="ar-SA"/>
              </w:rPr>
              <w:t>20</w:t>
            </w:r>
          </w:p>
        </w:tc>
        <w:tc>
          <w:tcPr>
            <w:tcW w:w="2125" w:type="dxa"/>
            <w:tcBorders>
              <w:top w:val="single" w:color="auto" w:sz="4" w:space="0"/>
              <w:left w:val="single" w:color="auto" w:sz="4" w:space="0"/>
              <w:bottom w:val="single" w:color="auto" w:sz="4" w:space="0"/>
              <w:right w:val="single" w:color="auto" w:sz="4" w:space="0"/>
            </w:tcBorders>
            <w:vAlign w:val="center"/>
          </w:tcPr>
          <w:p w14:paraId="0E83A7CF">
            <w:pPr>
              <w:keepNext w:val="0"/>
              <w:keepLines w:val="0"/>
              <w:pageBreakBefore w:val="0"/>
              <w:suppressLineNumbers w:val="0"/>
              <w:kinsoku/>
              <w:wordWrap/>
              <w:overflowPunct/>
              <w:topLinePunct w:val="0"/>
              <w:bidi w:val="0"/>
              <w:spacing w:before="0" w:beforeAutospacing="0" w:after="0" w:afterAutospacing="0" w:line="420" w:lineRule="exact"/>
              <w:ind w:left="0" w:right="0"/>
              <w:jc w:val="center"/>
              <w:textAlignment w:val="auto"/>
              <w:rPr>
                <w:rFonts w:hint="eastAsia" w:ascii="宋体" w:hAnsi="宋体"/>
                <w:color w:val="auto"/>
                <w:szCs w:val="21"/>
                <w:highlight w:val="none"/>
              </w:rPr>
            </w:pPr>
            <w:r>
              <w:rPr>
                <w:rFonts w:hint="eastAsia" w:ascii="宋体" w:hAnsi="宋体"/>
                <w:color w:val="auto"/>
                <w:szCs w:val="21"/>
                <w:highlight w:val="none"/>
              </w:rPr>
              <w:t>说明</w:t>
            </w:r>
          </w:p>
        </w:tc>
        <w:tc>
          <w:tcPr>
            <w:tcW w:w="6487" w:type="dxa"/>
            <w:tcBorders>
              <w:top w:val="single" w:color="auto" w:sz="4" w:space="0"/>
              <w:left w:val="single" w:color="auto" w:sz="4" w:space="0"/>
              <w:bottom w:val="single" w:color="auto" w:sz="4" w:space="0"/>
              <w:right w:val="single" w:color="auto" w:sz="4" w:space="0"/>
            </w:tcBorders>
            <w:vAlign w:val="center"/>
          </w:tcPr>
          <w:p w14:paraId="73CB534D">
            <w:pPr>
              <w:keepNext w:val="0"/>
              <w:keepLines w:val="0"/>
              <w:suppressLineNumbers w:val="0"/>
              <w:spacing w:before="0" w:beforeAutospacing="0" w:after="0" w:afterAutospacing="0" w:line="420" w:lineRule="exact"/>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本比选文件的解释权归</w:t>
            </w:r>
            <w:r>
              <w:rPr>
                <w:rFonts w:hint="eastAsia" w:ascii="宋体" w:hAnsi="宋体" w:eastAsia="宋体" w:cs="宋体"/>
                <w:color w:val="auto"/>
                <w:sz w:val="21"/>
                <w:szCs w:val="21"/>
                <w:highlight w:val="none"/>
                <w:lang w:eastAsia="zh-CN"/>
              </w:rPr>
              <w:t>采购</w:t>
            </w:r>
            <w:r>
              <w:rPr>
                <w:rFonts w:hint="eastAsia" w:ascii="宋体" w:hAnsi="宋体" w:eastAsia="宋体" w:cs="宋体"/>
                <w:color w:val="auto"/>
                <w:sz w:val="21"/>
                <w:szCs w:val="21"/>
                <w:highlight w:val="none"/>
              </w:rPr>
              <w:t>单位。</w:t>
            </w:r>
          </w:p>
          <w:p w14:paraId="69E27864">
            <w:pPr>
              <w:keepNext w:val="0"/>
              <w:keepLines w:val="0"/>
              <w:suppressLineNumbers w:val="0"/>
              <w:spacing w:before="0" w:beforeAutospacing="0" w:after="0" w:afterAutospacing="0" w:line="420" w:lineRule="exact"/>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成交人</w:t>
            </w:r>
            <w:r>
              <w:rPr>
                <w:rFonts w:hint="eastAsia" w:ascii="宋体" w:hAnsi="宋体" w:eastAsia="宋体" w:cs="宋体"/>
                <w:color w:val="auto"/>
                <w:sz w:val="21"/>
                <w:szCs w:val="21"/>
                <w:highlight w:val="none"/>
                <w:lang w:val="en-US" w:eastAsia="zh-CN"/>
              </w:rPr>
              <w:t>必须具有</w:t>
            </w:r>
            <w:r>
              <w:rPr>
                <w:rFonts w:hint="eastAsia" w:ascii="宋体" w:hAnsi="宋体" w:eastAsia="宋体" w:cs="宋体"/>
                <w:color w:val="auto"/>
                <w:sz w:val="21"/>
                <w:szCs w:val="21"/>
                <w:highlight w:val="none"/>
              </w:rPr>
              <w:t>相应资质，</w:t>
            </w:r>
            <w:r>
              <w:rPr>
                <w:rFonts w:hint="eastAsia" w:ascii="宋体" w:hAnsi="宋体" w:eastAsia="宋体" w:cs="宋体"/>
                <w:color w:val="auto"/>
                <w:sz w:val="21"/>
                <w:szCs w:val="21"/>
                <w:highlight w:val="none"/>
                <w:lang w:val="en-US" w:eastAsia="zh-CN"/>
              </w:rPr>
              <w:t>不得委托或分包</w:t>
            </w:r>
            <w:r>
              <w:rPr>
                <w:rFonts w:hint="eastAsia" w:ascii="宋体" w:hAnsi="宋体" w:eastAsia="宋体" w:cs="宋体"/>
                <w:color w:val="auto"/>
                <w:sz w:val="21"/>
                <w:szCs w:val="21"/>
                <w:highlight w:val="none"/>
              </w:rPr>
              <w:t>。</w:t>
            </w:r>
          </w:p>
          <w:p w14:paraId="2A2009EE">
            <w:pPr>
              <w:keepNext w:val="0"/>
              <w:keepLines w:val="0"/>
              <w:suppressLineNumbers w:val="0"/>
              <w:spacing w:before="0" w:beforeAutospacing="0" w:after="0" w:afterAutospacing="0" w:line="420" w:lineRule="exact"/>
              <w:ind w:left="0" w:right="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r>
              <w:rPr>
                <w:rFonts w:hint="eastAsia" w:ascii="Times New Roman" w:hAnsi="Times New Roman" w:eastAsia="宋体" w:cs="Times New Roman"/>
                <w:color w:val="auto"/>
                <w:kern w:val="2"/>
                <w:sz w:val="21"/>
                <w:szCs w:val="20"/>
                <w:highlight w:val="none"/>
                <w:lang w:val="en-US" w:eastAsia="zh-CN" w:bidi="ar-SA"/>
              </w:rPr>
              <w:t>本次采购管理部门为</w:t>
            </w:r>
            <w:r>
              <w:rPr>
                <w:rFonts w:hint="eastAsia" w:cs="Times New Roman"/>
                <w:color w:val="auto"/>
                <w:kern w:val="2"/>
                <w:sz w:val="21"/>
                <w:szCs w:val="20"/>
                <w:highlight w:val="none"/>
                <w:lang w:val="en-US" w:eastAsia="zh-CN" w:bidi="ar-SA"/>
              </w:rPr>
              <w:t>安庆市交通控股集团有限公司集采中心</w:t>
            </w:r>
            <w:r>
              <w:rPr>
                <w:rFonts w:hint="eastAsia" w:ascii="Times New Roman" w:hAnsi="Times New Roman" w:eastAsia="宋体" w:cs="Times New Roman"/>
                <w:color w:val="auto"/>
                <w:kern w:val="2"/>
                <w:sz w:val="21"/>
                <w:szCs w:val="20"/>
                <w:highlight w:val="none"/>
                <w:lang w:val="en-US" w:eastAsia="zh-CN" w:bidi="ar-SA"/>
              </w:rPr>
              <w:t>，</w:t>
            </w:r>
            <w:r>
              <w:rPr>
                <w:rFonts w:hint="eastAsia" w:ascii="宋体" w:hAnsi="宋体" w:cs="宋体"/>
                <w:color w:val="auto"/>
                <w:sz w:val="21"/>
                <w:szCs w:val="21"/>
                <w:highlight w:val="none"/>
                <w:lang w:val="en-US" w:eastAsia="zh-CN"/>
              </w:rPr>
              <w:t>具体合同签订</w:t>
            </w:r>
            <w:r>
              <w:rPr>
                <w:rFonts w:hint="eastAsia" w:ascii="宋体" w:hAnsi="宋体" w:eastAsia="宋体" w:cs="宋体"/>
                <w:color w:val="auto"/>
                <w:sz w:val="21"/>
                <w:szCs w:val="21"/>
                <w:highlight w:val="none"/>
                <w:lang w:val="en-US" w:eastAsia="zh-CN"/>
              </w:rPr>
              <w:t>主体为</w:t>
            </w:r>
            <w:r>
              <w:rPr>
                <w:rFonts w:hint="eastAsia" w:ascii="宋体" w:hAnsi="宋体" w:cs="宋体"/>
                <w:color w:val="auto"/>
                <w:sz w:val="21"/>
                <w:szCs w:val="21"/>
                <w:highlight w:val="none"/>
                <w:lang w:val="en-US" w:eastAsia="zh-CN"/>
              </w:rPr>
              <w:t>安庆中安供应链管理有限责任公司”，特此说明</w:t>
            </w:r>
            <w:r>
              <w:rPr>
                <w:rFonts w:hint="eastAsia" w:ascii="宋体" w:hAnsi="宋体" w:eastAsia="宋体" w:cs="宋体"/>
                <w:color w:val="auto"/>
                <w:sz w:val="21"/>
                <w:szCs w:val="21"/>
                <w:highlight w:val="none"/>
                <w:lang w:val="en-US" w:eastAsia="zh-CN"/>
              </w:rPr>
              <w:t>。</w:t>
            </w:r>
          </w:p>
        </w:tc>
      </w:tr>
      <w:tr w14:paraId="57E617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519" w:type="dxa"/>
            <w:tcBorders>
              <w:top w:val="single" w:color="auto" w:sz="4" w:space="0"/>
              <w:bottom w:val="single" w:color="auto" w:sz="4" w:space="0"/>
              <w:right w:val="single" w:color="auto" w:sz="4" w:space="0"/>
            </w:tcBorders>
            <w:vAlign w:val="center"/>
          </w:tcPr>
          <w:p w14:paraId="352F510A">
            <w:pPr>
              <w:keepNext w:val="0"/>
              <w:keepLines w:val="0"/>
              <w:pageBreakBefore w:val="0"/>
              <w:suppressLineNumbers w:val="0"/>
              <w:kinsoku/>
              <w:wordWrap/>
              <w:overflowPunct/>
              <w:topLinePunct w:val="0"/>
              <w:bidi w:val="0"/>
              <w:spacing w:before="0" w:beforeAutospacing="0" w:after="0" w:afterAutospacing="0" w:line="420" w:lineRule="exact"/>
              <w:ind w:left="0" w:right="0"/>
              <w:jc w:val="center"/>
              <w:textAlignment w:val="auto"/>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21</w:t>
            </w:r>
          </w:p>
        </w:tc>
        <w:tc>
          <w:tcPr>
            <w:tcW w:w="2125" w:type="dxa"/>
            <w:tcBorders>
              <w:top w:val="single" w:color="auto" w:sz="4" w:space="0"/>
              <w:left w:val="single" w:color="auto" w:sz="4" w:space="0"/>
              <w:bottom w:val="single" w:color="auto" w:sz="4" w:space="0"/>
              <w:right w:val="single" w:color="auto" w:sz="4" w:space="0"/>
            </w:tcBorders>
            <w:vAlign w:val="center"/>
          </w:tcPr>
          <w:p w14:paraId="5D535F87">
            <w:pPr>
              <w:keepNext w:val="0"/>
              <w:keepLines w:val="0"/>
              <w:pageBreakBefore w:val="0"/>
              <w:suppressLineNumbers w:val="0"/>
              <w:kinsoku/>
              <w:wordWrap/>
              <w:overflowPunct/>
              <w:topLinePunct w:val="0"/>
              <w:bidi w:val="0"/>
              <w:spacing w:before="0" w:beforeAutospacing="0" w:after="0" w:afterAutospacing="0" w:line="420" w:lineRule="exact"/>
              <w:ind w:left="0" w:right="0"/>
              <w:jc w:val="center"/>
              <w:textAlignment w:val="auto"/>
              <w:rPr>
                <w:rFonts w:hint="eastAsia" w:ascii="宋体" w:hAnsi="宋体"/>
                <w:color w:val="auto"/>
                <w:szCs w:val="21"/>
                <w:highlight w:val="none"/>
              </w:rPr>
            </w:pPr>
            <w:r>
              <w:rPr>
                <w:rFonts w:hint="eastAsia" w:ascii="宋体" w:hAnsi="宋体"/>
                <w:color w:val="auto"/>
                <w:szCs w:val="21"/>
                <w:highlight w:val="none"/>
              </w:rPr>
              <w:t>廉政监督和投诉举报</w:t>
            </w:r>
          </w:p>
        </w:tc>
        <w:tc>
          <w:tcPr>
            <w:tcW w:w="6487" w:type="dxa"/>
            <w:tcBorders>
              <w:top w:val="single" w:color="auto" w:sz="4" w:space="0"/>
              <w:left w:val="single" w:color="auto" w:sz="4" w:space="0"/>
              <w:bottom w:val="single" w:color="auto" w:sz="4" w:space="0"/>
              <w:right w:val="single" w:color="auto" w:sz="4" w:space="0"/>
            </w:tcBorders>
            <w:vAlign w:val="center"/>
          </w:tcPr>
          <w:p w14:paraId="02496D54">
            <w:pPr>
              <w:keepNext w:val="0"/>
              <w:keepLines w:val="0"/>
              <w:suppressLineNumbers w:val="0"/>
              <w:spacing w:before="0" w:beforeAutospacing="0" w:after="0" w:afterAutospacing="0" w:line="420" w:lineRule="exact"/>
              <w:ind w:left="0" w:right="0"/>
              <w:rPr>
                <w:rFonts w:hint="eastAsia"/>
                <w:color w:val="auto"/>
                <w:szCs w:val="20"/>
                <w:highlight w:val="none"/>
              </w:rPr>
            </w:pPr>
            <w:r>
              <w:rPr>
                <w:rFonts w:hint="eastAsia"/>
                <w:color w:val="auto"/>
                <w:szCs w:val="20"/>
                <w:highlight w:val="none"/>
              </w:rPr>
              <w:t>凡有意参加</w:t>
            </w:r>
            <w:r>
              <w:rPr>
                <w:rFonts w:hint="eastAsia"/>
                <w:color w:val="auto"/>
                <w:szCs w:val="20"/>
                <w:highlight w:val="none"/>
                <w:lang w:val="en-US" w:eastAsia="zh-CN"/>
              </w:rPr>
              <w:t>比选</w:t>
            </w:r>
            <w:r>
              <w:rPr>
                <w:rFonts w:hint="eastAsia"/>
                <w:color w:val="auto"/>
                <w:szCs w:val="20"/>
                <w:highlight w:val="none"/>
              </w:rPr>
              <w:t>的单位，在参与过程中，遇排斥潜在</w:t>
            </w:r>
            <w:r>
              <w:rPr>
                <w:rFonts w:hint="eastAsia"/>
                <w:color w:val="auto"/>
                <w:szCs w:val="20"/>
                <w:highlight w:val="none"/>
                <w:lang w:val="en-US" w:eastAsia="zh-CN"/>
              </w:rPr>
              <w:t>参选</w:t>
            </w:r>
            <w:r>
              <w:rPr>
                <w:rFonts w:hint="eastAsia"/>
                <w:color w:val="auto"/>
                <w:szCs w:val="20"/>
                <w:highlight w:val="none"/>
              </w:rPr>
              <w:t>人等现象，可在开标截止时间1日前向</w:t>
            </w:r>
            <w:r>
              <w:rPr>
                <w:rFonts w:hint="eastAsia"/>
                <w:color w:val="auto"/>
                <w:szCs w:val="20"/>
                <w:highlight w:val="none"/>
                <w:lang w:eastAsia="zh-CN"/>
              </w:rPr>
              <w:t>采购</w:t>
            </w:r>
            <w:r>
              <w:rPr>
                <w:rFonts w:hint="eastAsia"/>
                <w:color w:val="auto"/>
                <w:szCs w:val="20"/>
                <w:highlight w:val="none"/>
              </w:rPr>
              <w:t>部门提出书面质疑。如对质疑答复不满，可在开标截止时间前不少于12小时将书面投诉材料送达至监察部门。</w:t>
            </w:r>
          </w:p>
          <w:p w14:paraId="4AAD54AF">
            <w:pPr>
              <w:keepNext w:val="0"/>
              <w:keepLines w:val="0"/>
              <w:suppressLineNumbers w:val="0"/>
              <w:spacing w:before="0" w:beforeAutospacing="0" w:after="0" w:afterAutospacing="0" w:line="420" w:lineRule="exact"/>
              <w:ind w:left="0" w:right="0"/>
              <w:rPr>
                <w:rFonts w:hint="eastAsia"/>
                <w:color w:val="auto"/>
                <w:szCs w:val="20"/>
                <w:highlight w:val="none"/>
              </w:rPr>
            </w:pPr>
            <w:r>
              <w:rPr>
                <w:rFonts w:hint="eastAsia"/>
                <w:color w:val="auto"/>
                <w:szCs w:val="20"/>
                <w:highlight w:val="none"/>
              </w:rPr>
              <w:t>地址：安庆市交通控股集团有限公司纪检监察室</w:t>
            </w:r>
          </w:p>
          <w:p w14:paraId="20A56451">
            <w:pPr>
              <w:keepNext w:val="0"/>
              <w:keepLines w:val="0"/>
              <w:suppressLineNumbers w:val="0"/>
              <w:spacing w:before="0" w:beforeAutospacing="0" w:after="0" w:afterAutospacing="0" w:line="420" w:lineRule="exact"/>
              <w:ind w:left="0" w:right="0"/>
              <w:rPr>
                <w:rFonts w:hint="eastAsia"/>
                <w:color w:val="auto"/>
                <w:szCs w:val="20"/>
                <w:highlight w:val="none"/>
              </w:rPr>
            </w:pPr>
            <w:r>
              <w:rPr>
                <w:rFonts w:hint="eastAsia"/>
                <w:color w:val="auto"/>
                <w:szCs w:val="20"/>
                <w:highlight w:val="none"/>
              </w:rPr>
              <w:t>电话：0556-5595102。</w:t>
            </w:r>
          </w:p>
        </w:tc>
      </w:tr>
    </w:tbl>
    <w:p w14:paraId="000A6E10">
      <w:pPr>
        <w:rPr>
          <w:rFonts w:ascii="宋体" w:hAnsi="宋体"/>
          <w:color w:val="auto"/>
          <w:kern w:val="0"/>
          <w:highlight w:val="none"/>
          <w:lang w:val="zh-CN"/>
        </w:rPr>
      </w:pPr>
      <w:bookmarkStart w:id="23" w:name="_Toc439316872"/>
    </w:p>
    <w:bookmarkEnd w:id="23"/>
    <w:p w14:paraId="47E36A46">
      <w:pPr>
        <w:pStyle w:val="3"/>
        <w:spacing w:beforeLines="0" w:afterLines="0"/>
        <w:ind w:firstLine="0" w:firstLineChars="0"/>
        <w:jc w:val="center"/>
        <w:outlineLvl w:val="1"/>
        <w:rPr>
          <w:rFonts w:ascii="宋体" w:hAnsi="宋体" w:eastAsia="宋体" w:cs="Tahoma"/>
          <w:bCs/>
          <w:color w:val="auto"/>
          <w:kern w:val="0"/>
          <w:sz w:val="32"/>
          <w:szCs w:val="32"/>
          <w:highlight w:val="none"/>
          <w:lang w:val="zh-CN"/>
        </w:rPr>
      </w:pPr>
      <w:bookmarkStart w:id="24" w:name="_Toc2521"/>
      <w:bookmarkStart w:id="25" w:name="_Toc16271"/>
      <w:bookmarkStart w:id="26" w:name="_Toc54941331"/>
      <w:bookmarkStart w:id="27" w:name="_Toc12394"/>
      <w:bookmarkStart w:id="28" w:name="_Toc54941337"/>
      <w:bookmarkStart w:id="29" w:name="_Toc476584426"/>
      <w:r>
        <w:rPr>
          <w:rFonts w:hint="eastAsia" w:ascii="宋体" w:hAnsi="宋体" w:eastAsia="宋体" w:cs="Tahoma"/>
          <w:bCs/>
          <w:color w:val="auto"/>
          <w:kern w:val="0"/>
          <w:sz w:val="32"/>
          <w:szCs w:val="32"/>
          <w:highlight w:val="none"/>
          <w:lang w:val="zh-CN"/>
        </w:rPr>
        <w:t>第二节</w:t>
      </w:r>
      <w:r>
        <w:rPr>
          <w:rFonts w:ascii="宋体" w:hAnsi="宋体" w:eastAsia="宋体" w:cs="Tahoma"/>
          <w:bCs/>
          <w:color w:val="auto"/>
          <w:kern w:val="0"/>
          <w:sz w:val="32"/>
          <w:szCs w:val="32"/>
          <w:highlight w:val="none"/>
          <w:lang w:val="zh-CN"/>
        </w:rPr>
        <w:t xml:space="preserve"> </w:t>
      </w:r>
      <w:r>
        <w:rPr>
          <w:rFonts w:hint="eastAsia" w:cs="Tahoma"/>
          <w:bCs/>
          <w:color w:val="auto"/>
          <w:kern w:val="0"/>
          <w:sz w:val="32"/>
          <w:szCs w:val="32"/>
          <w:highlight w:val="none"/>
          <w:lang w:val="en-US" w:eastAsia="zh-CN"/>
        </w:rPr>
        <w:t>参选人</w:t>
      </w:r>
      <w:r>
        <w:rPr>
          <w:rFonts w:hint="eastAsia" w:ascii="宋体" w:hAnsi="宋体" w:eastAsia="宋体" w:cs="Tahoma"/>
          <w:bCs/>
          <w:color w:val="auto"/>
          <w:kern w:val="0"/>
          <w:sz w:val="32"/>
          <w:szCs w:val="32"/>
          <w:highlight w:val="none"/>
          <w:lang w:val="zh-CN"/>
        </w:rPr>
        <w:t>须知</w:t>
      </w:r>
      <w:bookmarkEnd w:id="24"/>
      <w:bookmarkEnd w:id="25"/>
      <w:bookmarkEnd w:id="26"/>
      <w:bookmarkEnd w:id="27"/>
    </w:p>
    <w:bookmarkEnd w:id="28"/>
    <w:bookmarkEnd w:id="29"/>
    <w:p w14:paraId="587B3BA4">
      <w:pPr>
        <w:keepNext/>
        <w:keepLines/>
        <w:autoSpaceDE w:val="0"/>
        <w:autoSpaceDN w:val="0"/>
        <w:adjustRightInd w:val="0"/>
        <w:spacing w:before="120" w:line="360" w:lineRule="auto"/>
        <w:jc w:val="center"/>
        <w:outlineLvl w:val="1"/>
        <w:rPr>
          <w:rFonts w:ascii="Arial" w:hAnsi="Arial" w:eastAsia="宋体"/>
          <w:b/>
          <w:color w:val="auto"/>
          <w:kern w:val="0"/>
          <w:sz w:val="32"/>
          <w:highlight w:val="none"/>
        </w:rPr>
      </w:pPr>
      <w:bookmarkStart w:id="30" w:name="_Toc4481592"/>
      <w:bookmarkStart w:id="31" w:name="_Toc28310"/>
      <w:bookmarkStart w:id="32" w:name="_Toc23618"/>
      <w:r>
        <w:rPr>
          <w:rFonts w:hint="eastAsia" w:ascii="Arial" w:hAnsi="Arial" w:eastAsia="宋体"/>
          <w:b/>
          <w:color w:val="auto"/>
          <w:kern w:val="0"/>
          <w:sz w:val="32"/>
          <w:highlight w:val="none"/>
        </w:rPr>
        <w:t>（</w:t>
      </w:r>
      <w:r>
        <w:rPr>
          <w:rFonts w:hint="eastAsia" w:ascii="Arial" w:hAnsi="Arial"/>
          <w:b/>
          <w:color w:val="auto"/>
          <w:kern w:val="0"/>
          <w:sz w:val="32"/>
          <w:highlight w:val="none"/>
          <w:lang w:val="en-US" w:eastAsia="zh-CN"/>
        </w:rPr>
        <w:t>一</w:t>
      </w:r>
      <w:r>
        <w:rPr>
          <w:rFonts w:hint="eastAsia" w:ascii="Arial" w:hAnsi="Arial" w:eastAsia="宋体"/>
          <w:b/>
          <w:color w:val="auto"/>
          <w:kern w:val="0"/>
          <w:sz w:val="32"/>
          <w:highlight w:val="none"/>
        </w:rPr>
        <w:t>）总则</w:t>
      </w:r>
      <w:bookmarkEnd w:id="30"/>
    </w:p>
    <w:p w14:paraId="523EA11A">
      <w:pPr>
        <w:spacing w:line="500" w:lineRule="exact"/>
        <w:ind w:firstLine="422" w:firstLineChars="200"/>
        <w:rPr>
          <w:rFonts w:ascii="宋体" w:hAnsi="宋体" w:eastAsia="宋体"/>
          <w:b/>
          <w:color w:val="auto"/>
          <w:szCs w:val="21"/>
          <w:highlight w:val="none"/>
        </w:rPr>
      </w:pPr>
      <w:r>
        <w:rPr>
          <w:rFonts w:hint="eastAsia" w:ascii="宋体" w:hAnsi="宋体" w:eastAsia="宋体"/>
          <w:b/>
          <w:color w:val="auto"/>
          <w:szCs w:val="21"/>
          <w:highlight w:val="none"/>
        </w:rPr>
        <w:t>1、定义</w:t>
      </w:r>
    </w:p>
    <w:p w14:paraId="0EF1F4F6">
      <w:pPr>
        <w:spacing w:line="50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1.1、采购单位是指采购人和采购管理部门。</w:t>
      </w:r>
    </w:p>
    <w:p w14:paraId="6B2CC9FF">
      <w:pPr>
        <w:spacing w:line="50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1.2、参选人是指对“参选人须知前附表”序号2所指的项目表现出兴趣，按照规定的程序，从采购单位获取了比选文件，并实际参与了该项目投标活动的供应商。</w:t>
      </w:r>
    </w:p>
    <w:p w14:paraId="490AB598">
      <w:pPr>
        <w:spacing w:line="500" w:lineRule="exact"/>
        <w:ind w:firstLine="422" w:firstLineChars="200"/>
        <w:rPr>
          <w:rFonts w:ascii="宋体" w:hAnsi="宋体" w:eastAsia="宋体"/>
          <w:b/>
          <w:color w:val="auto"/>
          <w:szCs w:val="21"/>
          <w:highlight w:val="none"/>
        </w:rPr>
      </w:pPr>
      <w:r>
        <w:rPr>
          <w:rFonts w:hint="eastAsia" w:ascii="宋体" w:hAnsi="宋体" w:eastAsia="宋体"/>
          <w:b/>
          <w:color w:val="auto"/>
          <w:szCs w:val="21"/>
          <w:highlight w:val="none"/>
        </w:rPr>
        <w:t>2、参选人资格要求</w:t>
      </w:r>
    </w:p>
    <w:p w14:paraId="5D407D25">
      <w:pPr>
        <w:spacing w:line="50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2.1、参与本项目的参选人必须满足的要求：详见参选人须知前附表。</w:t>
      </w:r>
    </w:p>
    <w:p w14:paraId="3637AD18">
      <w:pPr>
        <w:spacing w:line="50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2.2、参选人之间如果存在下列情形之一的，不得同时参加同一包别或者不分包别的同一项目投标：</w:t>
      </w:r>
    </w:p>
    <w:p w14:paraId="5A4B6352">
      <w:pPr>
        <w:spacing w:line="50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（1）法定代表人为同一个人的两个及两个以上法人；</w:t>
      </w:r>
    </w:p>
    <w:p w14:paraId="6517A6B4">
      <w:pPr>
        <w:spacing w:line="50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（2）母公司、全资子公司及其控股公司；</w:t>
      </w:r>
    </w:p>
    <w:p w14:paraId="13ADAE1A">
      <w:pPr>
        <w:spacing w:line="50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（3）法律和行政法规规定的其他情形。</w:t>
      </w:r>
    </w:p>
    <w:p w14:paraId="468F9237">
      <w:pPr>
        <w:spacing w:line="50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2.3、参选人必须确保自己信息真实、准确，否则，参选人因此蒙受损失，采购单位概不负责。</w:t>
      </w:r>
    </w:p>
    <w:p w14:paraId="778A29C9">
      <w:pPr>
        <w:adjustRightInd w:val="0"/>
        <w:spacing w:line="500" w:lineRule="exact"/>
        <w:ind w:firstLine="413" w:firstLineChars="196"/>
        <w:rPr>
          <w:rFonts w:ascii="宋体" w:hAnsi="宋体" w:eastAsia="宋体"/>
          <w:b/>
          <w:color w:val="auto"/>
          <w:szCs w:val="21"/>
          <w:highlight w:val="none"/>
        </w:rPr>
      </w:pPr>
      <w:r>
        <w:rPr>
          <w:rFonts w:hint="eastAsia" w:ascii="宋体" w:hAnsi="宋体" w:eastAsia="宋体"/>
          <w:b/>
          <w:color w:val="auto"/>
          <w:szCs w:val="21"/>
          <w:highlight w:val="none"/>
        </w:rPr>
        <w:t>3、联合体投标</w:t>
      </w:r>
    </w:p>
    <w:p w14:paraId="540C070F">
      <w:pPr>
        <w:spacing w:line="50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本项目不接受联合体</w:t>
      </w:r>
    </w:p>
    <w:p w14:paraId="6315C778">
      <w:pPr>
        <w:adjustRightInd w:val="0"/>
        <w:spacing w:line="500" w:lineRule="exact"/>
        <w:ind w:firstLine="413" w:firstLineChars="196"/>
        <w:rPr>
          <w:rFonts w:ascii="宋体" w:hAnsi="宋体" w:eastAsia="宋体"/>
          <w:bCs/>
          <w:color w:val="auto"/>
          <w:szCs w:val="21"/>
          <w:highlight w:val="none"/>
        </w:rPr>
      </w:pPr>
      <w:r>
        <w:rPr>
          <w:rFonts w:hint="eastAsia" w:ascii="宋体" w:hAnsi="宋体" w:eastAsia="宋体"/>
          <w:b/>
          <w:color w:val="auto"/>
          <w:szCs w:val="21"/>
          <w:highlight w:val="none"/>
        </w:rPr>
        <w:t>4、比选费用：</w:t>
      </w:r>
      <w:r>
        <w:rPr>
          <w:rFonts w:hint="eastAsia" w:ascii="宋体" w:hAnsi="宋体" w:eastAsia="宋体"/>
          <w:bCs/>
          <w:color w:val="auto"/>
          <w:szCs w:val="21"/>
          <w:highlight w:val="none"/>
        </w:rPr>
        <w:t>参选人必须自行承担参加比选的所有费用。不论中标与否，采购单位在任何情况下均无义务和责任承担这些费用。</w:t>
      </w:r>
    </w:p>
    <w:p w14:paraId="11E74D89">
      <w:pPr>
        <w:widowControl/>
        <w:spacing w:line="500" w:lineRule="exact"/>
        <w:ind w:firstLine="422" w:firstLineChars="200"/>
        <w:jc w:val="left"/>
        <w:rPr>
          <w:rFonts w:ascii="宋体" w:hAnsi="宋体" w:eastAsia="宋体"/>
          <w:b/>
          <w:color w:val="auto"/>
          <w:szCs w:val="21"/>
          <w:highlight w:val="none"/>
        </w:rPr>
      </w:pPr>
      <w:r>
        <w:rPr>
          <w:rFonts w:hint="eastAsia" w:ascii="宋体" w:hAnsi="宋体" w:eastAsia="宋体"/>
          <w:b/>
          <w:color w:val="auto"/>
          <w:szCs w:val="21"/>
          <w:highlight w:val="none"/>
        </w:rPr>
        <w:t>5、参选人有以下情形不得参与本次投标活动</w:t>
      </w:r>
    </w:p>
    <w:p w14:paraId="6DBE251E">
      <w:pPr>
        <w:widowControl/>
        <w:spacing w:line="500" w:lineRule="exact"/>
        <w:ind w:firstLine="420" w:firstLineChars="200"/>
        <w:jc w:val="left"/>
        <w:rPr>
          <w:rFonts w:ascii="宋体" w:hAnsi="宋体" w:eastAsia="宋体"/>
          <w:bCs/>
          <w:color w:val="auto"/>
          <w:szCs w:val="21"/>
          <w:highlight w:val="none"/>
        </w:rPr>
      </w:pPr>
      <w:r>
        <w:rPr>
          <w:rFonts w:hint="eastAsia" w:ascii="宋体" w:hAnsi="宋体" w:eastAsia="宋体"/>
          <w:bCs/>
          <w:color w:val="auto"/>
          <w:szCs w:val="21"/>
          <w:highlight w:val="none"/>
        </w:rPr>
        <w:t>5.1被列入安庆市交通控股集团有限公司黑名单管理系统。</w:t>
      </w:r>
    </w:p>
    <w:p w14:paraId="66B23B6B">
      <w:pPr>
        <w:widowControl/>
        <w:spacing w:line="500" w:lineRule="exact"/>
        <w:ind w:firstLine="420" w:firstLineChars="200"/>
        <w:jc w:val="left"/>
        <w:rPr>
          <w:rFonts w:ascii="宋体" w:hAnsi="宋体" w:eastAsia="宋体"/>
          <w:bCs/>
          <w:color w:val="auto"/>
          <w:szCs w:val="21"/>
          <w:highlight w:val="none"/>
        </w:rPr>
      </w:pPr>
      <w:r>
        <w:rPr>
          <w:rFonts w:hint="eastAsia" w:ascii="宋体" w:hAnsi="宋体" w:eastAsia="宋体"/>
          <w:bCs/>
          <w:color w:val="auto"/>
          <w:szCs w:val="21"/>
          <w:highlight w:val="none"/>
        </w:rPr>
        <w:t>5.2在安庆市交通控股集团有限公司处罚限制期限内的投标人。</w:t>
      </w:r>
    </w:p>
    <w:p w14:paraId="5AE625E2">
      <w:pPr>
        <w:widowControl/>
        <w:spacing w:line="500" w:lineRule="exact"/>
        <w:ind w:firstLine="420" w:firstLineChars="200"/>
        <w:jc w:val="left"/>
        <w:rPr>
          <w:rFonts w:ascii="宋体" w:hAnsi="宋体" w:eastAsia="宋体"/>
          <w:bCs/>
          <w:color w:val="auto"/>
          <w:szCs w:val="21"/>
          <w:highlight w:val="none"/>
        </w:rPr>
      </w:pPr>
      <w:r>
        <w:rPr>
          <w:rFonts w:hint="eastAsia" w:ascii="宋体" w:hAnsi="宋体" w:eastAsia="宋体"/>
          <w:bCs/>
          <w:color w:val="auto"/>
          <w:szCs w:val="21"/>
          <w:highlight w:val="none"/>
        </w:rPr>
        <w:t>5.3前期参与安庆市交通控股集团有限公司组织的招标采购活动获得中标候选人资格而放弃中标资格不签订合同的投标人，在处罚期内的投标人不得参与本次投标活动。</w:t>
      </w:r>
    </w:p>
    <w:p w14:paraId="4F044542">
      <w:pPr>
        <w:keepNext/>
        <w:keepLines/>
        <w:autoSpaceDE w:val="0"/>
        <w:autoSpaceDN w:val="0"/>
        <w:adjustRightInd w:val="0"/>
        <w:spacing w:before="120" w:line="360" w:lineRule="auto"/>
        <w:jc w:val="center"/>
        <w:outlineLvl w:val="1"/>
        <w:rPr>
          <w:rFonts w:ascii="Arial" w:hAnsi="Arial" w:eastAsia="宋体"/>
          <w:b/>
          <w:color w:val="auto"/>
          <w:kern w:val="0"/>
          <w:sz w:val="32"/>
          <w:highlight w:val="none"/>
        </w:rPr>
      </w:pPr>
      <w:bookmarkStart w:id="33" w:name="_Toc8536"/>
      <w:bookmarkStart w:id="34" w:name="_Toc479622044"/>
      <w:bookmarkStart w:id="35" w:name="_Toc4481593"/>
      <w:r>
        <w:rPr>
          <w:rFonts w:hint="eastAsia" w:ascii="Arial" w:hAnsi="Arial" w:eastAsia="宋体"/>
          <w:b/>
          <w:color w:val="auto"/>
          <w:kern w:val="0"/>
          <w:sz w:val="32"/>
          <w:highlight w:val="none"/>
        </w:rPr>
        <w:t>（</w:t>
      </w:r>
      <w:r>
        <w:rPr>
          <w:rFonts w:hint="eastAsia" w:ascii="Arial" w:hAnsi="Arial"/>
          <w:b/>
          <w:color w:val="auto"/>
          <w:kern w:val="0"/>
          <w:sz w:val="32"/>
          <w:highlight w:val="none"/>
          <w:lang w:val="en-US" w:eastAsia="zh-CN"/>
        </w:rPr>
        <w:t>二</w:t>
      </w:r>
      <w:r>
        <w:rPr>
          <w:rFonts w:hint="eastAsia" w:ascii="Arial" w:hAnsi="Arial" w:eastAsia="宋体"/>
          <w:b/>
          <w:color w:val="auto"/>
          <w:kern w:val="0"/>
          <w:sz w:val="32"/>
          <w:highlight w:val="none"/>
        </w:rPr>
        <w:t>）</w:t>
      </w:r>
      <w:bookmarkEnd w:id="33"/>
      <w:bookmarkEnd w:id="34"/>
      <w:bookmarkEnd w:id="35"/>
      <w:r>
        <w:rPr>
          <w:rFonts w:hint="eastAsia" w:ascii="Arial" w:hAnsi="Arial" w:eastAsia="宋体"/>
          <w:b/>
          <w:color w:val="auto"/>
          <w:kern w:val="0"/>
          <w:sz w:val="32"/>
          <w:highlight w:val="none"/>
        </w:rPr>
        <w:t>比选文件</w:t>
      </w:r>
    </w:p>
    <w:p w14:paraId="3DC33FF9">
      <w:pPr>
        <w:spacing w:line="500" w:lineRule="exact"/>
        <w:ind w:firstLine="422" w:firstLineChars="200"/>
        <w:rPr>
          <w:rFonts w:ascii="宋体" w:hAnsi="宋体" w:eastAsia="宋体"/>
          <w:b/>
          <w:color w:val="auto"/>
          <w:szCs w:val="21"/>
          <w:highlight w:val="none"/>
        </w:rPr>
      </w:pPr>
      <w:r>
        <w:rPr>
          <w:rFonts w:hint="eastAsia" w:ascii="宋体" w:hAnsi="宋体" w:eastAsia="宋体"/>
          <w:b/>
          <w:color w:val="auto"/>
          <w:szCs w:val="21"/>
          <w:highlight w:val="none"/>
        </w:rPr>
        <w:t>6、比选文件的构成</w:t>
      </w:r>
    </w:p>
    <w:p w14:paraId="226642B0">
      <w:pPr>
        <w:spacing w:line="50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6.1、比选文件包括：</w:t>
      </w:r>
    </w:p>
    <w:p w14:paraId="1088002E">
      <w:pPr>
        <w:spacing w:line="50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（1）第一章  比选公告；</w:t>
      </w:r>
    </w:p>
    <w:p w14:paraId="38D39FA8">
      <w:pPr>
        <w:spacing w:line="50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（2）第二章  参选人须知；</w:t>
      </w:r>
    </w:p>
    <w:p w14:paraId="7A639ED2">
      <w:pPr>
        <w:spacing w:line="50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 xml:space="preserve">（3）第三章  </w:t>
      </w:r>
      <w:r>
        <w:rPr>
          <w:rFonts w:hint="eastAsia" w:ascii="宋体" w:hAnsi="宋体" w:eastAsia="宋体"/>
          <w:color w:val="auto"/>
          <w:szCs w:val="21"/>
          <w:highlight w:val="none"/>
          <w:lang w:eastAsia="zh-CN"/>
        </w:rPr>
        <w:t>项目需求及技术要求</w:t>
      </w:r>
      <w:r>
        <w:rPr>
          <w:rFonts w:hint="eastAsia" w:ascii="宋体" w:hAnsi="宋体" w:eastAsia="宋体"/>
          <w:color w:val="auto"/>
          <w:szCs w:val="21"/>
          <w:highlight w:val="none"/>
        </w:rPr>
        <w:t>；</w:t>
      </w:r>
    </w:p>
    <w:p w14:paraId="3504C3E4">
      <w:pPr>
        <w:spacing w:line="50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（4）第四章  合同主要条款；</w:t>
      </w:r>
    </w:p>
    <w:p w14:paraId="66F41A3F">
      <w:pPr>
        <w:spacing w:line="50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（5）第五章  参选文件格式。</w:t>
      </w:r>
    </w:p>
    <w:p w14:paraId="4A494B01">
      <w:pPr>
        <w:spacing w:line="50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6.2、参选人应认真阅读和充分理解比选文件中所有的内容。如果参选人没有满足比选文件的有关要求，其风险由参选人自行承担。</w:t>
      </w:r>
    </w:p>
    <w:p w14:paraId="10CB8460">
      <w:pPr>
        <w:spacing w:line="50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6.3、参选人获取比选文件后，应仔细阅读比选文件的所有内容，如有残缺、文本不清晰、表述不一致等问题应在获得比选文件3 日内向采购单位提出，否则，由此引起的一切损失和后果由参选人自行承担。参选人同时应认真审阅比选文件中所有的事项、格式、条款和规范要求等，若参选人的参选文件没有按比选文件要求提交全部资料及自己理解产生的误差，其风险由参选人自行承担，并根据有关条款规定，该投标有可能被拒绝。</w:t>
      </w:r>
    </w:p>
    <w:p w14:paraId="16F8C819">
      <w:pPr>
        <w:spacing w:line="500" w:lineRule="exact"/>
        <w:ind w:firstLine="422" w:firstLineChars="200"/>
        <w:rPr>
          <w:rFonts w:ascii="宋体" w:hAnsi="宋体" w:eastAsia="宋体"/>
          <w:b/>
          <w:color w:val="auto"/>
          <w:szCs w:val="21"/>
          <w:highlight w:val="none"/>
        </w:rPr>
      </w:pPr>
      <w:r>
        <w:rPr>
          <w:rFonts w:hint="eastAsia" w:ascii="宋体" w:hAnsi="宋体" w:eastAsia="宋体"/>
          <w:b/>
          <w:color w:val="auto"/>
          <w:szCs w:val="21"/>
          <w:highlight w:val="none"/>
        </w:rPr>
        <w:t>7、比选文件的澄清</w:t>
      </w:r>
    </w:p>
    <w:p w14:paraId="39A5ED94">
      <w:pPr>
        <w:spacing w:line="50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7.1、参选人可以要求采购单位对比选文件中的有关问题进行答疑或澄清。</w:t>
      </w:r>
    </w:p>
    <w:p w14:paraId="2D86895B">
      <w:pPr>
        <w:spacing w:line="50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7.2、参选人对比选文件如有异议，应在投标截止日期前向采购单位提出。</w:t>
      </w:r>
    </w:p>
    <w:p w14:paraId="5B54AB15">
      <w:pPr>
        <w:spacing w:line="50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7.3、如果参选人未在规定的时间内对比选文件有关条款提出异议，则视为充分理解比选文件所有内容。一旦提交参选文件，则认为该参选人接受比选文件的所有条款。</w:t>
      </w:r>
    </w:p>
    <w:p w14:paraId="39B0AD94">
      <w:pPr>
        <w:spacing w:line="50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7.4、采购单位对在规定时间收到的且需要做出澄清的问题，将以8款所述方式进行答复，但不说明问题的来源。</w:t>
      </w:r>
    </w:p>
    <w:p w14:paraId="5E5E35C2">
      <w:pPr>
        <w:spacing w:line="500" w:lineRule="exact"/>
        <w:ind w:firstLine="422" w:firstLineChars="200"/>
        <w:rPr>
          <w:rFonts w:ascii="宋体" w:hAnsi="宋体" w:eastAsia="宋体"/>
          <w:b/>
          <w:color w:val="auto"/>
          <w:szCs w:val="21"/>
          <w:highlight w:val="none"/>
        </w:rPr>
      </w:pPr>
      <w:r>
        <w:rPr>
          <w:rFonts w:hint="eastAsia" w:ascii="宋体" w:hAnsi="宋体" w:eastAsia="宋体"/>
          <w:b/>
          <w:color w:val="auto"/>
          <w:szCs w:val="21"/>
          <w:highlight w:val="none"/>
        </w:rPr>
        <w:t>8、比选文件的修改</w:t>
      </w:r>
    </w:p>
    <w:p w14:paraId="2F29380E">
      <w:pPr>
        <w:spacing w:line="50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8.1、采购单位可以对比选文件进行修改。</w:t>
      </w:r>
    </w:p>
    <w:p w14:paraId="1DD4DAED">
      <w:pPr>
        <w:spacing w:line="500" w:lineRule="exact"/>
        <w:ind w:firstLine="422" w:firstLineChars="200"/>
        <w:rPr>
          <w:rFonts w:ascii="宋体" w:hAnsi="宋体" w:eastAsia="宋体"/>
          <w:b/>
          <w:bCs/>
          <w:color w:val="auto"/>
          <w:szCs w:val="21"/>
          <w:highlight w:val="none"/>
        </w:rPr>
      </w:pPr>
      <w:r>
        <w:rPr>
          <w:rFonts w:hint="eastAsia" w:ascii="宋体" w:hAnsi="宋体" w:eastAsia="宋体"/>
          <w:b/>
          <w:bCs/>
          <w:color w:val="auto"/>
          <w:szCs w:val="21"/>
          <w:highlight w:val="none"/>
        </w:rPr>
        <w:t>8.2、采购单位对参选人异议的答复和对比选文件的</w:t>
      </w:r>
      <w:r>
        <w:rPr>
          <w:rFonts w:ascii="宋体" w:hAnsi="宋体" w:eastAsia="宋体"/>
          <w:b/>
          <w:bCs/>
          <w:color w:val="auto"/>
          <w:szCs w:val="21"/>
          <w:highlight w:val="none"/>
        </w:rPr>
        <w:t>澄</w:t>
      </w:r>
      <w:r>
        <w:rPr>
          <w:rFonts w:hint="eastAsia" w:ascii="宋体" w:hAnsi="宋体" w:eastAsia="宋体"/>
          <w:b/>
          <w:bCs/>
          <w:color w:val="auto"/>
          <w:szCs w:val="21"/>
          <w:highlight w:val="none"/>
        </w:rPr>
        <w:t>清、修改、补充说明等内容均通过安庆市交通控股集团有限公司集采平台（http：//jc.zh0556.com/）招标采购栏目发布，该修改内容作为比选文件的组成部分，具有约束作用。</w:t>
      </w:r>
    </w:p>
    <w:p w14:paraId="6A0F5144">
      <w:pPr>
        <w:spacing w:line="360" w:lineRule="auto"/>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8.3、</w:t>
      </w:r>
      <w:bookmarkStart w:id="36" w:name="_Toc9821"/>
      <w:r>
        <w:rPr>
          <w:rFonts w:hint="eastAsia" w:ascii="宋体" w:hAnsi="宋体" w:eastAsia="宋体"/>
          <w:color w:val="auto"/>
          <w:szCs w:val="21"/>
          <w:highlight w:val="none"/>
        </w:rPr>
        <w:t>当比选文件与对比选文件的澄清、修改、补充等在同一内容的表述上不一致时，以最后发出的为准。</w:t>
      </w:r>
    </w:p>
    <w:p w14:paraId="65EB125B">
      <w:pPr>
        <w:spacing w:line="360" w:lineRule="auto"/>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8.4、为使参选人有充分时间对比选文件的澄清、修改、补充部分进行研究，或是由于其他原因，采购单位可以决定顺延投标截止时间，具体时间通过</w:t>
      </w:r>
      <w:r>
        <w:rPr>
          <w:rFonts w:hint="eastAsia" w:ascii="宋体" w:hAnsi="宋体" w:eastAsia="宋体" w:cs="宋体"/>
          <w:color w:val="auto"/>
          <w:szCs w:val="21"/>
          <w:highlight w:val="none"/>
        </w:rPr>
        <w:t>安庆市交通控股集团有限公司集采平台网站发布</w:t>
      </w:r>
      <w:r>
        <w:rPr>
          <w:rFonts w:hint="eastAsia" w:ascii="宋体" w:hAnsi="宋体" w:eastAsia="宋体"/>
          <w:color w:val="auto"/>
          <w:szCs w:val="21"/>
          <w:highlight w:val="none"/>
        </w:rPr>
        <w:t>。</w:t>
      </w:r>
    </w:p>
    <w:bookmarkEnd w:id="36"/>
    <w:p w14:paraId="2CB1309A">
      <w:pPr>
        <w:spacing w:line="500" w:lineRule="exact"/>
        <w:ind w:firstLine="422" w:firstLineChars="200"/>
        <w:rPr>
          <w:rFonts w:ascii="宋体" w:hAnsi="宋体" w:eastAsia="宋体"/>
          <w:b/>
          <w:color w:val="auto"/>
          <w:szCs w:val="21"/>
          <w:highlight w:val="none"/>
        </w:rPr>
      </w:pPr>
      <w:r>
        <w:rPr>
          <w:rFonts w:hint="eastAsia" w:ascii="宋体" w:hAnsi="宋体" w:eastAsia="宋体"/>
          <w:b/>
          <w:color w:val="auto"/>
          <w:szCs w:val="21"/>
          <w:highlight w:val="none"/>
        </w:rPr>
        <w:t>9、参选文件的构成</w:t>
      </w:r>
    </w:p>
    <w:p w14:paraId="250E05E4">
      <w:pPr>
        <w:spacing w:line="50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9.1、参选文件应该按照“参选文件格式”规定的内容和顺序进行编写。</w:t>
      </w:r>
    </w:p>
    <w:p w14:paraId="4149DD64">
      <w:pPr>
        <w:spacing w:line="50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9.2、参选人应提交“参选人须知前附表”中规定的参选文件。</w:t>
      </w:r>
    </w:p>
    <w:p w14:paraId="5360D9A8">
      <w:pPr>
        <w:spacing w:line="50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9.3、参选人必须对其参选文件的真实性与准确性负责。参选人一旦中标，其参选文件将作为合同的重要组成部分。</w:t>
      </w:r>
    </w:p>
    <w:p w14:paraId="4F118945">
      <w:pPr>
        <w:spacing w:line="50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9.4、参选人提供的</w:t>
      </w:r>
      <w:r>
        <w:rPr>
          <w:rFonts w:hint="eastAsia" w:ascii="宋体" w:hAnsi="宋体" w:eastAsia="宋体"/>
          <w:color w:val="auto"/>
          <w:szCs w:val="21"/>
          <w:highlight w:val="none"/>
          <w:lang w:val="en-US" w:eastAsia="zh-CN"/>
        </w:rPr>
        <w:t>货物/</w:t>
      </w:r>
      <w:r>
        <w:rPr>
          <w:rFonts w:hint="eastAsia" w:ascii="宋体" w:hAnsi="宋体" w:eastAsia="宋体"/>
          <w:color w:val="auto"/>
          <w:szCs w:val="21"/>
          <w:highlight w:val="none"/>
          <w:lang w:eastAsia="zh-CN"/>
        </w:rPr>
        <w:t>服务</w:t>
      </w:r>
      <w:r>
        <w:rPr>
          <w:rFonts w:hint="eastAsia" w:ascii="宋体" w:hAnsi="宋体" w:eastAsia="宋体"/>
          <w:color w:val="auto"/>
          <w:szCs w:val="21"/>
          <w:highlight w:val="none"/>
        </w:rPr>
        <w:t>能满足比选文件约定的实质性要求。否则，其参选文件在评标时有可能被认为是对比选文件未做出实质性的响应，而被评标委员会终止对其做进一步的评审。</w:t>
      </w:r>
    </w:p>
    <w:p w14:paraId="53D6F47B">
      <w:pPr>
        <w:spacing w:line="500" w:lineRule="exact"/>
        <w:ind w:firstLine="422" w:firstLineChars="200"/>
        <w:rPr>
          <w:rFonts w:ascii="宋体" w:hAnsi="宋体" w:eastAsia="宋体"/>
          <w:b/>
          <w:color w:val="auto"/>
          <w:szCs w:val="21"/>
          <w:highlight w:val="none"/>
        </w:rPr>
      </w:pPr>
      <w:r>
        <w:rPr>
          <w:rFonts w:hint="eastAsia" w:ascii="宋体" w:hAnsi="宋体" w:eastAsia="宋体"/>
          <w:b/>
          <w:color w:val="auto"/>
          <w:szCs w:val="21"/>
          <w:highlight w:val="none"/>
        </w:rPr>
        <w:t>10、投标报价</w:t>
      </w:r>
    </w:p>
    <w:p w14:paraId="064CD3B0">
      <w:pPr>
        <w:spacing w:line="50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10.1、参选文件的报价表上应清楚地标明参选人拟提供</w:t>
      </w:r>
      <w:r>
        <w:rPr>
          <w:rFonts w:hint="eastAsia" w:ascii="宋体" w:hAnsi="宋体" w:eastAsia="宋体"/>
          <w:color w:val="auto"/>
          <w:szCs w:val="21"/>
          <w:highlight w:val="none"/>
          <w:lang w:val="en-US" w:eastAsia="zh-CN"/>
        </w:rPr>
        <w:t>货物/服务</w:t>
      </w:r>
      <w:r>
        <w:rPr>
          <w:rFonts w:hint="eastAsia" w:ascii="宋体" w:hAnsi="宋体" w:eastAsia="宋体"/>
          <w:color w:val="auto"/>
          <w:szCs w:val="21"/>
          <w:highlight w:val="none"/>
        </w:rPr>
        <w:t>的名称、价格等内容。</w:t>
      </w:r>
    </w:p>
    <w:p w14:paraId="5BDD4DE0">
      <w:pPr>
        <w:spacing w:line="50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10.2、除非特别要求，每个项目（或每个包）只允许有一个方案、一个报价。多方案、多报价的参选文件将视为无效参选文件。</w:t>
      </w:r>
    </w:p>
    <w:p w14:paraId="432008D5">
      <w:pPr>
        <w:spacing w:line="50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10.3、参选人的报价应包含满足本次招标需求的所有费用（包括但不限于：人工费、材料费、运输费、保险、税金等）。</w:t>
      </w:r>
    </w:p>
    <w:p w14:paraId="2AF0D2AD">
      <w:pPr>
        <w:spacing w:line="50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10.4、投标报价高于最高投标限价为投标无效。</w:t>
      </w:r>
    </w:p>
    <w:p w14:paraId="2F3B11F6">
      <w:pPr>
        <w:spacing w:line="50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10.5、若参选报价函中报价的大写金额和小写金额不一致的，以大写金额为准；单价金额小数点有明显错位的，应以总价为准，并修正单价。</w:t>
      </w:r>
    </w:p>
    <w:p w14:paraId="51CD7808">
      <w:pPr>
        <w:spacing w:line="50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10.6、</w:t>
      </w:r>
      <w:r>
        <w:rPr>
          <w:rFonts w:hint="eastAsia" w:ascii="宋体" w:hAnsi="宋体" w:eastAsia="宋体"/>
          <w:color w:val="auto"/>
          <w:szCs w:val="21"/>
          <w:highlight w:val="none"/>
          <w:lang w:eastAsia="zh-CN"/>
        </w:rPr>
        <w:t>参选函</w:t>
      </w:r>
      <w:r>
        <w:rPr>
          <w:rFonts w:hint="eastAsia" w:ascii="宋体" w:hAnsi="宋体" w:eastAsia="宋体"/>
          <w:color w:val="auto"/>
          <w:szCs w:val="21"/>
          <w:highlight w:val="none"/>
        </w:rPr>
        <w:t>中报价与参选文件中相应内容不一致的，以</w:t>
      </w:r>
      <w:r>
        <w:rPr>
          <w:rFonts w:hint="eastAsia" w:ascii="宋体" w:hAnsi="宋体" w:eastAsia="宋体"/>
          <w:color w:val="auto"/>
          <w:szCs w:val="21"/>
          <w:highlight w:val="none"/>
          <w:lang w:eastAsia="zh-CN"/>
        </w:rPr>
        <w:t>参选函</w:t>
      </w:r>
      <w:r>
        <w:rPr>
          <w:rFonts w:hint="eastAsia" w:ascii="宋体" w:hAnsi="宋体" w:eastAsia="宋体"/>
          <w:color w:val="auto"/>
          <w:szCs w:val="21"/>
          <w:highlight w:val="none"/>
        </w:rPr>
        <w:t>中报价为准。</w:t>
      </w:r>
    </w:p>
    <w:p w14:paraId="173664E4">
      <w:pPr>
        <w:spacing w:line="500" w:lineRule="exact"/>
        <w:ind w:firstLine="422" w:firstLineChars="200"/>
        <w:rPr>
          <w:rFonts w:ascii="宋体" w:hAnsi="宋体" w:eastAsia="宋体"/>
          <w:color w:val="auto"/>
          <w:szCs w:val="21"/>
          <w:highlight w:val="none"/>
        </w:rPr>
      </w:pPr>
      <w:r>
        <w:rPr>
          <w:rFonts w:hint="eastAsia" w:ascii="宋体" w:hAnsi="宋体" w:eastAsia="宋体"/>
          <w:b/>
          <w:color w:val="auto"/>
          <w:szCs w:val="21"/>
          <w:highlight w:val="none"/>
        </w:rPr>
        <w:t>11、投标货币：</w:t>
      </w:r>
      <w:r>
        <w:rPr>
          <w:rFonts w:hint="eastAsia" w:ascii="宋体" w:hAnsi="宋体" w:eastAsia="宋体"/>
          <w:color w:val="auto"/>
          <w:szCs w:val="21"/>
          <w:highlight w:val="none"/>
        </w:rPr>
        <w:t>人民币。</w:t>
      </w:r>
    </w:p>
    <w:p w14:paraId="2950B393">
      <w:pPr>
        <w:spacing w:line="500" w:lineRule="exact"/>
        <w:ind w:firstLine="422" w:firstLineChars="200"/>
        <w:rPr>
          <w:rFonts w:ascii="宋体" w:hAnsi="宋体" w:eastAsia="宋体"/>
          <w:b/>
          <w:color w:val="auto"/>
          <w:szCs w:val="21"/>
          <w:highlight w:val="none"/>
        </w:rPr>
      </w:pPr>
      <w:r>
        <w:rPr>
          <w:rFonts w:hint="eastAsia" w:ascii="宋体" w:hAnsi="宋体" w:eastAsia="宋体"/>
          <w:b/>
          <w:color w:val="auto"/>
          <w:szCs w:val="21"/>
          <w:highlight w:val="none"/>
        </w:rPr>
        <w:t>12、投标保证金：本项目不收取</w:t>
      </w:r>
    </w:p>
    <w:p w14:paraId="3ECCDCB1">
      <w:pPr>
        <w:spacing w:line="500" w:lineRule="exact"/>
        <w:ind w:firstLine="422" w:firstLineChars="200"/>
        <w:rPr>
          <w:rFonts w:ascii="宋体" w:hAnsi="宋体" w:eastAsia="宋体"/>
          <w:b/>
          <w:color w:val="auto"/>
          <w:szCs w:val="21"/>
          <w:highlight w:val="none"/>
        </w:rPr>
      </w:pPr>
      <w:r>
        <w:rPr>
          <w:rFonts w:hint="eastAsia" w:ascii="宋体" w:hAnsi="宋体" w:eastAsia="宋体"/>
          <w:b/>
          <w:color w:val="auto"/>
          <w:szCs w:val="21"/>
          <w:highlight w:val="none"/>
        </w:rPr>
        <w:t>13、投标有效期</w:t>
      </w:r>
    </w:p>
    <w:p w14:paraId="1ECC7309">
      <w:pPr>
        <w:widowControl/>
        <w:spacing w:line="5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14.投标有效期见“参选人须知前附表”的规定。</w:t>
      </w:r>
    </w:p>
    <w:p w14:paraId="47708289">
      <w:pPr>
        <w:widowControl/>
        <w:spacing w:line="5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14.1、在投标有效期内，参选人不得要求撤销或修改其参选文件。</w:t>
      </w:r>
    </w:p>
    <w:p w14:paraId="386CD46C">
      <w:pPr>
        <w:widowControl/>
        <w:spacing w:line="5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14.2、投标有效期从投标截止之日算起。</w:t>
      </w:r>
    </w:p>
    <w:p w14:paraId="059B075A">
      <w:pPr>
        <w:spacing w:line="50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14.3、在特殊情况下，采购单位可于原投标有效期满之前，向中标候选人提出延长投标有效期的要求。中标候选人可以拒绝采购单位的这种要求，但是对拒绝延长投标有效期的中标候选人，采购单位有权利拒绝其参选文件。同意延长投标有效期的中标候选人既不能要求也不允许修改比选文件和其参选文件所有内容。提出投标有效期的延长要求和中标候选人对该要求的答复均采用书面形式。</w:t>
      </w:r>
    </w:p>
    <w:p w14:paraId="639570B2">
      <w:pPr>
        <w:spacing w:line="500" w:lineRule="exact"/>
        <w:ind w:firstLine="422" w:firstLineChars="200"/>
        <w:rPr>
          <w:rFonts w:ascii="宋体" w:hAnsi="宋体" w:eastAsia="宋体"/>
          <w:b/>
          <w:color w:val="auto"/>
          <w:kern w:val="0"/>
          <w:szCs w:val="21"/>
          <w:highlight w:val="none"/>
        </w:rPr>
      </w:pPr>
      <w:r>
        <w:rPr>
          <w:rFonts w:hint="eastAsia" w:ascii="宋体" w:hAnsi="宋体" w:eastAsia="宋体"/>
          <w:b/>
          <w:color w:val="auto"/>
          <w:kern w:val="0"/>
          <w:szCs w:val="21"/>
          <w:highlight w:val="none"/>
        </w:rPr>
        <w:t>15、参选文件的签署</w:t>
      </w:r>
    </w:p>
    <w:p w14:paraId="7C87106E">
      <w:pPr>
        <w:widowControl/>
        <w:spacing w:line="5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15.1、参选人应按“参选人须知前附表”约定的份数和比选文件约定的格式，编制并提交参选文件。</w:t>
      </w:r>
    </w:p>
    <w:p w14:paraId="1878F9D9">
      <w:pPr>
        <w:widowControl/>
        <w:spacing w:line="5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15.2、参选文件应由参选人的法定代表人或个体工商户经营者或授权委托人签署，并加盖单位公章。</w:t>
      </w:r>
    </w:p>
    <w:p w14:paraId="34BA288C">
      <w:pPr>
        <w:widowControl/>
        <w:spacing w:line="5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15.3、参选文件不得行间插字、涂改或增删。如有修改错漏处，必须由参选人的法定代表人或个体工商户经营者或授权委托人签字，并加盖单位公章。</w:t>
      </w:r>
    </w:p>
    <w:p w14:paraId="218999A3">
      <w:pPr>
        <w:widowControl/>
        <w:spacing w:line="5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15.4、参选文件的正本和副本均需打印，字迹应清晰易于辨认、不褪色（报价可采用不褪色的墨水笔书写），正本和副本如有不一致之处，以正本为准。参选文件因字迹潦草、表达不清或文本不清晰所引起的一切后果均由参选人负责。</w:t>
      </w:r>
    </w:p>
    <w:p w14:paraId="2EAB5DBB">
      <w:pPr>
        <w:widowControl/>
        <w:spacing w:line="5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15.5、参选文件封面、</w:t>
      </w:r>
      <w:r>
        <w:rPr>
          <w:rFonts w:hint="eastAsia" w:ascii="宋体" w:hAnsi="宋体" w:eastAsia="宋体"/>
          <w:color w:val="auto"/>
          <w:szCs w:val="21"/>
          <w:highlight w:val="none"/>
          <w:lang w:eastAsia="zh-CN"/>
        </w:rPr>
        <w:t>参选函</w:t>
      </w:r>
      <w:r>
        <w:rPr>
          <w:rFonts w:hint="eastAsia" w:ascii="宋体" w:hAnsi="宋体" w:eastAsia="宋体"/>
          <w:color w:val="auto"/>
          <w:szCs w:val="21"/>
          <w:highlight w:val="none"/>
        </w:rPr>
        <w:t>、报价表、</w:t>
      </w:r>
      <w:r>
        <w:rPr>
          <w:rFonts w:hint="eastAsia" w:ascii="宋体" w:hAnsi="宋体" w:eastAsia="宋体"/>
          <w:color w:val="auto"/>
          <w:szCs w:val="21"/>
          <w:highlight w:val="none"/>
          <w:lang w:eastAsia="zh-CN"/>
        </w:rPr>
        <w:t>项目</w:t>
      </w:r>
      <w:r>
        <w:rPr>
          <w:rFonts w:hint="eastAsia" w:ascii="宋体" w:hAnsi="宋体" w:eastAsia="宋体"/>
          <w:color w:val="auto"/>
          <w:szCs w:val="21"/>
          <w:highlight w:val="none"/>
        </w:rPr>
        <w:t>内容及质量要求均应加盖参选人公章并经法定代表人或个体工商户经营者或授权委托人签字或加盖印章。参选文件封面、</w:t>
      </w:r>
      <w:r>
        <w:rPr>
          <w:rFonts w:hint="eastAsia" w:ascii="宋体" w:hAnsi="宋体" w:eastAsia="宋体"/>
          <w:color w:val="auto"/>
          <w:szCs w:val="21"/>
          <w:highlight w:val="none"/>
          <w:lang w:eastAsia="zh-CN"/>
        </w:rPr>
        <w:t>参选函</w:t>
      </w:r>
      <w:r>
        <w:rPr>
          <w:rFonts w:hint="eastAsia" w:ascii="宋体" w:hAnsi="宋体" w:eastAsia="宋体"/>
          <w:color w:val="auto"/>
          <w:szCs w:val="21"/>
          <w:highlight w:val="none"/>
        </w:rPr>
        <w:t>、报价表、</w:t>
      </w:r>
      <w:r>
        <w:rPr>
          <w:rFonts w:hint="eastAsia" w:ascii="宋体" w:hAnsi="宋体" w:eastAsia="宋体"/>
          <w:color w:val="auto"/>
          <w:szCs w:val="21"/>
          <w:highlight w:val="none"/>
          <w:lang w:eastAsia="zh-CN"/>
        </w:rPr>
        <w:t>项目</w:t>
      </w:r>
      <w:r>
        <w:rPr>
          <w:rFonts w:hint="eastAsia" w:ascii="宋体" w:hAnsi="宋体" w:eastAsia="宋体"/>
          <w:color w:val="auto"/>
          <w:szCs w:val="21"/>
          <w:highlight w:val="none"/>
        </w:rPr>
        <w:t>内容及质量要求不符合比选文件要求的，视为无效标。由授权委托人签字或盖章的在参选文件中须同时提交授权书。</w:t>
      </w:r>
    </w:p>
    <w:p w14:paraId="20314949">
      <w:pPr>
        <w:keepNext/>
        <w:keepLines/>
        <w:autoSpaceDE w:val="0"/>
        <w:autoSpaceDN w:val="0"/>
        <w:adjustRightInd w:val="0"/>
        <w:spacing w:before="120" w:line="360" w:lineRule="auto"/>
        <w:jc w:val="center"/>
        <w:outlineLvl w:val="1"/>
        <w:rPr>
          <w:rFonts w:ascii="Arial" w:hAnsi="Arial" w:eastAsia="宋体"/>
          <w:b/>
          <w:color w:val="auto"/>
          <w:kern w:val="0"/>
          <w:sz w:val="32"/>
          <w:highlight w:val="none"/>
        </w:rPr>
      </w:pPr>
      <w:bookmarkStart w:id="37" w:name="_Toc479622046"/>
      <w:bookmarkStart w:id="38" w:name="_Toc12503"/>
      <w:bookmarkStart w:id="39" w:name="_Toc4481594"/>
      <w:bookmarkStart w:id="40" w:name="_Toc25319"/>
      <w:r>
        <w:rPr>
          <w:rFonts w:hint="eastAsia" w:ascii="Arial" w:hAnsi="Arial" w:eastAsia="宋体"/>
          <w:b/>
          <w:color w:val="auto"/>
          <w:kern w:val="0"/>
          <w:sz w:val="32"/>
          <w:highlight w:val="none"/>
        </w:rPr>
        <w:t>（</w:t>
      </w:r>
      <w:r>
        <w:rPr>
          <w:rFonts w:hint="eastAsia" w:ascii="Arial" w:hAnsi="Arial"/>
          <w:b/>
          <w:color w:val="auto"/>
          <w:kern w:val="0"/>
          <w:sz w:val="32"/>
          <w:highlight w:val="none"/>
          <w:lang w:val="en-US" w:eastAsia="zh-CN"/>
        </w:rPr>
        <w:t>三</w:t>
      </w:r>
      <w:r>
        <w:rPr>
          <w:rFonts w:hint="eastAsia" w:ascii="Arial" w:hAnsi="Arial" w:eastAsia="宋体"/>
          <w:b/>
          <w:color w:val="auto"/>
          <w:kern w:val="0"/>
          <w:sz w:val="32"/>
          <w:highlight w:val="none"/>
        </w:rPr>
        <w:t>）参选文件的提交</w:t>
      </w:r>
      <w:bookmarkEnd w:id="37"/>
      <w:bookmarkEnd w:id="38"/>
      <w:bookmarkEnd w:id="39"/>
      <w:bookmarkEnd w:id="40"/>
    </w:p>
    <w:p w14:paraId="15254A47">
      <w:pPr>
        <w:widowControl/>
        <w:spacing w:line="500" w:lineRule="exact"/>
        <w:ind w:firstLine="422" w:firstLineChars="200"/>
        <w:jc w:val="left"/>
        <w:rPr>
          <w:rFonts w:ascii="宋体" w:hAnsi="宋体" w:eastAsia="宋体"/>
          <w:b/>
          <w:bCs/>
          <w:color w:val="auto"/>
          <w:szCs w:val="21"/>
          <w:highlight w:val="none"/>
        </w:rPr>
      </w:pPr>
      <w:r>
        <w:rPr>
          <w:rFonts w:hint="eastAsia" w:ascii="宋体" w:hAnsi="宋体" w:eastAsia="宋体"/>
          <w:b/>
          <w:bCs/>
          <w:color w:val="auto"/>
          <w:szCs w:val="21"/>
          <w:highlight w:val="none"/>
        </w:rPr>
        <w:t>16、参选文件的装订、密封和标记</w:t>
      </w:r>
    </w:p>
    <w:p w14:paraId="2F248F1C">
      <w:pPr>
        <w:widowControl/>
        <w:spacing w:line="5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16.1、参选文件正本和副本均需胶装成册并标明页码，不得采用活页或容易拆解的装订形式。</w:t>
      </w:r>
    </w:p>
    <w:p w14:paraId="602BB33E">
      <w:pPr>
        <w:widowControl/>
        <w:spacing w:line="5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16.2、参选人应将参选文件的正本和副本同时装于一个袋内。包装密封，并于密封袋上加盖单位公章。</w:t>
      </w:r>
    </w:p>
    <w:p w14:paraId="3ABC06DA">
      <w:pPr>
        <w:widowControl/>
        <w:spacing w:line="500" w:lineRule="exact"/>
        <w:ind w:firstLine="422" w:firstLineChars="200"/>
        <w:jc w:val="left"/>
        <w:rPr>
          <w:rFonts w:ascii="宋体" w:hAnsi="宋体" w:eastAsia="宋体"/>
          <w:b/>
          <w:bCs/>
          <w:color w:val="auto"/>
          <w:szCs w:val="21"/>
          <w:highlight w:val="none"/>
        </w:rPr>
      </w:pPr>
      <w:r>
        <w:rPr>
          <w:rFonts w:hint="eastAsia" w:ascii="宋体" w:hAnsi="宋体" w:eastAsia="宋体"/>
          <w:b/>
          <w:bCs/>
          <w:color w:val="auto"/>
          <w:szCs w:val="21"/>
          <w:highlight w:val="none"/>
        </w:rPr>
        <w:t>16.3、密封袋上应写明：项目名称、参选单位名称、项目编号（加盖单位公章），详见参选人须知前附表。</w:t>
      </w:r>
    </w:p>
    <w:p w14:paraId="2C11055F">
      <w:pPr>
        <w:spacing w:line="360" w:lineRule="auto"/>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16.4、未按参选人须知要求装订、密封和标记的参选文件，将认定为投标无效。</w:t>
      </w:r>
    </w:p>
    <w:p w14:paraId="1AF6A4CE">
      <w:pPr>
        <w:spacing w:line="360" w:lineRule="auto"/>
        <w:ind w:firstLine="422" w:firstLineChars="200"/>
        <w:rPr>
          <w:rFonts w:ascii="宋体" w:hAnsi="宋体" w:eastAsia="宋体"/>
          <w:b/>
          <w:bCs/>
          <w:color w:val="auto"/>
          <w:szCs w:val="21"/>
          <w:highlight w:val="none"/>
        </w:rPr>
      </w:pPr>
      <w:r>
        <w:rPr>
          <w:rFonts w:hint="eastAsia" w:ascii="宋体" w:hAnsi="宋体" w:eastAsia="宋体"/>
          <w:b/>
          <w:bCs/>
          <w:color w:val="auto"/>
          <w:szCs w:val="21"/>
          <w:highlight w:val="none"/>
        </w:rPr>
        <w:t>16.5、查验证件</w:t>
      </w:r>
    </w:p>
    <w:p w14:paraId="2C37328F">
      <w:pPr>
        <w:spacing w:line="360" w:lineRule="auto"/>
        <w:ind w:firstLine="422" w:firstLineChars="200"/>
        <w:rPr>
          <w:rFonts w:ascii="宋体" w:hAnsi="宋体" w:eastAsia="宋体"/>
          <w:b/>
          <w:bCs/>
          <w:color w:val="auto"/>
          <w:szCs w:val="21"/>
          <w:highlight w:val="none"/>
        </w:rPr>
      </w:pPr>
      <w:r>
        <w:rPr>
          <w:rFonts w:hint="eastAsia" w:ascii="宋体" w:hAnsi="宋体" w:eastAsia="宋体"/>
          <w:b/>
          <w:bCs/>
          <w:color w:val="auto"/>
          <w:szCs w:val="21"/>
          <w:highlight w:val="none"/>
        </w:rPr>
        <w:t>16.5.1、采购人审查参选人以下证件，若证件不全或不符合要求，则查验不合格。</w:t>
      </w:r>
    </w:p>
    <w:p w14:paraId="353F41CD">
      <w:pPr>
        <w:spacing w:line="360" w:lineRule="auto"/>
        <w:ind w:firstLine="422" w:firstLineChars="200"/>
        <w:rPr>
          <w:rFonts w:ascii="宋体" w:hAnsi="宋体" w:eastAsia="宋体"/>
          <w:b/>
          <w:bCs/>
          <w:color w:val="auto"/>
          <w:szCs w:val="21"/>
          <w:highlight w:val="none"/>
        </w:rPr>
      </w:pPr>
      <w:r>
        <w:rPr>
          <w:rFonts w:hint="eastAsia" w:ascii="宋体" w:hAnsi="宋体" w:eastAsia="宋体"/>
          <w:b/>
          <w:bCs/>
          <w:color w:val="auto"/>
          <w:szCs w:val="21"/>
          <w:highlight w:val="none"/>
        </w:rPr>
        <w:t>法定代表人或个体工商户经营者应出示有效二代居民身份证、授权委托人应出示有效二代居民身份证、授权书；（授权书格式见附件）。</w:t>
      </w:r>
    </w:p>
    <w:p w14:paraId="76CEC66B">
      <w:pPr>
        <w:spacing w:line="500" w:lineRule="exact"/>
        <w:ind w:firstLine="422" w:firstLineChars="200"/>
        <w:rPr>
          <w:rFonts w:ascii="宋体" w:hAnsi="宋体" w:eastAsia="宋体"/>
          <w:b/>
          <w:color w:val="auto"/>
          <w:szCs w:val="21"/>
          <w:highlight w:val="none"/>
        </w:rPr>
      </w:pPr>
      <w:r>
        <w:rPr>
          <w:rFonts w:hint="eastAsia" w:ascii="宋体" w:hAnsi="宋体" w:eastAsia="宋体"/>
          <w:b/>
          <w:color w:val="auto"/>
          <w:szCs w:val="21"/>
          <w:highlight w:val="none"/>
        </w:rPr>
        <w:t>17、投标截止时间</w:t>
      </w:r>
    </w:p>
    <w:p w14:paraId="214A60E9">
      <w:pPr>
        <w:widowControl/>
        <w:spacing w:line="5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17.1、参选人应在参选人须知前附表中约定的投标截止时间前将参选文件提交至指定地点。逾期送达的或者未按要求送达指定地点的参选文件，采购单位不予受理。</w:t>
      </w:r>
    </w:p>
    <w:p w14:paraId="184F1B69">
      <w:pPr>
        <w:widowControl/>
        <w:spacing w:line="500" w:lineRule="exact"/>
        <w:ind w:firstLine="420" w:firstLineChars="200"/>
        <w:jc w:val="left"/>
        <w:rPr>
          <w:rFonts w:ascii="宋体" w:hAnsi="宋体" w:eastAsia="宋体"/>
          <w:b/>
          <w:color w:val="auto"/>
          <w:szCs w:val="21"/>
          <w:highlight w:val="none"/>
        </w:rPr>
      </w:pPr>
      <w:r>
        <w:rPr>
          <w:rFonts w:hint="eastAsia" w:ascii="宋体" w:hAnsi="宋体" w:eastAsia="宋体"/>
          <w:color w:val="auto"/>
          <w:szCs w:val="21"/>
          <w:highlight w:val="none"/>
        </w:rPr>
        <w:t>17.2、采购人有权按本须知的约定，通过修改比选文件相关条款以延长投标截止时间。在此情况下，采购人和参选人受投标截止时间制约的所有权利和义务均应延长至新的投标截止时间。</w:t>
      </w:r>
    </w:p>
    <w:p w14:paraId="6B1932F0">
      <w:pPr>
        <w:widowControl/>
        <w:spacing w:line="500" w:lineRule="exact"/>
        <w:ind w:firstLine="422" w:firstLineChars="200"/>
        <w:jc w:val="left"/>
        <w:rPr>
          <w:rFonts w:ascii="宋体" w:hAnsi="宋体" w:eastAsia="宋体"/>
          <w:b/>
          <w:color w:val="auto"/>
          <w:szCs w:val="21"/>
          <w:highlight w:val="none"/>
        </w:rPr>
      </w:pPr>
      <w:r>
        <w:rPr>
          <w:rFonts w:hint="eastAsia" w:ascii="宋体" w:hAnsi="宋体" w:eastAsia="宋体"/>
          <w:b/>
          <w:color w:val="auto"/>
          <w:szCs w:val="21"/>
          <w:highlight w:val="none"/>
        </w:rPr>
        <w:t>18、参选文件的修改与撤回</w:t>
      </w:r>
    </w:p>
    <w:p w14:paraId="6FC78CB2">
      <w:pPr>
        <w:widowControl/>
        <w:spacing w:line="500" w:lineRule="exact"/>
        <w:ind w:firstLine="420" w:firstLineChars="200"/>
        <w:jc w:val="left"/>
        <w:rPr>
          <w:rFonts w:ascii="宋体" w:hAnsi="宋体" w:eastAsia="宋体"/>
          <w:color w:val="auto"/>
          <w:szCs w:val="21"/>
          <w:highlight w:val="none"/>
        </w:rPr>
      </w:pPr>
      <w:bookmarkStart w:id="41" w:name="_Toc23598"/>
      <w:bookmarkStart w:id="42" w:name="_Toc479622047"/>
      <w:r>
        <w:rPr>
          <w:rFonts w:hint="eastAsia" w:ascii="宋体" w:hAnsi="宋体" w:eastAsia="宋体"/>
          <w:color w:val="auto"/>
          <w:szCs w:val="21"/>
          <w:highlight w:val="none"/>
        </w:rPr>
        <w:t>18.1、参选人提交参选文件以后，在约定的投标截止时间之前，可以以书面形式补充修改或撤回已提交的参选文件，并以书面形式通知采购人。补充、修改的内容为参选文件的组成部分。</w:t>
      </w:r>
    </w:p>
    <w:p w14:paraId="0AAD7D0A">
      <w:pPr>
        <w:widowControl/>
        <w:spacing w:line="5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18.2、参选人对参选文件的修改应按参选人须知规定编制、密封、标记和提交，并在参选文件密封袋上清楚标明“补充、修改”；参选文件的撤回应在开标前，由法定代表人或个体工商户经营者应出示有效二代居民身份证、营业执照复印件或授权委托人授权书后自行拿回。</w:t>
      </w:r>
    </w:p>
    <w:p w14:paraId="1B1B0C81">
      <w:pPr>
        <w:widowControl/>
        <w:spacing w:line="5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18.3、在投标截止时间之后，参选人不得对其参选文件做任何修改。</w:t>
      </w:r>
    </w:p>
    <w:p w14:paraId="15C379C0">
      <w:pPr>
        <w:widowControl/>
        <w:spacing w:line="5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19、在规定的投标有效期内，参选人不得撤回其参选文件。</w:t>
      </w:r>
    </w:p>
    <w:p w14:paraId="489C7E36">
      <w:pPr>
        <w:widowControl/>
        <w:spacing w:line="500" w:lineRule="exact"/>
        <w:ind w:firstLine="420" w:firstLineChars="200"/>
        <w:jc w:val="left"/>
        <w:rPr>
          <w:rFonts w:ascii="宋体" w:hAnsi="宋体" w:eastAsia="宋体"/>
          <w:color w:val="auto"/>
          <w:szCs w:val="21"/>
          <w:highlight w:val="none"/>
        </w:rPr>
      </w:pPr>
    </w:p>
    <w:p w14:paraId="22E061B5">
      <w:pPr>
        <w:keepNext/>
        <w:keepLines/>
        <w:autoSpaceDE w:val="0"/>
        <w:autoSpaceDN w:val="0"/>
        <w:adjustRightInd w:val="0"/>
        <w:spacing w:before="120" w:line="360" w:lineRule="auto"/>
        <w:jc w:val="center"/>
        <w:outlineLvl w:val="1"/>
        <w:rPr>
          <w:rFonts w:ascii="Arial" w:hAnsi="Arial" w:eastAsia="宋体"/>
          <w:b/>
          <w:color w:val="auto"/>
          <w:kern w:val="0"/>
          <w:sz w:val="32"/>
          <w:highlight w:val="none"/>
        </w:rPr>
      </w:pPr>
      <w:bookmarkStart w:id="43" w:name="_Toc4481595"/>
      <w:r>
        <w:rPr>
          <w:rFonts w:hint="eastAsia" w:ascii="Arial" w:hAnsi="Arial" w:eastAsia="宋体"/>
          <w:b/>
          <w:color w:val="auto"/>
          <w:kern w:val="0"/>
          <w:sz w:val="32"/>
          <w:highlight w:val="none"/>
        </w:rPr>
        <w:t>（</w:t>
      </w:r>
      <w:r>
        <w:rPr>
          <w:rFonts w:hint="eastAsia" w:ascii="Arial" w:hAnsi="Arial"/>
          <w:b/>
          <w:color w:val="auto"/>
          <w:kern w:val="0"/>
          <w:sz w:val="32"/>
          <w:highlight w:val="none"/>
          <w:lang w:val="en-US" w:eastAsia="zh-CN"/>
        </w:rPr>
        <w:t>四</w:t>
      </w:r>
      <w:r>
        <w:rPr>
          <w:rFonts w:hint="eastAsia" w:ascii="Arial" w:hAnsi="Arial" w:eastAsia="宋体"/>
          <w:b/>
          <w:color w:val="auto"/>
          <w:kern w:val="0"/>
          <w:sz w:val="32"/>
          <w:highlight w:val="none"/>
        </w:rPr>
        <w:t>）开标</w:t>
      </w:r>
      <w:bookmarkEnd w:id="41"/>
      <w:bookmarkEnd w:id="42"/>
      <w:bookmarkEnd w:id="43"/>
    </w:p>
    <w:p w14:paraId="22FFC87B">
      <w:pPr>
        <w:widowControl/>
        <w:spacing w:line="500" w:lineRule="exact"/>
        <w:ind w:firstLine="422" w:firstLineChars="200"/>
        <w:jc w:val="left"/>
        <w:rPr>
          <w:rFonts w:ascii="宋体" w:hAnsi="宋体" w:eastAsia="宋体"/>
          <w:color w:val="auto"/>
          <w:szCs w:val="21"/>
          <w:highlight w:val="none"/>
        </w:rPr>
      </w:pPr>
      <w:r>
        <w:rPr>
          <w:rFonts w:hint="eastAsia" w:ascii="宋体" w:hAnsi="宋体" w:eastAsia="宋体"/>
          <w:b/>
          <w:bCs/>
          <w:color w:val="auto"/>
          <w:szCs w:val="21"/>
          <w:highlight w:val="none"/>
        </w:rPr>
        <w:t>20、开标时间和地点：</w:t>
      </w:r>
      <w:r>
        <w:rPr>
          <w:rFonts w:hint="eastAsia" w:ascii="宋体" w:hAnsi="宋体" w:eastAsia="宋体"/>
          <w:color w:val="auto"/>
          <w:szCs w:val="21"/>
          <w:highlight w:val="none"/>
        </w:rPr>
        <w:t>采购单位将在监督人员监督下依据“参选人须知前附表”约定的时间和地点开标，所有参选人的法定代表人或个体工商户经营者或其授权委托人自愿参加现场开标，未参加现场开标的参选人应无条件认可整个开标过程。</w:t>
      </w:r>
    </w:p>
    <w:p w14:paraId="362124F4">
      <w:pPr>
        <w:widowControl/>
        <w:spacing w:line="500" w:lineRule="exact"/>
        <w:ind w:firstLine="422" w:firstLineChars="200"/>
        <w:jc w:val="left"/>
        <w:rPr>
          <w:rFonts w:ascii="宋体" w:hAnsi="宋体" w:eastAsia="宋体"/>
          <w:color w:val="auto"/>
          <w:szCs w:val="21"/>
          <w:highlight w:val="none"/>
        </w:rPr>
      </w:pPr>
      <w:r>
        <w:rPr>
          <w:rFonts w:hint="eastAsia" w:ascii="宋体" w:hAnsi="宋体" w:eastAsia="宋体"/>
          <w:b/>
          <w:bCs/>
          <w:color w:val="auto"/>
          <w:szCs w:val="21"/>
          <w:highlight w:val="none"/>
        </w:rPr>
        <w:t>21、开标程序</w:t>
      </w:r>
    </w:p>
    <w:p w14:paraId="0D549059">
      <w:pPr>
        <w:spacing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21.1、开标由采购单位代表主持，主持人按下列程序进行：</w:t>
      </w:r>
    </w:p>
    <w:p w14:paraId="34D0D993">
      <w:pPr>
        <w:spacing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21.1.1、宣布项目名称、介绍参会人员；</w:t>
      </w:r>
    </w:p>
    <w:p w14:paraId="5677A9F7">
      <w:pPr>
        <w:spacing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21.1.2、宣布开标纪律；</w:t>
      </w:r>
    </w:p>
    <w:p w14:paraId="00FBBAC7">
      <w:pPr>
        <w:spacing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21.1.3、由</w:t>
      </w:r>
      <w:r>
        <w:rPr>
          <w:rFonts w:hint="eastAsia" w:ascii="宋体" w:hAnsi="宋体" w:eastAsia="宋体"/>
          <w:color w:val="auto"/>
          <w:szCs w:val="21"/>
          <w:highlight w:val="none"/>
        </w:rPr>
        <w:t>采购人</w:t>
      </w:r>
      <w:r>
        <w:rPr>
          <w:rFonts w:hint="eastAsia" w:ascii="宋体" w:hAnsi="宋体" w:eastAsia="宋体" w:cs="宋体"/>
          <w:color w:val="auto"/>
          <w:szCs w:val="21"/>
          <w:highlight w:val="none"/>
        </w:rPr>
        <w:t>代表和监督人员查验参选人相关证件资料并宣布查验结果；</w:t>
      </w:r>
    </w:p>
    <w:p w14:paraId="0A59AFF4">
      <w:pPr>
        <w:spacing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21.1.4、参与现场开标的各参选人互相检查参选文件的密封情况，并确认参选人是否存在异议； </w:t>
      </w:r>
    </w:p>
    <w:p w14:paraId="570FDC99">
      <w:pPr>
        <w:spacing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21.1.5、依次当众开标，公布参选人名称、报价及参选报价函其他内容，并记录在案；</w:t>
      </w:r>
    </w:p>
    <w:p w14:paraId="0F01A7BD">
      <w:pPr>
        <w:spacing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21.1.6、</w:t>
      </w:r>
      <w:r>
        <w:rPr>
          <w:rFonts w:hint="eastAsia" w:ascii="宋体" w:hAnsi="宋体" w:eastAsia="宋体"/>
          <w:color w:val="auto"/>
          <w:szCs w:val="21"/>
          <w:highlight w:val="none"/>
        </w:rPr>
        <w:t>采购人</w:t>
      </w:r>
      <w:r>
        <w:rPr>
          <w:rFonts w:hint="eastAsia" w:ascii="宋体" w:hAnsi="宋体" w:eastAsia="宋体" w:cs="宋体"/>
          <w:color w:val="auto"/>
          <w:szCs w:val="21"/>
          <w:highlight w:val="none"/>
        </w:rPr>
        <w:t>代表、监督人员、记录人等有关人员在开标记录表上签字确认；</w:t>
      </w:r>
    </w:p>
    <w:p w14:paraId="24A58E42">
      <w:pPr>
        <w:spacing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21.1.7、进入评审阶段；</w:t>
      </w:r>
    </w:p>
    <w:p w14:paraId="3EF13D1F">
      <w:pPr>
        <w:spacing w:line="360" w:lineRule="auto"/>
        <w:ind w:firstLine="420" w:firstLineChars="200"/>
        <w:rPr>
          <w:rFonts w:ascii="宋体" w:hAnsi="宋体" w:eastAsia="宋体" w:cs="宋体"/>
          <w:b/>
          <w:color w:val="auto"/>
          <w:szCs w:val="21"/>
          <w:highlight w:val="none"/>
        </w:rPr>
      </w:pPr>
      <w:r>
        <w:rPr>
          <w:rFonts w:hint="eastAsia" w:ascii="宋体" w:hAnsi="宋体" w:eastAsia="宋体" w:cs="宋体"/>
          <w:color w:val="auto"/>
          <w:szCs w:val="21"/>
          <w:highlight w:val="none"/>
        </w:rPr>
        <w:t>21.1.8、宣布评审结果。</w:t>
      </w:r>
    </w:p>
    <w:p w14:paraId="4E7CCA7C">
      <w:pPr>
        <w:widowControl/>
        <w:spacing w:line="500" w:lineRule="exact"/>
        <w:ind w:firstLine="420" w:firstLineChars="200"/>
        <w:jc w:val="left"/>
        <w:rPr>
          <w:rFonts w:ascii="宋体" w:hAnsi="宋体" w:eastAsia="宋体"/>
          <w:color w:val="auto"/>
          <w:szCs w:val="21"/>
          <w:highlight w:val="none"/>
        </w:rPr>
      </w:pPr>
      <w:r>
        <w:rPr>
          <w:rFonts w:hint="eastAsia" w:ascii="宋体" w:hAnsi="宋体" w:eastAsia="宋体" w:cs="宋体"/>
          <w:color w:val="auto"/>
          <w:szCs w:val="21"/>
          <w:highlight w:val="none"/>
        </w:rPr>
        <w:t>21.2、参选</w:t>
      </w:r>
      <w:r>
        <w:rPr>
          <w:rFonts w:hint="eastAsia" w:ascii="宋体" w:hAnsi="宋体" w:eastAsia="宋体"/>
          <w:color w:val="auto"/>
          <w:szCs w:val="21"/>
          <w:highlight w:val="none"/>
        </w:rPr>
        <w:t>人必须对其参选文件中所有资料的真实性负责。若发现参选人有弄虚作假行为的，投标无效，由相关管理部门按照比选文件相应条款对其做相应处罚。</w:t>
      </w:r>
    </w:p>
    <w:p w14:paraId="577D5EF7">
      <w:pPr>
        <w:widowControl/>
        <w:spacing w:line="500" w:lineRule="exact"/>
        <w:ind w:firstLine="422" w:firstLineChars="200"/>
        <w:jc w:val="left"/>
        <w:rPr>
          <w:rFonts w:ascii="宋体" w:hAnsi="宋体" w:eastAsia="宋体"/>
          <w:color w:val="auto"/>
          <w:szCs w:val="21"/>
          <w:highlight w:val="none"/>
        </w:rPr>
      </w:pPr>
      <w:r>
        <w:rPr>
          <w:rFonts w:hint="eastAsia" w:ascii="宋体" w:hAnsi="宋体" w:eastAsia="宋体"/>
          <w:b/>
          <w:bCs/>
          <w:color w:val="auto"/>
          <w:szCs w:val="21"/>
          <w:highlight w:val="none"/>
        </w:rPr>
        <w:t>22、参选文件的有效性</w:t>
      </w:r>
    </w:p>
    <w:p w14:paraId="256A1E6C">
      <w:pPr>
        <w:widowControl/>
        <w:spacing w:line="500" w:lineRule="exact"/>
        <w:ind w:firstLine="422" w:firstLineChars="200"/>
        <w:jc w:val="left"/>
        <w:rPr>
          <w:rFonts w:ascii="宋体" w:hAnsi="宋体" w:eastAsia="宋体"/>
          <w:b/>
          <w:bCs/>
          <w:color w:val="auto"/>
          <w:szCs w:val="21"/>
          <w:highlight w:val="none"/>
        </w:rPr>
      </w:pPr>
      <w:r>
        <w:rPr>
          <w:rFonts w:hint="eastAsia" w:ascii="宋体" w:hAnsi="宋体" w:eastAsia="宋体"/>
          <w:b/>
          <w:bCs/>
          <w:color w:val="auto"/>
          <w:szCs w:val="21"/>
          <w:highlight w:val="none"/>
        </w:rPr>
        <w:t xml:space="preserve">22.1、参选文件有下列情形之一的，将不予受理： </w:t>
      </w:r>
    </w:p>
    <w:p w14:paraId="75CA57C2">
      <w:pPr>
        <w:widowControl/>
        <w:spacing w:line="5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 xml:space="preserve">（1）逾期送达的或者未送达至指定地点的； </w:t>
      </w:r>
    </w:p>
    <w:p w14:paraId="04924852">
      <w:pPr>
        <w:widowControl/>
        <w:spacing w:line="5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（2）未按比选文件要求包装、密封的。</w:t>
      </w:r>
    </w:p>
    <w:p w14:paraId="6821B2CF">
      <w:pPr>
        <w:widowControl/>
        <w:spacing w:line="500" w:lineRule="exact"/>
        <w:ind w:firstLine="422" w:firstLineChars="200"/>
        <w:jc w:val="left"/>
        <w:rPr>
          <w:rFonts w:ascii="宋体" w:hAnsi="宋体" w:eastAsia="宋体"/>
          <w:b/>
          <w:bCs/>
          <w:color w:val="auto"/>
          <w:szCs w:val="21"/>
          <w:highlight w:val="none"/>
        </w:rPr>
      </w:pPr>
      <w:r>
        <w:rPr>
          <w:rFonts w:hint="eastAsia" w:ascii="宋体" w:hAnsi="宋体" w:eastAsia="宋体"/>
          <w:b/>
          <w:bCs/>
          <w:color w:val="auto"/>
          <w:szCs w:val="21"/>
          <w:highlight w:val="none"/>
        </w:rPr>
        <w:t>22.2、开标过程中发现有下列情况的，由评标委员会评审后，认定为投标无效：</w:t>
      </w:r>
    </w:p>
    <w:p w14:paraId="6DA19744">
      <w:pPr>
        <w:widowControl/>
        <w:spacing w:line="5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22.2.1、参选人未按要求参加开标会、未按要求出示材料供现场查验或经查验不合格的、参选文件份数少于比选文件要求；</w:t>
      </w:r>
    </w:p>
    <w:p w14:paraId="35C546D7">
      <w:pPr>
        <w:widowControl/>
        <w:spacing w:line="5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22.2.2、未按约定格式提供、填写参选文件封面、</w:t>
      </w:r>
      <w:r>
        <w:rPr>
          <w:rFonts w:hint="eastAsia" w:ascii="宋体" w:hAnsi="宋体" w:eastAsia="宋体"/>
          <w:color w:val="auto"/>
          <w:szCs w:val="21"/>
          <w:highlight w:val="none"/>
          <w:lang w:eastAsia="zh-CN"/>
        </w:rPr>
        <w:t>参选函</w:t>
      </w:r>
      <w:r>
        <w:rPr>
          <w:rFonts w:hint="eastAsia" w:ascii="宋体" w:hAnsi="宋体" w:eastAsia="宋体"/>
          <w:color w:val="auto"/>
          <w:szCs w:val="21"/>
          <w:highlight w:val="none"/>
        </w:rPr>
        <w:t>、报价表、</w:t>
      </w:r>
      <w:r>
        <w:rPr>
          <w:rFonts w:hint="eastAsia" w:ascii="宋体" w:hAnsi="宋体" w:eastAsia="宋体"/>
          <w:color w:val="auto"/>
          <w:szCs w:val="21"/>
          <w:highlight w:val="none"/>
          <w:lang w:eastAsia="zh-CN"/>
        </w:rPr>
        <w:t>项目</w:t>
      </w:r>
      <w:r>
        <w:rPr>
          <w:rFonts w:hint="eastAsia" w:ascii="宋体" w:hAnsi="宋体" w:eastAsia="宋体"/>
          <w:color w:val="auto"/>
          <w:szCs w:val="21"/>
          <w:highlight w:val="none"/>
        </w:rPr>
        <w:t>内容及质量要求或参选文件封面、</w:t>
      </w:r>
      <w:r>
        <w:rPr>
          <w:rFonts w:hint="eastAsia" w:ascii="宋体" w:hAnsi="宋体" w:eastAsia="宋体"/>
          <w:color w:val="auto"/>
          <w:szCs w:val="21"/>
          <w:highlight w:val="none"/>
          <w:lang w:eastAsia="zh-CN"/>
        </w:rPr>
        <w:t>参选函</w:t>
      </w:r>
      <w:r>
        <w:rPr>
          <w:rFonts w:hint="eastAsia" w:ascii="宋体" w:hAnsi="宋体" w:eastAsia="宋体"/>
          <w:color w:val="auto"/>
          <w:szCs w:val="21"/>
          <w:highlight w:val="none"/>
        </w:rPr>
        <w:t>、报价表、</w:t>
      </w:r>
      <w:r>
        <w:rPr>
          <w:rFonts w:hint="eastAsia" w:ascii="宋体" w:hAnsi="宋体" w:eastAsia="宋体"/>
          <w:color w:val="auto"/>
          <w:szCs w:val="21"/>
          <w:highlight w:val="none"/>
          <w:lang w:eastAsia="zh-CN"/>
        </w:rPr>
        <w:t>项目</w:t>
      </w:r>
      <w:r>
        <w:rPr>
          <w:rFonts w:hint="eastAsia" w:ascii="宋体" w:hAnsi="宋体" w:eastAsia="宋体"/>
          <w:color w:val="auto"/>
          <w:szCs w:val="21"/>
          <w:highlight w:val="none"/>
        </w:rPr>
        <w:t>内容及质量要求未加盖参选人公章并经法定代表人或个体工商户经营者或授权委托人签字或加盖印章；</w:t>
      </w:r>
    </w:p>
    <w:p w14:paraId="7BAA2E60">
      <w:pPr>
        <w:widowControl/>
        <w:spacing w:line="5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22.2.3、参选报价高于最高投标限价的；</w:t>
      </w:r>
    </w:p>
    <w:p w14:paraId="4CF11786">
      <w:pPr>
        <w:widowControl/>
        <w:spacing w:line="5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22.2.4、法律法规及比选文件规定的其他情形。</w:t>
      </w:r>
    </w:p>
    <w:p w14:paraId="4E9B3C9C">
      <w:pPr>
        <w:widowControl/>
        <w:spacing w:line="500" w:lineRule="exact"/>
        <w:ind w:firstLine="422" w:firstLineChars="200"/>
        <w:jc w:val="left"/>
        <w:rPr>
          <w:rFonts w:ascii="宋体" w:hAnsi="宋体" w:eastAsia="宋体"/>
          <w:b/>
          <w:bCs/>
          <w:color w:val="auto"/>
          <w:szCs w:val="21"/>
          <w:highlight w:val="none"/>
        </w:rPr>
      </w:pPr>
      <w:r>
        <w:rPr>
          <w:rFonts w:hint="eastAsia" w:ascii="宋体" w:hAnsi="宋体" w:eastAsia="宋体"/>
          <w:b/>
          <w:bCs/>
          <w:color w:val="auto"/>
          <w:szCs w:val="21"/>
          <w:highlight w:val="none"/>
        </w:rPr>
        <w:t>22.3、参选人存在下列情形之一，经评标委员会评审后，为参选无效：</w:t>
      </w:r>
    </w:p>
    <w:p w14:paraId="7C2B9C56">
      <w:pPr>
        <w:widowControl/>
        <w:spacing w:line="5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(1)被责令停业且处于有效期内的；</w:t>
      </w:r>
    </w:p>
    <w:p w14:paraId="14FB6FE9">
      <w:pPr>
        <w:widowControl/>
        <w:spacing w:line="5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(2)被安庆市行政区域内公共资源交易监管部门限制参选资格且处于有效期内；</w:t>
      </w:r>
    </w:p>
    <w:p w14:paraId="3615A9A6">
      <w:pPr>
        <w:widowControl/>
        <w:spacing w:line="5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(3)财产被接管或冻结可能影响本项目正常实施的；</w:t>
      </w:r>
    </w:p>
    <w:p w14:paraId="2DB37800">
      <w:pPr>
        <w:widowControl/>
        <w:spacing w:line="5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(4)法律法规规定及比选文件约定的其他情形。</w:t>
      </w:r>
    </w:p>
    <w:p w14:paraId="7F975AA6">
      <w:pPr>
        <w:keepNext/>
        <w:keepLines/>
        <w:autoSpaceDE w:val="0"/>
        <w:autoSpaceDN w:val="0"/>
        <w:adjustRightInd w:val="0"/>
        <w:spacing w:before="120" w:line="360" w:lineRule="auto"/>
        <w:jc w:val="center"/>
        <w:outlineLvl w:val="1"/>
        <w:rPr>
          <w:rFonts w:ascii="Arial" w:hAnsi="Arial" w:eastAsia="宋体"/>
          <w:b/>
          <w:color w:val="auto"/>
          <w:kern w:val="0"/>
          <w:sz w:val="32"/>
          <w:highlight w:val="none"/>
        </w:rPr>
      </w:pPr>
      <w:bookmarkStart w:id="44" w:name="_Toc4481596"/>
      <w:r>
        <w:rPr>
          <w:rFonts w:hint="eastAsia" w:ascii="Arial" w:hAnsi="Arial" w:eastAsia="宋体"/>
          <w:b/>
          <w:color w:val="auto"/>
          <w:kern w:val="0"/>
          <w:sz w:val="32"/>
          <w:highlight w:val="none"/>
        </w:rPr>
        <w:t>（</w:t>
      </w:r>
      <w:r>
        <w:rPr>
          <w:rFonts w:hint="eastAsia" w:ascii="Arial" w:hAnsi="Arial"/>
          <w:b/>
          <w:color w:val="auto"/>
          <w:kern w:val="0"/>
          <w:sz w:val="32"/>
          <w:highlight w:val="none"/>
          <w:lang w:val="en-US" w:eastAsia="zh-CN"/>
        </w:rPr>
        <w:t>五</w:t>
      </w:r>
      <w:r>
        <w:rPr>
          <w:rFonts w:hint="eastAsia" w:ascii="Arial" w:hAnsi="Arial" w:eastAsia="宋体"/>
          <w:b/>
          <w:color w:val="auto"/>
          <w:kern w:val="0"/>
          <w:sz w:val="32"/>
          <w:highlight w:val="none"/>
        </w:rPr>
        <w:t>）评标</w:t>
      </w:r>
      <w:bookmarkEnd w:id="31"/>
      <w:bookmarkEnd w:id="44"/>
    </w:p>
    <w:p w14:paraId="5772DEE6">
      <w:pPr>
        <w:widowControl/>
        <w:spacing w:line="500" w:lineRule="exact"/>
        <w:ind w:firstLine="422" w:firstLineChars="200"/>
        <w:jc w:val="left"/>
        <w:rPr>
          <w:rFonts w:ascii="宋体" w:hAnsi="宋体" w:eastAsia="宋体"/>
          <w:color w:val="auto"/>
          <w:szCs w:val="21"/>
          <w:highlight w:val="none"/>
        </w:rPr>
      </w:pPr>
      <w:r>
        <w:rPr>
          <w:rFonts w:hint="eastAsia" w:ascii="宋体" w:hAnsi="宋体" w:eastAsia="宋体"/>
          <w:b/>
          <w:bCs/>
          <w:color w:val="auto"/>
          <w:szCs w:val="21"/>
          <w:highlight w:val="none"/>
        </w:rPr>
        <w:t>23、评标委员会</w:t>
      </w:r>
      <w:r>
        <w:rPr>
          <w:rFonts w:hint="eastAsia" w:ascii="宋体" w:hAnsi="宋体" w:eastAsia="宋体"/>
          <w:color w:val="auto"/>
          <w:szCs w:val="21"/>
          <w:highlight w:val="none"/>
        </w:rPr>
        <w:t>（以下简称“评委会”）：评委会依法组建。采购人代表不得担任评委会组长。评标由评委会进行，评委应坚持公正、公平、诚实守信、实事求是、独立评标的原则。</w:t>
      </w:r>
    </w:p>
    <w:p w14:paraId="78DF75CB">
      <w:pPr>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24、评标方法：</w:t>
      </w:r>
      <w:r>
        <w:rPr>
          <w:rFonts w:hint="eastAsia" w:ascii="宋体" w:hAnsi="宋体" w:cs="宋体"/>
          <w:color w:val="auto"/>
          <w:szCs w:val="21"/>
          <w:highlight w:val="none"/>
        </w:rPr>
        <w:t>采用</w:t>
      </w:r>
      <w:r>
        <w:rPr>
          <w:rFonts w:hint="eastAsia" w:ascii="宋体" w:hAnsi="宋体" w:cs="宋体"/>
          <w:color w:val="auto"/>
          <w:szCs w:val="21"/>
          <w:highlight w:val="none"/>
          <w:lang w:eastAsia="zh-CN"/>
        </w:rPr>
        <w:t>最低评标价法</w:t>
      </w:r>
      <w:r>
        <w:rPr>
          <w:rFonts w:hint="eastAsia" w:ascii="宋体" w:hAnsi="宋体" w:cs="宋体"/>
          <w:color w:val="auto"/>
          <w:szCs w:val="21"/>
          <w:highlight w:val="none"/>
        </w:rPr>
        <w:t>。</w:t>
      </w:r>
    </w:p>
    <w:p w14:paraId="2FB6D3EC">
      <w:pPr>
        <w:spacing w:line="360" w:lineRule="auto"/>
        <w:ind w:firstLine="422" w:firstLineChars="200"/>
        <w:jc w:val="left"/>
        <w:rPr>
          <w:rFonts w:hint="eastAsia" w:ascii="宋体" w:hAnsi="宋体" w:cs="宋体"/>
          <w:b/>
          <w:color w:val="auto"/>
          <w:szCs w:val="21"/>
          <w:highlight w:val="none"/>
        </w:rPr>
      </w:pPr>
      <w:r>
        <w:rPr>
          <w:rFonts w:hint="eastAsia" w:ascii="宋体" w:hAnsi="宋体"/>
          <w:b/>
          <w:bCs/>
          <w:color w:val="auto"/>
          <w:szCs w:val="21"/>
          <w:highlight w:val="none"/>
        </w:rPr>
        <w:t>25、评标程序</w:t>
      </w:r>
      <w:r>
        <w:rPr>
          <w:rFonts w:hint="eastAsia" w:ascii="宋体" w:hAnsi="宋体"/>
          <w:color w:val="auto"/>
          <w:szCs w:val="21"/>
          <w:highlight w:val="none"/>
        </w:rPr>
        <w:t>：评标包括参选文件符合性审查、报价评审、澄清有关问题、失信核查和确定中标候选人排序。如有任一项未通过的则不进入下一项评审。首先对参选文件进行符合性审查，只有通过参选文件符合性审查的参选人才能进入比选。</w:t>
      </w:r>
    </w:p>
    <w:p w14:paraId="13ECE339">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25.1、参选文件符合性审查，包括但不限于以下内容：</w:t>
      </w:r>
    </w:p>
    <w:p w14:paraId="01D5B70F">
      <w:pPr>
        <w:spacing w:line="500" w:lineRule="exact"/>
        <w:ind w:firstLine="420" w:firstLineChars="200"/>
        <w:rPr>
          <w:rFonts w:hint="eastAsia" w:ascii="宋体" w:hAnsi="宋体" w:cs="宋体"/>
          <w:color w:val="auto"/>
          <w:szCs w:val="21"/>
          <w:highlight w:val="none"/>
        </w:rPr>
      </w:pPr>
      <w:r>
        <w:rPr>
          <w:rFonts w:hint="eastAsia" w:ascii="宋体" w:hAnsi="宋体"/>
          <w:color w:val="auto"/>
          <w:szCs w:val="21"/>
          <w:highlight w:val="none"/>
        </w:rPr>
        <w:t>（</w:t>
      </w:r>
      <w:r>
        <w:rPr>
          <w:rFonts w:hint="eastAsia" w:ascii="宋体" w:hAnsi="宋体" w:cs="宋体"/>
          <w:color w:val="auto"/>
          <w:szCs w:val="21"/>
          <w:highlight w:val="none"/>
        </w:rPr>
        <w:t>1）参选人资格是否符合比选文件要求；</w:t>
      </w:r>
    </w:p>
    <w:p w14:paraId="7EDC7A82">
      <w:pPr>
        <w:spacing w:line="5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（2）参选文件是否按比选文件的要求进行编制、盖章和标记；</w:t>
      </w:r>
    </w:p>
    <w:p w14:paraId="6B54D90B">
      <w:pPr>
        <w:spacing w:line="5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（3）比选文件要求提交的各种资格证明文件是否真实、完整、合法、有效；</w:t>
      </w:r>
    </w:p>
    <w:p w14:paraId="311769AB">
      <w:pPr>
        <w:spacing w:line="5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（4）项目内容及质量是否完全响应或优于比选文件要求；</w:t>
      </w:r>
    </w:p>
    <w:p w14:paraId="6A3D8389">
      <w:pPr>
        <w:spacing w:line="5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（5）参选文件对法律法规和比选文件其他明确要求的符合性；</w:t>
      </w:r>
    </w:p>
    <w:p w14:paraId="54EC045F">
      <w:pPr>
        <w:spacing w:line="5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（6）参选文件是否附有采购人不能接受的条件；</w:t>
      </w:r>
    </w:p>
    <w:p w14:paraId="7D709609">
      <w:pPr>
        <w:spacing w:line="5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（7）参选文件是否存在比选文件中</w:t>
      </w:r>
      <w:r>
        <w:rPr>
          <w:rFonts w:hint="eastAsia" w:ascii="宋体" w:hAnsi="宋体" w:cs="宋体"/>
          <w:color w:val="auto"/>
          <w:kern w:val="0"/>
          <w:szCs w:val="21"/>
          <w:highlight w:val="none"/>
        </w:rPr>
        <w:t>约定</w:t>
      </w:r>
      <w:r>
        <w:rPr>
          <w:rFonts w:hint="eastAsia" w:ascii="宋体" w:hAnsi="宋体" w:cs="宋体"/>
          <w:color w:val="auto"/>
          <w:szCs w:val="21"/>
          <w:highlight w:val="none"/>
        </w:rPr>
        <w:t>的无效参选文件的其他情形；</w:t>
      </w:r>
    </w:p>
    <w:p w14:paraId="6338DC31">
      <w:pPr>
        <w:spacing w:line="50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（8）参选文件是否符合比选文件的要求。</w:t>
      </w:r>
    </w:p>
    <w:p w14:paraId="176426A2">
      <w:pPr>
        <w:widowControl/>
        <w:spacing w:line="500" w:lineRule="exact"/>
        <w:ind w:firstLine="405"/>
        <w:jc w:val="left"/>
        <w:rPr>
          <w:rFonts w:hint="eastAsia" w:ascii="宋体" w:hAnsi="宋体"/>
          <w:color w:val="auto"/>
          <w:szCs w:val="21"/>
          <w:highlight w:val="none"/>
        </w:rPr>
      </w:pPr>
      <w:r>
        <w:rPr>
          <w:rFonts w:hint="eastAsia" w:ascii="宋体" w:hAnsi="宋体"/>
          <w:color w:val="auto"/>
          <w:szCs w:val="21"/>
          <w:highlight w:val="none"/>
        </w:rPr>
        <w:t>25.2、</w:t>
      </w:r>
      <w:r>
        <w:rPr>
          <w:rFonts w:hint="eastAsia" w:ascii="宋体" w:hAnsi="宋体" w:cs="宋体"/>
          <w:b/>
          <w:bCs/>
          <w:color w:val="auto"/>
          <w:szCs w:val="21"/>
          <w:highlight w:val="none"/>
        </w:rPr>
        <w:t>参选文件所有要求提供复印件或影印件的，若在参选文件中某一页未盖章或漏页，或参选人的报价明显低于其他通过符合性审查参选人的报价，有可能影响质量或者不能诚信履约等情况，评选委员会可要求参选人在30分钟内通过书面澄清、说明或者补正，并提供相关材料加盖公章。澄清文件将作为参选文件内容的一部分。由评委会认可的资料内容，成交人须在签订合同前将原件提交给采购人，否则视为成交人自动放弃成交资格。</w:t>
      </w:r>
    </w:p>
    <w:p w14:paraId="782ADEBA">
      <w:pPr>
        <w:widowControl/>
        <w:spacing w:line="500" w:lineRule="exact"/>
        <w:ind w:firstLine="405"/>
        <w:jc w:val="left"/>
        <w:rPr>
          <w:rFonts w:hint="eastAsia" w:ascii="宋体" w:hAnsi="宋体"/>
          <w:color w:val="auto"/>
          <w:szCs w:val="21"/>
          <w:highlight w:val="none"/>
        </w:rPr>
      </w:pPr>
      <w:r>
        <w:rPr>
          <w:rFonts w:hint="eastAsia" w:ascii="宋体" w:hAnsi="宋体"/>
          <w:color w:val="auto"/>
          <w:szCs w:val="21"/>
          <w:highlight w:val="none"/>
        </w:rPr>
        <w:t>25.3、报价评审：</w:t>
      </w:r>
      <w:r>
        <w:rPr>
          <w:rFonts w:hint="eastAsia" w:ascii="宋体" w:hAnsi="宋体"/>
          <w:b/>
          <w:bCs/>
          <w:color w:val="auto"/>
          <w:szCs w:val="21"/>
          <w:highlight w:val="none"/>
        </w:rPr>
        <w:t>参选人报价不得高于最高投标限价，否则为无效报价，即报价评审不通过</w:t>
      </w:r>
      <w:r>
        <w:rPr>
          <w:rFonts w:hint="eastAsia" w:ascii="宋体" w:hAnsi="宋体"/>
          <w:color w:val="auto"/>
          <w:szCs w:val="21"/>
          <w:highlight w:val="none"/>
        </w:rPr>
        <w:t>。</w:t>
      </w:r>
    </w:p>
    <w:p w14:paraId="1FAF8985">
      <w:pPr>
        <w:widowControl/>
        <w:spacing w:line="48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25.4、报价中包含单价与总价的，应审核总价金额与按单价汇总金额是否一致。</w:t>
      </w:r>
    </w:p>
    <w:p w14:paraId="2C3B8836">
      <w:pPr>
        <w:widowControl/>
        <w:spacing w:line="48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25.5、澄清有关问题：在评标期间，评委会有权以书面方式要求参选人对其参选文件中含义不明确、对同类问题表述不一致或者有明显文字和计算错误的内容作必要的澄清、说明或补正。参选人澄清、说明或补正应在评委会规定的时间内以书面方式进行，并不得超出参选文件范围或者改变参选文件的实质性内容。澄清文件将作为参选文件内容的一部分。</w:t>
      </w:r>
    </w:p>
    <w:p w14:paraId="02E551BE">
      <w:pPr>
        <w:widowControl/>
        <w:spacing w:line="500" w:lineRule="exact"/>
        <w:ind w:firstLine="420"/>
        <w:jc w:val="left"/>
        <w:rPr>
          <w:rFonts w:hint="eastAsia" w:ascii="宋体" w:hAnsi="宋体"/>
          <w:color w:val="auto"/>
          <w:szCs w:val="21"/>
          <w:highlight w:val="none"/>
        </w:rPr>
      </w:pPr>
      <w:r>
        <w:rPr>
          <w:rFonts w:hint="eastAsia" w:ascii="宋体" w:hAnsi="宋体"/>
          <w:color w:val="auto"/>
          <w:szCs w:val="21"/>
          <w:highlight w:val="none"/>
        </w:rPr>
        <w:t>25.6、失信核查</w:t>
      </w:r>
    </w:p>
    <w:p w14:paraId="327D9C7F">
      <w:pPr>
        <w:widowControl/>
        <w:spacing w:line="500" w:lineRule="exact"/>
        <w:ind w:firstLine="420"/>
        <w:jc w:val="left"/>
        <w:rPr>
          <w:rFonts w:hint="eastAsia" w:ascii="宋体" w:hAnsi="宋体"/>
          <w:color w:val="auto"/>
          <w:szCs w:val="21"/>
          <w:highlight w:val="none"/>
        </w:rPr>
      </w:pPr>
      <w:r>
        <w:rPr>
          <w:rFonts w:hint="eastAsia" w:ascii="宋体" w:hAnsi="宋体"/>
          <w:color w:val="auto"/>
          <w:szCs w:val="21"/>
          <w:highlight w:val="none"/>
        </w:rPr>
        <w:t>评标委员会对推荐为中标候选人的参选人是否被列入“信用中国、中国政府采购网”政府采购严重违法失信名单进行网上核查（网址：</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rStyle w:val="74"/>
          <w:rFonts w:hint="eastAsia" w:ascii="宋体" w:hAnsi="宋体"/>
          <w:color w:val="auto"/>
          <w:szCs w:val="21"/>
          <w:highlight w:val="none"/>
        </w:rPr>
        <w:t>http://www.creditchina.gov.cn/</w:t>
      </w:r>
      <w:r>
        <w:rPr>
          <w:rStyle w:val="74"/>
          <w:rFonts w:hint="eastAsia" w:ascii="宋体" w:hAnsi="宋体"/>
          <w:color w:val="auto"/>
          <w:szCs w:val="21"/>
          <w:highlight w:val="none"/>
        </w:rPr>
        <w:fldChar w:fldCharType="end"/>
      </w:r>
      <w:r>
        <w:rPr>
          <w:rFonts w:hint="eastAsia" w:ascii="宋体" w:hAnsi="宋体"/>
          <w:color w:val="auto"/>
          <w:szCs w:val="21"/>
          <w:highlight w:val="none"/>
        </w:rPr>
        <w:t>、</w:t>
      </w:r>
      <w:r>
        <w:rPr>
          <w:color w:val="auto"/>
          <w:highlight w:val="none"/>
        </w:rPr>
        <w:fldChar w:fldCharType="begin"/>
      </w:r>
      <w:r>
        <w:rPr>
          <w:color w:val="auto"/>
          <w:highlight w:val="none"/>
        </w:rPr>
        <w:instrText xml:space="preserve"> HYPERLINK "http://www.ccgp.gov.cn/），若核查存在政府采购严重违法失信名单记录的投标人，评标委员会不得将其推荐为中标候选人，依序递补，并再次对递补的投标人进行核查。" </w:instrText>
      </w:r>
      <w:r>
        <w:rPr>
          <w:color w:val="auto"/>
          <w:highlight w:val="none"/>
        </w:rPr>
        <w:fldChar w:fldCharType="separate"/>
      </w:r>
      <w:r>
        <w:rPr>
          <w:rStyle w:val="74"/>
          <w:rFonts w:hint="eastAsia" w:ascii="宋体"/>
          <w:color w:val="auto"/>
          <w:szCs w:val="21"/>
          <w:highlight w:val="none"/>
        </w:rPr>
        <w:t>http://www.ccgp.gov.cn/）</w:t>
      </w:r>
      <w:r>
        <w:rPr>
          <w:rStyle w:val="74"/>
          <w:rFonts w:hint="eastAsia" w:ascii="宋体"/>
          <w:color w:val="auto"/>
          <w:szCs w:val="21"/>
          <w:highlight w:val="none"/>
          <w:u w:val="none"/>
        </w:rPr>
        <w:t>，若核查存在</w:t>
      </w:r>
      <w:r>
        <w:rPr>
          <w:rStyle w:val="74"/>
          <w:rFonts w:hint="eastAsia" w:ascii="宋体" w:hAnsi="宋体"/>
          <w:color w:val="auto"/>
          <w:szCs w:val="21"/>
          <w:highlight w:val="none"/>
          <w:u w:val="none"/>
        </w:rPr>
        <w:t>政府采购严重违法</w:t>
      </w:r>
      <w:r>
        <w:rPr>
          <w:rStyle w:val="74"/>
          <w:rFonts w:hint="eastAsia" w:ascii="宋体"/>
          <w:color w:val="auto"/>
          <w:szCs w:val="21"/>
          <w:highlight w:val="none"/>
          <w:u w:val="none"/>
        </w:rPr>
        <w:t>失信名单记录的参选人，评标委员会不得将其推荐为中标候选人，依序递补，并再次对递补的参选人进行核查。</w:t>
      </w:r>
      <w:r>
        <w:rPr>
          <w:rStyle w:val="74"/>
          <w:rFonts w:hint="eastAsia" w:ascii="宋体"/>
          <w:color w:val="auto"/>
          <w:szCs w:val="21"/>
          <w:highlight w:val="none"/>
          <w:u w:val="none"/>
        </w:rPr>
        <w:fldChar w:fldCharType="end"/>
      </w:r>
    </w:p>
    <w:p w14:paraId="17E99001">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25.7、</w:t>
      </w:r>
      <w:r>
        <w:rPr>
          <w:rFonts w:hint="eastAsia" w:ascii="宋体" w:hAnsi="宋体" w:cs="宋体"/>
          <w:color w:val="auto"/>
          <w:szCs w:val="21"/>
          <w:highlight w:val="none"/>
        </w:rPr>
        <w:t>确定中标候选人排序：评委会对通过参选文件</w:t>
      </w:r>
      <w:r>
        <w:rPr>
          <w:rFonts w:hint="eastAsia" w:ascii="宋体" w:hAnsi="宋体" w:cs="宋体"/>
          <w:bCs/>
          <w:color w:val="auto"/>
          <w:szCs w:val="24"/>
          <w:highlight w:val="none"/>
        </w:rPr>
        <w:t>符合性审查</w:t>
      </w:r>
      <w:r>
        <w:rPr>
          <w:rFonts w:hint="eastAsia" w:ascii="宋体" w:hAnsi="宋体" w:cs="宋体"/>
          <w:color w:val="auto"/>
          <w:szCs w:val="21"/>
          <w:highlight w:val="none"/>
        </w:rPr>
        <w:t>、报价评审和失信核查的参选人，根据最低价由低至高的顺序排列，报价最低者为第一中标候选人。若出现两家或两家以上参选人报价最低且相等，</w:t>
      </w:r>
      <w:r>
        <w:rPr>
          <w:rFonts w:hint="eastAsia" w:ascii="宋体" w:hAnsi="宋体"/>
          <w:color w:val="auto"/>
          <w:szCs w:val="21"/>
          <w:highlight w:val="none"/>
        </w:rPr>
        <w:t>则由采购人采取现场随机抽取的方式确定中标候选人排序。</w:t>
      </w:r>
    </w:p>
    <w:p w14:paraId="76463500">
      <w:pPr>
        <w:widowControl/>
        <w:spacing w:line="500" w:lineRule="exact"/>
        <w:ind w:firstLine="422" w:firstLineChars="200"/>
        <w:jc w:val="left"/>
        <w:rPr>
          <w:rFonts w:hint="eastAsia" w:ascii="宋体" w:hAnsi="宋体"/>
          <w:b/>
          <w:bCs/>
          <w:color w:val="auto"/>
          <w:szCs w:val="21"/>
          <w:highlight w:val="none"/>
        </w:rPr>
      </w:pPr>
      <w:r>
        <w:rPr>
          <w:rFonts w:hint="eastAsia" w:ascii="宋体" w:hAnsi="宋体"/>
          <w:b/>
          <w:bCs/>
          <w:color w:val="auto"/>
          <w:szCs w:val="21"/>
          <w:highlight w:val="none"/>
        </w:rPr>
        <w:t>26、开标评标异常情况处理</w:t>
      </w:r>
    </w:p>
    <w:p w14:paraId="7E6C3B81">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26.1、在招标采购中，出现下列情况之一的，应予废标，采购单位重新组织采购：</w:t>
      </w:r>
    </w:p>
    <w:p w14:paraId="1933C378">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(1)提交参选文件的参选人不足</w:t>
      </w:r>
      <w:r>
        <w:rPr>
          <w:rFonts w:hint="eastAsia" w:ascii="宋体" w:hAnsi="宋体"/>
          <w:color w:val="auto"/>
          <w:szCs w:val="21"/>
          <w:highlight w:val="none"/>
          <w:lang w:val="en-US" w:eastAsia="zh-CN"/>
        </w:rPr>
        <w:t>3</w:t>
      </w:r>
      <w:r>
        <w:rPr>
          <w:rFonts w:hint="eastAsia" w:ascii="宋体" w:hAnsi="宋体"/>
          <w:color w:val="auto"/>
          <w:szCs w:val="21"/>
          <w:highlight w:val="none"/>
        </w:rPr>
        <w:t>家的；</w:t>
      </w:r>
    </w:p>
    <w:p w14:paraId="71DE92F4">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(2)出现影响采购公正的违法、违规行为的；</w:t>
      </w:r>
    </w:p>
    <w:p w14:paraId="02B89BF9">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(3)参选人的报价均高于最高投标限价的；</w:t>
      </w:r>
    </w:p>
    <w:p w14:paraId="7F444059">
      <w:pPr>
        <w:widowControl/>
        <w:spacing w:line="500" w:lineRule="exact"/>
        <w:ind w:firstLine="405"/>
        <w:jc w:val="left"/>
        <w:rPr>
          <w:rFonts w:hint="eastAsia" w:ascii="宋体" w:hAnsi="宋体"/>
          <w:color w:val="auto"/>
          <w:szCs w:val="21"/>
          <w:highlight w:val="none"/>
        </w:rPr>
      </w:pPr>
      <w:r>
        <w:rPr>
          <w:rFonts w:hint="eastAsia" w:ascii="宋体" w:hAnsi="宋体"/>
          <w:color w:val="auto"/>
          <w:szCs w:val="21"/>
          <w:highlight w:val="none"/>
        </w:rPr>
        <w:t>(4)因重大变故，采购任务取消的。</w:t>
      </w:r>
    </w:p>
    <w:p w14:paraId="78658C91">
      <w:pPr>
        <w:widowControl/>
        <w:spacing w:line="500" w:lineRule="exact"/>
        <w:ind w:firstLine="405"/>
        <w:jc w:val="left"/>
        <w:rPr>
          <w:rFonts w:hint="eastAsia" w:ascii="宋体" w:hAnsi="宋体"/>
          <w:b/>
          <w:color w:val="auto"/>
          <w:szCs w:val="21"/>
          <w:highlight w:val="none"/>
        </w:rPr>
      </w:pPr>
      <w:r>
        <w:rPr>
          <w:rFonts w:hint="eastAsia" w:ascii="宋体" w:hAnsi="宋体"/>
          <w:b/>
          <w:color w:val="auto"/>
          <w:szCs w:val="21"/>
          <w:highlight w:val="none"/>
        </w:rPr>
        <w:t>27、评标过程的保密性</w:t>
      </w:r>
    </w:p>
    <w:p w14:paraId="6ACE9FB8">
      <w:pPr>
        <w:widowControl/>
        <w:spacing w:line="500" w:lineRule="exact"/>
        <w:ind w:firstLine="405"/>
        <w:jc w:val="left"/>
        <w:rPr>
          <w:rFonts w:hint="eastAsia" w:ascii="宋体" w:hAnsi="宋体"/>
          <w:color w:val="auto"/>
          <w:szCs w:val="21"/>
          <w:highlight w:val="none"/>
        </w:rPr>
      </w:pPr>
      <w:r>
        <w:rPr>
          <w:rFonts w:hint="eastAsia" w:ascii="宋体" w:hAnsi="宋体"/>
          <w:color w:val="auto"/>
          <w:szCs w:val="21"/>
          <w:highlight w:val="none"/>
        </w:rPr>
        <w:t>27.1、</w:t>
      </w:r>
      <w:bookmarkStart w:id="45" w:name="_Toc15032"/>
      <w:bookmarkStart w:id="46" w:name="_Toc417655921"/>
      <w:bookmarkStart w:id="47" w:name="_Toc418517858"/>
      <w:r>
        <w:rPr>
          <w:rFonts w:hint="eastAsia" w:ascii="宋体" w:hAnsi="宋体"/>
          <w:color w:val="auto"/>
          <w:szCs w:val="21"/>
          <w:highlight w:val="none"/>
        </w:rPr>
        <w:t>开标后，直到授予中标人合同止，凡是与参选文件审查、澄清、评价、比较以及授标建议等评审方面的情况，均不得向参选人或其他无关的人员透露。</w:t>
      </w:r>
    </w:p>
    <w:p w14:paraId="13D2383A">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27.2、在评标过程中，参选人如向评委会成员施加任何影响，都将会导致其参选文件被拒绝。</w:t>
      </w:r>
    </w:p>
    <w:p w14:paraId="02C3CF95">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27.3、中标人确定后，采购单位不对未中标人就评标过程以及未能中标原因作出任何解释。参选人不得向评委会组成人员或其他有关人员询问评标过程的情况和要求提供材料。</w:t>
      </w:r>
    </w:p>
    <w:p w14:paraId="2CFF37AF">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27.4、中标通知书</w:t>
      </w:r>
      <w:bookmarkEnd w:id="45"/>
      <w:bookmarkEnd w:id="46"/>
      <w:bookmarkEnd w:id="47"/>
    </w:p>
    <w:p w14:paraId="56080307">
      <w:pPr>
        <w:widowControl/>
        <w:spacing w:line="360" w:lineRule="auto"/>
        <w:ind w:firstLine="420" w:firstLineChars="200"/>
        <w:rPr>
          <w:rFonts w:hint="eastAsia" w:ascii="宋体" w:hAnsi="宋体" w:cs="宋体"/>
          <w:color w:val="auto"/>
          <w:kern w:val="0"/>
          <w:sz w:val="24"/>
          <w:szCs w:val="24"/>
          <w:highlight w:val="none"/>
        </w:rPr>
      </w:pPr>
      <w:r>
        <w:rPr>
          <w:rFonts w:hint="eastAsia" w:ascii="宋体" w:hAnsi="宋体" w:cs="宋体"/>
          <w:color w:val="auto"/>
          <w:highlight w:val="none"/>
        </w:rPr>
        <w:t>中标候选人确定后，采购单位将在安庆市交通控股集团有限公司集采平台（http：//jc.zh0556.com/）上公示，参选人如有异议，必须在公示期内向有关部门提出。</w:t>
      </w:r>
    </w:p>
    <w:p w14:paraId="62CD93C0">
      <w:pPr>
        <w:spacing w:line="360" w:lineRule="auto"/>
        <w:ind w:firstLine="420" w:firstLineChars="200"/>
        <w:rPr>
          <w:rFonts w:hAnsi="宋体" w:eastAsia="宋体" w:cs="宋体"/>
          <w:b/>
          <w:color w:val="auto"/>
          <w:szCs w:val="24"/>
          <w:highlight w:val="none"/>
        </w:rPr>
      </w:pPr>
      <w:bookmarkStart w:id="48" w:name="_Toc457998294"/>
      <w:bookmarkStart w:id="49" w:name="_Toc31095"/>
      <w:bookmarkStart w:id="50" w:name="_Toc19876"/>
      <w:bookmarkStart w:id="51" w:name="_Toc478821422"/>
      <w:bookmarkStart w:id="52" w:name="_Toc456882340"/>
      <w:bookmarkStart w:id="53" w:name="_Toc10987"/>
      <w:bookmarkStart w:id="54" w:name="_Toc10586"/>
      <w:bookmarkStart w:id="55" w:name="_Toc433721697"/>
      <w:r>
        <w:rPr>
          <w:rFonts w:hAnsi="宋体" w:cs="宋体"/>
          <w:color w:val="auto"/>
          <w:szCs w:val="24"/>
          <w:highlight w:val="none"/>
        </w:rPr>
        <w:t>公示期满无异议，且未发现中标人在</w:t>
      </w:r>
      <w:r>
        <w:rPr>
          <w:rFonts w:hint="eastAsia" w:hAnsi="宋体" w:cs="宋体"/>
          <w:color w:val="auto"/>
          <w:szCs w:val="24"/>
          <w:highlight w:val="none"/>
        </w:rPr>
        <w:t>比选</w:t>
      </w:r>
      <w:r>
        <w:rPr>
          <w:rFonts w:hAnsi="宋体" w:cs="宋体"/>
          <w:color w:val="auto"/>
          <w:szCs w:val="24"/>
          <w:highlight w:val="none"/>
        </w:rPr>
        <w:t>活动中有违法行为的，</w:t>
      </w:r>
      <w:r>
        <w:rPr>
          <w:rFonts w:hint="eastAsia" w:hAnsi="宋体" w:cs="宋体"/>
          <w:color w:val="auto"/>
          <w:szCs w:val="24"/>
          <w:highlight w:val="none"/>
        </w:rPr>
        <w:t>采购人</w:t>
      </w:r>
      <w:r>
        <w:rPr>
          <w:rFonts w:hAnsi="宋体" w:cs="宋体"/>
          <w:color w:val="auto"/>
          <w:szCs w:val="24"/>
          <w:highlight w:val="none"/>
        </w:rPr>
        <w:t>将向中标人发出中标通知书。</w:t>
      </w:r>
      <w:bookmarkEnd w:id="48"/>
      <w:bookmarkEnd w:id="49"/>
      <w:bookmarkEnd w:id="50"/>
      <w:bookmarkEnd w:id="51"/>
      <w:bookmarkEnd w:id="52"/>
      <w:bookmarkEnd w:id="53"/>
      <w:bookmarkEnd w:id="54"/>
      <w:bookmarkEnd w:id="55"/>
    </w:p>
    <w:p w14:paraId="480FC087">
      <w:pPr>
        <w:keepNext/>
        <w:keepLines/>
        <w:autoSpaceDE w:val="0"/>
        <w:autoSpaceDN w:val="0"/>
        <w:adjustRightInd w:val="0"/>
        <w:spacing w:before="120" w:line="360" w:lineRule="auto"/>
        <w:jc w:val="center"/>
        <w:outlineLvl w:val="1"/>
        <w:rPr>
          <w:rFonts w:ascii="Arial" w:hAnsi="Arial" w:eastAsia="宋体"/>
          <w:b/>
          <w:color w:val="auto"/>
          <w:kern w:val="0"/>
          <w:sz w:val="32"/>
          <w:highlight w:val="none"/>
        </w:rPr>
      </w:pPr>
      <w:bookmarkStart w:id="56" w:name="_Toc4481597"/>
      <w:r>
        <w:rPr>
          <w:rFonts w:hint="eastAsia" w:ascii="Arial" w:hAnsi="Arial" w:eastAsia="宋体"/>
          <w:b/>
          <w:color w:val="auto"/>
          <w:kern w:val="0"/>
          <w:sz w:val="32"/>
          <w:highlight w:val="none"/>
        </w:rPr>
        <w:t>（</w:t>
      </w:r>
      <w:r>
        <w:rPr>
          <w:rFonts w:hint="eastAsia" w:ascii="Arial" w:hAnsi="Arial"/>
          <w:b/>
          <w:color w:val="auto"/>
          <w:kern w:val="0"/>
          <w:sz w:val="32"/>
          <w:highlight w:val="none"/>
          <w:lang w:val="en-US" w:eastAsia="zh-CN"/>
        </w:rPr>
        <w:t>六</w:t>
      </w:r>
      <w:r>
        <w:rPr>
          <w:rFonts w:hint="eastAsia" w:ascii="Arial" w:hAnsi="Arial" w:eastAsia="宋体"/>
          <w:b/>
          <w:color w:val="auto"/>
          <w:kern w:val="0"/>
          <w:sz w:val="32"/>
          <w:highlight w:val="none"/>
        </w:rPr>
        <w:t>）合同授予</w:t>
      </w:r>
      <w:bookmarkEnd w:id="56"/>
    </w:p>
    <w:p w14:paraId="6F8B77F8">
      <w:pPr>
        <w:widowControl/>
        <w:spacing w:line="5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28.1、</w:t>
      </w:r>
      <w:bookmarkStart w:id="57" w:name="_Toc418517860"/>
      <w:bookmarkStart w:id="58" w:name="_Toc417655923"/>
      <w:bookmarkStart w:id="59" w:name="_Toc21358"/>
      <w:r>
        <w:rPr>
          <w:rFonts w:hint="eastAsia" w:ascii="宋体" w:hAnsi="宋体" w:eastAsia="宋体"/>
          <w:color w:val="auto"/>
          <w:szCs w:val="21"/>
          <w:highlight w:val="none"/>
        </w:rPr>
        <w:t>签订合同</w:t>
      </w:r>
      <w:bookmarkEnd w:id="57"/>
      <w:bookmarkEnd w:id="58"/>
      <w:bookmarkEnd w:id="59"/>
    </w:p>
    <w:p w14:paraId="08679D9A">
      <w:pPr>
        <w:widowControl/>
        <w:spacing w:line="5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28.1.1、中标人的中标价即为合同价款。</w:t>
      </w:r>
    </w:p>
    <w:p w14:paraId="37C6B42B">
      <w:pPr>
        <w:widowControl/>
        <w:spacing w:line="5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28.1.2、中标人应在中标通知书发出之日起30日内，根据比选文件和中标人的投标文件签订书面合同。中标人无正当理由拒签合同,在签订合同时向招标人提出附加条件,或不按照招标文件要求提交履约保证金的，采购人有权取消其中标资格。</w:t>
      </w:r>
    </w:p>
    <w:p w14:paraId="3BCD6F8A">
      <w:pPr>
        <w:widowControl/>
        <w:spacing w:line="500" w:lineRule="exact"/>
        <w:ind w:firstLine="420" w:firstLineChars="200"/>
        <w:jc w:val="left"/>
        <w:rPr>
          <w:rFonts w:ascii="宋体" w:hAnsi="宋体" w:eastAsia="宋体"/>
          <w:color w:val="auto"/>
          <w:szCs w:val="21"/>
          <w:highlight w:val="none"/>
        </w:rPr>
      </w:pPr>
      <w:r>
        <w:rPr>
          <w:rFonts w:hint="eastAsia" w:ascii="宋体" w:hAnsi="宋体" w:eastAsia="宋体"/>
          <w:color w:val="auto"/>
          <w:szCs w:val="21"/>
          <w:highlight w:val="none"/>
        </w:rPr>
        <w:t>28.1.3、中标人（中标候选人）被取消中标资格的，采购人可以按照评标委员会提出的中标候选人名单排序依次确定其他中标候选人为中标人，或重新组织采购。</w:t>
      </w:r>
    </w:p>
    <w:bookmarkEnd w:id="32"/>
    <w:p w14:paraId="5289B393">
      <w:pPr>
        <w:widowControl/>
        <w:spacing w:line="440" w:lineRule="exact"/>
        <w:ind w:firstLine="420"/>
        <w:jc w:val="left"/>
        <w:rPr>
          <w:rFonts w:ascii="宋体" w:cs="宋体"/>
          <w:b/>
          <w:bCs/>
          <w:snapToGrid w:val="0"/>
          <w:color w:val="auto"/>
          <w:kern w:val="0"/>
          <w:sz w:val="32"/>
          <w:szCs w:val="32"/>
          <w:highlight w:val="none"/>
        </w:rPr>
      </w:pPr>
      <w:r>
        <w:rPr>
          <w:rFonts w:ascii="宋体" w:cs="宋体"/>
          <w:b/>
          <w:bCs/>
          <w:snapToGrid w:val="0"/>
          <w:color w:val="auto"/>
          <w:kern w:val="0"/>
          <w:sz w:val="32"/>
          <w:szCs w:val="32"/>
          <w:highlight w:val="none"/>
        </w:rPr>
        <w:br w:type="page"/>
      </w:r>
    </w:p>
    <w:p w14:paraId="0E33F2A9">
      <w:pPr>
        <w:pStyle w:val="2"/>
        <w:numPr>
          <w:ilvl w:val="0"/>
          <w:numId w:val="9"/>
        </w:numPr>
        <w:spacing w:before="62" w:beforeLines="20" w:after="62" w:afterLines="20" w:line="480" w:lineRule="exact"/>
        <w:ind w:firstLine="0" w:firstLineChars="0"/>
        <w:jc w:val="center"/>
        <w:rPr>
          <w:rFonts w:hint="eastAsia"/>
          <w:color w:val="auto"/>
          <w:highlight w:val="none"/>
        </w:rPr>
      </w:pPr>
      <w:bookmarkStart w:id="60" w:name="_Toc54941340"/>
      <w:bookmarkStart w:id="61" w:name="_Toc11149"/>
      <w:bookmarkStart w:id="62" w:name="_Toc10569"/>
      <w:r>
        <w:rPr>
          <w:rFonts w:hint="eastAsia" w:ascii="Arial" w:hAnsi="Arial"/>
          <w:color w:val="auto"/>
          <w:kern w:val="2"/>
          <w:sz w:val="32"/>
          <w:szCs w:val="32"/>
          <w:highlight w:val="none"/>
        </w:rPr>
        <w:t xml:space="preserve"> </w:t>
      </w:r>
      <w:r>
        <w:rPr>
          <w:rFonts w:hint="eastAsia" w:ascii="Arial" w:hAnsi="Arial"/>
          <w:color w:val="auto"/>
          <w:kern w:val="2"/>
          <w:sz w:val="32"/>
          <w:szCs w:val="32"/>
          <w:highlight w:val="none"/>
          <w:lang w:eastAsia="zh-CN"/>
        </w:rPr>
        <w:t>项目需求及技术要求</w:t>
      </w:r>
    </w:p>
    <w:p w14:paraId="2848D28D">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left"/>
        <w:textAlignment w:val="auto"/>
        <w:rPr>
          <w:rFonts w:hint="default" w:ascii="仿宋" w:hAnsi="仿宋" w:eastAsia="仿宋" w:cs="仿宋"/>
          <w:b/>
          <w:color w:val="auto"/>
          <w:sz w:val="28"/>
          <w:szCs w:val="28"/>
          <w:highlight w:val="none"/>
          <w:lang w:val="en-US" w:eastAsia="zh-CN"/>
        </w:rPr>
      </w:pPr>
      <w:r>
        <w:rPr>
          <w:rFonts w:hint="eastAsia" w:ascii="仿宋" w:hAnsi="仿宋" w:eastAsia="仿宋" w:cs="仿宋"/>
          <w:b/>
          <w:color w:val="auto"/>
          <w:sz w:val="28"/>
          <w:szCs w:val="28"/>
          <w:highlight w:val="none"/>
          <w:lang w:val="en-US" w:eastAsia="zh-CN"/>
        </w:rPr>
        <w:t>项目比选基本信息详见下表：</w:t>
      </w:r>
    </w:p>
    <w:tbl>
      <w:tblPr>
        <w:tblStyle w:val="61"/>
        <w:tblW w:w="90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588"/>
        <w:gridCol w:w="7482"/>
      </w:tblGrid>
      <w:tr w14:paraId="21234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jc w:val="center"/>
        </w:trPr>
        <w:tc>
          <w:tcPr>
            <w:tcW w:w="1588" w:type="dxa"/>
            <w:tcMar>
              <w:top w:w="60" w:type="dxa"/>
              <w:left w:w="120" w:type="dxa"/>
              <w:bottom w:w="30" w:type="dxa"/>
              <w:right w:w="120" w:type="dxa"/>
            </w:tcMar>
          </w:tcPr>
          <w:p w14:paraId="33D4AF51">
            <w:pPr>
              <w:pStyle w:val="459"/>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480" w:lineRule="exact"/>
              <w:ind w:right="0"/>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项目</w:t>
            </w:r>
          </w:p>
        </w:tc>
        <w:tc>
          <w:tcPr>
            <w:tcW w:w="7482" w:type="dxa"/>
            <w:tcMar>
              <w:top w:w="60" w:type="dxa"/>
              <w:left w:w="120" w:type="dxa"/>
              <w:bottom w:w="30" w:type="dxa"/>
              <w:right w:w="120" w:type="dxa"/>
            </w:tcMar>
          </w:tcPr>
          <w:p w14:paraId="07408A3C">
            <w:pPr>
              <w:pStyle w:val="459"/>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480" w:lineRule="exact"/>
              <w:ind w:right="0"/>
              <w:jc w:val="center"/>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内容</w:t>
            </w:r>
          </w:p>
        </w:tc>
      </w:tr>
      <w:tr w14:paraId="4E113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588" w:type="dxa"/>
            <w:tcMar>
              <w:top w:w="60" w:type="dxa"/>
              <w:left w:w="120" w:type="dxa"/>
              <w:bottom w:w="30" w:type="dxa"/>
              <w:right w:w="120" w:type="dxa"/>
            </w:tcMar>
            <w:vAlign w:val="center"/>
          </w:tcPr>
          <w:p w14:paraId="65F570DB">
            <w:pPr>
              <w:pStyle w:val="459"/>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480" w:lineRule="exact"/>
              <w:ind w:right="0"/>
              <w:jc w:val="center"/>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采购人</w:t>
            </w:r>
          </w:p>
        </w:tc>
        <w:tc>
          <w:tcPr>
            <w:tcW w:w="7482" w:type="dxa"/>
            <w:tcMar>
              <w:top w:w="60" w:type="dxa"/>
              <w:left w:w="120" w:type="dxa"/>
              <w:bottom w:w="30" w:type="dxa"/>
              <w:right w:w="120" w:type="dxa"/>
            </w:tcMar>
            <w:vAlign w:val="center"/>
          </w:tcPr>
          <w:p w14:paraId="6D24735C">
            <w:pPr>
              <w:pStyle w:val="459"/>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480" w:lineRule="exact"/>
              <w:ind w:right="0"/>
              <w:jc w:val="both"/>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安庆中安供应链管理有限责任公司</w:t>
            </w:r>
          </w:p>
        </w:tc>
      </w:tr>
      <w:tr w14:paraId="304F4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588" w:type="dxa"/>
            <w:tcMar>
              <w:top w:w="60" w:type="dxa"/>
              <w:left w:w="120" w:type="dxa"/>
              <w:bottom w:w="30" w:type="dxa"/>
              <w:right w:w="120" w:type="dxa"/>
            </w:tcMar>
            <w:vAlign w:val="center"/>
          </w:tcPr>
          <w:p w14:paraId="51F3C4AC">
            <w:pPr>
              <w:pStyle w:val="459"/>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480" w:lineRule="exact"/>
              <w:ind w:right="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参选对象</w:t>
            </w:r>
          </w:p>
        </w:tc>
        <w:tc>
          <w:tcPr>
            <w:tcW w:w="7482" w:type="dxa"/>
            <w:tcMar>
              <w:top w:w="60" w:type="dxa"/>
              <w:left w:w="120" w:type="dxa"/>
              <w:bottom w:w="30" w:type="dxa"/>
              <w:right w:w="120" w:type="dxa"/>
            </w:tcMar>
            <w:vAlign w:val="center"/>
          </w:tcPr>
          <w:p w14:paraId="0E45F3D0">
            <w:pPr>
              <w:pStyle w:val="459"/>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480" w:lineRule="exact"/>
              <w:ind w:right="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市交控集团</w:t>
            </w:r>
            <w:r>
              <w:rPr>
                <w:rFonts w:hint="eastAsia" w:ascii="仿宋" w:hAnsi="仿宋" w:eastAsia="仿宋" w:cs="仿宋"/>
                <w:color w:val="auto"/>
                <w:sz w:val="24"/>
                <w:szCs w:val="24"/>
                <w:highlight w:val="none"/>
              </w:rPr>
              <w:t>法律顾问服务合格供应商库内5家律师事务所</w:t>
            </w:r>
          </w:p>
        </w:tc>
      </w:tr>
      <w:tr w14:paraId="19ABB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588" w:type="dxa"/>
            <w:tcMar>
              <w:top w:w="60" w:type="dxa"/>
              <w:left w:w="120" w:type="dxa"/>
              <w:bottom w:w="30" w:type="dxa"/>
              <w:right w:w="120" w:type="dxa"/>
            </w:tcMar>
            <w:vAlign w:val="center"/>
          </w:tcPr>
          <w:p w14:paraId="3B35614E">
            <w:pPr>
              <w:pStyle w:val="459"/>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480" w:lineRule="exact"/>
              <w:ind w:right="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比选案件</w:t>
            </w:r>
          </w:p>
        </w:tc>
        <w:tc>
          <w:tcPr>
            <w:tcW w:w="7482" w:type="dxa"/>
            <w:tcMar>
              <w:top w:w="60" w:type="dxa"/>
              <w:left w:w="120" w:type="dxa"/>
              <w:bottom w:w="30" w:type="dxa"/>
              <w:right w:w="120" w:type="dxa"/>
            </w:tcMar>
            <w:vAlign w:val="center"/>
          </w:tcPr>
          <w:p w14:paraId="4DF5184E">
            <w:pPr>
              <w:pStyle w:val="459"/>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480" w:lineRule="exact"/>
              <w:ind w:right="0"/>
              <w:jc w:val="both"/>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安庆中安公司诉上海星徽汽车贸易有限公司合同纠纷案件诉讼代理服务，标的额4312.85</w:t>
            </w:r>
            <w:r>
              <w:rPr>
                <w:rFonts w:hint="eastAsia" w:ascii="仿宋" w:hAnsi="仿宋" w:eastAsia="仿宋" w:cs="仿宋"/>
                <w:color w:val="auto"/>
                <w:sz w:val="24"/>
                <w:szCs w:val="24"/>
                <w:highlight w:val="none"/>
              </w:rPr>
              <w:t>万元，</w:t>
            </w:r>
            <w:r>
              <w:rPr>
                <w:rFonts w:hint="eastAsia" w:ascii="仿宋" w:hAnsi="仿宋" w:eastAsia="仿宋" w:cs="仿宋"/>
                <w:color w:val="auto"/>
                <w:sz w:val="24"/>
                <w:szCs w:val="24"/>
                <w:highlight w:val="none"/>
                <w:lang w:val="en-US" w:eastAsia="zh-CN"/>
              </w:rPr>
              <w:t>属于</w:t>
            </w:r>
            <w:r>
              <w:rPr>
                <w:rFonts w:hint="eastAsia" w:ascii="仿宋" w:hAnsi="仿宋" w:eastAsia="仿宋" w:cs="仿宋"/>
                <w:color w:val="auto"/>
                <w:sz w:val="24"/>
                <w:szCs w:val="24"/>
                <w:highlight w:val="none"/>
              </w:rPr>
              <w:t>超大额标的</w:t>
            </w:r>
            <w:r>
              <w:rPr>
                <w:rFonts w:hint="eastAsia" w:ascii="仿宋" w:hAnsi="仿宋" w:eastAsia="仿宋" w:cs="仿宋"/>
                <w:color w:val="auto"/>
                <w:sz w:val="24"/>
                <w:szCs w:val="24"/>
                <w:highlight w:val="none"/>
                <w:lang w:val="en-US" w:eastAsia="zh-CN"/>
              </w:rPr>
              <w:t>。</w:t>
            </w:r>
          </w:p>
        </w:tc>
      </w:tr>
      <w:tr w14:paraId="2CBBC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588" w:type="dxa"/>
            <w:tcMar>
              <w:top w:w="60" w:type="dxa"/>
              <w:left w:w="120" w:type="dxa"/>
              <w:bottom w:w="30" w:type="dxa"/>
              <w:right w:w="120" w:type="dxa"/>
            </w:tcMar>
            <w:vAlign w:val="center"/>
          </w:tcPr>
          <w:p w14:paraId="138FD24A">
            <w:pPr>
              <w:pStyle w:val="459"/>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480" w:lineRule="exact"/>
              <w:ind w:right="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报价要求</w:t>
            </w:r>
          </w:p>
        </w:tc>
        <w:tc>
          <w:tcPr>
            <w:tcW w:w="7482" w:type="dxa"/>
            <w:tcMar>
              <w:top w:w="60" w:type="dxa"/>
              <w:left w:w="120" w:type="dxa"/>
              <w:bottom w:w="30" w:type="dxa"/>
              <w:right w:w="120" w:type="dxa"/>
            </w:tcMar>
            <w:vAlign w:val="center"/>
          </w:tcPr>
          <w:p w14:paraId="400FB042">
            <w:pPr>
              <w:pStyle w:val="459"/>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480" w:lineRule="exact"/>
              <w:ind w:right="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投报本次诉讼代理服务费总价。</w:t>
            </w:r>
          </w:p>
          <w:p w14:paraId="462305E5">
            <w:pPr>
              <w:pStyle w:val="459"/>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480" w:lineRule="exact"/>
              <w:ind w:right="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说明：</w:t>
            </w:r>
          </w:p>
          <w:p w14:paraId="021FF81A">
            <w:pPr>
              <w:pStyle w:val="459"/>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480" w:lineRule="exact"/>
              <w:ind w:right="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（1）本次代理服务费采用基础服务费 + 胜诉结算尾款的风险代理计费模式；</w:t>
            </w:r>
          </w:p>
          <w:p w14:paraId="2EB08580">
            <w:pPr>
              <w:pStyle w:val="459"/>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480" w:lineRule="exact"/>
              <w:ind w:right="0"/>
              <w:jc w:val="both"/>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lang w:val="en-US" w:eastAsia="zh-CN"/>
              </w:rPr>
              <w:t>基础服务费按成交总价的40%</w:t>
            </w:r>
            <w:r>
              <w:rPr>
                <w:rFonts w:hint="eastAsia" w:ascii="仿宋" w:hAnsi="仿宋" w:eastAsia="仿宋" w:cs="仿宋"/>
                <w:color w:val="auto"/>
                <w:sz w:val="24"/>
                <w:szCs w:val="24"/>
                <w:highlight w:val="none"/>
                <w:lang w:val="en-US" w:eastAsia="zh-CN"/>
              </w:rPr>
              <w:t>计取，金额固定不变，不受案件审理结果影响，对应代理人完成本案全部应诉及代理服务工作；</w:t>
            </w:r>
          </w:p>
          <w:p w14:paraId="50D7BE6A">
            <w:pPr>
              <w:pStyle w:val="459"/>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480" w:lineRule="exact"/>
              <w:ind w:right="0"/>
              <w:jc w:val="both"/>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（3）风险提成部分最高不超过成交总价</w:t>
            </w:r>
            <w:r>
              <w:rPr>
                <w:rFonts w:hint="eastAsia" w:ascii="仿宋" w:hAnsi="仿宋" w:eastAsia="仿宋" w:cs="仿宋"/>
                <w:color w:val="auto"/>
                <w:sz w:val="24"/>
                <w:szCs w:val="24"/>
                <w:highlight w:val="none"/>
                <w:lang w:val="en-US" w:eastAsia="zh-CN"/>
              </w:rPr>
              <w:t>的 60%</w:t>
            </w:r>
            <w:r>
              <w:rPr>
                <w:rFonts w:hint="eastAsia" w:ascii="仿宋" w:hAnsi="仿宋" w:eastAsia="仿宋" w:cs="仿宋"/>
                <w:color w:val="auto"/>
                <w:sz w:val="24"/>
                <w:szCs w:val="24"/>
                <w:highlight w:val="none"/>
                <w:lang w:val="en-US" w:eastAsia="zh-CN"/>
              </w:rPr>
              <w:t>，根据本案终审判决结果据实结算。核算公式：</w:t>
            </w:r>
            <w:r>
              <w:rPr>
                <w:rFonts w:hint="eastAsia" w:ascii="仿宋" w:hAnsi="仿宋" w:eastAsia="仿宋" w:cs="仿宋"/>
                <w:color w:val="auto"/>
                <w:sz w:val="24"/>
                <w:szCs w:val="24"/>
                <w:highlight w:val="none"/>
                <w:lang w:val="en-US" w:eastAsia="zh-CN"/>
              </w:rPr>
              <w:t>风险提成 = 成交总价 × 60% × 尾款核算比例，尾款核算比例按合同约定计取。</w:t>
            </w:r>
          </w:p>
        </w:tc>
      </w:tr>
      <w:tr w14:paraId="0B8B1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588" w:type="dxa"/>
            <w:tcMar>
              <w:top w:w="60" w:type="dxa"/>
              <w:left w:w="120" w:type="dxa"/>
              <w:bottom w:w="30" w:type="dxa"/>
              <w:right w:w="120" w:type="dxa"/>
            </w:tcMar>
            <w:vAlign w:val="center"/>
          </w:tcPr>
          <w:p w14:paraId="0B189E78">
            <w:pPr>
              <w:pStyle w:val="459"/>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480" w:lineRule="exact"/>
              <w:ind w:right="0"/>
              <w:jc w:val="center"/>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最高限价</w:t>
            </w:r>
          </w:p>
        </w:tc>
        <w:tc>
          <w:tcPr>
            <w:tcW w:w="7482" w:type="dxa"/>
            <w:tcMar>
              <w:top w:w="60" w:type="dxa"/>
              <w:left w:w="120" w:type="dxa"/>
              <w:bottom w:w="30" w:type="dxa"/>
              <w:right w:w="120" w:type="dxa"/>
            </w:tcMar>
            <w:vAlign w:val="center"/>
          </w:tcPr>
          <w:p w14:paraId="08D7D1DB">
            <w:pPr>
              <w:pStyle w:val="459"/>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80" w:lineRule="exact"/>
              <w:ind w:right="0"/>
              <w:jc w:val="both"/>
              <w:textAlignment w:val="auto"/>
              <w:rPr>
                <w:rFonts w:hint="default" w:ascii="仿宋" w:hAnsi="仿宋" w:eastAsia="仿宋" w:cs="仿宋"/>
                <w:color w:val="auto"/>
                <w:sz w:val="24"/>
                <w:szCs w:val="24"/>
                <w:highlight w:val="none"/>
                <w:lang w:val="en-US" w:eastAsia="zh-CN"/>
              </w:rPr>
            </w:pPr>
            <w:r>
              <w:rPr>
                <w:rFonts w:hint="default" w:ascii="仿宋" w:hAnsi="仿宋" w:eastAsia="仿宋" w:cs="仿宋"/>
                <w:color w:val="auto"/>
                <w:sz w:val="24"/>
                <w:szCs w:val="24"/>
                <w:highlight w:val="none"/>
                <w:lang w:val="en-US" w:eastAsia="zh-CN"/>
              </w:rPr>
              <w:t>以根据安徽省物价局2016年2月10日发布的《安徽律师收费标准》{皖价服[2016]13号}文件得出的计算结果（以下限为准）*50%为本次比选的最高限价，即</w:t>
            </w:r>
            <w:r>
              <w:rPr>
                <w:rFonts w:hint="eastAsia" w:ascii="仿宋" w:hAnsi="仿宋" w:eastAsia="仿宋" w:cs="仿宋"/>
                <w:b/>
                <w:bCs/>
                <w:color w:val="auto"/>
                <w:sz w:val="30"/>
                <w:szCs w:val="30"/>
                <w:highlight w:val="none"/>
                <w:u w:val="none"/>
                <w:lang w:val="en-US" w:eastAsia="zh-CN"/>
              </w:rPr>
              <w:t>24.41</w:t>
            </w:r>
            <w:r>
              <w:rPr>
                <w:rFonts w:hint="eastAsia" w:ascii="仿宋" w:hAnsi="仿宋" w:eastAsia="仿宋" w:cs="仿宋"/>
                <w:color w:val="auto"/>
                <w:sz w:val="24"/>
                <w:szCs w:val="24"/>
                <w:highlight w:val="none"/>
                <w:lang w:val="en-US" w:eastAsia="zh-CN"/>
              </w:rPr>
              <w:t>万</w:t>
            </w:r>
            <w:r>
              <w:rPr>
                <w:rFonts w:hint="default" w:ascii="仿宋" w:hAnsi="仿宋" w:eastAsia="仿宋" w:cs="仿宋"/>
                <w:color w:val="auto"/>
                <w:sz w:val="24"/>
                <w:szCs w:val="24"/>
                <w:highlight w:val="none"/>
                <w:lang w:val="en-US" w:eastAsia="zh-CN"/>
              </w:rPr>
              <w:t>元。</w:t>
            </w:r>
          </w:p>
        </w:tc>
      </w:tr>
      <w:tr w14:paraId="0C199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588" w:type="dxa"/>
            <w:tcMar>
              <w:top w:w="60" w:type="dxa"/>
              <w:left w:w="120" w:type="dxa"/>
              <w:bottom w:w="30" w:type="dxa"/>
              <w:right w:w="120" w:type="dxa"/>
            </w:tcMar>
            <w:vAlign w:val="center"/>
          </w:tcPr>
          <w:p w14:paraId="4D64FC1F">
            <w:pPr>
              <w:pStyle w:val="459"/>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480" w:lineRule="exact"/>
              <w:ind w:right="0"/>
              <w:jc w:val="center"/>
              <w:textAlignment w:val="auto"/>
              <w:rPr>
                <w:rFonts w:hint="default" w:ascii="仿宋" w:hAnsi="仿宋" w:eastAsia="仿宋" w:cs="仿宋"/>
                <w:color w:val="auto"/>
                <w:sz w:val="24"/>
                <w:szCs w:val="24"/>
                <w:highlight w:val="none"/>
                <w:lang w:eastAsia="zh-CN"/>
              </w:rPr>
            </w:pPr>
            <w:r>
              <w:rPr>
                <w:rFonts w:hint="default" w:ascii="仿宋" w:hAnsi="仿宋" w:eastAsia="仿宋" w:cs="仿宋"/>
                <w:color w:val="auto"/>
                <w:sz w:val="24"/>
                <w:szCs w:val="24"/>
                <w:highlight w:val="none"/>
                <w:lang w:eastAsia="zh-CN"/>
              </w:rPr>
              <w:t>服务期限</w:t>
            </w:r>
          </w:p>
        </w:tc>
        <w:tc>
          <w:tcPr>
            <w:tcW w:w="7482" w:type="dxa"/>
            <w:tcMar>
              <w:top w:w="60" w:type="dxa"/>
              <w:left w:w="120" w:type="dxa"/>
              <w:bottom w:w="30" w:type="dxa"/>
              <w:right w:w="120" w:type="dxa"/>
            </w:tcMar>
            <w:vAlign w:val="center"/>
          </w:tcPr>
          <w:p w14:paraId="0915E846">
            <w:pPr>
              <w:pStyle w:val="459"/>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480" w:lineRule="exact"/>
              <w:ind w:right="0"/>
              <w:jc w:val="both"/>
              <w:textAlignment w:val="auto"/>
              <w:rPr>
                <w:rFonts w:hint="default" w:ascii="仿宋" w:hAnsi="仿宋" w:eastAsia="仿宋" w:cs="仿宋"/>
                <w:color w:val="auto"/>
                <w:sz w:val="24"/>
                <w:szCs w:val="24"/>
                <w:highlight w:val="none"/>
                <w:lang w:eastAsia="zh-CN"/>
              </w:rPr>
            </w:pPr>
            <w:r>
              <w:rPr>
                <w:rFonts w:hint="default" w:ascii="仿宋" w:hAnsi="仿宋" w:eastAsia="仿宋" w:cs="仿宋"/>
                <w:color w:val="auto"/>
                <w:sz w:val="24"/>
                <w:szCs w:val="24"/>
                <w:highlight w:val="none"/>
                <w:lang w:eastAsia="zh-CN"/>
              </w:rPr>
              <w:t>自接受采购人委托通知之日起到案件执行终结，包括所有诉讼阶段，包括但不限于一审、二审、再审（如有）、强制执行等全部司法阶段；若本案出具终审裁判文书后，</w:t>
            </w:r>
            <w:r>
              <w:rPr>
                <w:rFonts w:hint="eastAsia" w:ascii="仿宋" w:hAnsi="仿宋" w:eastAsia="仿宋" w:cs="仿宋"/>
                <w:color w:val="auto"/>
                <w:sz w:val="24"/>
                <w:szCs w:val="24"/>
                <w:highlight w:val="none"/>
                <w:lang w:val="en-US" w:eastAsia="zh-CN"/>
              </w:rPr>
              <w:t>被</w:t>
            </w:r>
            <w:r>
              <w:rPr>
                <w:rFonts w:hint="default" w:ascii="仿宋" w:hAnsi="仿宋" w:eastAsia="仿宋" w:cs="仿宋"/>
                <w:color w:val="auto"/>
                <w:sz w:val="24"/>
                <w:szCs w:val="24"/>
                <w:highlight w:val="none"/>
                <w:lang w:eastAsia="zh-CN"/>
              </w:rPr>
              <w:t>基于同</w:t>
            </w:r>
            <w:r>
              <w:rPr>
                <w:rFonts w:hint="default" w:ascii="仿宋" w:hAnsi="仿宋" w:eastAsia="仿宋" w:cs="仿宋"/>
                <w:color w:val="auto"/>
                <w:sz w:val="24"/>
                <w:szCs w:val="24"/>
                <w:highlight w:val="none"/>
                <w:lang w:eastAsia="zh-CN"/>
              </w:rPr>
              <w:t>一事实、同一法律关系另行起诉的，</w:t>
            </w:r>
            <w:r>
              <w:rPr>
                <w:rFonts w:hint="eastAsia" w:ascii="仿宋" w:hAnsi="仿宋" w:eastAsia="仿宋" w:cs="仿宋"/>
                <w:color w:val="auto"/>
                <w:sz w:val="24"/>
                <w:szCs w:val="24"/>
                <w:highlight w:val="none"/>
                <w:lang w:val="en-US" w:eastAsia="zh-CN"/>
              </w:rPr>
              <w:t>成交人</w:t>
            </w:r>
            <w:r>
              <w:rPr>
                <w:rFonts w:hint="default" w:ascii="仿宋" w:hAnsi="仿宋" w:eastAsia="仿宋" w:cs="仿宋"/>
                <w:color w:val="auto"/>
                <w:sz w:val="24"/>
                <w:szCs w:val="24"/>
                <w:highlight w:val="none"/>
                <w:lang w:eastAsia="zh-CN"/>
              </w:rPr>
              <w:t>仍应提供全流程代理服务，对应服务成本已全部包含在合同总价内，采购人无需另行支付任何费用。</w:t>
            </w:r>
          </w:p>
        </w:tc>
      </w:tr>
      <w:tr w14:paraId="4235B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588" w:type="dxa"/>
            <w:tcMar>
              <w:top w:w="60" w:type="dxa"/>
              <w:left w:w="120" w:type="dxa"/>
              <w:bottom w:w="30" w:type="dxa"/>
              <w:right w:w="120" w:type="dxa"/>
            </w:tcMar>
            <w:vAlign w:val="center"/>
          </w:tcPr>
          <w:p w14:paraId="39DF5A58">
            <w:pPr>
              <w:pStyle w:val="459"/>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480" w:lineRule="exact"/>
              <w:ind w:right="0"/>
              <w:jc w:val="center"/>
              <w:textAlignment w:val="auto"/>
              <w:rPr>
                <w:rFonts w:hint="default" w:ascii="仿宋" w:hAnsi="仿宋" w:eastAsia="仿宋" w:cs="仿宋"/>
                <w:color w:val="auto"/>
                <w:sz w:val="24"/>
                <w:szCs w:val="24"/>
                <w:highlight w:val="none"/>
                <w:lang w:eastAsia="zh-CN"/>
              </w:rPr>
            </w:pPr>
            <w:r>
              <w:rPr>
                <w:rFonts w:hint="default" w:ascii="仿宋" w:hAnsi="仿宋" w:eastAsia="仿宋" w:cs="仿宋"/>
                <w:color w:val="auto"/>
                <w:sz w:val="24"/>
                <w:szCs w:val="24"/>
                <w:highlight w:val="none"/>
                <w:lang w:eastAsia="zh-CN"/>
              </w:rPr>
              <w:t>付款方式</w:t>
            </w:r>
          </w:p>
        </w:tc>
        <w:tc>
          <w:tcPr>
            <w:tcW w:w="7482" w:type="dxa"/>
            <w:tcMar>
              <w:top w:w="60" w:type="dxa"/>
              <w:left w:w="120" w:type="dxa"/>
              <w:bottom w:w="30" w:type="dxa"/>
              <w:right w:w="120" w:type="dxa"/>
            </w:tcMar>
            <w:vAlign w:val="center"/>
          </w:tcPr>
          <w:p w14:paraId="38C9142F">
            <w:pPr>
              <w:pStyle w:val="459"/>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480" w:lineRule="exact"/>
              <w:ind w:right="0"/>
              <w:jc w:val="both"/>
              <w:textAlignment w:val="auto"/>
              <w:rPr>
                <w:rFonts w:hint="default" w:ascii="仿宋" w:hAnsi="仿宋" w:eastAsia="仿宋" w:cs="仿宋"/>
                <w:color w:val="auto"/>
                <w:sz w:val="24"/>
                <w:szCs w:val="24"/>
                <w:highlight w:val="none"/>
                <w:lang w:eastAsia="zh-CN"/>
              </w:rPr>
            </w:pPr>
            <w:r>
              <w:rPr>
                <w:rFonts w:hint="default" w:ascii="仿宋" w:hAnsi="仿宋" w:eastAsia="仿宋" w:cs="仿宋"/>
                <w:color w:val="auto"/>
                <w:sz w:val="24"/>
                <w:szCs w:val="24"/>
                <w:highlight w:val="none"/>
                <w:lang w:eastAsia="zh-CN"/>
              </w:rPr>
              <w:t>若案件周期大于一年，</w:t>
            </w:r>
            <w:r>
              <w:rPr>
                <w:rFonts w:hint="default" w:ascii="仿宋" w:hAnsi="仿宋" w:eastAsia="仿宋" w:cs="仿宋"/>
                <w:color w:val="auto"/>
                <w:sz w:val="24"/>
                <w:szCs w:val="24"/>
                <w:highlight w:val="none"/>
                <w:lang w:eastAsia="zh-CN"/>
              </w:rPr>
              <w:t>则在案件首次开庭后一年后支付至基础服务费的30%</w:t>
            </w:r>
            <w:r>
              <w:rPr>
                <w:rFonts w:hint="default" w:ascii="仿宋" w:hAnsi="仿宋" w:eastAsia="仿宋" w:cs="仿宋"/>
                <w:color w:val="auto"/>
                <w:sz w:val="24"/>
                <w:szCs w:val="24"/>
                <w:highlight w:val="none"/>
                <w:lang w:eastAsia="zh-CN"/>
              </w:rPr>
              <w:t>，</w:t>
            </w:r>
            <w:r>
              <w:rPr>
                <w:rFonts w:hint="default" w:ascii="仿宋" w:hAnsi="仿宋" w:eastAsia="仿宋" w:cs="仿宋"/>
                <w:color w:val="auto"/>
                <w:sz w:val="24"/>
                <w:szCs w:val="24"/>
                <w:highlight w:val="none"/>
                <w:lang w:eastAsia="zh-CN"/>
              </w:rPr>
              <w:t>剩余代理费待案件终结并办理结算后一次性支付</w:t>
            </w:r>
            <w:r>
              <w:rPr>
                <w:rFonts w:hint="default" w:ascii="仿宋" w:hAnsi="仿宋" w:eastAsia="仿宋" w:cs="仿宋"/>
                <w:color w:val="auto"/>
                <w:sz w:val="24"/>
                <w:szCs w:val="24"/>
                <w:highlight w:val="none"/>
                <w:lang w:eastAsia="zh-CN"/>
              </w:rPr>
              <w:t>；若案件在一年内终结，则所有案件代理费均在案件终结并办理结算后一次性支付。</w:t>
            </w:r>
          </w:p>
        </w:tc>
      </w:tr>
      <w:tr w14:paraId="4B80A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588" w:type="dxa"/>
            <w:tcMar>
              <w:top w:w="60" w:type="dxa"/>
              <w:left w:w="120" w:type="dxa"/>
              <w:bottom w:w="30" w:type="dxa"/>
              <w:right w:w="120" w:type="dxa"/>
            </w:tcMar>
            <w:vAlign w:val="center"/>
          </w:tcPr>
          <w:p w14:paraId="58E463B6">
            <w:pPr>
              <w:pStyle w:val="459"/>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480" w:lineRule="exact"/>
              <w:ind w:right="0"/>
              <w:jc w:val="center"/>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报价</w:t>
            </w:r>
            <w:r>
              <w:rPr>
                <w:rFonts w:hint="default" w:ascii="仿宋" w:hAnsi="仿宋" w:eastAsia="仿宋" w:cs="仿宋"/>
                <w:color w:val="auto"/>
                <w:sz w:val="24"/>
                <w:szCs w:val="24"/>
                <w:highlight w:val="none"/>
                <w:lang w:eastAsia="zh-CN"/>
              </w:rPr>
              <w:t>及结算</w:t>
            </w:r>
            <w:r>
              <w:rPr>
                <w:rFonts w:hint="eastAsia" w:ascii="仿宋" w:hAnsi="仿宋" w:eastAsia="仿宋" w:cs="仿宋"/>
                <w:color w:val="auto"/>
                <w:sz w:val="24"/>
                <w:szCs w:val="24"/>
                <w:highlight w:val="none"/>
                <w:lang w:val="en-US" w:eastAsia="zh-CN"/>
              </w:rPr>
              <w:t>要求</w:t>
            </w:r>
          </w:p>
        </w:tc>
        <w:tc>
          <w:tcPr>
            <w:tcW w:w="7482" w:type="dxa"/>
            <w:tcMar>
              <w:top w:w="60" w:type="dxa"/>
              <w:left w:w="120" w:type="dxa"/>
              <w:bottom w:w="30" w:type="dxa"/>
              <w:right w:w="120" w:type="dxa"/>
            </w:tcMar>
            <w:vAlign w:val="center"/>
          </w:tcPr>
          <w:p w14:paraId="3305EB8F">
            <w:pPr>
              <w:pStyle w:val="459"/>
              <w:keepNext w:val="0"/>
              <w:keepLines w:val="0"/>
              <w:pageBreakBefore w:val="0"/>
              <w:widowControl/>
              <w:numPr>
                <w:ilvl w:val="0"/>
                <w:numId w:val="10"/>
              </w:numPr>
              <w:suppressLineNumbers w:val="0"/>
              <w:kinsoku/>
              <w:wordWrap/>
              <w:overflowPunct/>
              <w:topLinePunct w:val="0"/>
              <w:autoSpaceDE/>
              <w:autoSpaceDN/>
              <w:bidi w:val="0"/>
              <w:adjustRightInd w:val="0"/>
              <w:snapToGrid w:val="0"/>
              <w:spacing w:before="0" w:beforeAutospacing="0" w:after="0" w:afterAutospacing="0" w:line="480" w:lineRule="exact"/>
              <w:ind w:right="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报价</w:t>
            </w:r>
            <w:r>
              <w:rPr>
                <w:rFonts w:hint="eastAsia" w:ascii="仿宋" w:hAnsi="仿宋" w:eastAsia="仿宋" w:cs="仿宋"/>
                <w:color w:val="auto"/>
                <w:sz w:val="24"/>
                <w:szCs w:val="24"/>
                <w:highlight w:val="none"/>
              </w:rPr>
              <w:t>涵盖立案、庭审、证据梳理、文书起草</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文件邮寄收发等所有诉讼阶段（包括但不限于一审、二审、终审等）所有内容</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除此以外不再额外收取其他任何费用；案件如涉及异地差旅费、造价鉴定协助费等其他相关费用，均须考虑在报价内；</w:t>
            </w:r>
          </w:p>
          <w:p w14:paraId="45B2602F">
            <w:pPr>
              <w:pStyle w:val="459"/>
              <w:keepNext w:val="0"/>
              <w:keepLines w:val="0"/>
              <w:pageBreakBefore w:val="0"/>
              <w:widowControl/>
              <w:numPr>
                <w:ilvl w:val="0"/>
                <w:numId w:val="10"/>
              </w:numPr>
              <w:suppressLineNumbers w:val="0"/>
              <w:kinsoku/>
              <w:wordWrap/>
              <w:overflowPunct/>
              <w:topLinePunct w:val="0"/>
              <w:autoSpaceDE/>
              <w:autoSpaceDN/>
              <w:bidi w:val="0"/>
              <w:adjustRightInd w:val="0"/>
              <w:snapToGrid w:val="0"/>
              <w:spacing w:before="0" w:beforeAutospacing="0" w:after="0" w:afterAutospacing="0" w:line="480" w:lineRule="exact"/>
              <w:ind w:right="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报价包含本案全流程所有查询、复印、交通、食宿、文书、鉴定辅助、执行异议等全部衍生支出，采购人无需另行支付任何费用；</w:t>
            </w:r>
          </w:p>
          <w:p w14:paraId="2D8FFD59">
            <w:pPr>
              <w:pStyle w:val="459"/>
              <w:keepNext w:val="0"/>
              <w:keepLines w:val="0"/>
              <w:pageBreakBefore w:val="0"/>
              <w:widowControl/>
              <w:numPr>
                <w:ilvl w:val="0"/>
                <w:numId w:val="10"/>
              </w:numPr>
              <w:suppressLineNumbers w:val="0"/>
              <w:kinsoku/>
              <w:wordWrap/>
              <w:overflowPunct/>
              <w:topLinePunct w:val="0"/>
              <w:autoSpaceDE/>
              <w:autoSpaceDN/>
              <w:bidi w:val="0"/>
              <w:adjustRightInd w:val="0"/>
              <w:snapToGrid w:val="0"/>
              <w:spacing w:before="0" w:beforeAutospacing="0" w:after="0" w:afterAutospacing="0" w:line="480" w:lineRule="exact"/>
              <w:ind w:right="0"/>
              <w:jc w:val="both"/>
              <w:textAlignment w:val="auto"/>
              <w:rPr>
                <w:rFonts w:hint="default"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本次比选案件代理费（律师费）采用“基础服务费+风险提成（终审判决后结算尾款）”的结算方式，即基础服务费按总报价*40%固定包干，</w:t>
            </w:r>
            <w:r>
              <w:rPr>
                <w:rFonts w:hint="eastAsia" w:ascii="仿宋" w:hAnsi="仿宋" w:eastAsia="仿宋" w:cs="仿宋"/>
                <w:color w:val="auto"/>
                <w:sz w:val="24"/>
                <w:szCs w:val="24"/>
                <w:highlight w:val="none"/>
                <w:lang w:val="en-US" w:eastAsia="zh-CN"/>
              </w:rPr>
              <w:t>剩余代理费根据诉讼结果据实结算，最高不超过成交总价的 60%，</w:t>
            </w:r>
            <w:r>
              <w:rPr>
                <w:rFonts w:hint="eastAsia" w:ascii="仿宋" w:hAnsi="仿宋" w:eastAsia="仿宋" w:cs="仿宋"/>
                <w:color w:val="auto"/>
                <w:sz w:val="24"/>
                <w:szCs w:val="24"/>
                <w:highlight w:val="none"/>
                <w:lang w:val="en-US" w:eastAsia="zh-CN"/>
              </w:rPr>
              <w:t>具体详见合同有关约定；</w:t>
            </w:r>
          </w:p>
          <w:p w14:paraId="19506891">
            <w:pPr>
              <w:pStyle w:val="459"/>
              <w:keepNext w:val="0"/>
              <w:keepLines w:val="0"/>
              <w:pageBreakBefore w:val="0"/>
              <w:widowControl/>
              <w:numPr>
                <w:ilvl w:val="0"/>
                <w:numId w:val="10"/>
              </w:numPr>
              <w:suppressLineNumbers w:val="0"/>
              <w:kinsoku/>
              <w:wordWrap/>
              <w:overflowPunct/>
              <w:topLinePunct w:val="0"/>
              <w:autoSpaceDE/>
              <w:autoSpaceDN/>
              <w:bidi w:val="0"/>
              <w:adjustRightInd w:val="0"/>
              <w:snapToGrid w:val="0"/>
              <w:spacing w:before="0" w:beforeAutospacing="0" w:after="0" w:afterAutospacing="0" w:line="480" w:lineRule="exact"/>
              <w:ind w:right="0"/>
              <w:jc w:val="both"/>
              <w:textAlignment w:val="auto"/>
              <w:rPr>
                <w:rFonts w:hint="default" w:ascii="仿宋" w:hAnsi="仿宋" w:eastAsia="仿宋" w:cs="仿宋"/>
                <w:color w:val="auto"/>
                <w:sz w:val="24"/>
                <w:szCs w:val="24"/>
                <w:highlight w:val="none"/>
                <w:lang w:eastAsia="zh-CN"/>
              </w:rPr>
            </w:pPr>
            <w:r>
              <w:rPr>
                <w:rFonts w:hint="default" w:ascii="仿宋" w:hAnsi="仿宋" w:eastAsia="仿宋" w:cs="仿宋"/>
                <w:color w:val="auto"/>
                <w:sz w:val="24"/>
                <w:szCs w:val="24"/>
                <w:highlight w:val="none"/>
                <w:lang w:eastAsia="zh-CN"/>
              </w:rPr>
              <w:t>其他说明：若发生原告撤诉</w:t>
            </w:r>
            <w:r>
              <w:rPr>
                <w:rFonts w:hint="eastAsia" w:ascii="仿宋" w:hAnsi="仿宋" w:eastAsia="仿宋" w:cs="仿宋"/>
                <w:color w:val="auto"/>
                <w:sz w:val="24"/>
                <w:szCs w:val="24"/>
                <w:highlight w:val="none"/>
                <w:lang w:eastAsia="zh-CN"/>
              </w:rPr>
              <w:t>、</w:t>
            </w:r>
            <w:r>
              <w:rPr>
                <w:rFonts w:hint="default" w:ascii="仿宋" w:hAnsi="仿宋" w:eastAsia="仿宋" w:cs="仿宋"/>
                <w:color w:val="auto"/>
                <w:sz w:val="24"/>
                <w:szCs w:val="24"/>
                <w:highlight w:val="none"/>
                <w:lang w:eastAsia="zh-CN"/>
              </w:rPr>
              <w:t>原被告达成庭前/庭外和解情形等其他情况的，最终案件代理费</w:t>
            </w:r>
            <w:r>
              <w:rPr>
                <w:rFonts w:hint="eastAsia" w:ascii="仿宋" w:hAnsi="仿宋" w:eastAsia="仿宋" w:cs="仿宋"/>
                <w:color w:val="auto"/>
                <w:sz w:val="24"/>
                <w:szCs w:val="24"/>
                <w:highlight w:val="none"/>
                <w:lang w:val="en-US" w:eastAsia="zh-CN"/>
              </w:rPr>
              <w:t>根据合同约定的结算规则核定</w:t>
            </w:r>
            <w:r>
              <w:rPr>
                <w:rFonts w:hint="default" w:ascii="仿宋" w:hAnsi="仿宋" w:eastAsia="仿宋" w:cs="仿宋"/>
                <w:color w:val="auto"/>
                <w:sz w:val="24"/>
                <w:szCs w:val="24"/>
                <w:highlight w:val="none"/>
                <w:lang w:eastAsia="zh-CN"/>
              </w:rPr>
              <w:t>。</w:t>
            </w:r>
          </w:p>
        </w:tc>
      </w:tr>
      <w:tr w14:paraId="495A1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588" w:type="dxa"/>
            <w:tcMar>
              <w:top w:w="60" w:type="dxa"/>
              <w:left w:w="120" w:type="dxa"/>
              <w:bottom w:w="30" w:type="dxa"/>
              <w:right w:w="120" w:type="dxa"/>
            </w:tcMar>
            <w:vAlign w:val="center"/>
          </w:tcPr>
          <w:p w14:paraId="5A2FB035">
            <w:pPr>
              <w:pStyle w:val="459"/>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480" w:lineRule="exact"/>
              <w:ind w:right="0"/>
              <w:jc w:val="center"/>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服务内容</w:t>
            </w:r>
          </w:p>
        </w:tc>
        <w:tc>
          <w:tcPr>
            <w:tcW w:w="7482" w:type="dxa"/>
            <w:tcMar>
              <w:top w:w="60" w:type="dxa"/>
              <w:left w:w="120" w:type="dxa"/>
              <w:bottom w:w="30" w:type="dxa"/>
              <w:right w:w="120" w:type="dxa"/>
            </w:tcMar>
            <w:vAlign w:val="center"/>
          </w:tcPr>
          <w:p w14:paraId="32459CA0">
            <w:pPr>
              <w:pStyle w:val="459"/>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480" w:lineRule="exact"/>
              <w:ind w:right="0" w:rightChars="0"/>
              <w:jc w:val="both"/>
              <w:textAlignment w:val="auto"/>
              <w:rPr>
                <w:rFonts w:hint="default" w:ascii="仿宋" w:hAnsi="仿宋" w:eastAsia="仿宋" w:cs="仿宋"/>
                <w:color w:val="auto"/>
                <w:sz w:val="24"/>
                <w:szCs w:val="24"/>
                <w:highlight w:val="none"/>
                <w:lang w:eastAsia="zh-CN"/>
              </w:rPr>
            </w:pPr>
            <w:r>
              <w:rPr>
                <w:rFonts w:hint="default" w:ascii="仿宋" w:hAnsi="仿宋" w:eastAsia="仿宋" w:cs="仿宋"/>
                <w:color w:val="auto"/>
                <w:sz w:val="24"/>
                <w:szCs w:val="24"/>
                <w:highlight w:val="none"/>
                <w:lang w:eastAsia="zh-CN"/>
              </w:rPr>
              <w:t>1.证据归集整理：全面调查、收集案涉合同、费用确认单、往来函件、转账凭证等全部涉案证据，完成证据分类、梳理及举证材料编制；</w:t>
            </w:r>
          </w:p>
          <w:p w14:paraId="5334FAE9">
            <w:pPr>
              <w:pStyle w:val="459"/>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480" w:lineRule="exact"/>
              <w:ind w:right="0" w:rightChars="0"/>
              <w:jc w:val="both"/>
              <w:textAlignment w:val="auto"/>
              <w:rPr>
                <w:rFonts w:hint="default" w:ascii="仿宋" w:hAnsi="仿宋" w:eastAsia="仿宋" w:cs="仿宋"/>
                <w:color w:val="auto"/>
                <w:sz w:val="24"/>
                <w:szCs w:val="24"/>
                <w:highlight w:val="none"/>
                <w:lang w:eastAsia="zh-CN"/>
              </w:rPr>
            </w:pPr>
            <w:r>
              <w:rPr>
                <w:rFonts w:hint="default" w:ascii="仿宋" w:hAnsi="仿宋" w:eastAsia="仿宋" w:cs="仿宋"/>
                <w:color w:val="auto"/>
                <w:sz w:val="24"/>
                <w:szCs w:val="24"/>
                <w:highlight w:val="none"/>
                <w:lang w:eastAsia="zh-CN"/>
              </w:rPr>
              <w:t>2.法律文书处理：起草起诉状、答辩状、代理词、调解协议、执行申请书、异议申请书等全套诉讼、执行法律文书，负责全部文书的打印、邮寄、送达、签收管理；</w:t>
            </w:r>
          </w:p>
          <w:p w14:paraId="535ECB07">
            <w:pPr>
              <w:pStyle w:val="459"/>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480" w:lineRule="exact"/>
              <w:ind w:right="0" w:rightChars="0"/>
              <w:jc w:val="both"/>
              <w:textAlignment w:val="auto"/>
              <w:rPr>
                <w:rFonts w:hint="default" w:ascii="仿宋" w:hAnsi="仿宋" w:eastAsia="仿宋" w:cs="仿宋"/>
                <w:color w:val="auto"/>
                <w:sz w:val="24"/>
                <w:szCs w:val="24"/>
                <w:highlight w:val="none"/>
                <w:lang w:eastAsia="zh-CN"/>
              </w:rPr>
            </w:pPr>
            <w:r>
              <w:rPr>
                <w:rFonts w:hint="default" w:ascii="仿宋" w:hAnsi="仿宋" w:eastAsia="仿宋" w:cs="仿宋"/>
                <w:color w:val="auto"/>
                <w:sz w:val="24"/>
                <w:szCs w:val="24"/>
                <w:highlight w:val="none"/>
                <w:lang w:eastAsia="zh-CN"/>
              </w:rPr>
              <w:t>3.庭审及协商工作：全程参与诉前协商、庭外谈判、法院调解、一审/二审/再审庭审等全部司法程序，当庭发表代理意见、开展举证质证与法庭辩论；</w:t>
            </w:r>
          </w:p>
          <w:p w14:paraId="1DEECDF3">
            <w:pPr>
              <w:pStyle w:val="459"/>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480" w:lineRule="exact"/>
              <w:ind w:right="0" w:rightChars="0"/>
              <w:jc w:val="both"/>
              <w:textAlignment w:val="auto"/>
              <w:rPr>
                <w:rFonts w:hint="default" w:ascii="仿宋" w:hAnsi="仿宋" w:eastAsia="仿宋" w:cs="仿宋"/>
                <w:color w:val="auto"/>
                <w:sz w:val="24"/>
                <w:szCs w:val="24"/>
                <w:highlight w:val="none"/>
                <w:lang w:eastAsia="zh-CN"/>
              </w:rPr>
            </w:pPr>
            <w:r>
              <w:rPr>
                <w:rFonts w:hint="default" w:ascii="仿宋" w:hAnsi="仿宋" w:eastAsia="仿宋" w:cs="仿宋"/>
                <w:color w:val="auto"/>
                <w:sz w:val="24"/>
                <w:szCs w:val="24"/>
                <w:highlight w:val="none"/>
                <w:lang w:eastAsia="zh-CN"/>
              </w:rPr>
              <w:t>4.强制执行代理：案件进入执行阶段后，全权办理被执行人财产线索查询、财产查控、查封冻结、案款对接回收等全部执行相关事务；</w:t>
            </w:r>
          </w:p>
          <w:p w14:paraId="2197C997">
            <w:pPr>
              <w:pStyle w:val="459"/>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480" w:lineRule="exact"/>
              <w:ind w:right="0" w:rightChars="0"/>
              <w:jc w:val="both"/>
              <w:textAlignment w:val="auto"/>
              <w:rPr>
                <w:rFonts w:hint="default" w:ascii="仿宋" w:hAnsi="仿宋" w:eastAsia="仿宋" w:cs="仿宋"/>
                <w:color w:val="auto"/>
                <w:sz w:val="24"/>
                <w:szCs w:val="24"/>
                <w:highlight w:val="none"/>
                <w:lang w:eastAsia="zh-CN"/>
              </w:rPr>
            </w:pPr>
            <w:r>
              <w:rPr>
                <w:rFonts w:hint="default" w:ascii="仿宋" w:hAnsi="仿宋" w:eastAsia="仿宋" w:cs="仿宋"/>
                <w:color w:val="auto"/>
                <w:sz w:val="24"/>
                <w:szCs w:val="24"/>
                <w:highlight w:val="none"/>
                <w:lang w:eastAsia="zh-CN"/>
              </w:rPr>
              <w:t>5.反诉专项代理：依据已收集的案件证据材料，代为研判、起草反诉材料，依法提起反诉并核算主张反诉金额，全程跟进反诉审理流程；</w:t>
            </w:r>
          </w:p>
          <w:p w14:paraId="1DAB8B1E">
            <w:pPr>
              <w:pStyle w:val="459"/>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480" w:lineRule="exact"/>
              <w:ind w:right="0" w:rightChars="0"/>
              <w:jc w:val="both"/>
              <w:textAlignment w:val="auto"/>
              <w:rPr>
                <w:rFonts w:hint="default" w:ascii="仿宋" w:hAnsi="仿宋" w:eastAsia="仿宋" w:cs="仿宋"/>
                <w:color w:val="auto"/>
                <w:sz w:val="24"/>
                <w:szCs w:val="24"/>
                <w:highlight w:val="none"/>
                <w:lang w:eastAsia="zh-CN"/>
              </w:rPr>
            </w:pPr>
            <w:r>
              <w:rPr>
                <w:rFonts w:hint="default" w:ascii="仿宋" w:hAnsi="仿宋" w:eastAsia="仿宋" w:cs="仿宋"/>
                <w:color w:val="auto"/>
                <w:sz w:val="24"/>
                <w:szCs w:val="24"/>
                <w:highlight w:val="none"/>
                <w:lang w:eastAsia="zh-CN"/>
              </w:rPr>
              <w:t>6.配套事务包干：承担本案全流程衍生配套工作，包括但不限于工商、不动产、银行档案查询、材料复印、执行异议/复议办理、司法鉴定对接协助等全部辅助工作；</w:t>
            </w:r>
          </w:p>
          <w:p w14:paraId="2CC645C3">
            <w:pPr>
              <w:pStyle w:val="459"/>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480" w:lineRule="exact"/>
              <w:ind w:right="0" w:rightChars="0"/>
              <w:jc w:val="both"/>
              <w:textAlignment w:val="auto"/>
              <w:rPr>
                <w:rFonts w:hint="default" w:ascii="仿宋" w:hAnsi="仿宋" w:eastAsia="仿宋" w:cs="仿宋"/>
                <w:color w:val="auto"/>
                <w:sz w:val="24"/>
                <w:szCs w:val="24"/>
                <w:highlight w:val="none"/>
                <w:lang w:eastAsia="zh-CN"/>
              </w:rPr>
            </w:pPr>
            <w:r>
              <w:rPr>
                <w:rFonts w:hint="default" w:ascii="仿宋" w:hAnsi="仿宋" w:eastAsia="仿宋" w:cs="仿宋"/>
                <w:color w:val="auto"/>
                <w:sz w:val="24"/>
                <w:szCs w:val="24"/>
                <w:highlight w:val="none"/>
                <w:lang w:eastAsia="zh-CN"/>
              </w:rPr>
              <w:t>7.除本条款列明事项外，凡与本案一审、二审、再审、执行全流程相关的必要法律事务，均属于乙方服务范围，相关成本全部包含在合同总价内。</w:t>
            </w:r>
          </w:p>
          <w:p w14:paraId="5EACE148">
            <w:pPr>
              <w:pStyle w:val="459"/>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480" w:lineRule="exact"/>
              <w:ind w:right="0" w:rightChars="0"/>
              <w:jc w:val="both"/>
              <w:textAlignment w:val="auto"/>
              <w:rPr>
                <w:rFonts w:hint="default"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8.</w:t>
            </w:r>
            <w:r>
              <w:rPr>
                <w:rFonts w:hint="default" w:ascii="仿宋" w:hAnsi="仿宋" w:eastAsia="仿宋" w:cs="仿宋"/>
                <w:color w:val="auto"/>
                <w:sz w:val="24"/>
                <w:szCs w:val="24"/>
                <w:highlight w:val="none"/>
                <w:lang w:eastAsia="zh-CN"/>
              </w:rPr>
              <w:t>费用补充说明：①合同总价为固定包干价，已综合覆盖</w:t>
            </w:r>
            <w:r>
              <w:rPr>
                <w:rFonts w:hint="eastAsia" w:ascii="仿宋" w:hAnsi="仿宋" w:eastAsia="仿宋" w:cs="仿宋"/>
                <w:color w:val="auto"/>
                <w:sz w:val="24"/>
                <w:szCs w:val="24"/>
                <w:highlight w:val="none"/>
                <w:lang w:val="en-US" w:eastAsia="zh-CN"/>
              </w:rPr>
              <w:t>成交人</w:t>
            </w:r>
            <w:r>
              <w:rPr>
                <w:rFonts w:hint="default" w:ascii="仿宋" w:hAnsi="仿宋" w:eastAsia="仿宋" w:cs="仿宋"/>
                <w:color w:val="auto"/>
                <w:sz w:val="24"/>
                <w:szCs w:val="24"/>
                <w:highlight w:val="none"/>
                <w:lang w:eastAsia="zh-CN"/>
              </w:rPr>
              <w:t>完成上述全部服务所需交通费、住宿费、餐饮费、材料复印费、异地办案差旅、鉴定辅助配套支出等所有相关费用，</w:t>
            </w:r>
            <w:r>
              <w:rPr>
                <w:rFonts w:hint="eastAsia" w:ascii="仿宋" w:hAnsi="仿宋" w:eastAsia="仿宋" w:cs="仿宋"/>
                <w:color w:val="auto"/>
                <w:sz w:val="24"/>
                <w:szCs w:val="24"/>
                <w:highlight w:val="none"/>
                <w:lang w:val="en-US" w:eastAsia="zh-CN"/>
              </w:rPr>
              <w:t>采购人</w:t>
            </w:r>
            <w:r>
              <w:rPr>
                <w:rFonts w:hint="default" w:ascii="仿宋" w:hAnsi="仿宋" w:eastAsia="仿宋" w:cs="仿宋"/>
                <w:color w:val="auto"/>
                <w:sz w:val="24"/>
                <w:szCs w:val="24"/>
                <w:highlight w:val="none"/>
                <w:lang w:eastAsia="zh-CN"/>
              </w:rPr>
              <w:t>无需另行支付任何款项；②案涉全流程证据调取、文书制作、庭审、调解、反诉、执行、异议等全部法律事务均由</w:t>
            </w:r>
            <w:r>
              <w:rPr>
                <w:rFonts w:hint="eastAsia" w:ascii="仿宋" w:hAnsi="仿宋" w:eastAsia="仿宋" w:cs="仿宋"/>
                <w:color w:val="auto"/>
                <w:sz w:val="24"/>
                <w:szCs w:val="24"/>
                <w:highlight w:val="none"/>
                <w:lang w:val="en-US" w:eastAsia="zh-CN"/>
              </w:rPr>
              <w:t>成交人</w:t>
            </w:r>
            <w:r>
              <w:rPr>
                <w:rFonts w:hint="default" w:ascii="仿宋" w:hAnsi="仿宋" w:eastAsia="仿宋" w:cs="仿宋"/>
                <w:color w:val="auto"/>
                <w:sz w:val="24"/>
                <w:szCs w:val="24"/>
                <w:highlight w:val="none"/>
                <w:lang w:eastAsia="zh-CN"/>
              </w:rPr>
              <w:t>独立完成；</w:t>
            </w:r>
            <w:r>
              <w:rPr>
                <w:rFonts w:hint="eastAsia" w:ascii="仿宋" w:hAnsi="仿宋" w:eastAsia="仿宋" w:cs="仿宋"/>
                <w:color w:val="auto"/>
                <w:sz w:val="24"/>
                <w:szCs w:val="24"/>
                <w:highlight w:val="none"/>
                <w:lang w:val="en-US" w:eastAsia="zh-CN"/>
              </w:rPr>
              <w:t>采购人</w:t>
            </w:r>
            <w:r>
              <w:rPr>
                <w:rFonts w:hint="default" w:ascii="仿宋" w:hAnsi="仿宋" w:eastAsia="仿宋" w:cs="仿宋"/>
                <w:color w:val="auto"/>
                <w:sz w:val="24"/>
                <w:szCs w:val="24"/>
                <w:highlight w:val="none"/>
                <w:lang w:eastAsia="zh-CN"/>
              </w:rPr>
              <w:t>仅配合提供自身留存的合同、函件、付款凭证等基础原始资料，不承担证据整理、文书起草、外出调查等代理工作。</w:t>
            </w:r>
          </w:p>
        </w:tc>
      </w:tr>
    </w:tbl>
    <w:p w14:paraId="56AE91F7">
      <w:pPr>
        <w:rPr>
          <w:rFonts w:hint="eastAsia" w:ascii="宋体" w:hAnsi="宋体" w:cs="宋体"/>
          <w:color w:val="auto"/>
          <w:szCs w:val="21"/>
          <w:highlight w:val="none"/>
        </w:rPr>
      </w:pPr>
      <w:r>
        <w:rPr>
          <w:rFonts w:hint="eastAsia" w:ascii="宋体" w:hAnsi="宋体" w:cs="宋体"/>
          <w:color w:val="auto"/>
          <w:szCs w:val="21"/>
          <w:highlight w:val="none"/>
        </w:rPr>
        <w:br w:type="page"/>
      </w:r>
    </w:p>
    <w:bookmarkEnd w:id="60"/>
    <w:bookmarkEnd w:id="61"/>
    <w:bookmarkEnd w:id="62"/>
    <w:p w14:paraId="0ADF93E7">
      <w:pPr>
        <w:pStyle w:val="2"/>
        <w:numPr>
          <w:ilvl w:val="0"/>
          <w:numId w:val="9"/>
        </w:numPr>
        <w:spacing w:before="62" w:beforeLines="20" w:after="62" w:afterLines="20" w:line="480" w:lineRule="exact"/>
        <w:ind w:left="0" w:leftChars="0" w:firstLine="0" w:firstLineChars="0"/>
        <w:jc w:val="center"/>
        <w:rPr>
          <w:rFonts w:hint="default"/>
          <w:color w:val="auto"/>
          <w:highlight w:val="none"/>
          <w:lang w:val="en-US" w:eastAsia="zh-CN"/>
        </w:rPr>
      </w:pPr>
      <w:bookmarkStart w:id="63" w:name="_Toc8981"/>
      <w:bookmarkStart w:id="64" w:name="_Toc25399"/>
      <w:bookmarkStart w:id="65" w:name="_Toc439316880"/>
      <w:bookmarkStart w:id="66" w:name="_Toc54941341"/>
      <w:r>
        <w:rPr>
          <w:rFonts w:hint="eastAsia" w:ascii="Arial" w:hAnsi="Arial"/>
          <w:color w:val="auto"/>
          <w:kern w:val="2"/>
          <w:sz w:val="32"/>
          <w:szCs w:val="32"/>
          <w:highlight w:val="none"/>
          <w:lang w:val="en-US" w:eastAsia="zh-CN"/>
        </w:rPr>
        <w:t>安庆中安公司诉上海星徽汽车贸易有限公司合同纠纷案件委托代理服务合同</w:t>
      </w:r>
    </w:p>
    <w:p w14:paraId="023F6188">
      <w:pPr>
        <w:keepNext w:val="0"/>
        <w:keepLines w:val="0"/>
        <w:pageBreakBefore w:val="0"/>
        <w:widowControl w:val="0"/>
        <w:tabs>
          <w:tab w:val="left" w:pos="2040"/>
        </w:tabs>
        <w:kinsoku/>
        <w:wordWrap/>
        <w:overflowPunct/>
        <w:topLinePunct w:val="0"/>
        <w:autoSpaceDE/>
        <w:autoSpaceDN/>
        <w:bidi w:val="0"/>
        <w:adjustRightInd w:val="0"/>
        <w:snapToGrid w:val="0"/>
        <w:spacing w:beforeAutospacing="0" w:afterAutospacing="0" w:line="540" w:lineRule="exact"/>
        <w:ind w:firstLine="560" w:firstLineChars="200"/>
        <w:jc w:val="both"/>
        <w:textAlignment w:val="auto"/>
        <w:rPr>
          <w:rFonts w:hint="eastAsia" w:ascii="仿宋" w:hAnsi="仿宋" w:eastAsia="仿宋" w:cs="仿宋"/>
          <w:b w:val="0"/>
          <w:bCs/>
          <w:color w:val="auto"/>
          <w:sz w:val="28"/>
          <w:szCs w:val="28"/>
          <w:highlight w:val="none"/>
          <w:u w:val="none"/>
          <w:lang w:eastAsia="zh-CN"/>
        </w:rPr>
      </w:pPr>
      <w:r>
        <w:rPr>
          <w:rFonts w:hint="eastAsia" w:ascii="仿宋" w:hAnsi="仿宋" w:eastAsia="仿宋" w:cs="仿宋"/>
          <w:b w:val="0"/>
          <w:bCs/>
          <w:color w:val="auto"/>
          <w:sz w:val="28"/>
          <w:szCs w:val="28"/>
          <w:highlight w:val="none"/>
          <w:lang w:val="en-US" w:eastAsia="zh-CN"/>
        </w:rPr>
        <w:t>采购</w:t>
      </w:r>
      <w:r>
        <w:rPr>
          <w:rFonts w:hint="eastAsia" w:ascii="仿宋" w:hAnsi="仿宋" w:eastAsia="仿宋" w:cs="仿宋"/>
          <w:b w:val="0"/>
          <w:bCs/>
          <w:color w:val="auto"/>
          <w:sz w:val="28"/>
          <w:szCs w:val="28"/>
          <w:highlight w:val="none"/>
        </w:rPr>
        <w:t>人（甲方）：</w:t>
      </w:r>
      <w:r>
        <w:rPr>
          <w:rFonts w:hint="eastAsia" w:ascii="仿宋" w:hAnsi="仿宋" w:eastAsia="仿宋" w:cs="仿宋"/>
          <w:b w:val="0"/>
          <w:bCs/>
          <w:color w:val="auto"/>
          <w:sz w:val="28"/>
          <w:szCs w:val="28"/>
          <w:highlight w:val="none"/>
          <w:u w:val="single"/>
          <w:lang w:eastAsia="zh-CN"/>
        </w:rPr>
        <w:t>安庆</w:t>
      </w:r>
      <w:r>
        <w:rPr>
          <w:rFonts w:hint="eastAsia" w:ascii="仿宋" w:hAnsi="仿宋" w:eastAsia="仿宋" w:cs="仿宋"/>
          <w:b w:val="0"/>
          <w:bCs/>
          <w:color w:val="auto"/>
          <w:sz w:val="28"/>
          <w:szCs w:val="28"/>
          <w:highlight w:val="none"/>
          <w:u w:val="single"/>
          <w:lang w:val="en-US" w:eastAsia="zh-CN"/>
        </w:rPr>
        <w:t>中安供应链管理有限责任公司</w:t>
      </w:r>
      <w:r>
        <w:rPr>
          <w:rFonts w:hint="eastAsia" w:ascii="仿宋" w:hAnsi="仿宋" w:eastAsia="仿宋" w:cs="仿宋"/>
          <w:b w:val="0"/>
          <w:bCs/>
          <w:color w:val="auto"/>
          <w:sz w:val="28"/>
          <w:szCs w:val="28"/>
          <w:highlight w:val="none"/>
          <w:u w:val="none"/>
          <w:lang w:eastAsia="zh-CN"/>
        </w:rPr>
        <w:t>（</w:t>
      </w:r>
      <w:r>
        <w:rPr>
          <w:rFonts w:hint="eastAsia" w:ascii="仿宋" w:hAnsi="仿宋" w:eastAsia="仿宋" w:cs="仿宋"/>
          <w:b w:val="0"/>
          <w:bCs/>
          <w:color w:val="auto"/>
          <w:sz w:val="28"/>
          <w:szCs w:val="28"/>
          <w:highlight w:val="none"/>
          <w:u w:val="none"/>
          <w:lang w:val="en-US" w:eastAsia="zh-CN"/>
        </w:rPr>
        <w:t>简称“中安公司”</w:t>
      </w:r>
      <w:r>
        <w:rPr>
          <w:rFonts w:hint="eastAsia" w:ascii="仿宋" w:hAnsi="仿宋" w:eastAsia="仿宋" w:cs="仿宋"/>
          <w:b w:val="0"/>
          <w:bCs/>
          <w:color w:val="auto"/>
          <w:sz w:val="28"/>
          <w:szCs w:val="28"/>
          <w:highlight w:val="none"/>
          <w:u w:val="none"/>
          <w:lang w:eastAsia="zh-CN"/>
        </w:rPr>
        <w:t>）</w:t>
      </w:r>
    </w:p>
    <w:p w14:paraId="42F95634">
      <w:pPr>
        <w:keepNext w:val="0"/>
        <w:keepLines w:val="0"/>
        <w:pageBreakBefore w:val="0"/>
        <w:widowControl w:val="0"/>
        <w:tabs>
          <w:tab w:val="left" w:pos="2040"/>
        </w:tabs>
        <w:kinsoku/>
        <w:wordWrap/>
        <w:overflowPunct/>
        <w:topLinePunct w:val="0"/>
        <w:autoSpaceDE/>
        <w:autoSpaceDN/>
        <w:bidi w:val="0"/>
        <w:adjustRightInd w:val="0"/>
        <w:snapToGrid w:val="0"/>
        <w:spacing w:beforeAutospacing="0" w:afterAutospacing="0" w:line="540" w:lineRule="exact"/>
        <w:ind w:firstLine="560" w:firstLineChars="200"/>
        <w:jc w:val="both"/>
        <w:textAlignment w:val="auto"/>
        <w:rPr>
          <w:rFonts w:hint="eastAsia" w:ascii="仿宋" w:hAnsi="仿宋" w:eastAsia="仿宋" w:cs="仿宋"/>
          <w:b w:val="0"/>
          <w:bCs/>
          <w:color w:val="auto"/>
          <w:sz w:val="28"/>
          <w:szCs w:val="28"/>
          <w:highlight w:val="none"/>
          <w:u w:val="none"/>
          <w:lang w:eastAsia="zh-CN"/>
        </w:rPr>
      </w:pPr>
      <w:r>
        <w:rPr>
          <w:rFonts w:hint="eastAsia" w:ascii="仿宋" w:hAnsi="仿宋" w:eastAsia="仿宋" w:cs="仿宋"/>
          <w:b w:val="0"/>
          <w:bCs/>
          <w:color w:val="auto"/>
          <w:sz w:val="28"/>
          <w:szCs w:val="28"/>
          <w:highlight w:val="none"/>
        </w:rPr>
        <w:t>受托人（乙方）：</w:t>
      </w:r>
      <w:r>
        <w:rPr>
          <w:rFonts w:hint="eastAsia" w:ascii="仿宋" w:hAnsi="仿宋" w:eastAsia="仿宋" w:cs="仿宋"/>
          <w:b w:val="0"/>
          <w:bCs/>
          <w:color w:val="auto"/>
          <w:sz w:val="28"/>
          <w:szCs w:val="28"/>
          <w:highlight w:val="none"/>
          <w:u w:val="single"/>
          <w:lang w:val="en-US" w:eastAsia="zh-CN"/>
        </w:rPr>
        <w:t xml:space="preserve">                          </w:t>
      </w:r>
    </w:p>
    <w:p w14:paraId="76300354">
      <w:pPr>
        <w:keepNext w:val="0"/>
        <w:keepLines w:val="0"/>
        <w:pageBreakBefore w:val="0"/>
        <w:widowControl w:val="0"/>
        <w:numPr>
          <w:ilvl w:val="0"/>
          <w:numId w:val="0"/>
        </w:numPr>
        <w:tabs>
          <w:tab w:val="left" w:pos="636"/>
        </w:tabs>
        <w:kinsoku/>
        <w:wordWrap/>
        <w:overflowPunct/>
        <w:topLinePunct w:val="0"/>
        <w:autoSpaceDE/>
        <w:autoSpaceDN/>
        <w:bidi w:val="0"/>
        <w:adjustRightInd w:val="0"/>
        <w:snapToGrid w:val="0"/>
        <w:spacing w:beforeAutospacing="0" w:afterAutospacing="0" w:line="540" w:lineRule="exact"/>
        <w:ind w:firstLine="560" w:firstLineChars="200"/>
        <w:jc w:val="both"/>
        <w:textAlignment w:val="auto"/>
        <w:rPr>
          <w:rFonts w:hint="eastAsia" w:ascii="仿宋" w:hAnsi="仿宋" w:eastAsia="仿宋" w:cs="仿宋"/>
          <w:bCs/>
          <w:color w:val="auto"/>
          <w:sz w:val="28"/>
          <w:szCs w:val="28"/>
          <w:highlight w:val="none"/>
          <w:u w:val="none"/>
        </w:rPr>
      </w:pPr>
      <w:r>
        <w:rPr>
          <w:rFonts w:hint="eastAsia" w:ascii="仿宋" w:hAnsi="仿宋" w:eastAsia="仿宋" w:cs="仿宋"/>
          <w:bCs/>
          <w:color w:val="auto"/>
          <w:sz w:val="28"/>
          <w:szCs w:val="28"/>
          <w:highlight w:val="none"/>
        </w:rPr>
        <w:t>甲方与</w:t>
      </w:r>
      <w:r>
        <w:rPr>
          <w:rFonts w:hint="eastAsia" w:ascii="仿宋" w:hAnsi="仿宋" w:eastAsia="仿宋" w:cs="仿宋"/>
          <w:bCs/>
          <w:color w:val="auto"/>
          <w:sz w:val="28"/>
          <w:szCs w:val="28"/>
          <w:highlight w:val="none"/>
          <w:u w:val="single"/>
          <w:lang w:val="en-US" w:eastAsia="zh-CN"/>
        </w:rPr>
        <w:t xml:space="preserve">                         </w:t>
      </w:r>
      <w:r>
        <w:rPr>
          <w:rFonts w:hint="eastAsia" w:ascii="仿宋" w:hAnsi="仿宋" w:eastAsia="仿宋" w:cs="仿宋"/>
          <w:bCs/>
          <w:color w:val="auto"/>
          <w:sz w:val="28"/>
          <w:szCs w:val="28"/>
          <w:highlight w:val="none"/>
          <w:u w:val="none"/>
          <w:lang w:eastAsia="zh-CN"/>
        </w:rPr>
        <w:t>（</w:t>
      </w:r>
      <w:r>
        <w:rPr>
          <w:rFonts w:hint="eastAsia" w:ascii="仿宋" w:hAnsi="仿宋" w:eastAsia="仿宋" w:cs="仿宋"/>
          <w:bCs/>
          <w:color w:val="auto"/>
          <w:sz w:val="28"/>
          <w:szCs w:val="28"/>
          <w:highlight w:val="none"/>
          <w:u w:val="none"/>
          <w:lang w:val="en-US" w:eastAsia="zh-CN"/>
        </w:rPr>
        <w:t>简称</w:t>
      </w:r>
      <w:r>
        <w:rPr>
          <w:rFonts w:hint="eastAsia" w:ascii="仿宋" w:hAnsi="仿宋" w:eastAsia="仿宋" w:cs="仿宋"/>
          <w:bCs/>
          <w:color w:val="auto"/>
          <w:sz w:val="28"/>
          <w:szCs w:val="28"/>
          <w:highlight w:val="none"/>
          <w:u w:val="single"/>
          <w:lang w:val="en-US" w:eastAsia="zh-CN"/>
        </w:rPr>
        <w:t>“              ”</w:t>
      </w:r>
      <w:r>
        <w:rPr>
          <w:rFonts w:hint="eastAsia" w:ascii="仿宋" w:hAnsi="仿宋" w:eastAsia="仿宋" w:cs="仿宋"/>
          <w:bCs/>
          <w:color w:val="auto"/>
          <w:sz w:val="28"/>
          <w:szCs w:val="28"/>
          <w:highlight w:val="none"/>
          <w:u w:val="none"/>
          <w:lang w:eastAsia="zh-CN"/>
        </w:rPr>
        <w:t>）</w:t>
      </w:r>
      <w:r>
        <w:rPr>
          <w:rFonts w:hint="eastAsia" w:ascii="仿宋" w:hAnsi="仿宋" w:eastAsia="仿宋" w:cs="仿宋"/>
          <w:bCs/>
          <w:color w:val="auto"/>
          <w:sz w:val="28"/>
          <w:szCs w:val="28"/>
          <w:highlight w:val="none"/>
          <w:u w:val="none"/>
        </w:rPr>
        <w:t>因</w:t>
      </w:r>
    </w:p>
    <w:p w14:paraId="76C4E84B">
      <w:pPr>
        <w:keepNext w:val="0"/>
        <w:keepLines w:val="0"/>
        <w:pageBreakBefore w:val="0"/>
        <w:widowControl w:val="0"/>
        <w:numPr>
          <w:ilvl w:val="0"/>
          <w:numId w:val="0"/>
        </w:numPr>
        <w:tabs>
          <w:tab w:val="left" w:pos="636"/>
        </w:tabs>
        <w:kinsoku/>
        <w:wordWrap/>
        <w:overflowPunct/>
        <w:topLinePunct w:val="0"/>
        <w:autoSpaceDE/>
        <w:autoSpaceDN/>
        <w:bidi w:val="0"/>
        <w:adjustRightInd w:val="0"/>
        <w:snapToGrid w:val="0"/>
        <w:spacing w:beforeAutospacing="0" w:afterAutospacing="0" w:line="540" w:lineRule="exact"/>
        <w:jc w:val="both"/>
        <w:textAlignment w:val="auto"/>
        <w:rPr>
          <w:rFonts w:hint="eastAsia" w:ascii="仿宋" w:hAnsi="仿宋" w:eastAsia="仿宋" w:cs="仿宋"/>
          <w:bCs/>
          <w:color w:val="auto"/>
          <w:sz w:val="28"/>
          <w:szCs w:val="28"/>
          <w:highlight w:val="none"/>
          <w:lang w:eastAsia="zh-CN"/>
        </w:rPr>
      </w:pPr>
      <w:r>
        <w:rPr>
          <w:rFonts w:hint="eastAsia" w:ascii="仿宋" w:hAnsi="仿宋" w:eastAsia="仿宋" w:cs="仿宋"/>
          <w:bCs/>
          <w:color w:val="auto"/>
          <w:sz w:val="28"/>
          <w:szCs w:val="28"/>
          <w:highlight w:val="none"/>
          <w:u w:val="single"/>
          <w:lang w:val="en-US" w:eastAsia="zh-CN"/>
        </w:rPr>
        <w:t xml:space="preserve">            </w:t>
      </w:r>
      <w:r>
        <w:rPr>
          <w:rFonts w:hint="eastAsia" w:ascii="仿宋" w:hAnsi="仿宋" w:eastAsia="仿宋" w:cs="仿宋"/>
          <w:bCs/>
          <w:color w:val="auto"/>
          <w:sz w:val="28"/>
          <w:szCs w:val="28"/>
          <w:highlight w:val="none"/>
        </w:rPr>
        <w:t>（</w:t>
      </w:r>
      <w:r>
        <w:rPr>
          <w:rFonts w:hint="eastAsia" w:ascii="仿宋" w:hAnsi="仿宋" w:eastAsia="仿宋" w:cs="仿宋"/>
          <w:bCs/>
          <w:color w:val="auto"/>
          <w:sz w:val="28"/>
          <w:szCs w:val="28"/>
          <w:highlight w:val="none"/>
          <w:lang w:val="en-US" w:eastAsia="zh-CN"/>
        </w:rPr>
        <w:t>项目</w:t>
      </w:r>
      <w:r>
        <w:rPr>
          <w:rFonts w:hint="eastAsia" w:ascii="仿宋" w:hAnsi="仿宋" w:eastAsia="仿宋" w:cs="仿宋"/>
          <w:bCs/>
          <w:color w:val="auto"/>
          <w:sz w:val="28"/>
          <w:szCs w:val="28"/>
          <w:highlight w:val="none"/>
        </w:rPr>
        <w:t>地点：</w:t>
      </w:r>
      <w:r>
        <w:rPr>
          <w:rFonts w:hint="eastAsia" w:ascii="仿宋" w:hAnsi="仿宋" w:eastAsia="仿宋" w:cs="仿宋"/>
          <w:bCs/>
          <w:color w:val="auto"/>
          <w:sz w:val="28"/>
          <w:szCs w:val="28"/>
          <w:highlight w:val="none"/>
          <w:u w:val="single"/>
          <w:lang w:val="en-US" w:eastAsia="zh-CN"/>
        </w:rPr>
        <w:t>安徽安庆</w:t>
      </w:r>
      <w:r>
        <w:rPr>
          <w:rFonts w:hint="eastAsia" w:ascii="仿宋" w:hAnsi="仿宋" w:eastAsia="仿宋" w:cs="仿宋"/>
          <w:bCs/>
          <w:color w:val="auto"/>
          <w:sz w:val="28"/>
          <w:szCs w:val="28"/>
          <w:highlight w:val="none"/>
        </w:rPr>
        <w:t>）</w:t>
      </w:r>
      <w:r>
        <w:rPr>
          <w:rFonts w:hint="eastAsia" w:ascii="仿宋" w:hAnsi="仿宋" w:eastAsia="仿宋" w:cs="仿宋"/>
          <w:bCs/>
          <w:color w:val="auto"/>
          <w:sz w:val="28"/>
          <w:szCs w:val="28"/>
          <w:highlight w:val="none"/>
          <w:lang w:val="en-US" w:eastAsia="zh-CN"/>
        </w:rPr>
        <w:t>合同</w:t>
      </w:r>
      <w:r>
        <w:rPr>
          <w:rFonts w:hint="eastAsia" w:ascii="仿宋" w:hAnsi="仿宋" w:eastAsia="仿宋" w:cs="仿宋"/>
          <w:bCs/>
          <w:color w:val="auto"/>
          <w:sz w:val="28"/>
          <w:szCs w:val="28"/>
          <w:highlight w:val="none"/>
        </w:rPr>
        <w:t>的</w:t>
      </w:r>
      <w:r>
        <w:rPr>
          <w:rFonts w:hint="eastAsia" w:ascii="仿宋" w:hAnsi="仿宋" w:eastAsia="仿宋" w:cs="仿宋"/>
          <w:bCs/>
          <w:color w:val="auto"/>
          <w:sz w:val="28"/>
          <w:szCs w:val="28"/>
          <w:highlight w:val="none"/>
          <w:lang w:val="en-US" w:eastAsia="zh-CN"/>
        </w:rPr>
        <w:t>义务</w:t>
      </w:r>
      <w:r>
        <w:rPr>
          <w:rFonts w:hint="eastAsia" w:ascii="仿宋" w:hAnsi="仿宋" w:eastAsia="仿宋" w:cs="仿宋"/>
          <w:bCs/>
          <w:color w:val="auto"/>
          <w:sz w:val="28"/>
          <w:szCs w:val="28"/>
          <w:highlight w:val="none"/>
        </w:rPr>
        <w:t>履行发生争议，纠纷类型为</w:t>
      </w:r>
      <w:r>
        <w:rPr>
          <w:rFonts w:hint="eastAsia" w:ascii="仿宋" w:hAnsi="仿宋" w:eastAsia="仿宋" w:cs="仿宋"/>
          <w:bCs/>
          <w:color w:val="auto"/>
          <w:sz w:val="28"/>
          <w:szCs w:val="28"/>
          <w:highlight w:val="none"/>
          <w:u w:val="single"/>
          <w:lang w:val="en-US" w:eastAsia="zh-CN"/>
        </w:rPr>
        <w:t>逾期付款提车等</w:t>
      </w:r>
      <w:r>
        <w:rPr>
          <w:rFonts w:hint="eastAsia" w:ascii="仿宋" w:hAnsi="仿宋" w:eastAsia="仿宋" w:cs="仿宋"/>
          <w:bCs/>
          <w:color w:val="auto"/>
          <w:sz w:val="28"/>
          <w:szCs w:val="28"/>
          <w:highlight w:val="none"/>
        </w:rPr>
        <w:t>，需委托乙方代理相关法律事务</w:t>
      </w:r>
      <w:r>
        <w:rPr>
          <w:rFonts w:hint="eastAsia" w:ascii="仿宋" w:hAnsi="仿宋" w:eastAsia="仿宋" w:cs="仿宋"/>
          <w:bCs/>
          <w:color w:val="auto"/>
          <w:sz w:val="28"/>
          <w:szCs w:val="28"/>
          <w:highlight w:val="none"/>
          <w:lang w:eastAsia="zh-CN"/>
        </w:rPr>
        <w:t>；</w:t>
      </w:r>
    </w:p>
    <w:p w14:paraId="27DB1BDD">
      <w:pPr>
        <w:keepNext w:val="0"/>
        <w:keepLines w:val="0"/>
        <w:pageBreakBefore w:val="0"/>
        <w:widowControl w:val="0"/>
        <w:numPr>
          <w:ilvl w:val="0"/>
          <w:numId w:val="0"/>
        </w:numPr>
        <w:tabs>
          <w:tab w:val="left" w:pos="636"/>
        </w:tabs>
        <w:kinsoku/>
        <w:wordWrap/>
        <w:overflowPunct/>
        <w:topLinePunct w:val="0"/>
        <w:autoSpaceDE/>
        <w:autoSpaceDN/>
        <w:bidi w:val="0"/>
        <w:adjustRightInd w:val="0"/>
        <w:snapToGrid w:val="0"/>
        <w:spacing w:beforeAutospacing="0" w:afterAutospacing="0" w:line="540" w:lineRule="exact"/>
        <w:ind w:firstLine="560" w:firstLineChars="200"/>
        <w:jc w:val="both"/>
        <w:textAlignment w:val="auto"/>
        <w:rPr>
          <w:rFonts w:hint="eastAsia" w:ascii="仿宋" w:hAnsi="仿宋" w:eastAsia="仿宋" w:cs="仿宋"/>
          <w:bCs/>
          <w:color w:val="auto"/>
          <w:sz w:val="28"/>
          <w:szCs w:val="28"/>
          <w:highlight w:val="none"/>
          <w:lang w:eastAsia="zh-CN"/>
        </w:rPr>
      </w:pPr>
      <w:r>
        <w:rPr>
          <w:rFonts w:hint="eastAsia" w:ascii="仿宋" w:hAnsi="仿宋" w:eastAsia="仿宋" w:cs="仿宋"/>
          <w:bCs/>
          <w:color w:val="auto"/>
          <w:sz w:val="28"/>
          <w:szCs w:val="28"/>
          <w:highlight w:val="none"/>
          <w:lang w:eastAsia="zh-CN"/>
        </w:rPr>
        <w:t>乙方具备处理</w:t>
      </w:r>
      <w:r>
        <w:rPr>
          <w:rFonts w:hint="eastAsia" w:ascii="仿宋" w:hAnsi="仿宋" w:eastAsia="仿宋" w:cs="仿宋"/>
          <w:bCs/>
          <w:color w:val="auto"/>
          <w:sz w:val="28"/>
          <w:szCs w:val="28"/>
          <w:highlight w:val="none"/>
          <w:lang w:val="en-US" w:eastAsia="zh-CN"/>
        </w:rPr>
        <w:t>民事合同</w:t>
      </w:r>
      <w:r>
        <w:rPr>
          <w:rFonts w:hint="eastAsia" w:ascii="仿宋" w:hAnsi="仿宋" w:eastAsia="仿宋" w:cs="仿宋"/>
          <w:bCs/>
          <w:color w:val="auto"/>
          <w:sz w:val="28"/>
          <w:szCs w:val="28"/>
          <w:highlight w:val="none"/>
          <w:lang w:eastAsia="zh-CN"/>
        </w:rPr>
        <w:t>纠纷的专业资质及经验，指派</w:t>
      </w:r>
      <w:r>
        <w:rPr>
          <w:rFonts w:hint="eastAsia" w:ascii="仿宋" w:hAnsi="仿宋" w:eastAsia="仿宋" w:cs="仿宋"/>
          <w:bCs/>
          <w:color w:val="auto"/>
          <w:sz w:val="28"/>
          <w:szCs w:val="28"/>
          <w:highlight w:val="none"/>
          <w:u w:val="single"/>
          <w:lang w:val="en-US" w:eastAsia="zh-CN"/>
        </w:rPr>
        <w:t xml:space="preserve">        </w:t>
      </w:r>
      <w:r>
        <w:rPr>
          <w:rFonts w:hint="eastAsia" w:ascii="仿宋" w:hAnsi="仿宋" w:eastAsia="仿宋" w:cs="仿宋"/>
          <w:bCs/>
          <w:color w:val="auto"/>
          <w:sz w:val="28"/>
          <w:szCs w:val="28"/>
          <w:highlight w:val="none"/>
          <w:lang w:eastAsia="zh-CN"/>
        </w:rPr>
        <w:t>律师（执业证号：</w:t>
      </w:r>
      <w:r>
        <w:rPr>
          <w:rFonts w:hint="eastAsia" w:ascii="仿宋" w:hAnsi="仿宋" w:eastAsia="仿宋" w:cs="仿宋"/>
          <w:bCs/>
          <w:color w:val="auto"/>
          <w:sz w:val="28"/>
          <w:szCs w:val="28"/>
          <w:highlight w:val="none"/>
          <w:u w:val="single"/>
          <w:lang w:val="en-US" w:eastAsia="zh-CN"/>
        </w:rPr>
        <w:t xml:space="preserve">                 </w:t>
      </w:r>
      <w:r>
        <w:rPr>
          <w:rFonts w:hint="eastAsia" w:ascii="仿宋" w:hAnsi="仿宋" w:eastAsia="仿宋" w:cs="仿宋"/>
          <w:bCs/>
          <w:color w:val="auto"/>
          <w:sz w:val="28"/>
          <w:szCs w:val="28"/>
          <w:highlight w:val="none"/>
          <w:lang w:eastAsia="zh-CN"/>
        </w:rPr>
        <w:t>）作为</w:t>
      </w:r>
      <w:r>
        <w:rPr>
          <w:rFonts w:hint="eastAsia" w:ascii="仿宋" w:hAnsi="仿宋" w:eastAsia="仿宋" w:cs="仿宋"/>
          <w:bCs/>
          <w:color w:val="auto"/>
          <w:sz w:val="28"/>
          <w:szCs w:val="28"/>
          <w:highlight w:val="none"/>
          <w:lang w:val="en-US" w:eastAsia="zh-CN"/>
        </w:rPr>
        <w:t>主办</w:t>
      </w:r>
      <w:r>
        <w:rPr>
          <w:rFonts w:hint="eastAsia" w:ascii="仿宋" w:hAnsi="仿宋" w:eastAsia="仿宋" w:cs="仿宋"/>
          <w:bCs/>
          <w:color w:val="auto"/>
          <w:sz w:val="28"/>
          <w:szCs w:val="28"/>
          <w:highlight w:val="none"/>
          <w:lang w:eastAsia="zh-CN"/>
        </w:rPr>
        <w:t>律师；</w:t>
      </w:r>
    </w:p>
    <w:p w14:paraId="40092EE4">
      <w:pPr>
        <w:keepNext w:val="0"/>
        <w:keepLines w:val="0"/>
        <w:pageBreakBefore w:val="0"/>
        <w:widowControl w:val="0"/>
        <w:numPr>
          <w:ilvl w:val="0"/>
          <w:numId w:val="0"/>
        </w:numPr>
        <w:tabs>
          <w:tab w:val="left" w:pos="636"/>
        </w:tabs>
        <w:kinsoku/>
        <w:wordWrap/>
        <w:overflowPunct/>
        <w:topLinePunct w:val="0"/>
        <w:autoSpaceDE/>
        <w:autoSpaceDN/>
        <w:bidi w:val="0"/>
        <w:adjustRightInd w:val="0"/>
        <w:snapToGrid w:val="0"/>
        <w:spacing w:beforeAutospacing="0" w:afterAutospacing="0" w:line="540" w:lineRule="exact"/>
        <w:ind w:firstLine="560" w:firstLineChars="200"/>
        <w:jc w:val="both"/>
        <w:textAlignment w:val="auto"/>
        <w:rPr>
          <w:rFonts w:hint="eastAsia"/>
          <w:color w:val="auto"/>
          <w:highlight w:val="none"/>
          <w:lang w:eastAsia="zh-CN"/>
        </w:rPr>
      </w:pPr>
      <w:r>
        <w:rPr>
          <w:rFonts w:hint="eastAsia" w:ascii="仿宋" w:hAnsi="仿宋" w:eastAsia="仿宋" w:cs="仿宋"/>
          <w:bCs/>
          <w:color w:val="auto"/>
          <w:sz w:val="28"/>
          <w:szCs w:val="28"/>
          <w:highlight w:val="none"/>
          <w:lang w:eastAsia="zh-CN"/>
        </w:rPr>
        <w:t>根据《中华人民共和国民法典》《中华人民共和国律师法》等规定，双方协商一致，订立本合同。</w:t>
      </w:r>
    </w:p>
    <w:p w14:paraId="1195B86E">
      <w:pPr>
        <w:pStyle w:val="8"/>
        <w:pageBreakBefore w:val="0"/>
        <w:kinsoku/>
        <w:overflowPunct/>
        <w:topLinePunct w:val="0"/>
        <w:autoSpaceDE/>
        <w:autoSpaceDN/>
        <w:bidi w:val="0"/>
        <w:adjustRightInd w:val="0"/>
        <w:snapToGrid w:val="0"/>
        <w:spacing w:line="540" w:lineRule="exact"/>
        <w:ind w:left="0" w:firstLine="562"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一、代理事项与权限</w:t>
      </w:r>
    </w:p>
    <w:p w14:paraId="29135210">
      <w:pPr>
        <w:pStyle w:val="9"/>
        <w:pageBreakBefore w:val="0"/>
        <w:kinsoku/>
        <w:overflowPunct/>
        <w:topLinePunct w:val="0"/>
        <w:autoSpaceDE/>
        <w:autoSpaceDN/>
        <w:bidi w:val="0"/>
        <w:adjustRightInd w:val="0"/>
        <w:snapToGrid w:val="0"/>
        <w:spacing w:before="0" w:after="0" w:line="540" w:lineRule="exact"/>
        <w:ind w:left="0" w:firstLine="562"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（一）代理阶段</w:t>
      </w:r>
    </w:p>
    <w:p w14:paraId="22C21E5F">
      <w:pPr>
        <w:pStyle w:val="459"/>
        <w:pageBreakBefore w:val="0"/>
        <w:kinsoku/>
        <w:overflowPunct/>
        <w:topLinePunct w:val="0"/>
        <w:autoSpaceDE/>
        <w:autoSpaceDN/>
        <w:bidi w:val="0"/>
        <w:adjustRightInd w:val="0"/>
        <w:snapToGrid w:val="0"/>
        <w:spacing w:before="0" w:after="0" w:line="540" w:lineRule="exact"/>
        <w:ind w:left="0"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 xml:space="preserve"> 非诉阶段（协商 / 调解 / 造价鉴定） </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 xml:space="preserve"> 诉讼一审 </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 xml:space="preserve"> 诉讼二审 </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 xml:space="preserve"> 再审 </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 xml:space="preserve"> 强制执行 </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 xml:space="preserve"> 全阶段代理</w:t>
      </w:r>
    </w:p>
    <w:p w14:paraId="2EC79423">
      <w:pPr>
        <w:pStyle w:val="459"/>
        <w:keepNext w:val="0"/>
        <w:keepLines w:val="0"/>
        <w:pageBreakBefore w:val="0"/>
        <w:widowControl w:val="0"/>
        <w:kinsoku/>
        <w:overflowPunct/>
        <w:topLinePunct w:val="0"/>
        <w:autoSpaceDE/>
        <w:autoSpaceDN/>
        <w:bidi w:val="0"/>
        <w:adjustRightInd w:val="0"/>
        <w:snapToGrid w:val="0"/>
        <w:spacing w:before="0" w:after="0" w:line="540" w:lineRule="exact"/>
        <w:ind w:lef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服务期限：自接受</w:t>
      </w:r>
      <w:r>
        <w:rPr>
          <w:rFonts w:hint="eastAsia" w:ascii="仿宋" w:hAnsi="仿宋" w:eastAsia="仿宋" w:cs="仿宋"/>
          <w:color w:val="auto"/>
          <w:sz w:val="28"/>
          <w:szCs w:val="28"/>
          <w:highlight w:val="none"/>
          <w:lang w:val="en-US" w:eastAsia="zh-CN"/>
        </w:rPr>
        <w:t>甲方</w:t>
      </w:r>
      <w:r>
        <w:rPr>
          <w:rFonts w:hint="eastAsia" w:ascii="仿宋" w:hAnsi="仿宋" w:eastAsia="仿宋" w:cs="仿宋"/>
          <w:color w:val="auto"/>
          <w:sz w:val="28"/>
          <w:szCs w:val="28"/>
          <w:highlight w:val="none"/>
        </w:rPr>
        <w:t>委托通知之日起到案件执行终结，包括所有诉讼阶段，包括但不限于一审、二审、再审（如有）、强制执行等全部司法阶段；若本案出具终审裁判文书后，</w:t>
      </w:r>
      <w:r>
        <w:rPr>
          <w:rFonts w:hint="eastAsia" w:ascii="仿宋" w:hAnsi="仿宋" w:eastAsia="仿宋" w:cs="仿宋"/>
          <w:color w:val="auto"/>
          <w:sz w:val="28"/>
          <w:szCs w:val="28"/>
          <w:highlight w:val="none"/>
          <w:lang w:val="en-US" w:eastAsia="zh-CN"/>
        </w:rPr>
        <w:t>被告</w:t>
      </w:r>
      <w:r>
        <w:rPr>
          <w:rFonts w:hint="eastAsia" w:ascii="仿宋" w:hAnsi="仿宋" w:eastAsia="仿宋" w:cs="仿宋"/>
          <w:color w:val="auto"/>
          <w:sz w:val="28"/>
          <w:szCs w:val="28"/>
          <w:highlight w:val="none"/>
        </w:rPr>
        <w:t>基于同一事实、同一法律关系另行起诉的，乙方仍应提供全流程代理服务，对应服务成本已全部包含在本合同总价内，采购人无需另行支付任何费用。</w:t>
      </w:r>
    </w:p>
    <w:p w14:paraId="53AD43CD">
      <w:pPr>
        <w:pStyle w:val="9"/>
        <w:pageBreakBefore w:val="0"/>
        <w:kinsoku/>
        <w:overflowPunct/>
        <w:topLinePunct w:val="0"/>
        <w:autoSpaceDE/>
        <w:autoSpaceDN/>
        <w:bidi w:val="0"/>
        <w:adjustRightInd w:val="0"/>
        <w:snapToGrid w:val="0"/>
        <w:spacing w:before="0" w:after="0" w:line="540" w:lineRule="exact"/>
        <w:ind w:left="0" w:firstLine="562"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（二）具体服务内容</w:t>
      </w:r>
    </w:p>
    <w:p w14:paraId="288D78AF">
      <w:pPr>
        <w:pStyle w:val="459"/>
        <w:keepNext w:val="0"/>
        <w:keepLines w:val="0"/>
        <w:pageBreakBefore w:val="0"/>
        <w:widowControl w:val="0"/>
        <w:numPr>
          <w:ilvl w:val="0"/>
          <w:numId w:val="11"/>
        </w:numPr>
        <w:kinsoku/>
        <w:wordWrap/>
        <w:overflowPunct/>
        <w:topLinePunct w:val="0"/>
        <w:autoSpaceDE/>
        <w:autoSpaceDN/>
        <w:bidi w:val="0"/>
        <w:adjustRightInd w:val="0"/>
        <w:snapToGrid w:val="0"/>
        <w:spacing w:before="0" w:after="0" w:line="540" w:lineRule="exact"/>
        <w:ind w:left="0" w:leftChars="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证据归集整理：全面调查、收集案涉合同、费用确认单、往来函件、转账凭证等全部涉案证据，完成证据分类、梳理及举证材料</w:t>
      </w:r>
      <w:r>
        <w:rPr>
          <w:rFonts w:hint="eastAsia" w:ascii="仿宋" w:hAnsi="仿宋" w:eastAsia="仿宋" w:cs="仿宋"/>
          <w:color w:val="auto"/>
          <w:sz w:val="28"/>
          <w:szCs w:val="28"/>
          <w:highlight w:val="none"/>
          <w:lang w:val="en-US" w:eastAsia="zh-CN"/>
        </w:rPr>
        <w:t>编制</w:t>
      </w:r>
      <w:r>
        <w:rPr>
          <w:rFonts w:hint="eastAsia" w:ascii="仿宋" w:hAnsi="仿宋" w:eastAsia="仿宋" w:cs="仿宋"/>
          <w:color w:val="auto"/>
          <w:sz w:val="28"/>
          <w:szCs w:val="28"/>
          <w:highlight w:val="none"/>
        </w:rPr>
        <w:t>；</w:t>
      </w:r>
    </w:p>
    <w:p w14:paraId="39F66EAB">
      <w:pPr>
        <w:pStyle w:val="459"/>
        <w:keepNext w:val="0"/>
        <w:keepLines w:val="0"/>
        <w:pageBreakBefore w:val="0"/>
        <w:widowControl w:val="0"/>
        <w:numPr>
          <w:ilvl w:val="0"/>
          <w:numId w:val="11"/>
        </w:numPr>
        <w:kinsoku/>
        <w:wordWrap/>
        <w:overflowPunct/>
        <w:topLinePunct w:val="0"/>
        <w:autoSpaceDE/>
        <w:autoSpaceDN/>
        <w:bidi w:val="0"/>
        <w:adjustRightInd w:val="0"/>
        <w:snapToGrid w:val="0"/>
        <w:spacing w:before="0" w:after="0" w:line="540" w:lineRule="exact"/>
        <w:ind w:left="0" w:leftChars="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法律文书处理：起草起诉状、答辩状、代理词、调解协议、执行申请书、异议申请书等全套诉讼、执行法律文书，负责全部文书的打印、邮寄、送达、签收管理；</w:t>
      </w:r>
    </w:p>
    <w:p w14:paraId="705FCFFF">
      <w:pPr>
        <w:pStyle w:val="459"/>
        <w:keepNext w:val="0"/>
        <w:keepLines w:val="0"/>
        <w:pageBreakBefore w:val="0"/>
        <w:widowControl w:val="0"/>
        <w:numPr>
          <w:ilvl w:val="0"/>
          <w:numId w:val="11"/>
        </w:numPr>
        <w:kinsoku/>
        <w:wordWrap/>
        <w:overflowPunct/>
        <w:topLinePunct w:val="0"/>
        <w:autoSpaceDE/>
        <w:autoSpaceDN/>
        <w:bidi w:val="0"/>
        <w:adjustRightInd w:val="0"/>
        <w:snapToGrid w:val="0"/>
        <w:spacing w:before="0" w:after="0" w:line="540" w:lineRule="exact"/>
        <w:ind w:left="0" w:leftChars="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庭审及协商工作：全程参与诉前协商、庭外谈判、法院调解、一审/二审/再审庭审等全部司法程序，当庭发表代理意见、开展举证质证与法庭辩论；</w:t>
      </w:r>
    </w:p>
    <w:p w14:paraId="36797905">
      <w:pPr>
        <w:pStyle w:val="459"/>
        <w:keepNext w:val="0"/>
        <w:keepLines w:val="0"/>
        <w:pageBreakBefore w:val="0"/>
        <w:widowControl w:val="0"/>
        <w:numPr>
          <w:ilvl w:val="0"/>
          <w:numId w:val="11"/>
        </w:numPr>
        <w:kinsoku/>
        <w:wordWrap/>
        <w:overflowPunct/>
        <w:topLinePunct w:val="0"/>
        <w:autoSpaceDE/>
        <w:autoSpaceDN/>
        <w:bidi w:val="0"/>
        <w:adjustRightInd w:val="0"/>
        <w:snapToGrid w:val="0"/>
        <w:spacing w:before="0" w:after="0" w:line="540" w:lineRule="exact"/>
        <w:ind w:left="0" w:leftChars="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强制执行代理：案件进入执行阶段后，全权办理被执行人财产线索查询、财产查控、查封冻结、案款对接回收等全部执行相关事务；</w:t>
      </w:r>
    </w:p>
    <w:p w14:paraId="2354AA10">
      <w:pPr>
        <w:pStyle w:val="459"/>
        <w:keepNext w:val="0"/>
        <w:keepLines w:val="0"/>
        <w:pageBreakBefore w:val="0"/>
        <w:widowControl w:val="0"/>
        <w:numPr>
          <w:ilvl w:val="0"/>
          <w:numId w:val="11"/>
        </w:numPr>
        <w:kinsoku/>
        <w:wordWrap/>
        <w:overflowPunct/>
        <w:topLinePunct w:val="0"/>
        <w:autoSpaceDE/>
        <w:autoSpaceDN/>
        <w:bidi w:val="0"/>
        <w:adjustRightInd w:val="0"/>
        <w:snapToGrid w:val="0"/>
        <w:spacing w:before="0" w:after="0" w:line="540" w:lineRule="exact"/>
        <w:ind w:left="0" w:leftChars="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配套事务包干：承担本案全流程衍生配套工作，包括但不限于工商、不动产、银行档案查询、材料复印、执行异议/复议办理、司法鉴定对接协助等全部辅助工作</w:t>
      </w:r>
      <w:r>
        <w:rPr>
          <w:rFonts w:hint="eastAsia" w:ascii="仿宋" w:hAnsi="仿宋" w:eastAsia="仿宋" w:cs="仿宋"/>
          <w:color w:val="auto"/>
          <w:sz w:val="28"/>
          <w:szCs w:val="28"/>
          <w:highlight w:val="none"/>
          <w:lang w:eastAsia="zh-CN"/>
        </w:rPr>
        <w:t>；</w:t>
      </w:r>
    </w:p>
    <w:p w14:paraId="4148DFD1">
      <w:pPr>
        <w:pStyle w:val="459"/>
        <w:keepNext w:val="0"/>
        <w:keepLines w:val="0"/>
        <w:pageBreakBefore w:val="0"/>
        <w:widowControl w:val="0"/>
        <w:numPr>
          <w:ilvl w:val="0"/>
          <w:numId w:val="11"/>
        </w:numPr>
        <w:kinsoku/>
        <w:wordWrap/>
        <w:overflowPunct/>
        <w:topLinePunct w:val="0"/>
        <w:autoSpaceDE/>
        <w:autoSpaceDN/>
        <w:bidi w:val="0"/>
        <w:adjustRightInd w:val="0"/>
        <w:snapToGrid w:val="0"/>
        <w:spacing w:before="0" w:after="0" w:line="540" w:lineRule="exact"/>
        <w:ind w:left="0" w:leftChars="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除本条款列明事项外，凡与本案一审、二审、再审、执行全流程相关的必要法律事务，均属于乙方服务范围，相关成本全部包含在合同总价内。</w:t>
      </w:r>
    </w:p>
    <w:p w14:paraId="67FACF1A">
      <w:pPr>
        <w:pStyle w:val="459"/>
        <w:keepNext w:val="0"/>
        <w:keepLines w:val="0"/>
        <w:pageBreakBefore w:val="0"/>
        <w:widowControl/>
        <w:numPr>
          <w:ilvl w:val="0"/>
          <w:numId w:val="11"/>
        </w:numPr>
        <w:kinsoku/>
        <w:wordWrap/>
        <w:overflowPunct/>
        <w:topLinePunct w:val="0"/>
        <w:autoSpaceDE/>
        <w:autoSpaceDN/>
        <w:bidi w:val="0"/>
        <w:adjustRightInd w:val="0"/>
        <w:snapToGrid w:val="0"/>
        <w:spacing w:before="0" w:after="0" w:line="540" w:lineRule="exact"/>
        <w:ind w:left="0" w:leftChars="0"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费用补充说明</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u w:val="single"/>
          <w:lang w:val="en-US" w:eastAsia="zh-CN"/>
        </w:rPr>
        <w:t>①本合同总价为固定包干价，已综合覆盖乙方完成上述全部服务所需交通费、住宿费、餐饮费、材料复印费、异地办案差旅、鉴定辅助配套支出等所有相关费用，甲方无需另行支付任何款项；②案涉全流程证据调取、文书制作、庭审、调解、执行、异议等全部法律事务均由乙方独立完成；甲方仅配合提供自身留存的合同、函件、付款凭证等基础原始资料，不承担证据整理、文书起草、外出调查等代理工作</w:t>
      </w:r>
      <w:r>
        <w:rPr>
          <w:rFonts w:hint="eastAsia" w:ascii="仿宋" w:hAnsi="仿宋" w:eastAsia="仿宋" w:cs="仿宋"/>
          <w:color w:val="auto"/>
          <w:sz w:val="28"/>
          <w:szCs w:val="28"/>
          <w:highlight w:val="none"/>
        </w:rPr>
        <w:t>。</w:t>
      </w:r>
    </w:p>
    <w:p w14:paraId="23BDEA3C">
      <w:pPr>
        <w:pStyle w:val="9"/>
        <w:pageBreakBefore w:val="0"/>
        <w:kinsoku/>
        <w:overflowPunct/>
        <w:topLinePunct w:val="0"/>
        <w:autoSpaceDE/>
        <w:autoSpaceDN/>
        <w:bidi w:val="0"/>
        <w:adjustRightInd w:val="0"/>
        <w:snapToGrid w:val="0"/>
        <w:spacing w:before="0" w:after="0" w:line="540" w:lineRule="exact"/>
        <w:ind w:left="0" w:firstLine="562"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（三）代理权限</w:t>
      </w:r>
    </w:p>
    <w:p w14:paraId="6DF9E765">
      <w:pPr>
        <w:pStyle w:val="459"/>
        <w:pageBreakBefore w:val="0"/>
        <w:kinsoku/>
        <w:overflowPunct/>
        <w:topLinePunct w:val="0"/>
        <w:autoSpaceDE/>
        <w:autoSpaceDN/>
        <w:bidi w:val="0"/>
        <w:adjustRightInd w:val="0"/>
        <w:snapToGrid w:val="0"/>
        <w:spacing w:before="0" w:after="0" w:line="540" w:lineRule="exact"/>
        <w:ind w:left="0"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 xml:space="preserve"> 一般授权（代为提交证据、出庭辩论等）</w:t>
      </w:r>
    </w:p>
    <w:p w14:paraId="27FDE423">
      <w:pPr>
        <w:pStyle w:val="459"/>
        <w:pageBreakBefore w:val="0"/>
        <w:kinsoku/>
        <w:overflowPunct/>
        <w:topLinePunct w:val="0"/>
        <w:autoSpaceDE/>
        <w:autoSpaceDN/>
        <w:bidi w:val="0"/>
        <w:adjustRightInd w:val="0"/>
        <w:snapToGrid w:val="0"/>
        <w:spacing w:before="0" w:after="0" w:line="540" w:lineRule="exact"/>
        <w:ind w:left="0"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 xml:space="preserve"> 特别授权：代为承认、变更、放弃诉讼请求，开展调解、和解协商，代为签收、领取本案相关法律文书；</w:t>
      </w:r>
    </w:p>
    <w:p w14:paraId="7E7291D2">
      <w:pPr>
        <w:pStyle w:val="459"/>
        <w:pageBreakBefore w:val="0"/>
        <w:kinsoku/>
        <w:overflowPunct/>
        <w:topLinePunct w:val="0"/>
        <w:autoSpaceDE/>
        <w:autoSpaceDN/>
        <w:bidi w:val="0"/>
        <w:adjustRightInd w:val="0"/>
        <w:snapToGrid w:val="0"/>
        <w:spacing w:before="0" w:after="0" w:line="540" w:lineRule="exact"/>
        <w:ind w:left="0" w:firstLine="560"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乙方开展和解、作出放弃重大债权的处分行为前，必须事先书面征求甲方意见，未取得甲方书面许可不得擅自实施</w:t>
      </w:r>
      <w:bookmarkStart w:id="67" w:name="_Toc7509"/>
      <w:r>
        <w:rPr>
          <w:rFonts w:hint="eastAsia" w:ascii="仿宋" w:hAnsi="仿宋" w:eastAsia="仿宋" w:cs="仿宋"/>
          <w:color w:val="auto"/>
          <w:sz w:val="28"/>
          <w:szCs w:val="28"/>
          <w:highlight w:val="none"/>
          <w:lang w:eastAsia="zh-CN"/>
        </w:rPr>
        <w:t>，否则由此产生的全部损失由乙方承担。</w:t>
      </w:r>
    </w:p>
    <w:p w14:paraId="0C3591DA">
      <w:pPr>
        <w:pStyle w:val="459"/>
        <w:pageBreakBefore w:val="0"/>
        <w:kinsoku/>
        <w:overflowPunct/>
        <w:topLinePunct w:val="0"/>
        <w:autoSpaceDE/>
        <w:autoSpaceDN/>
        <w:bidi w:val="0"/>
        <w:adjustRightInd w:val="0"/>
        <w:snapToGrid w:val="0"/>
        <w:spacing w:before="0" w:after="0" w:line="540" w:lineRule="exact"/>
        <w:ind w:left="0" w:firstLine="562" w:firstLineChars="200"/>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rPr>
        <w:t>（</w:t>
      </w:r>
      <w:r>
        <w:rPr>
          <w:rFonts w:hint="eastAsia" w:ascii="仿宋" w:hAnsi="仿宋" w:eastAsia="仿宋" w:cs="仿宋"/>
          <w:b/>
          <w:bCs/>
          <w:color w:val="auto"/>
          <w:sz w:val="28"/>
          <w:szCs w:val="28"/>
          <w:highlight w:val="none"/>
          <w:lang w:val="en-US" w:eastAsia="zh-CN"/>
        </w:rPr>
        <w:t>四</w:t>
      </w:r>
      <w:r>
        <w:rPr>
          <w:rFonts w:hint="eastAsia" w:ascii="仿宋" w:hAnsi="仿宋" w:eastAsia="仿宋" w:cs="仿宋"/>
          <w:b/>
          <w:bCs/>
          <w:color w:val="auto"/>
          <w:sz w:val="28"/>
          <w:szCs w:val="28"/>
          <w:highlight w:val="none"/>
        </w:rPr>
        <w:t>）</w:t>
      </w:r>
      <w:r>
        <w:rPr>
          <w:rFonts w:hint="eastAsia" w:ascii="仿宋" w:hAnsi="仿宋" w:eastAsia="仿宋" w:cs="仿宋"/>
          <w:b/>
          <w:bCs/>
          <w:color w:val="auto"/>
          <w:sz w:val="28"/>
          <w:szCs w:val="28"/>
          <w:highlight w:val="none"/>
          <w:lang w:val="en-US" w:eastAsia="zh-CN"/>
        </w:rPr>
        <w:t>案件概况</w:t>
      </w:r>
      <w:bookmarkEnd w:id="67"/>
    </w:p>
    <w:p w14:paraId="456679F3">
      <w:pPr>
        <w:pStyle w:val="459"/>
        <w:keepNext w:val="0"/>
        <w:keepLines w:val="0"/>
        <w:pageBreakBefore w:val="0"/>
        <w:widowControl/>
        <w:numPr>
          <w:ilvl w:val="0"/>
          <w:numId w:val="12"/>
        </w:numPr>
        <w:kinsoku/>
        <w:wordWrap/>
        <w:overflowPunct/>
        <w:topLinePunct w:val="0"/>
        <w:autoSpaceDE/>
        <w:autoSpaceDN/>
        <w:bidi w:val="0"/>
        <w:adjustRightInd w:val="0"/>
        <w:snapToGrid w:val="0"/>
        <w:spacing w:before="0" w:after="0" w:line="540" w:lineRule="exact"/>
        <w:ind w:left="0" w:leftChars="0"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原告：</w:t>
      </w:r>
      <w:r>
        <w:rPr>
          <w:rFonts w:hint="eastAsia" w:ascii="仿宋" w:hAnsi="仿宋" w:eastAsia="仿宋" w:cs="仿宋"/>
          <w:color w:val="auto"/>
          <w:sz w:val="28"/>
          <w:szCs w:val="28"/>
          <w:highlight w:val="none"/>
          <w:lang w:val="en-US" w:eastAsia="zh-CN"/>
        </w:rPr>
        <w:t>安庆中安供应链管理有限责任</w:t>
      </w:r>
      <w:r>
        <w:rPr>
          <w:rFonts w:hint="eastAsia" w:ascii="仿宋" w:hAnsi="仿宋" w:eastAsia="仿宋" w:cs="仿宋"/>
          <w:color w:val="auto"/>
          <w:sz w:val="28"/>
          <w:szCs w:val="28"/>
          <w:highlight w:val="none"/>
        </w:rPr>
        <w:t>公司；</w:t>
      </w:r>
    </w:p>
    <w:p w14:paraId="61AB2933">
      <w:pPr>
        <w:keepNext w:val="0"/>
        <w:keepLines w:val="0"/>
        <w:pageBreakBefore w:val="0"/>
        <w:widowControl w:val="0"/>
        <w:numPr>
          <w:ilvl w:val="0"/>
          <w:numId w:val="8"/>
        </w:numPr>
        <w:kinsoku/>
        <w:wordWrap/>
        <w:overflowPunct/>
        <w:topLinePunct w:val="0"/>
        <w:autoSpaceDE/>
        <w:autoSpaceDN/>
        <w:bidi w:val="0"/>
        <w:adjustRightInd w:val="0"/>
        <w:snapToGrid w:val="0"/>
        <w:spacing w:line="580" w:lineRule="exact"/>
        <w:ind w:left="0" w:leftChars="0" w:firstLine="560" w:firstLineChars="200"/>
        <w:jc w:val="both"/>
        <w:textAlignment w:val="auto"/>
        <w:rPr>
          <w:rFonts w:hint="default" w:ascii="仿宋" w:hAnsi="仿宋" w:eastAsia="仿宋" w:cs="仿宋"/>
          <w:color w:val="auto"/>
          <w:sz w:val="30"/>
          <w:szCs w:val="30"/>
          <w:highlight w:val="none"/>
          <w:u w:val="none"/>
          <w:lang w:val="en-US" w:eastAsia="zh-CN"/>
        </w:rPr>
      </w:pPr>
      <w:r>
        <w:rPr>
          <w:rFonts w:hint="eastAsia" w:ascii="仿宋" w:hAnsi="仿宋" w:eastAsia="仿宋" w:cs="仿宋"/>
          <w:color w:val="auto"/>
          <w:sz w:val="28"/>
          <w:szCs w:val="28"/>
          <w:highlight w:val="none"/>
        </w:rPr>
        <w:t>被告：</w:t>
      </w:r>
      <w:r>
        <w:rPr>
          <w:rFonts w:hint="eastAsia" w:ascii="仿宋" w:hAnsi="仿宋" w:eastAsia="仿宋" w:cs="仿宋"/>
          <w:color w:val="auto"/>
          <w:sz w:val="30"/>
          <w:szCs w:val="30"/>
          <w:highlight w:val="none"/>
          <w:u w:val="none"/>
          <w:lang w:val="en-US" w:eastAsia="zh-CN"/>
        </w:rPr>
        <w:t>①被告一:上海星徽汽车贸易有限公司；②被告二:上海星微国际贸易有限公司；</w:t>
      </w:r>
    </w:p>
    <w:p w14:paraId="02165BF2">
      <w:pPr>
        <w:pStyle w:val="459"/>
        <w:keepNext w:val="0"/>
        <w:keepLines w:val="0"/>
        <w:pageBreakBefore w:val="0"/>
        <w:widowControl/>
        <w:numPr>
          <w:ilvl w:val="0"/>
          <w:numId w:val="12"/>
        </w:numPr>
        <w:kinsoku/>
        <w:wordWrap/>
        <w:overflowPunct/>
        <w:topLinePunct w:val="0"/>
        <w:autoSpaceDE/>
        <w:autoSpaceDN/>
        <w:bidi w:val="0"/>
        <w:adjustRightInd w:val="0"/>
        <w:snapToGrid w:val="0"/>
        <w:spacing w:before="0" w:after="0" w:line="540" w:lineRule="exact"/>
        <w:ind w:left="0" w:leftChars="0"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诉讼标的额：</w:t>
      </w:r>
      <w:r>
        <w:rPr>
          <w:rFonts w:hint="eastAsia" w:ascii="仿宋" w:hAnsi="仿宋" w:eastAsia="仿宋" w:cs="仿宋"/>
          <w:color w:val="auto"/>
          <w:sz w:val="30"/>
          <w:szCs w:val="30"/>
          <w:highlight w:val="none"/>
          <w:u w:val="none"/>
          <w:lang w:val="en-US" w:eastAsia="zh-CN"/>
        </w:rPr>
        <w:t>4312.85万元</w:t>
      </w:r>
      <w:r>
        <w:rPr>
          <w:rFonts w:hint="eastAsia" w:ascii="仿宋" w:hAnsi="仿宋" w:eastAsia="仿宋" w:cs="仿宋"/>
          <w:color w:val="auto"/>
          <w:sz w:val="28"/>
          <w:szCs w:val="28"/>
          <w:highlight w:val="none"/>
        </w:rPr>
        <w:t>；</w:t>
      </w:r>
    </w:p>
    <w:p w14:paraId="76795066">
      <w:pPr>
        <w:pStyle w:val="459"/>
        <w:pageBreakBefore w:val="0"/>
        <w:kinsoku/>
        <w:overflowPunct/>
        <w:topLinePunct w:val="0"/>
        <w:autoSpaceDE/>
        <w:autoSpaceDN/>
        <w:bidi w:val="0"/>
        <w:adjustRightInd w:val="0"/>
        <w:snapToGrid w:val="0"/>
        <w:spacing w:before="0" w:after="0" w:line="540" w:lineRule="exact"/>
        <w:ind w:left="0" w:firstLine="562" w:firstLineChars="200"/>
        <w:textAlignment w:val="auto"/>
        <w:rPr>
          <w:rFonts w:hint="eastAsia" w:ascii="仿宋" w:hAnsi="仿宋" w:eastAsia="仿宋" w:cs="仿宋"/>
          <w:b/>
          <w:bCs/>
          <w:color w:val="auto"/>
          <w:sz w:val="28"/>
          <w:szCs w:val="28"/>
          <w:highlight w:val="none"/>
          <w:lang w:val="en-US" w:eastAsia="zh-CN"/>
        </w:rPr>
      </w:pPr>
      <w:bookmarkStart w:id="68" w:name="_Toc11261"/>
      <w:r>
        <w:rPr>
          <w:rFonts w:hint="eastAsia" w:ascii="仿宋" w:hAnsi="仿宋" w:eastAsia="仿宋" w:cs="仿宋"/>
          <w:b/>
          <w:bCs/>
          <w:color w:val="auto"/>
          <w:sz w:val="28"/>
          <w:szCs w:val="28"/>
          <w:highlight w:val="none"/>
          <w:lang w:val="en-US" w:eastAsia="zh-CN"/>
        </w:rPr>
        <w:t>（五）代理团队配置</w:t>
      </w:r>
      <w:bookmarkEnd w:id="68"/>
    </w:p>
    <w:tbl>
      <w:tblPr>
        <w:tblStyle w:val="61"/>
        <w:tblW w:w="8687"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952"/>
        <w:gridCol w:w="1637"/>
        <w:gridCol w:w="2205"/>
        <w:gridCol w:w="1575"/>
        <w:gridCol w:w="2318"/>
      </w:tblGrid>
      <w:tr w14:paraId="5E7DB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7" w:hRule="exact"/>
          <w:tblHeader/>
          <w:jc w:val="right"/>
        </w:trPr>
        <w:tc>
          <w:tcPr>
            <w:tcW w:w="952" w:type="dxa"/>
            <w:tcBorders>
              <w:top w:val="single" w:color="auto" w:sz="4" w:space="0"/>
              <w:left w:val="single" w:color="auto" w:sz="4" w:space="0"/>
              <w:bottom w:val="single" w:color="auto" w:sz="4" w:space="0"/>
              <w:right w:val="single" w:color="auto" w:sz="4" w:space="0"/>
            </w:tcBorders>
            <w:shd w:val="clear" w:color="auto" w:fill="auto"/>
            <w:vAlign w:val="center"/>
          </w:tcPr>
          <w:p w14:paraId="3903EE7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rPr>
                <w:rFonts w:hint="eastAsia" w:ascii="仿宋" w:hAnsi="仿宋" w:eastAsia="仿宋" w:cs="仿宋"/>
                <w:color w:val="auto"/>
                <w:sz w:val="21"/>
                <w:szCs w:val="21"/>
                <w:highlight w:val="none"/>
                <w:lang w:val="en-US"/>
              </w:rPr>
            </w:pPr>
            <w:r>
              <w:rPr>
                <w:rFonts w:hint="eastAsia" w:ascii="仿宋" w:hAnsi="仿宋" w:eastAsia="仿宋" w:cs="仿宋"/>
                <w:color w:val="auto"/>
                <w:kern w:val="2"/>
                <w:sz w:val="21"/>
                <w:szCs w:val="21"/>
                <w:highlight w:val="none"/>
                <w:lang w:val="en-US" w:eastAsia="zh-CN" w:bidi="ar"/>
              </w:rPr>
              <w:t>姓名</w:t>
            </w:r>
          </w:p>
        </w:tc>
        <w:tc>
          <w:tcPr>
            <w:tcW w:w="1637" w:type="dxa"/>
            <w:tcBorders>
              <w:top w:val="single" w:color="auto" w:sz="4" w:space="0"/>
              <w:left w:val="single" w:color="auto" w:sz="4" w:space="0"/>
              <w:bottom w:val="single" w:color="auto" w:sz="4" w:space="0"/>
              <w:right w:val="single" w:color="auto" w:sz="4" w:space="0"/>
            </w:tcBorders>
            <w:shd w:val="clear" w:color="auto" w:fill="auto"/>
            <w:vAlign w:val="center"/>
          </w:tcPr>
          <w:p w14:paraId="279A7DF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rPr>
                <w:rFonts w:hint="eastAsia" w:ascii="仿宋" w:hAnsi="仿宋" w:eastAsia="仿宋" w:cs="仿宋"/>
                <w:color w:val="auto"/>
                <w:sz w:val="21"/>
                <w:szCs w:val="21"/>
                <w:highlight w:val="none"/>
                <w:lang w:val="en-US"/>
              </w:rPr>
            </w:pPr>
            <w:r>
              <w:rPr>
                <w:rFonts w:hint="eastAsia" w:ascii="仿宋" w:hAnsi="仿宋" w:eastAsia="仿宋" w:cs="仿宋"/>
                <w:color w:val="auto"/>
                <w:kern w:val="2"/>
                <w:sz w:val="21"/>
                <w:szCs w:val="21"/>
                <w:highlight w:val="none"/>
                <w:lang w:val="en-US" w:eastAsia="zh-CN" w:bidi="ar"/>
              </w:rPr>
              <w:t>本案团队角色</w:t>
            </w:r>
          </w:p>
        </w:tc>
        <w:tc>
          <w:tcPr>
            <w:tcW w:w="2205" w:type="dxa"/>
            <w:tcBorders>
              <w:top w:val="single" w:color="auto" w:sz="4" w:space="0"/>
              <w:left w:val="single" w:color="auto" w:sz="4" w:space="0"/>
              <w:bottom w:val="single" w:color="auto" w:sz="4" w:space="0"/>
              <w:right w:val="single" w:color="auto" w:sz="4" w:space="0"/>
            </w:tcBorders>
            <w:shd w:val="clear" w:color="auto" w:fill="auto"/>
            <w:vAlign w:val="center"/>
          </w:tcPr>
          <w:p w14:paraId="33F7373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rPr>
                <w:rFonts w:hint="eastAsia" w:ascii="仿宋" w:hAnsi="仿宋" w:eastAsia="仿宋" w:cs="仿宋"/>
                <w:color w:val="auto"/>
                <w:sz w:val="21"/>
                <w:szCs w:val="21"/>
                <w:highlight w:val="none"/>
                <w:lang w:val="en-US"/>
              </w:rPr>
            </w:pPr>
            <w:r>
              <w:rPr>
                <w:rFonts w:hint="eastAsia" w:ascii="仿宋" w:hAnsi="仿宋" w:eastAsia="仿宋" w:cs="仿宋"/>
                <w:color w:val="auto"/>
                <w:kern w:val="2"/>
                <w:sz w:val="21"/>
                <w:szCs w:val="21"/>
                <w:highlight w:val="none"/>
                <w:lang w:val="en-US" w:eastAsia="zh-CN" w:bidi="ar"/>
              </w:rPr>
              <w:t>职务</w:t>
            </w:r>
          </w:p>
        </w:tc>
        <w:tc>
          <w:tcPr>
            <w:tcW w:w="1575" w:type="dxa"/>
            <w:tcBorders>
              <w:top w:val="single" w:color="auto" w:sz="4" w:space="0"/>
              <w:left w:val="single" w:color="auto" w:sz="4" w:space="0"/>
              <w:bottom w:val="single" w:color="auto" w:sz="4" w:space="0"/>
              <w:right w:val="single" w:color="auto" w:sz="4" w:space="0"/>
            </w:tcBorders>
            <w:shd w:val="clear" w:color="auto" w:fill="auto"/>
            <w:vAlign w:val="center"/>
          </w:tcPr>
          <w:p w14:paraId="55DF730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rPr>
                <w:rFonts w:hint="eastAsia" w:ascii="仿宋" w:hAnsi="仿宋" w:eastAsia="仿宋" w:cs="仿宋"/>
                <w:color w:val="auto"/>
                <w:sz w:val="21"/>
                <w:szCs w:val="21"/>
                <w:highlight w:val="none"/>
                <w:lang w:val="en-US"/>
              </w:rPr>
            </w:pPr>
            <w:r>
              <w:rPr>
                <w:rFonts w:hint="eastAsia" w:ascii="仿宋" w:hAnsi="仿宋" w:eastAsia="仿宋" w:cs="仿宋"/>
                <w:color w:val="auto"/>
                <w:kern w:val="2"/>
                <w:sz w:val="21"/>
                <w:szCs w:val="21"/>
                <w:highlight w:val="none"/>
                <w:lang w:val="en-US" w:eastAsia="zh-CN" w:bidi="ar"/>
              </w:rPr>
              <w:t>法律从业年限</w:t>
            </w:r>
          </w:p>
        </w:tc>
        <w:tc>
          <w:tcPr>
            <w:tcW w:w="2318" w:type="dxa"/>
            <w:tcBorders>
              <w:top w:val="single" w:color="auto" w:sz="4" w:space="0"/>
              <w:left w:val="single" w:color="auto" w:sz="4" w:space="0"/>
              <w:bottom w:val="single" w:color="auto" w:sz="4" w:space="0"/>
              <w:right w:val="single" w:color="auto" w:sz="4" w:space="0"/>
            </w:tcBorders>
            <w:shd w:val="clear" w:color="auto" w:fill="auto"/>
            <w:vAlign w:val="center"/>
          </w:tcPr>
          <w:p w14:paraId="05A1F2C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rPr>
                <w:rFonts w:hint="default" w:ascii="仿宋" w:hAnsi="仿宋" w:eastAsia="仿宋" w:cs="仿宋"/>
                <w:color w:val="auto"/>
                <w:kern w:val="2"/>
                <w:sz w:val="21"/>
                <w:szCs w:val="21"/>
                <w:highlight w:val="none"/>
                <w:lang w:val="en-US" w:eastAsia="zh-CN" w:bidi="ar"/>
              </w:rPr>
            </w:pPr>
            <w:r>
              <w:rPr>
                <w:rFonts w:hint="eastAsia" w:ascii="仿宋" w:hAnsi="仿宋" w:eastAsia="仿宋" w:cs="仿宋"/>
                <w:color w:val="auto"/>
                <w:kern w:val="2"/>
                <w:sz w:val="21"/>
                <w:szCs w:val="21"/>
                <w:highlight w:val="none"/>
                <w:lang w:val="en-US" w:eastAsia="zh-CN" w:bidi="ar"/>
              </w:rPr>
              <w:t>执业资格证号</w:t>
            </w:r>
          </w:p>
        </w:tc>
      </w:tr>
      <w:tr w14:paraId="5BD34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right"/>
        </w:trPr>
        <w:tc>
          <w:tcPr>
            <w:tcW w:w="952" w:type="dxa"/>
            <w:tcBorders>
              <w:top w:val="single" w:color="auto" w:sz="4" w:space="0"/>
              <w:left w:val="single" w:color="auto" w:sz="4" w:space="0"/>
              <w:bottom w:val="single" w:color="auto" w:sz="4" w:space="0"/>
              <w:right w:val="single" w:color="auto" w:sz="4" w:space="0"/>
            </w:tcBorders>
            <w:shd w:val="clear" w:color="auto" w:fill="auto"/>
            <w:vAlign w:val="center"/>
          </w:tcPr>
          <w:p w14:paraId="5FE6BA1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center"/>
              <w:rPr>
                <w:rFonts w:hint="eastAsia" w:ascii="仿宋" w:hAnsi="仿宋" w:eastAsia="仿宋" w:cs="仿宋"/>
                <w:color w:val="auto"/>
                <w:sz w:val="21"/>
                <w:szCs w:val="21"/>
                <w:highlight w:val="none"/>
                <w:lang w:val="en-US"/>
              </w:rPr>
            </w:pPr>
          </w:p>
        </w:tc>
        <w:tc>
          <w:tcPr>
            <w:tcW w:w="1637" w:type="dxa"/>
            <w:tcBorders>
              <w:top w:val="single" w:color="auto" w:sz="4" w:space="0"/>
              <w:left w:val="single" w:color="auto" w:sz="4" w:space="0"/>
              <w:bottom w:val="single" w:color="auto" w:sz="4" w:space="0"/>
              <w:right w:val="single" w:color="auto" w:sz="4" w:space="0"/>
            </w:tcBorders>
            <w:shd w:val="clear" w:color="auto" w:fill="auto"/>
            <w:vAlign w:val="center"/>
          </w:tcPr>
          <w:p w14:paraId="4C340EC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center"/>
              <w:rPr>
                <w:rFonts w:hint="eastAsia" w:ascii="仿宋" w:hAnsi="仿宋" w:eastAsia="仿宋" w:cs="仿宋"/>
                <w:color w:val="auto"/>
                <w:sz w:val="21"/>
                <w:szCs w:val="21"/>
                <w:highlight w:val="none"/>
                <w:lang w:val="en-US"/>
              </w:rPr>
            </w:pPr>
          </w:p>
        </w:tc>
        <w:tc>
          <w:tcPr>
            <w:tcW w:w="2205" w:type="dxa"/>
            <w:tcBorders>
              <w:top w:val="single" w:color="auto" w:sz="4" w:space="0"/>
              <w:left w:val="single" w:color="auto" w:sz="4" w:space="0"/>
              <w:bottom w:val="single" w:color="auto" w:sz="4" w:space="0"/>
              <w:right w:val="single" w:color="auto" w:sz="4" w:space="0"/>
            </w:tcBorders>
            <w:shd w:val="clear" w:color="auto" w:fill="auto"/>
            <w:vAlign w:val="center"/>
          </w:tcPr>
          <w:p w14:paraId="7ECFFA3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both"/>
              <w:textAlignment w:val="center"/>
              <w:rPr>
                <w:rFonts w:hint="eastAsia" w:ascii="仿宋" w:hAnsi="仿宋" w:eastAsia="仿宋" w:cs="仿宋"/>
                <w:color w:val="auto"/>
                <w:sz w:val="21"/>
                <w:szCs w:val="21"/>
                <w:highlight w:val="none"/>
                <w:lang w:val="en-US"/>
              </w:rPr>
            </w:pPr>
          </w:p>
        </w:tc>
        <w:tc>
          <w:tcPr>
            <w:tcW w:w="1575" w:type="dxa"/>
            <w:tcBorders>
              <w:top w:val="single" w:color="auto" w:sz="4" w:space="0"/>
              <w:left w:val="single" w:color="auto" w:sz="4" w:space="0"/>
              <w:bottom w:val="single" w:color="auto" w:sz="4" w:space="0"/>
              <w:right w:val="single" w:color="auto" w:sz="4" w:space="0"/>
            </w:tcBorders>
            <w:shd w:val="clear" w:color="auto" w:fill="auto"/>
            <w:vAlign w:val="center"/>
          </w:tcPr>
          <w:p w14:paraId="0289740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rPr>
                <w:rFonts w:hint="eastAsia" w:ascii="仿宋" w:hAnsi="仿宋" w:eastAsia="仿宋" w:cs="仿宋"/>
                <w:color w:val="auto"/>
                <w:sz w:val="21"/>
                <w:szCs w:val="21"/>
                <w:highlight w:val="none"/>
                <w:lang w:val="en-US"/>
              </w:rPr>
            </w:pPr>
          </w:p>
        </w:tc>
        <w:tc>
          <w:tcPr>
            <w:tcW w:w="2318" w:type="dxa"/>
            <w:tcBorders>
              <w:top w:val="single" w:color="auto" w:sz="4" w:space="0"/>
              <w:left w:val="single" w:color="auto" w:sz="4" w:space="0"/>
              <w:bottom w:val="single" w:color="auto" w:sz="4" w:space="0"/>
              <w:right w:val="single" w:color="auto" w:sz="4" w:space="0"/>
            </w:tcBorders>
            <w:shd w:val="clear" w:color="auto" w:fill="auto"/>
            <w:vAlign w:val="center"/>
          </w:tcPr>
          <w:p w14:paraId="5903E04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rPr>
                <w:rFonts w:hint="default" w:ascii="仿宋" w:hAnsi="仿宋" w:eastAsia="仿宋" w:cs="仿宋"/>
                <w:color w:val="auto"/>
                <w:kern w:val="2"/>
                <w:sz w:val="21"/>
                <w:szCs w:val="21"/>
                <w:highlight w:val="none"/>
                <w:lang w:val="en-US" w:eastAsia="zh-CN" w:bidi="ar"/>
              </w:rPr>
            </w:pPr>
          </w:p>
        </w:tc>
      </w:tr>
      <w:tr w14:paraId="60290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right"/>
        </w:trPr>
        <w:tc>
          <w:tcPr>
            <w:tcW w:w="952" w:type="dxa"/>
            <w:tcBorders>
              <w:top w:val="single" w:color="auto" w:sz="4" w:space="0"/>
              <w:left w:val="single" w:color="auto" w:sz="4" w:space="0"/>
              <w:bottom w:val="single" w:color="auto" w:sz="4" w:space="0"/>
              <w:right w:val="single" w:color="auto" w:sz="4" w:space="0"/>
            </w:tcBorders>
            <w:shd w:val="clear" w:color="auto" w:fill="auto"/>
            <w:vAlign w:val="center"/>
          </w:tcPr>
          <w:p w14:paraId="5F20D38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center"/>
              <w:rPr>
                <w:rFonts w:hint="eastAsia" w:ascii="仿宋" w:hAnsi="仿宋" w:eastAsia="仿宋" w:cs="仿宋"/>
                <w:color w:val="auto"/>
                <w:sz w:val="21"/>
                <w:szCs w:val="21"/>
                <w:highlight w:val="none"/>
                <w:lang w:val="en-US"/>
              </w:rPr>
            </w:pPr>
          </w:p>
        </w:tc>
        <w:tc>
          <w:tcPr>
            <w:tcW w:w="1637" w:type="dxa"/>
            <w:tcBorders>
              <w:top w:val="single" w:color="auto" w:sz="4" w:space="0"/>
              <w:left w:val="single" w:color="auto" w:sz="4" w:space="0"/>
              <w:bottom w:val="single" w:color="auto" w:sz="4" w:space="0"/>
              <w:right w:val="single" w:color="auto" w:sz="4" w:space="0"/>
            </w:tcBorders>
            <w:shd w:val="clear" w:color="auto" w:fill="auto"/>
            <w:vAlign w:val="center"/>
          </w:tcPr>
          <w:p w14:paraId="77D09BF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center"/>
              <w:rPr>
                <w:rFonts w:hint="eastAsia" w:ascii="仿宋" w:hAnsi="仿宋" w:eastAsia="仿宋" w:cs="仿宋"/>
                <w:color w:val="auto"/>
                <w:sz w:val="21"/>
                <w:szCs w:val="21"/>
                <w:highlight w:val="none"/>
                <w:lang w:val="en-US"/>
              </w:rPr>
            </w:pPr>
          </w:p>
        </w:tc>
        <w:tc>
          <w:tcPr>
            <w:tcW w:w="2205" w:type="dxa"/>
            <w:tcBorders>
              <w:top w:val="single" w:color="auto" w:sz="4" w:space="0"/>
              <w:left w:val="single" w:color="auto" w:sz="4" w:space="0"/>
              <w:bottom w:val="single" w:color="auto" w:sz="4" w:space="0"/>
              <w:right w:val="single" w:color="auto" w:sz="4" w:space="0"/>
            </w:tcBorders>
            <w:shd w:val="clear" w:color="auto" w:fill="auto"/>
            <w:vAlign w:val="center"/>
          </w:tcPr>
          <w:p w14:paraId="0AA36F5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both"/>
              <w:textAlignment w:val="center"/>
              <w:rPr>
                <w:rFonts w:hint="eastAsia" w:ascii="仿宋" w:hAnsi="仿宋" w:eastAsia="仿宋" w:cs="仿宋"/>
                <w:color w:val="auto"/>
                <w:sz w:val="21"/>
                <w:szCs w:val="21"/>
                <w:highlight w:val="none"/>
                <w:lang w:val="en-US"/>
              </w:rPr>
            </w:pPr>
          </w:p>
        </w:tc>
        <w:tc>
          <w:tcPr>
            <w:tcW w:w="1575" w:type="dxa"/>
            <w:tcBorders>
              <w:top w:val="single" w:color="auto" w:sz="4" w:space="0"/>
              <w:left w:val="single" w:color="auto" w:sz="4" w:space="0"/>
              <w:bottom w:val="single" w:color="auto" w:sz="4" w:space="0"/>
              <w:right w:val="single" w:color="auto" w:sz="4" w:space="0"/>
            </w:tcBorders>
            <w:shd w:val="clear" w:color="auto" w:fill="auto"/>
            <w:vAlign w:val="center"/>
          </w:tcPr>
          <w:p w14:paraId="5E1C064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rPr>
                <w:rFonts w:hint="eastAsia" w:ascii="仿宋" w:hAnsi="仿宋" w:eastAsia="仿宋" w:cs="仿宋"/>
                <w:color w:val="auto"/>
                <w:sz w:val="21"/>
                <w:szCs w:val="21"/>
                <w:highlight w:val="none"/>
                <w:lang w:val="en-US"/>
              </w:rPr>
            </w:pPr>
          </w:p>
        </w:tc>
        <w:tc>
          <w:tcPr>
            <w:tcW w:w="2318" w:type="dxa"/>
            <w:tcBorders>
              <w:top w:val="single" w:color="auto" w:sz="4" w:space="0"/>
              <w:left w:val="single" w:color="auto" w:sz="4" w:space="0"/>
              <w:bottom w:val="single" w:color="auto" w:sz="4" w:space="0"/>
              <w:right w:val="single" w:color="auto" w:sz="4" w:space="0"/>
            </w:tcBorders>
            <w:shd w:val="clear" w:color="auto" w:fill="auto"/>
            <w:vAlign w:val="center"/>
          </w:tcPr>
          <w:p w14:paraId="11E01E2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rPr>
                <w:rFonts w:hint="default" w:ascii="仿宋" w:hAnsi="仿宋" w:eastAsia="仿宋" w:cs="仿宋"/>
                <w:color w:val="auto"/>
                <w:kern w:val="2"/>
                <w:sz w:val="21"/>
                <w:szCs w:val="21"/>
                <w:highlight w:val="none"/>
                <w:lang w:val="en-US" w:eastAsia="zh-CN" w:bidi="ar"/>
              </w:rPr>
            </w:pPr>
          </w:p>
        </w:tc>
      </w:tr>
      <w:tr w14:paraId="116AC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atLeast"/>
          <w:jc w:val="right"/>
        </w:trPr>
        <w:tc>
          <w:tcPr>
            <w:tcW w:w="952" w:type="dxa"/>
            <w:tcBorders>
              <w:top w:val="single" w:color="auto" w:sz="4" w:space="0"/>
              <w:left w:val="single" w:color="auto" w:sz="4" w:space="0"/>
              <w:bottom w:val="single" w:color="auto" w:sz="4" w:space="0"/>
              <w:right w:val="single" w:color="auto" w:sz="4" w:space="0"/>
            </w:tcBorders>
            <w:shd w:val="clear" w:color="auto" w:fill="auto"/>
            <w:vAlign w:val="center"/>
          </w:tcPr>
          <w:p w14:paraId="497ABCD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center"/>
              <w:rPr>
                <w:rFonts w:hint="default" w:ascii="仿宋" w:hAnsi="仿宋" w:eastAsia="仿宋" w:cs="仿宋"/>
                <w:color w:val="auto"/>
                <w:sz w:val="21"/>
                <w:szCs w:val="21"/>
                <w:highlight w:val="none"/>
                <w:lang w:val="en-US"/>
              </w:rPr>
            </w:pPr>
          </w:p>
        </w:tc>
        <w:tc>
          <w:tcPr>
            <w:tcW w:w="1637" w:type="dxa"/>
            <w:tcBorders>
              <w:top w:val="single" w:color="auto" w:sz="4" w:space="0"/>
              <w:left w:val="single" w:color="auto" w:sz="4" w:space="0"/>
              <w:bottom w:val="single" w:color="auto" w:sz="4" w:space="0"/>
              <w:right w:val="single" w:color="auto" w:sz="4" w:space="0"/>
            </w:tcBorders>
            <w:shd w:val="clear" w:color="auto" w:fill="auto"/>
            <w:vAlign w:val="center"/>
          </w:tcPr>
          <w:p w14:paraId="6B4007E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center"/>
              <w:textAlignment w:val="center"/>
              <w:rPr>
                <w:rFonts w:hint="eastAsia" w:ascii="仿宋" w:hAnsi="仿宋" w:eastAsia="仿宋" w:cs="仿宋"/>
                <w:color w:val="auto"/>
                <w:sz w:val="21"/>
                <w:szCs w:val="21"/>
                <w:highlight w:val="none"/>
                <w:lang w:val="en-US"/>
              </w:rPr>
            </w:pPr>
          </w:p>
        </w:tc>
        <w:tc>
          <w:tcPr>
            <w:tcW w:w="2205" w:type="dxa"/>
            <w:tcBorders>
              <w:top w:val="single" w:color="auto" w:sz="4" w:space="0"/>
              <w:left w:val="single" w:color="auto" w:sz="4" w:space="0"/>
              <w:bottom w:val="single" w:color="auto" w:sz="4" w:space="0"/>
              <w:right w:val="single" w:color="auto" w:sz="4" w:space="0"/>
            </w:tcBorders>
            <w:shd w:val="clear" w:color="auto" w:fill="auto"/>
            <w:vAlign w:val="center"/>
          </w:tcPr>
          <w:p w14:paraId="3AC1FCA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right="0"/>
              <w:jc w:val="both"/>
              <w:textAlignment w:val="center"/>
              <w:rPr>
                <w:rFonts w:hint="eastAsia" w:ascii="仿宋" w:hAnsi="仿宋" w:eastAsia="仿宋" w:cs="仿宋"/>
                <w:color w:val="auto"/>
                <w:sz w:val="21"/>
                <w:szCs w:val="21"/>
                <w:highlight w:val="none"/>
                <w:lang w:val="en-US"/>
              </w:rPr>
            </w:pPr>
          </w:p>
        </w:tc>
        <w:tc>
          <w:tcPr>
            <w:tcW w:w="1575" w:type="dxa"/>
            <w:tcBorders>
              <w:top w:val="single" w:color="auto" w:sz="4" w:space="0"/>
              <w:left w:val="single" w:color="auto" w:sz="4" w:space="0"/>
              <w:bottom w:val="single" w:color="auto" w:sz="4" w:space="0"/>
              <w:right w:val="single" w:color="auto" w:sz="4" w:space="0"/>
            </w:tcBorders>
            <w:shd w:val="clear" w:color="auto" w:fill="auto"/>
            <w:vAlign w:val="center"/>
          </w:tcPr>
          <w:p w14:paraId="1FAD5A1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rPr>
                <w:rFonts w:hint="eastAsia" w:ascii="仿宋" w:hAnsi="仿宋" w:eastAsia="仿宋" w:cs="仿宋"/>
                <w:color w:val="auto"/>
                <w:sz w:val="21"/>
                <w:szCs w:val="21"/>
                <w:highlight w:val="none"/>
                <w:lang w:val="en-US"/>
              </w:rPr>
            </w:pPr>
          </w:p>
        </w:tc>
        <w:tc>
          <w:tcPr>
            <w:tcW w:w="2318" w:type="dxa"/>
            <w:tcBorders>
              <w:top w:val="single" w:color="auto" w:sz="4" w:space="0"/>
              <w:left w:val="single" w:color="auto" w:sz="4" w:space="0"/>
              <w:bottom w:val="single" w:color="auto" w:sz="4" w:space="0"/>
              <w:right w:val="single" w:color="auto" w:sz="4" w:space="0"/>
            </w:tcBorders>
            <w:shd w:val="clear" w:color="auto" w:fill="auto"/>
            <w:vAlign w:val="center"/>
          </w:tcPr>
          <w:p w14:paraId="5D5B966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jc w:val="center"/>
              <w:rPr>
                <w:rFonts w:hint="default" w:ascii="仿宋" w:hAnsi="仿宋" w:eastAsia="仿宋" w:cs="仿宋"/>
                <w:color w:val="auto"/>
                <w:kern w:val="2"/>
                <w:sz w:val="21"/>
                <w:szCs w:val="21"/>
                <w:highlight w:val="none"/>
                <w:lang w:val="en-US" w:eastAsia="zh-CN" w:bidi="ar"/>
              </w:rPr>
            </w:pPr>
          </w:p>
        </w:tc>
      </w:tr>
    </w:tbl>
    <w:p w14:paraId="31E062EE">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560" w:firstLineChars="200"/>
        <w:textAlignment w:val="auto"/>
        <w:rPr>
          <w:rFonts w:hint="default"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乙方</w:t>
      </w:r>
      <w:r>
        <w:rPr>
          <w:rFonts w:hint="default" w:ascii="仿宋" w:hAnsi="仿宋" w:eastAsia="仿宋" w:cs="仿宋"/>
          <w:color w:val="auto"/>
          <w:kern w:val="0"/>
          <w:sz w:val="28"/>
          <w:szCs w:val="28"/>
          <w:highlight w:val="none"/>
          <w:lang w:val="en-US" w:eastAsia="zh-CN"/>
        </w:rPr>
        <w:t>承诺配置的主办律师在服务期限内禁止擅自更换，确需更换的须提前30天报</w:t>
      </w:r>
      <w:r>
        <w:rPr>
          <w:rFonts w:hint="eastAsia" w:ascii="仿宋" w:hAnsi="仿宋" w:eastAsia="仿宋" w:cs="仿宋"/>
          <w:color w:val="auto"/>
          <w:kern w:val="0"/>
          <w:sz w:val="28"/>
          <w:szCs w:val="28"/>
          <w:highlight w:val="none"/>
          <w:lang w:val="en-US" w:eastAsia="zh-CN"/>
        </w:rPr>
        <w:t>甲方</w:t>
      </w:r>
      <w:r>
        <w:rPr>
          <w:rFonts w:hint="default" w:ascii="仿宋" w:hAnsi="仿宋" w:eastAsia="仿宋" w:cs="仿宋"/>
          <w:color w:val="auto"/>
          <w:kern w:val="0"/>
          <w:sz w:val="28"/>
          <w:szCs w:val="28"/>
          <w:highlight w:val="none"/>
          <w:lang w:val="en-US" w:eastAsia="zh-CN"/>
        </w:rPr>
        <w:t>审批，</w:t>
      </w:r>
      <w:r>
        <w:rPr>
          <w:rFonts w:hint="eastAsia" w:ascii="仿宋" w:hAnsi="仿宋" w:eastAsia="仿宋" w:cs="仿宋"/>
          <w:color w:val="auto"/>
          <w:kern w:val="0"/>
          <w:sz w:val="28"/>
          <w:szCs w:val="28"/>
          <w:highlight w:val="none"/>
          <w:lang w:val="en-US" w:eastAsia="zh-CN"/>
        </w:rPr>
        <w:t>甲方</w:t>
      </w:r>
      <w:r>
        <w:rPr>
          <w:rFonts w:hint="default" w:ascii="仿宋" w:hAnsi="仿宋" w:eastAsia="仿宋" w:cs="仿宋"/>
          <w:color w:val="auto"/>
          <w:kern w:val="0"/>
          <w:sz w:val="28"/>
          <w:szCs w:val="28"/>
          <w:highlight w:val="none"/>
          <w:lang w:val="en-US" w:eastAsia="zh-CN"/>
        </w:rPr>
        <w:t>同意后方能更换，且更换后的主办律师资质水平不得低于参选时承诺的主办律师。同时，申请更换主办律师并经</w:t>
      </w:r>
      <w:r>
        <w:rPr>
          <w:rFonts w:hint="eastAsia" w:ascii="仿宋" w:hAnsi="仿宋" w:eastAsia="仿宋" w:cs="仿宋"/>
          <w:color w:val="auto"/>
          <w:kern w:val="0"/>
          <w:sz w:val="28"/>
          <w:szCs w:val="28"/>
          <w:highlight w:val="none"/>
          <w:lang w:val="en-US" w:eastAsia="zh-CN"/>
        </w:rPr>
        <w:t>甲方</w:t>
      </w:r>
      <w:r>
        <w:rPr>
          <w:rFonts w:hint="default" w:ascii="仿宋" w:hAnsi="仿宋" w:eastAsia="仿宋" w:cs="仿宋"/>
          <w:color w:val="auto"/>
          <w:kern w:val="0"/>
          <w:sz w:val="28"/>
          <w:szCs w:val="28"/>
          <w:highlight w:val="none"/>
          <w:lang w:val="en-US" w:eastAsia="zh-CN"/>
        </w:rPr>
        <w:t>同意的情形仍该视为</w:t>
      </w:r>
      <w:r>
        <w:rPr>
          <w:rFonts w:hint="eastAsia" w:ascii="仿宋" w:hAnsi="仿宋" w:eastAsia="仿宋" w:cs="仿宋"/>
          <w:color w:val="auto"/>
          <w:kern w:val="0"/>
          <w:sz w:val="28"/>
          <w:szCs w:val="28"/>
          <w:highlight w:val="none"/>
          <w:lang w:val="en-US" w:eastAsia="zh-CN"/>
        </w:rPr>
        <w:t>乙方</w:t>
      </w:r>
      <w:r>
        <w:rPr>
          <w:rFonts w:hint="default" w:ascii="仿宋" w:hAnsi="仿宋" w:eastAsia="仿宋" w:cs="仿宋"/>
          <w:color w:val="auto"/>
          <w:kern w:val="0"/>
          <w:sz w:val="28"/>
          <w:szCs w:val="28"/>
          <w:highlight w:val="none"/>
          <w:lang w:val="en-US" w:eastAsia="zh-CN"/>
        </w:rPr>
        <w:t>违约，</w:t>
      </w:r>
      <w:r>
        <w:rPr>
          <w:rFonts w:hint="eastAsia" w:ascii="仿宋" w:hAnsi="仿宋" w:eastAsia="仿宋" w:cs="仿宋"/>
          <w:color w:val="auto"/>
          <w:kern w:val="0"/>
          <w:sz w:val="28"/>
          <w:szCs w:val="28"/>
          <w:highlight w:val="none"/>
          <w:lang w:val="en-US" w:eastAsia="zh-CN"/>
        </w:rPr>
        <w:t>甲方</w:t>
      </w:r>
      <w:r>
        <w:rPr>
          <w:rFonts w:hint="default" w:ascii="仿宋" w:hAnsi="仿宋" w:eastAsia="仿宋" w:cs="仿宋"/>
          <w:color w:val="auto"/>
          <w:kern w:val="0"/>
          <w:sz w:val="28"/>
          <w:szCs w:val="28"/>
          <w:highlight w:val="none"/>
          <w:lang w:val="en-US" w:eastAsia="zh-CN"/>
        </w:rPr>
        <w:t>有权按</w:t>
      </w:r>
      <w:r>
        <w:rPr>
          <w:rFonts w:hint="eastAsia" w:ascii="仿宋" w:hAnsi="仿宋" w:eastAsia="仿宋" w:cs="仿宋"/>
          <w:color w:val="auto"/>
          <w:kern w:val="0"/>
          <w:sz w:val="28"/>
          <w:szCs w:val="28"/>
          <w:highlight w:val="none"/>
          <w:lang w:val="en-US" w:eastAsia="zh-CN"/>
        </w:rPr>
        <w:t>5000</w:t>
      </w:r>
      <w:r>
        <w:rPr>
          <w:rFonts w:hint="default" w:ascii="仿宋" w:hAnsi="仿宋" w:eastAsia="仿宋" w:cs="仿宋"/>
          <w:color w:val="auto"/>
          <w:kern w:val="0"/>
          <w:sz w:val="28"/>
          <w:szCs w:val="28"/>
          <w:highlight w:val="none"/>
          <w:lang w:val="en-US" w:eastAsia="zh-CN"/>
        </w:rPr>
        <w:t>元/次</w:t>
      </w:r>
      <w:r>
        <w:rPr>
          <w:rFonts w:hint="eastAsia" w:ascii="仿宋" w:hAnsi="仿宋" w:eastAsia="仿宋" w:cs="仿宋"/>
          <w:color w:val="auto"/>
          <w:kern w:val="0"/>
          <w:sz w:val="28"/>
          <w:szCs w:val="28"/>
          <w:highlight w:val="none"/>
          <w:lang w:val="en-US" w:eastAsia="zh-CN"/>
        </w:rPr>
        <w:t>的标准</w:t>
      </w:r>
      <w:r>
        <w:rPr>
          <w:rFonts w:hint="default" w:ascii="仿宋" w:hAnsi="仿宋" w:eastAsia="仿宋" w:cs="仿宋"/>
          <w:color w:val="auto"/>
          <w:kern w:val="0"/>
          <w:sz w:val="28"/>
          <w:szCs w:val="28"/>
          <w:highlight w:val="none"/>
          <w:lang w:val="en-US" w:eastAsia="zh-CN"/>
        </w:rPr>
        <w:t>向</w:t>
      </w:r>
      <w:r>
        <w:rPr>
          <w:rFonts w:hint="eastAsia" w:ascii="仿宋" w:hAnsi="仿宋" w:eastAsia="仿宋" w:cs="仿宋"/>
          <w:color w:val="auto"/>
          <w:kern w:val="0"/>
          <w:sz w:val="28"/>
          <w:szCs w:val="28"/>
          <w:highlight w:val="none"/>
          <w:lang w:val="en-US" w:eastAsia="zh-CN"/>
        </w:rPr>
        <w:t>乙方</w:t>
      </w:r>
      <w:r>
        <w:rPr>
          <w:rFonts w:hint="default" w:ascii="仿宋" w:hAnsi="仿宋" w:eastAsia="仿宋" w:cs="仿宋"/>
          <w:color w:val="auto"/>
          <w:kern w:val="0"/>
          <w:sz w:val="28"/>
          <w:szCs w:val="28"/>
          <w:highlight w:val="none"/>
          <w:lang w:val="en-US" w:eastAsia="zh-CN"/>
        </w:rPr>
        <w:t>收取违约金。</w:t>
      </w:r>
    </w:p>
    <w:p w14:paraId="2866001C">
      <w:pPr>
        <w:pStyle w:val="459"/>
        <w:pageBreakBefore w:val="0"/>
        <w:numPr>
          <w:ilvl w:val="0"/>
          <w:numId w:val="13"/>
        </w:numPr>
        <w:kinsoku/>
        <w:overflowPunct/>
        <w:topLinePunct w:val="0"/>
        <w:autoSpaceDE/>
        <w:autoSpaceDN/>
        <w:bidi w:val="0"/>
        <w:adjustRightInd w:val="0"/>
        <w:snapToGrid w:val="0"/>
        <w:spacing w:before="0" w:after="0" w:line="540" w:lineRule="exact"/>
        <w:ind w:left="0" w:firstLine="562" w:firstLineChars="200"/>
        <w:textAlignment w:val="auto"/>
        <w:rPr>
          <w:rFonts w:hint="eastAsia" w:ascii="仿宋" w:hAnsi="仿宋" w:eastAsia="仿宋" w:cs="仿宋"/>
          <w:b/>
          <w:bCs/>
          <w:color w:val="auto"/>
          <w:sz w:val="28"/>
          <w:szCs w:val="28"/>
          <w:highlight w:val="none"/>
          <w:lang w:val="en-US" w:eastAsia="zh-CN"/>
        </w:rPr>
      </w:pPr>
      <w:bookmarkStart w:id="69" w:name="_Toc347"/>
      <w:r>
        <w:rPr>
          <w:rFonts w:hint="eastAsia" w:ascii="仿宋" w:hAnsi="仿宋" w:eastAsia="仿宋" w:cs="仿宋"/>
          <w:b/>
          <w:bCs/>
          <w:color w:val="auto"/>
          <w:sz w:val="28"/>
          <w:szCs w:val="28"/>
          <w:highlight w:val="none"/>
          <w:lang w:val="en-US" w:eastAsia="zh-CN"/>
        </w:rPr>
        <w:t>合同金额</w:t>
      </w:r>
      <w:bookmarkEnd w:id="69"/>
    </w:p>
    <w:p w14:paraId="78AFFA5C">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560" w:firstLineChars="200"/>
        <w:textAlignment w:val="auto"/>
        <w:rPr>
          <w:rFonts w:hint="eastAsia" w:ascii="仿宋" w:hAnsi="仿宋" w:eastAsia="仿宋" w:cs="仿宋"/>
          <w:color w:val="auto"/>
          <w:kern w:val="0"/>
          <w:sz w:val="28"/>
          <w:szCs w:val="28"/>
          <w:highlight w:val="none"/>
          <w:u w:val="none"/>
          <w:lang w:val="en-US" w:eastAsia="zh-CN"/>
        </w:rPr>
      </w:pPr>
      <w:r>
        <w:rPr>
          <w:rFonts w:hint="eastAsia" w:ascii="仿宋" w:hAnsi="仿宋" w:eastAsia="仿宋" w:cs="仿宋"/>
          <w:color w:val="auto"/>
          <w:kern w:val="0"/>
          <w:sz w:val="28"/>
          <w:szCs w:val="28"/>
          <w:highlight w:val="none"/>
          <w:lang w:val="en-US" w:eastAsia="zh-CN"/>
        </w:rPr>
        <w:t>本合同总价为</w:t>
      </w:r>
      <w:r>
        <w:rPr>
          <w:rFonts w:hint="eastAsia" w:ascii="仿宋" w:hAnsi="仿宋" w:eastAsia="仿宋" w:cs="仿宋"/>
          <w:color w:val="auto"/>
          <w:kern w:val="0"/>
          <w:sz w:val="28"/>
          <w:szCs w:val="28"/>
          <w:highlight w:val="none"/>
          <w:u w:val="single"/>
          <w:lang w:val="en-US" w:eastAsia="zh-CN"/>
        </w:rPr>
        <w:t xml:space="preserve">              （小写：¥            ）</w:t>
      </w:r>
      <w:r>
        <w:rPr>
          <w:rFonts w:hint="eastAsia" w:ascii="仿宋" w:hAnsi="仿宋" w:eastAsia="仿宋" w:cs="仿宋"/>
          <w:color w:val="auto"/>
          <w:kern w:val="0"/>
          <w:sz w:val="28"/>
          <w:szCs w:val="28"/>
          <w:highlight w:val="none"/>
          <w:u w:val="none"/>
          <w:lang w:val="en-US" w:eastAsia="zh-CN"/>
        </w:rPr>
        <w:t>。按“基础服务费+风险提成（终审判决后结算尾款）”的方式结算案件代理费，具体划分如下：</w:t>
      </w:r>
    </w:p>
    <w:p w14:paraId="46135CAB">
      <w:pPr>
        <w:pStyle w:val="459"/>
        <w:keepNext w:val="0"/>
        <w:keepLines w:val="0"/>
        <w:pageBreakBefore w:val="0"/>
        <w:widowControl w:val="0"/>
        <w:numPr>
          <w:ilvl w:val="0"/>
          <w:numId w:val="14"/>
        </w:numPr>
        <w:kinsoku/>
        <w:wordWrap/>
        <w:overflowPunct/>
        <w:topLinePunct w:val="0"/>
        <w:autoSpaceDE/>
        <w:autoSpaceDN/>
        <w:bidi w:val="0"/>
        <w:adjustRightInd w:val="0"/>
        <w:snapToGrid w:val="0"/>
        <w:spacing w:before="0" w:after="0" w:line="540" w:lineRule="exact"/>
        <w:ind w:left="0" w:leftChars="0" w:firstLine="560" w:firstLineChars="200"/>
        <w:jc w:val="both"/>
        <w:textAlignment w:val="auto"/>
        <w:rPr>
          <w:rFonts w:hint="eastAsia" w:ascii="仿宋" w:hAnsi="仿宋" w:eastAsia="仿宋" w:cs="仿宋"/>
          <w:color w:val="auto"/>
          <w:sz w:val="28"/>
          <w:szCs w:val="28"/>
          <w:highlight w:val="none"/>
          <w:u w:val="none"/>
          <w:lang w:val="en-US" w:eastAsia="zh-CN"/>
        </w:rPr>
      </w:pPr>
      <w:r>
        <w:rPr>
          <w:rFonts w:hint="eastAsia" w:ascii="仿宋" w:hAnsi="仿宋" w:eastAsia="仿宋" w:cs="仿宋"/>
          <w:color w:val="auto"/>
          <w:kern w:val="0"/>
          <w:sz w:val="28"/>
          <w:szCs w:val="28"/>
          <w:highlight w:val="none"/>
          <w:u w:val="none"/>
          <w:lang w:val="en-US" w:eastAsia="zh-CN"/>
        </w:rPr>
        <w:t>基础服务费为合同总价的40%，即</w:t>
      </w:r>
      <w:r>
        <w:rPr>
          <w:rFonts w:hint="eastAsia" w:ascii="仿宋" w:hAnsi="仿宋" w:eastAsia="仿宋" w:cs="仿宋"/>
          <w:color w:val="auto"/>
          <w:kern w:val="0"/>
          <w:sz w:val="28"/>
          <w:szCs w:val="28"/>
          <w:highlight w:val="none"/>
          <w:u w:val="single"/>
          <w:lang w:val="en-US" w:eastAsia="zh-CN"/>
        </w:rPr>
        <w:t xml:space="preserve">              （小写：¥            ）</w:t>
      </w:r>
      <w:r>
        <w:rPr>
          <w:rFonts w:hint="eastAsia" w:ascii="仿宋" w:hAnsi="仿宋" w:eastAsia="仿宋" w:cs="仿宋"/>
          <w:color w:val="auto"/>
          <w:kern w:val="0"/>
          <w:sz w:val="28"/>
          <w:szCs w:val="28"/>
          <w:highlight w:val="none"/>
          <w:u w:val="none"/>
          <w:lang w:val="en-US" w:eastAsia="zh-CN"/>
        </w:rPr>
        <w:t>，该部分费用不受案件裁判结果影响，仅按合同约定结算规则及付款节点核算支付；</w:t>
      </w:r>
    </w:p>
    <w:p w14:paraId="2386706A">
      <w:pPr>
        <w:pStyle w:val="459"/>
        <w:keepNext w:val="0"/>
        <w:keepLines w:val="0"/>
        <w:pageBreakBefore w:val="0"/>
        <w:widowControl w:val="0"/>
        <w:numPr>
          <w:ilvl w:val="0"/>
          <w:numId w:val="14"/>
        </w:numPr>
        <w:kinsoku/>
        <w:wordWrap/>
        <w:overflowPunct/>
        <w:topLinePunct w:val="0"/>
        <w:autoSpaceDE/>
        <w:autoSpaceDN/>
        <w:bidi w:val="0"/>
        <w:adjustRightInd w:val="0"/>
        <w:snapToGrid w:val="0"/>
        <w:spacing w:before="0" w:after="0" w:line="540" w:lineRule="exact"/>
        <w:ind w:left="0" w:leftChars="0" w:firstLine="560" w:firstLineChars="200"/>
        <w:jc w:val="both"/>
        <w:textAlignment w:val="auto"/>
        <w:rPr>
          <w:rFonts w:hint="eastAsia" w:ascii="仿宋" w:hAnsi="仿宋" w:eastAsia="仿宋" w:cs="仿宋"/>
          <w:color w:val="auto"/>
          <w:sz w:val="28"/>
          <w:szCs w:val="28"/>
          <w:highlight w:val="none"/>
          <w:u w:val="none"/>
          <w:lang w:val="en-US" w:eastAsia="zh-CN"/>
        </w:rPr>
      </w:pPr>
      <w:r>
        <w:rPr>
          <w:rFonts w:hint="eastAsia" w:ascii="仿宋" w:hAnsi="仿宋" w:eastAsia="仿宋" w:cs="仿宋"/>
          <w:color w:val="auto"/>
          <w:kern w:val="0"/>
          <w:sz w:val="28"/>
          <w:szCs w:val="28"/>
          <w:highlight w:val="none"/>
          <w:u w:val="none"/>
          <w:lang w:val="en-US" w:eastAsia="zh-CN"/>
        </w:rPr>
        <w:t>风险提成：最高限额为合同总价的60%，</w:t>
      </w:r>
      <w:r>
        <w:rPr>
          <w:rFonts w:hint="eastAsia" w:ascii="仿宋" w:hAnsi="仿宋" w:eastAsia="仿宋" w:cs="仿宋"/>
          <w:color w:val="auto"/>
          <w:kern w:val="0"/>
          <w:sz w:val="28"/>
          <w:szCs w:val="28"/>
          <w:highlight w:val="none"/>
          <w:u w:val="none"/>
          <w:lang w:val="en-US" w:eastAsia="zh-CN"/>
        </w:rPr>
        <w:t>根据案件最终判决结果据实结算</w:t>
      </w:r>
      <w:r>
        <w:rPr>
          <w:rFonts w:hint="eastAsia" w:ascii="仿宋" w:hAnsi="仿宋" w:eastAsia="仿宋" w:cs="仿宋"/>
          <w:color w:val="auto"/>
          <w:kern w:val="0"/>
          <w:sz w:val="28"/>
          <w:szCs w:val="28"/>
          <w:highlight w:val="none"/>
          <w:u w:val="none"/>
          <w:lang w:val="en-US" w:eastAsia="zh-CN"/>
        </w:rPr>
        <w:t>，计算公式：风险提成=合同总价×60%×尾款核算比例</w:t>
      </w:r>
      <w:r>
        <w:rPr>
          <w:rFonts w:hint="eastAsia" w:ascii="仿宋" w:hAnsi="仿宋" w:eastAsia="仿宋" w:cs="仿宋"/>
          <w:color w:val="auto"/>
          <w:sz w:val="28"/>
          <w:szCs w:val="28"/>
          <w:highlight w:val="none"/>
          <w:u w:val="none"/>
          <w:lang w:val="en-US" w:eastAsia="zh-CN"/>
        </w:rPr>
        <w:t>。</w:t>
      </w:r>
    </w:p>
    <w:p w14:paraId="34488F25">
      <w:pPr>
        <w:pStyle w:val="459"/>
        <w:pageBreakBefore w:val="0"/>
        <w:numPr>
          <w:ilvl w:val="0"/>
          <w:numId w:val="13"/>
        </w:numPr>
        <w:kinsoku/>
        <w:overflowPunct/>
        <w:topLinePunct w:val="0"/>
        <w:autoSpaceDE/>
        <w:autoSpaceDN/>
        <w:bidi w:val="0"/>
        <w:adjustRightInd w:val="0"/>
        <w:snapToGrid w:val="0"/>
        <w:spacing w:before="0" w:after="0" w:line="540" w:lineRule="exact"/>
        <w:ind w:left="0" w:firstLine="562" w:firstLineChars="200"/>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结算规则</w:t>
      </w:r>
    </w:p>
    <w:p w14:paraId="7C2AD8E8">
      <w:pPr>
        <w:pStyle w:val="459"/>
        <w:keepNext w:val="0"/>
        <w:keepLines w:val="0"/>
        <w:pageBreakBefore w:val="0"/>
        <w:widowControl w:val="0"/>
        <w:numPr>
          <w:ilvl w:val="0"/>
          <w:numId w:val="15"/>
        </w:numPr>
        <w:kinsoku/>
        <w:wordWrap/>
        <w:overflowPunct/>
        <w:topLinePunct w:val="0"/>
        <w:autoSpaceDE/>
        <w:autoSpaceDN/>
        <w:bidi w:val="0"/>
        <w:adjustRightInd w:val="0"/>
        <w:snapToGrid w:val="0"/>
        <w:spacing w:before="0" w:after="0" w:line="540" w:lineRule="exact"/>
        <w:ind w:left="0" w:leftChars="0" w:firstLine="562" w:firstLineChars="200"/>
        <w:jc w:val="both"/>
        <w:textAlignment w:val="auto"/>
        <w:rPr>
          <w:rFonts w:hint="eastAsia" w:ascii="仿宋" w:hAnsi="仿宋" w:eastAsia="仿宋" w:cs="仿宋"/>
          <w:b w:val="0"/>
          <w:bCs w:val="0"/>
          <w:color w:val="auto"/>
          <w:sz w:val="28"/>
          <w:szCs w:val="28"/>
          <w:highlight w:val="none"/>
          <w:u w:val="none"/>
          <w:lang w:val="en-US" w:eastAsia="zh-CN"/>
        </w:rPr>
      </w:pPr>
      <w:r>
        <w:rPr>
          <w:rFonts w:hint="eastAsia" w:ascii="仿宋" w:hAnsi="仿宋" w:eastAsia="仿宋" w:cs="仿宋"/>
          <w:b/>
          <w:bCs/>
          <w:color w:val="auto"/>
          <w:sz w:val="28"/>
          <w:szCs w:val="28"/>
          <w:highlight w:val="none"/>
          <w:u w:val="none"/>
          <w:lang w:val="en-US" w:eastAsia="zh-CN"/>
        </w:rPr>
        <w:t>尾款核算规则：</w:t>
      </w:r>
      <w:r>
        <w:rPr>
          <w:rFonts w:hint="eastAsia" w:ascii="仿宋" w:hAnsi="仿宋" w:eastAsia="仿宋" w:cs="仿宋"/>
          <w:b w:val="0"/>
          <w:bCs w:val="0"/>
          <w:color w:val="auto"/>
          <w:sz w:val="28"/>
          <w:szCs w:val="28"/>
          <w:highlight w:val="none"/>
          <w:u w:val="none"/>
          <w:lang w:val="en-US" w:eastAsia="zh-CN"/>
        </w:rPr>
        <w:t>尾款核算比例=（1－终审判决被告实际应付总金额÷原告起诉主张由被告承担的全部诉求总金额）×100%</w:t>
      </w:r>
    </w:p>
    <w:p w14:paraId="1D80FED2">
      <w:pPr>
        <w:pStyle w:val="459"/>
        <w:keepNext w:val="0"/>
        <w:keepLines w:val="0"/>
        <w:pageBreakBefore w:val="0"/>
        <w:widowControl w:val="0"/>
        <w:numPr>
          <w:ilvl w:val="0"/>
          <w:numId w:val="16"/>
        </w:numPr>
        <w:kinsoku/>
        <w:wordWrap/>
        <w:overflowPunct/>
        <w:topLinePunct w:val="0"/>
        <w:autoSpaceDE/>
        <w:autoSpaceDN/>
        <w:bidi w:val="0"/>
        <w:adjustRightInd w:val="0"/>
        <w:snapToGrid w:val="0"/>
        <w:spacing w:before="0" w:after="0" w:line="540" w:lineRule="exact"/>
        <w:ind w:left="0" w:leftChars="0" w:firstLine="560" w:firstLineChars="200"/>
        <w:jc w:val="both"/>
        <w:textAlignment w:val="auto"/>
        <w:rPr>
          <w:rFonts w:hint="eastAsia" w:ascii="仿宋" w:hAnsi="仿宋" w:eastAsia="仿宋" w:cs="仿宋"/>
          <w:b w:val="0"/>
          <w:bCs w:val="0"/>
          <w:color w:val="auto"/>
          <w:sz w:val="28"/>
          <w:szCs w:val="28"/>
          <w:highlight w:val="none"/>
          <w:u w:val="none"/>
          <w:lang w:val="en-US" w:eastAsia="zh-CN"/>
        </w:rPr>
      </w:pPr>
      <w:r>
        <w:rPr>
          <w:rFonts w:hint="eastAsia" w:ascii="仿宋" w:hAnsi="仿宋" w:eastAsia="仿宋" w:cs="仿宋"/>
          <w:b w:val="0"/>
          <w:bCs w:val="0"/>
          <w:color w:val="auto"/>
          <w:sz w:val="28"/>
          <w:szCs w:val="28"/>
          <w:highlight w:val="none"/>
          <w:u w:val="none"/>
          <w:lang w:val="en-US" w:eastAsia="zh-CN"/>
        </w:rPr>
        <w:t>公式中“终审判决被告实际应付总金额”、“原告起诉主张由被告承担的全部诉求总金额”，均包含但不限于涉案本金、逾期利息、诉讼费、财产保全费、保全保函费、案涉反诉请求金额等全部款项。</w:t>
      </w:r>
    </w:p>
    <w:p w14:paraId="4F046109">
      <w:pPr>
        <w:pStyle w:val="459"/>
        <w:keepNext w:val="0"/>
        <w:keepLines w:val="0"/>
        <w:pageBreakBefore w:val="0"/>
        <w:widowControl w:val="0"/>
        <w:numPr>
          <w:ilvl w:val="0"/>
          <w:numId w:val="16"/>
        </w:numPr>
        <w:kinsoku/>
        <w:wordWrap/>
        <w:overflowPunct/>
        <w:topLinePunct w:val="0"/>
        <w:autoSpaceDE/>
        <w:autoSpaceDN/>
        <w:bidi w:val="0"/>
        <w:adjustRightInd w:val="0"/>
        <w:snapToGrid w:val="0"/>
        <w:spacing w:before="0" w:after="0" w:line="540" w:lineRule="exact"/>
        <w:ind w:left="0" w:leftChars="0" w:firstLine="560" w:firstLineChars="200"/>
        <w:jc w:val="both"/>
        <w:textAlignment w:val="auto"/>
        <w:rPr>
          <w:rFonts w:hint="eastAsia" w:ascii="仿宋" w:hAnsi="仿宋" w:eastAsia="仿宋" w:cs="仿宋"/>
          <w:b w:val="0"/>
          <w:bCs w:val="0"/>
          <w:color w:val="auto"/>
          <w:sz w:val="28"/>
          <w:szCs w:val="28"/>
          <w:highlight w:val="none"/>
          <w:u w:val="none"/>
          <w:lang w:val="en-US" w:eastAsia="zh-CN"/>
        </w:rPr>
      </w:pPr>
      <w:r>
        <w:rPr>
          <w:rFonts w:hint="eastAsia" w:ascii="仿宋" w:hAnsi="仿宋" w:eastAsia="仿宋" w:cs="仿宋"/>
          <w:b w:val="0"/>
          <w:bCs w:val="0"/>
          <w:color w:val="auto"/>
          <w:sz w:val="28"/>
          <w:szCs w:val="28"/>
          <w:highlight w:val="none"/>
          <w:u w:val="none"/>
          <w:lang w:val="en-US" w:eastAsia="zh-CN"/>
        </w:rPr>
        <w:t>对计算得出的尾款核算比例实行区间锁定：</w:t>
      </w:r>
    </w:p>
    <w:p w14:paraId="79BB7343">
      <w:pPr>
        <w:pStyle w:val="459"/>
        <w:keepNext w:val="0"/>
        <w:keepLines w:val="0"/>
        <w:pageBreakBefore w:val="0"/>
        <w:widowControl w:val="0"/>
        <w:numPr>
          <w:ilvl w:val="0"/>
          <w:numId w:val="17"/>
        </w:numPr>
        <w:kinsoku/>
        <w:wordWrap/>
        <w:overflowPunct/>
        <w:topLinePunct w:val="0"/>
        <w:autoSpaceDE/>
        <w:autoSpaceDN/>
        <w:bidi w:val="0"/>
        <w:adjustRightInd w:val="0"/>
        <w:snapToGrid w:val="0"/>
        <w:spacing w:before="0" w:after="0" w:line="540" w:lineRule="exact"/>
        <w:ind w:left="0" w:leftChars="0" w:firstLine="560" w:firstLineChars="200"/>
        <w:jc w:val="both"/>
        <w:textAlignment w:val="auto"/>
        <w:rPr>
          <w:rFonts w:hint="eastAsia" w:ascii="仿宋" w:hAnsi="仿宋" w:eastAsia="仿宋" w:cs="仿宋"/>
          <w:b w:val="0"/>
          <w:bCs w:val="0"/>
          <w:color w:val="auto"/>
          <w:sz w:val="28"/>
          <w:szCs w:val="28"/>
          <w:highlight w:val="none"/>
          <w:u w:val="none"/>
          <w:lang w:val="en-US" w:eastAsia="zh-CN"/>
        </w:rPr>
      </w:pPr>
      <w:r>
        <w:rPr>
          <w:rFonts w:hint="eastAsia" w:ascii="仿宋" w:hAnsi="仿宋" w:eastAsia="仿宋" w:cs="仿宋"/>
          <w:b w:val="0"/>
          <w:bCs w:val="0"/>
          <w:color w:val="auto"/>
          <w:sz w:val="28"/>
          <w:szCs w:val="28"/>
          <w:highlight w:val="none"/>
          <w:u w:val="none"/>
          <w:lang w:val="en-US" w:eastAsia="zh-CN"/>
        </w:rPr>
        <w:t>计算结果＜0% 时，实际执行比例按 0% 计取；</w:t>
      </w:r>
    </w:p>
    <w:p w14:paraId="5F194A83">
      <w:pPr>
        <w:pStyle w:val="459"/>
        <w:keepNext w:val="0"/>
        <w:keepLines w:val="0"/>
        <w:pageBreakBefore w:val="0"/>
        <w:widowControl w:val="0"/>
        <w:numPr>
          <w:ilvl w:val="0"/>
          <w:numId w:val="17"/>
        </w:numPr>
        <w:kinsoku/>
        <w:wordWrap/>
        <w:overflowPunct/>
        <w:topLinePunct w:val="0"/>
        <w:autoSpaceDE/>
        <w:autoSpaceDN/>
        <w:bidi w:val="0"/>
        <w:adjustRightInd w:val="0"/>
        <w:snapToGrid w:val="0"/>
        <w:spacing w:before="0" w:after="0" w:line="540" w:lineRule="exact"/>
        <w:ind w:left="0" w:leftChars="0" w:firstLine="560" w:firstLineChars="200"/>
        <w:jc w:val="both"/>
        <w:textAlignment w:val="auto"/>
        <w:rPr>
          <w:rFonts w:hint="eastAsia" w:ascii="仿宋" w:hAnsi="仿宋" w:eastAsia="仿宋" w:cs="仿宋"/>
          <w:b w:val="0"/>
          <w:bCs w:val="0"/>
          <w:color w:val="auto"/>
          <w:sz w:val="28"/>
          <w:szCs w:val="28"/>
          <w:highlight w:val="none"/>
          <w:u w:val="none"/>
          <w:lang w:val="en-US" w:eastAsia="zh-CN"/>
        </w:rPr>
      </w:pPr>
      <w:r>
        <w:rPr>
          <w:rFonts w:hint="eastAsia" w:ascii="仿宋" w:hAnsi="仿宋" w:eastAsia="仿宋" w:cs="仿宋"/>
          <w:b w:val="0"/>
          <w:bCs w:val="0"/>
          <w:color w:val="auto"/>
          <w:sz w:val="28"/>
          <w:szCs w:val="28"/>
          <w:highlight w:val="none"/>
          <w:u w:val="none"/>
          <w:lang w:val="en-US" w:eastAsia="zh-CN"/>
        </w:rPr>
        <w:t>计算结果≥0% 且≤100% 时，按公式计算原值执行；</w:t>
      </w:r>
    </w:p>
    <w:p w14:paraId="3495BAD7">
      <w:pPr>
        <w:pStyle w:val="459"/>
        <w:keepNext w:val="0"/>
        <w:keepLines w:val="0"/>
        <w:pageBreakBefore w:val="0"/>
        <w:widowControl w:val="0"/>
        <w:numPr>
          <w:ilvl w:val="0"/>
          <w:numId w:val="17"/>
        </w:numPr>
        <w:kinsoku/>
        <w:wordWrap/>
        <w:overflowPunct/>
        <w:topLinePunct w:val="0"/>
        <w:autoSpaceDE/>
        <w:autoSpaceDN/>
        <w:bidi w:val="0"/>
        <w:adjustRightInd w:val="0"/>
        <w:snapToGrid w:val="0"/>
        <w:spacing w:before="0" w:after="0" w:line="540" w:lineRule="exact"/>
        <w:ind w:left="0" w:leftChars="0" w:firstLine="560" w:firstLineChars="200"/>
        <w:jc w:val="both"/>
        <w:textAlignment w:val="auto"/>
        <w:rPr>
          <w:rFonts w:hint="eastAsia" w:ascii="仿宋" w:hAnsi="仿宋" w:eastAsia="仿宋" w:cs="仿宋"/>
          <w:b w:val="0"/>
          <w:bCs w:val="0"/>
          <w:color w:val="auto"/>
          <w:sz w:val="28"/>
          <w:szCs w:val="28"/>
          <w:highlight w:val="none"/>
          <w:u w:val="none"/>
          <w:lang w:val="en-US" w:eastAsia="zh-CN"/>
        </w:rPr>
      </w:pPr>
      <w:r>
        <w:rPr>
          <w:rFonts w:hint="eastAsia" w:ascii="仿宋" w:hAnsi="仿宋" w:eastAsia="仿宋" w:cs="仿宋"/>
          <w:b w:val="0"/>
          <w:bCs w:val="0"/>
          <w:color w:val="auto"/>
          <w:sz w:val="28"/>
          <w:szCs w:val="28"/>
          <w:highlight w:val="none"/>
          <w:u w:val="none"/>
          <w:lang w:val="en-US" w:eastAsia="zh-CN"/>
        </w:rPr>
        <w:t>计算结果＞100% 时，实际执行比例按 100% 计取。</w:t>
      </w:r>
    </w:p>
    <w:p w14:paraId="4FBBFCC9">
      <w:pPr>
        <w:pStyle w:val="459"/>
        <w:keepNext w:val="0"/>
        <w:keepLines w:val="0"/>
        <w:pageBreakBefore w:val="0"/>
        <w:widowControl w:val="0"/>
        <w:numPr>
          <w:ilvl w:val="0"/>
          <w:numId w:val="16"/>
        </w:numPr>
        <w:kinsoku/>
        <w:wordWrap/>
        <w:overflowPunct/>
        <w:topLinePunct w:val="0"/>
        <w:autoSpaceDE/>
        <w:autoSpaceDN/>
        <w:bidi w:val="0"/>
        <w:adjustRightInd w:val="0"/>
        <w:snapToGrid w:val="0"/>
        <w:spacing w:before="0" w:after="0" w:line="540" w:lineRule="exact"/>
        <w:ind w:left="0" w:leftChars="0" w:firstLine="560" w:firstLineChars="200"/>
        <w:jc w:val="both"/>
        <w:textAlignment w:val="auto"/>
        <w:rPr>
          <w:rFonts w:hint="eastAsia" w:ascii="仿宋" w:hAnsi="仿宋" w:eastAsia="仿宋" w:cs="仿宋"/>
          <w:b w:val="0"/>
          <w:bCs w:val="0"/>
          <w:color w:val="auto"/>
          <w:sz w:val="28"/>
          <w:szCs w:val="28"/>
          <w:highlight w:val="none"/>
          <w:u w:val="none"/>
          <w:lang w:val="en-US" w:eastAsia="zh-CN"/>
        </w:rPr>
      </w:pPr>
      <w:r>
        <w:rPr>
          <w:rFonts w:hint="eastAsia" w:ascii="仿宋" w:hAnsi="仿宋" w:eastAsia="仿宋" w:cs="仿宋"/>
          <w:b w:val="0"/>
          <w:bCs w:val="0"/>
          <w:color w:val="auto"/>
          <w:sz w:val="28"/>
          <w:szCs w:val="28"/>
          <w:highlight w:val="none"/>
          <w:u w:val="none"/>
          <w:lang w:val="en-US" w:eastAsia="zh-CN"/>
        </w:rPr>
        <w:t>本条款核算规则仅适用于人民法院出具终审判决书情形；原被告达成庭前、庭外和解且未出具判决书的，以双方书面确认的被告应付总金额作为核算基数。</w:t>
      </w:r>
    </w:p>
    <w:p w14:paraId="15D12D89">
      <w:pPr>
        <w:pStyle w:val="459"/>
        <w:keepNext w:val="0"/>
        <w:keepLines w:val="0"/>
        <w:pageBreakBefore w:val="0"/>
        <w:widowControl w:val="0"/>
        <w:numPr>
          <w:ilvl w:val="0"/>
          <w:numId w:val="15"/>
        </w:numPr>
        <w:kinsoku/>
        <w:wordWrap/>
        <w:overflowPunct/>
        <w:topLinePunct w:val="0"/>
        <w:autoSpaceDE/>
        <w:autoSpaceDN/>
        <w:bidi w:val="0"/>
        <w:adjustRightInd w:val="0"/>
        <w:snapToGrid w:val="0"/>
        <w:spacing w:before="0" w:after="0" w:line="540" w:lineRule="exact"/>
        <w:ind w:left="0" w:leftChars="0" w:firstLine="562" w:firstLineChars="200"/>
        <w:jc w:val="both"/>
        <w:textAlignment w:val="auto"/>
        <w:rPr>
          <w:rFonts w:hint="eastAsia" w:ascii="仿宋" w:hAnsi="仿宋" w:eastAsia="仿宋" w:cs="仿宋"/>
          <w:b/>
          <w:bCs/>
          <w:color w:val="auto"/>
          <w:sz w:val="28"/>
          <w:szCs w:val="28"/>
          <w:highlight w:val="none"/>
          <w:lang w:val="en-US" w:eastAsia="zh-CN"/>
        </w:rPr>
      </w:pPr>
      <w:r>
        <w:rPr>
          <w:rFonts w:hint="default" w:ascii="仿宋" w:hAnsi="仿宋" w:eastAsia="仿宋" w:cs="仿宋"/>
          <w:b/>
          <w:bCs/>
          <w:color w:val="auto"/>
          <w:sz w:val="28"/>
          <w:szCs w:val="28"/>
          <w:highlight w:val="none"/>
          <w:u w:val="none"/>
          <w:lang w:val="en-US" w:eastAsia="zh-CN"/>
        </w:rPr>
        <w:t>原告撤诉、和解特殊结算规则</w:t>
      </w:r>
      <w:r>
        <w:rPr>
          <w:rFonts w:hint="eastAsia" w:ascii="仿宋" w:hAnsi="仿宋" w:eastAsia="仿宋" w:cs="仿宋"/>
          <w:b/>
          <w:bCs/>
          <w:color w:val="auto"/>
          <w:sz w:val="28"/>
          <w:szCs w:val="28"/>
          <w:highlight w:val="none"/>
          <w:u w:val="none"/>
          <w:lang w:val="en-US" w:eastAsia="zh-CN"/>
        </w:rPr>
        <w:t>：</w:t>
      </w:r>
    </w:p>
    <w:p w14:paraId="6AFF1225">
      <w:pPr>
        <w:pStyle w:val="459"/>
        <w:keepNext w:val="0"/>
        <w:keepLines w:val="0"/>
        <w:pageBreakBefore w:val="0"/>
        <w:widowControl w:val="0"/>
        <w:numPr>
          <w:ilvl w:val="0"/>
          <w:numId w:val="18"/>
        </w:numPr>
        <w:kinsoku/>
        <w:wordWrap/>
        <w:overflowPunct/>
        <w:topLinePunct w:val="0"/>
        <w:autoSpaceDE/>
        <w:autoSpaceDN/>
        <w:bidi w:val="0"/>
        <w:adjustRightInd w:val="0"/>
        <w:snapToGrid w:val="0"/>
        <w:spacing w:before="0" w:after="0" w:line="540" w:lineRule="exact"/>
        <w:ind w:left="0" w:leftChars="0" w:firstLine="560" w:firstLineChars="200"/>
        <w:jc w:val="both"/>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原告单方撤诉情形</w:t>
      </w:r>
    </w:p>
    <w:p w14:paraId="37E261DB">
      <w:pPr>
        <w:pStyle w:val="459"/>
        <w:keepNext w:val="0"/>
        <w:keepLines w:val="0"/>
        <w:pageBreakBefore w:val="0"/>
        <w:widowControl w:val="0"/>
        <w:numPr>
          <w:ilvl w:val="0"/>
          <w:numId w:val="19"/>
        </w:numPr>
        <w:kinsoku/>
        <w:wordWrap/>
        <w:overflowPunct/>
        <w:topLinePunct w:val="0"/>
        <w:autoSpaceDE/>
        <w:autoSpaceDN/>
        <w:bidi w:val="0"/>
        <w:adjustRightInd w:val="0"/>
        <w:snapToGrid w:val="0"/>
        <w:spacing w:before="0" w:after="0" w:line="540" w:lineRule="exact"/>
        <w:ind w:left="0" w:leftChars="0" w:firstLine="560" w:firstLineChars="200"/>
        <w:jc w:val="both"/>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若乙方尚未开展实质性应诉工作，则甲方无需向乙方支付任何代理费用；仅接收甲方提供材料、口头沟通案情，未制作书面证据清单、未出具正式法律文书、未对接人民法院及对方当事人的，认定为未开展实质性应诉工作。</w:t>
      </w:r>
    </w:p>
    <w:p w14:paraId="786555C0">
      <w:pPr>
        <w:pStyle w:val="459"/>
        <w:keepNext w:val="0"/>
        <w:keepLines w:val="0"/>
        <w:pageBreakBefore w:val="0"/>
        <w:widowControl w:val="0"/>
        <w:numPr>
          <w:ilvl w:val="0"/>
          <w:numId w:val="19"/>
        </w:numPr>
        <w:kinsoku/>
        <w:wordWrap/>
        <w:overflowPunct/>
        <w:topLinePunct w:val="0"/>
        <w:autoSpaceDE/>
        <w:autoSpaceDN/>
        <w:bidi w:val="0"/>
        <w:adjustRightInd w:val="0"/>
        <w:snapToGrid w:val="0"/>
        <w:spacing w:before="0" w:after="0" w:line="540" w:lineRule="exact"/>
        <w:ind w:left="0" w:leftChars="0" w:firstLine="560" w:firstLineChars="200"/>
        <w:jc w:val="both"/>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若乙方已开展实质性应诉工作，则据实结算调整后基础服务费，风险提成全部不予计取、不予支付，具体规则如下：</w:t>
      </w:r>
    </w:p>
    <w:p w14:paraId="78DF0D96">
      <w:pPr>
        <w:pStyle w:val="459"/>
        <w:keepNext w:val="0"/>
        <w:keepLines w:val="0"/>
        <w:pageBreakBefore w:val="0"/>
        <w:widowControl w:val="0"/>
        <w:numPr>
          <w:ilvl w:val="0"/>
          <w:numId w:val="20"/>
        </w:numPr>
        <w:kinsoku/>
        <w:wordWrap/>
        <w:overflowPunct/>
        <w:topLinePunct w:val="0"/>
        <w:autoSpaceDE/>
        <w:autoSpaceDN/>
        <w:bidi w:val="0"/>
        <w:adjustRightInd w:val="0"/>
        <w:snapToGrid w:val="0"/>
        <w:spacing w:before="0" w:after="0" w:line="540" w:lineRule="exact"/>
        <w:ind w:left="0" w:leftChars="0" w:firstLine="560" w:firstLineChars="200"/>
        <w:jc w:val="both"/>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仅完成证据归集、梳理、制作证据清单，未起草正式应诉文书，未参与调解、外出调查及出庭工作，结算比例为合同总价 ×10%；</w:t>
      </w:r>
    </w:p>
    <w:p w14:paraId="09AB1C50">
      <w:pPr>
        <w:pStyle w:val="459"/>
        <w:keepNext w:val="0"/>
        <w:keepLines w:val="0"/>
        <w:pageBreakBefore w:val="0"/>
        <w:widowControl w:val="0"/>
        <w:numPr>
          <w:ilvl w:val="0"/>
          <w:numId w:val="20"/>
        </w:numPr>
        <w:kinsoku/>
        <w:wordWrap/>
        <w:overflowPunct/>
        <w:topLinePunct w:val="0"/>
        <w:autoSpaceDE/>
        <w:autoSpaceDN/>
        <w:bidi w:val="0"/>
        <w:adjustRightInd w:val="0"/>
        <w:snapToGrid w:val="0"/>
        <w:spacing w:before="0" w:after="0" w:line="540" w:lineRule="exact"/>
        <w:ind w:left="0" w:leftChars="0" w:firstLine="560" w:firstLineChars="200"/>
        <w:jc w:val="both"/>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完成证据整理工作并起草全套应诉文书，未参与调解、外出调查及出庭工作，结算比例为合同总价 ×20%；</w:t>
      </w:r>
    </w:p>
    <w:p w14:paraId="6CD7D7E9">
      <w:pPr>
        <w:pStyle w:val="459"/>
        <w:keepNext w:val="0"/>
        <w:keepLines w:val="0"/>
        <w:pageBreakBefore w:val="0"/>
        <w:widowControl w:val="0"/>
        <w:numPr>
          <w:ilvl w:val="0"/>
          <w:numId w:val="20"/>
        </w:numPr>
        <w:kinsoku/>
        <w:wordWrap/>
        <w:overflowPunct/>
        <w:topLinePunct w:val="0"/>
        <w:autoSpaceDE/>
        <w:autoSpaceDN/>
        <w:bidi w:val="0"/>
        <w:adjustRightInd w:val="0"/>
        <w:snapToGrid w:val="0"/>
        <w:spacing w:before="0" w:after="0" w:line="540" w:lineRule="exact"/>
        <w:ind w:left="0" w:leftChars="0" w:firstLine="560" w:firstLineChars="200"/>
        <w:jc w:val="both"/>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完成证据、文书相关工作，同时发生参与诉前或庭审调解、赴法院递交材料阅卷、外出调查取证、线上线下出庭、案件听证谈话任一行为，结算比例为合同总价 ×30%；</w:t>
      </w:r>
    </w:p>
    <w:p w14:paraId="6A6EF373">
      <w:pPr>
        <w:pStyle w:val="459"/>
        <w:keepNext w:val="0"/>
        <w:keepLines w:val="0"/>
        <w:pageBreakBefore w:val="0"/>
        <w:widowControl w:val="0"/>
        <w:numPr>
          <w:ilvl w:val="0"/>
          <w:numId w:val="20"/>
        </w:numPr>
        <w:kinsoku/>
        <w:wordWrap/>
        <w:overflowPunct/>
        <w:topLinePunct w:val="0"/>
        <w:autoSpaceDE/>
        <w:autoSpaceDN/>
        <w:bidi w:val="0"/>
        <w:adjustRightInd w:val="0"/>
        <w:snapToGrid w:val="0"/>
        <w:spacing w:before="0" w:after="0" w:line="540" w:lineRule="exact"/>
        <w:ind w:left="0" w:leftChars="0" w:firstLine="560" w:firstLineChars="200"/>
        <w:jc w:val="both"/>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结算时按照乙方实际完成的最高等级工作对应单一情形计费，各情形费用不叠加计算；无论乙方完成多少项工作，原告撤诉情形下基础服务费结算总额上限为合同总价 30%，不因工作量增加、办案时长延长而调整。</w:t>
      </w:r>
    </w:p>
    <w:p w14:paraId="0911200F">
      <w:pPr>
        <w:pStyle w:val="459"/>
        <w:keepNext w:val="0"/>
        <w:keepLines w:val="0"/>
        <w:pageBreakBefore w:val="0"/>
        <w:widowControl w:val="0"/>
        <w:numPr>
          <w:ilvl w:val="0"/>
          <w:numId w:val="19"/>
        </w:numPr>
        <w:kinsoku/>
        <w:wordWrap/>
        <w:overflowPunct/>
        <w:topLinePunct w:val="0"/>
        <w:autoSpaceDE/>
        <w:autoSpaceDN/>
        <w:bidi w:val="0"/>
        <w:adjustRightInd w:val="0"/>
        <w:snapToGrid w:val="0"/>
        <w:spacing w:before="0" w:after="0" w:line="540" w:lineRule="exact"/>
        <w:ind w:left="0" w:leftChars="0" w:firstLine="560" w:firstLineChars="200"/>
        <w:jc w:val="both"/>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实质性应诉工作范围：完成证据归集、整理、分类、装订、举证目录制作；起草答辩状、证据质证意见、代理思路、反诉材料、调解方案等正式法律文书并提交甲方或人民法院；参与人民法院组织的诉前调解、线上线下调解谈话、与被告方协商谈判；前往人民法院阅卷、递交材料、参加线上线下庭审、听证、问话；开展不动产、工商、银行、涉诉档案等外部调查取证工作。</w:t>
      </w:r>
    </w:p>
    <w:p w14:paraId="5D69C9BA">
      <w:pPr>
        <w:pStyle w:val="459"/>
        <w:keepNext w:val="0"/>
        <w:keepLines w:val="0"/>
        <w:pageBreakBefore w:val="0"/>
        <w:widowControl w:val="0"/>
        <w:numPr>
          <w:ilvl w:val="0"/>
          <w:numId w:val="19"/>
        </w:numPr>
        <w:kinsoku/>
        <w:wordWrap/>
        <w:overflowPunct/>
        <w:topLinePunct w:val="0"/>
        <w:autoSpaceDE/>
        <w:autoSpaceDN/>
        <w:bidi w:val="0"/>
        <w:adjustRightInd w:val="0"/>
        <w:snapToGrid w:val="0"/>
        <w:spacing w:before="0" w:after="0" w:line="540" w:lineRule="exact"/>
        <w:ind w:left="0" w:leftChars="0" w:firstLine="560" w:firstLineChars="200"/>
        <w:jc w:val="both"/>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结算佐证与认定要求：乙方申请结算应当同步提交完整工作佐证材料，包括证据目录、文书定稿底稿、法院送达回执、调解记录、出庭笔录、调查取证材料、合同各方工作沟通台账。乙方主张适用对应情形结算费用的，由乙方承担举证责任，无法提供完整对应佐证材料的，统一按照最低情形标准结算。</w:t>
      </w:r>
    </w:p>
    <w:p w14:paraId="59DD986A">
      <w:pPr>
        <w:pStyle w:val="459"/>
        <w:keepNext w:val="0"/>
        <w:keepLines w:val="0"/>
        <w:pageBreakBefore w:val="0"/>
        <w:widowControl w:val="0"/>
        <w:numPr>
          <w:ilvl w:val="0"/>
          <w:numId w:val="18"/>
        </w:numPr>
        <w:kinsoku/>
        <w:wordWrap/>
        <w:overflowPunct/>
        <w:topLinePunct w:val="0"/>
        <w:autoSpaceDE/>
        <w:autoSpaceDN/>
        <w:bidi w:val="0"/>
        <w:adjustRightInd w:val="0"/>
        <w:snapToGrid w:val="0"/>
        <w:spacing w:before="0" w:after="0" w:line="540" w:lineRule="exact"/>
        <w:ind w:left="0" w:leftChars="0" w:firstLine="560" w:firstLineChars="200"/>
        <w:jc w:val="both"/>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原、被告达成庭前/庭外和解情形</w:t>
      </w:r>
    </w:p>
    <w:p w14:paraId="6EB46CE0">
      <w:pPr>
        <w:pStyle w:val="459"/>
        <w:keepNext w:val="0"/>
        <w:keepLines w:val="0"/>
        <w:pageBreakBefore w:val="0"/>
        <w:widowControl w:val="0"/>
        <w:numPr>
          <w:ilvl w:val="0"/>
          <w:numId w:val="21"/>
        </w:numPr>
        <w:kinsoku/>
        <w:wordWrap/>
        <w:overflowPunct/>
        <w:topLinePunct w:val="0"/>
        <w:autoSpaceDE/>
        <w:autoSpaceDN/>
        <w:bidi w:val="0"/>
        <w:adjustRightInd w:val="0"/>
        <w:snapToGrid w:val="0"/>
        <w:spacing w:before="0" w:after="0" w:line="540" w:lineRule="exact"/>
        <w:ind w:left="0" w:leftChars="0" w:firstLine="560" w:firstLineChars="200"/>
        <w:jc w:val="both"/>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基础服务费＝合同总价×40%×90%；</w:t>
      </w:r>
    </w:p>
    <w:p w14:paraId="53D07351">
      <w:pPr>
        <w:pStyle w:val="459"/>
        <w:keepNext w:val="0"/>
        <w:keepLines w:val="0"/>
        <w:pageBreakBefore w:val="0"/>
        <w:widowControl w:val="0"/>
        <w:numPr>
          <w:ilvl w:val="0"/>
          <w:numId w:val="21"/>
        </w:numPr>
        <w:kinsoku/>
        <w:wordWrap/>
        <w:overflowPunct/>
        <w:topLinePunct w:val="0"/>
        <w:autoSpaceDE/>
        <w:autoSpaceDN/>
        <w:bidi w:val="0"/>
        <w:adjustRightInd w:val="0"/>
        <w:snapToGrid w:val="0"/>
        <w:spacing w:before="0" w:after="0" w:line="540" w:lineRule="exact"/>
        <w:ind w:left="0" w:leftChars="0" w:firstLine="560" w:firstLineChars="200"/>
        <w:jc w:val="both"/>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风险提成=合同总价×60%×尾款核算比例，尾款核算比例仍按合同有关约定执行。</w:t>
      </w:r>
    </w:p>
    <w:p w14:paraId="261F72AA">
      <w:pPr>
        <w:pStyle w:val="459"/>
        <w:pageBreakBefore w:val="0"/>
        <w:numPr>
          <w:ilvl w:val="0"/>
          <w:numId w:val="13"/>
        </w:numPr>
        <w:kinsoku/>
        <w:overflowPunct/>
        <w:topLinePunct w:val="0"/>
        <w:autoSpaceDE/>
        <w:autoSpaceDN/>
        <w:bidi w:val="0"/>
        <w:adjustRightInd w:val="0"/>
        <w:snapToGrid w:val="0"/>
        <w:spacing w:before="0" w:after="0" w:line="540" w:lineRule="exact"/>
        <w:ind w:left="0" w:firstLine="562" w:firstLineChars="200"/>
        <w:textAlignment w:val="auto"/>
        <w:rPr>
          <w:rFonts w:hint="eastAsia" w:ascii="仿宋" w:hAnsi="仿宋" w:eastAsia="仿宋" w:cs="仿宋"/>
          <w:b/>
          <w:bCs/>
          <w:color w:val="auto"/>
          <w:sz w:val="28"/>
          <w:szCs w:val="28"/>
          <w:highlight w:val="none"/>
          <w:lang w:val="en-US" w:eastAsia="zh-CN"/>
        </w:rPr>
      </w:pPr>
      <w:bookmarkStart w:id="70" w:name="_Toc7791"/>
      <w:r>
        <w:rPr>
          <w:rFonts w:hint="eastAsia" w:ascii="仿宋" w:hAnsi="仿宋" w:eastAsia="仿宋" w:cs="仿宋"/>
          <w:b/>
          <w:bCs/>
          <w:color w:val="auto"/>
          <w:sz w:val="28"/>
          <w:szCs w:val="28"/>
          <w:highlight w:val="none"/>
          <w:lang w:val="en-US" w:eastAsia="zh-CN"/>
        </w:rPr>
        <w:t>履约保证金</w:t>
      </w:r>
      <w:bookmarkEnd w:id="70"/>
    </w:p>
    <w:p w14:paraId="0E091183">
      <w:pPr>
        <w:pStyle w:val="459"/>
        <w:keepNext w:val="0"/>
        <w:keepLines w:val="0"/>
        <w:pageBreakBefore w:val="0"/>
        <w:widowControl w:val="0"/>
        <w:kinsoku/>
        <w:wordWrap/>
        <w:overflowPunct/>
        <w:topLinePunct w:val="0"/>
        <w:autoSpaceDE/>
        <w:autoSpaceDN/>
        <w:bidi w:val="0"/>
        <w:adjustRightInd w:val="0"/>
        <w:snapToGrid w:val="0"/>
        <w:spacing w:before="0" w:after="0" w:line="540" w:lineRule="exact"/>
        <w:ind w:lef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根据《安庆市交通控股集团有限公司法律顾问咨询服务商采购项目》比选文件约定，乙方须向安庆市交通控股集团有限公司缴纳5000元履约保证金；根据《安庆中安公司诉上海星徽汽车贸易有限公司合同纠纷案件诉讼代理服务（重新招标）比选文件》约定，本合同不再额外收取履约保证金。</w:t>
      </w:r>
    </w:p>
    <w:p w14:paraId="178F8A78">
      <w:pPr>
        <w:pStyle w:val="8"/>
        <w:pageBreakBefore w:val="0"/>
        <w:kinsoku/>
        <w:overflowPunct/>
        <w:topLinePunct w:val="0"/>
        <w:autoSpaceDE/>
        <w:autoSpaceDN/>
        <w:bidi w:val="0"/>
        <w:adjustRightInd w:val="0"/>
        <w:snapToGrid w:val="0"/>
        <w:spacing w:line="540" w:lineRule="exact"/>
        <w:ind w:left="0" w:firstLine="562"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二、双方权利与义务</w:t>
      </w:r>
    </w:p>
    <w:p w14:paraId="6E2E0B58">
      <w:pPr>
        <w:pStyle w:val="9"/>
        <w:pageBreakBefore w:val="0"/>
        <w:kinsoku/>
        <w:overflowPunct/>
        <w:topLinePunct w:val="0"/>
        <w:autoSpaceDE/>
        <w:autoSpaceDN/>
        <w:bidi w:val="0"/>
        <w:adjustRightInd w:val="0"/>
        <w:snapToGrid w:val="0"/>
        <w:spacing w:before="0" w:after="0" w:line="540" w:lineRule="exact"/>
        <w:ind w:left="0" w:firstLine="562"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（一）甲方权利义务</w:t>
      </w:r>
    </w:p>
    <w:p w14:paraId="1D1CDDAE">
      <w:pPr>
        <w:pStyle w:val="459"/>
        <w:keepNext w:val="0"/>
        <w:keepLines w:val="0"/>
        <w:pageBreakBefore w:val="0"/>
        <w:widowControl/>
        <w:numPr>
          <w:ilvl w:val="0"/>
          <w:numId w:val="22"/>
        </w:numPr>
        <w:kinsoku/>
        <w:wordWrap/>
        <w:overflowPunct/>
        <w:topLinePunct w:val="0"/>
        <w:autoSpaceDE/>
        <w:autoSpaceDN/>
        <w:bidi w:val="0"/>
        <w:adjustRightInd w:val="0"/>
        <w:snapToGrid w:val="0"/>
        <w:spacing w:before="0" w:after="0" w:line="540" w:lineRule="exact"/>
        <w:ind w:left="0" w:leftChars="0"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如实提供</w:t>
      </w:r>
      <w:r>
        <w:rPr>
          <w:rFonts w:hint="eastAsia" w:ascii="仿宋" w:hAnsi="仿宋" w:eastAsia="仿宋" w:cs="仿宋"/>
          <w:color w:val="auto"/>
          <w:sz w:val="28"/>
          <w:szCs w:val="28"/>
          <w:highlight w:val="none"/>
          <w:lang w:val="en-US" w:eastAsia="zh-CN"/>
        </w:rPr>
        <w:t>委托</w:t>
      </w:r>
      <w:r>
        <w:rPr>
          <w:rFonts w:hint="eastAsia" w:ascii="仿宋" w:hAnsi="仿宋" w:eastAsia="仿宋" w:cs="仿宋"/>
          <w:color w:val="auto"/>
          <w:sz w:val="28"/>
          <w:szCs w:val="28"/>
          <w:highlight w:val="none"/>
        </w:rPr>
        <w:t>合同、付款凭证、</w:t>
      </w:r>
      <w:r>
        <w:rPr>
          <w:rFonts w:hint="eastAsia" w:ascii="仿宋" w:hAnsi="仿宋" w:eastAsia="仿宋" w:cs="仿宋"/>
          <w:color w:val="auto"/>
          <w:sz w:val="28"/>
          <w:szCs w:val="28"/>
          <w:highlight w:val="none"/>
          <w:lang w:val="en-US" w:eastAsia="zh-CN"/>
        </w:rPr>
        <w:t>过程</w:t>
      </w:r>
      <w:r>
        <w:rPr>
          <w:rFonts w:hint="eastAsia" w:ascii="仿宋" w:hAnsi="仿宋" w:eastAsia="仿宋" w:cs="仿宋"/>
          <w:color w:val="auto"/>
          <w:sz w:val="28"/>
          <w:szCs w:val="28"/>
          <w:highlight w:val="none"/>
        </w:rPr>
        <w:t>资料等全部证据，对真实性承担法律责任；</w:t>
      </w:r>
    </w:p>
    <w:p w14:paraId="65E5A0CB">
      <w:pPr>
        <w:pStyle w:val="459"/>
        <w:keepNext w:val="0"/>
        <w:keepLines w:val="0"/>
        <w:pageBreakBefore w:val="0"/>
        <w:widowControl w:val="0"/>
        <w:numPr>
          <w:ilvl w:val="0"/>
          <w:numId w:val="22"/>
        </w:numPr>
        <w:kinsoku/>
        <w:wordWrap/>
        <w:overflowPunct/>
        <w:topLinePunct w:val="0"/>
        <w:autoSpaceDE/>
        <w:autoSpaceDN/>
        <w:bidi w:val="0"/>
        <w:adjustRightInd w:val="0"/>
        <w:snapToGrid w:val="0"/>
        <w:spacing w:before="0" w:after="0" w:line="540" w:lineRule="exact"/>
        <w:ind w:left="0" w:leftChars="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配合乙方调查取证、鉴定及庭审活动，指定</w:t>
      </w:r>
      <w:r>
        <w:rPr>
          <w:rFonts w:hint="eastAsia" w:ascii="仿宋" w:hAnsi="仿宋" w:eastAsia="仿宋" w:cs="仿宋"/>
          <w:color w:val="auto"/>
          <w:sz w:val="28"/>
          <w:szCs w:val="28"/>
          <w:highlight w:val="none"/>
          <w:u w:val="single"/>
          <w:lang w:val="en-US" w:eastAsia="zh-CN"/>
        </w:rPr>
        <w:t xml:space="preserve">    </w:t>
      </w:r>
      <w:r>
        <w:rPr>
          <w:rFonts w:hint="eastAsia" w:ascii="仿宋" w:hAnsi="仿宋" w:eastAsia="仿宋" w:cs="仿宋"/>
          <w:color w:val="auto"/>
          <w:sz w:val="28"/>
          <w:szCs w:val="28"/>
          <w:highlight w:val="none"/>
        </w:rPr>
        <w:t>为联系人（电话：</w:t>
      </w:r>
      <w:r>
        <w:rPr>
          <w:rFonts w:hint="eastAsia" w:ascii="仿宋" w:hAnsi="仿宋" w:eastAsia="仿宋" w:cs="仿宋"/>
          <w:color w:val="auto"/>
          <w:sz w:val="28"/>
          <w:szCs w:val="28"/>
          <w:highlight w:val="none"/>
          <w:u w:val="single"/>
          <w:lang w:val="en-US" w:eastAsia="zh-CN"/>
        </w:rPr>
        <w:t xml:space="preserve">               </w:t>
      </w:r>
      <w:r>
        <w:rPr>
          <w:rFonts w:hint="eastAsia" w:ascii="仿宋" w:hAnsi="仿宋" w:eastAsia="仿宋" w:cs="仿宋"/>
          <w:color w:val="auto"/>
          <w:sz w:val="28"/>
          <w:szCs w:val="28"/>
          <w:highlight w:val="none"/>
        </w:rPr>
        <w:t>），负责对接案件事宜；</w:t>
      </w:r>
    </w:p>
    <w:p w14:paraId="35D0DE06">
      <w:pPr>
        <w:pStyle w:val="459"/>
        <w:keepNext w:val="0"/>
        <w:keepLines w:val="0"/>
        <w:pageBreakBefore w:val="0"/>
        <w:widowControl/>
        <w:numPr>
          <w:ilvl w:val="0"/>
          <w:numId w:val="22"/>
        </w:numPr>
        <w:kinsoku/>
        <w:wordWrap/>
        <w:overflowPunct/>
        <w:topLinePunct w:val="0"/>
        <w:autoSpaceDE/>
        <w:autoSpaceDN/>
        <w:bidi w:val="0"/>
        <w:adjustRightInd w:val="0"/>
        <w:snapToGrid w:val="0"/>
        <w:spacing w:before="0" w:after="0" w:line="540" w:lineRule="exact"/>
        <w:ind w:left="0" w:leftChars="0"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按约定支付律师费及代垫费用；</w:t>
      </w:r>
    </w:p>
    <w:p w14:paraId="76464066">
      <w:pPr>
        <w:pStyle w:val="459"/>
        <w:keepNext w:val="0"/>
        <w:keepLines w:val="0"/>
        <w:pageBreakBefore w:val="0"/>
        <w:widowControl/>
        <w:numPr>
          <w:ilvl w:val="0"/>
          <w:numId w:val="22"/>
        </w:numPr>
        <w:kinsoku/>
        <w:wordWrap/>
        <w:overflowPunct/>
        <w:topLinePunct w:val="0"/>
        <w:autoSpaceDE/>
        <w:autoSpaceDN/>
        <w:bidi w:val="0"/>
        <w:adjustRightInd w:val="0"/>
        <w:snapToGrid w:val="0"/>
        <w:spacing w:before="0" w:after="0" w:line="540" w:lineRule="exact"/>
        <w:ind w:left="0" w:leftChars="0"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有权要求乙方每月书面汇报案件进展。</w:t>
      </w:r>
    </w:p>
    <w:p w14:paraId="176361D1">
      <w:pPr>
        <w:pStyle w:val="9"/>
        <w:pageBreakBefore w:val="0"/>
        <w:kinsoku/>
        <w:overflowPunct/>
        <w:topLinePunct w:val="0"/>
        <w:autoSpaceDE/>
        <w:autoSpaceDN/>
        <w:bidi w:val="0"/>
        <w:adjustRightInd w:val="0"/>
        <w:snapToGrid w:val="0"/>
        <w:spacing w:before="0" w:after="0" w:line="540" w:lineRule="exact"/>
        <w:ind w:left="0" w:firstLine="562"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（二）乙方权利义务</w:t>
      </w:r>
    </w:p>
    <w:p w14:paraId="5EFA178E">
      <w:pPr>
        <w:pStyle w:val="459"/>
        <w:keepNext w:val="0"/>
        <w:keepLines w:val="0"/>
        <w:pageBreakBefore w:val="0"/>
        <w:widowControl/>
        <w:numPr>
          <w:ilvl w:val="0"/>
          <w:numId w:val="23"/>
        </w:numPr>
        <w:kinsoku/>
        <w:wordWrap/>
        <w:overflowPunct/>
        <w:topLinePunct w:val="0"/>
        <w:autoSpaceDE/>
        <w:autoSpaceDN/>
        <w:bidi w:val="0"/>
        <w:adjustRightInd w:val="0"/>
        <w:snapToGrid w:val="0"/>
        <w:spacing w:before="0" w:after="0" w:line="540" w:lineRule="exact"/>
        <w:ind w:left="0" w:leftChars="0"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指派约定律师承办案件，如需更换需经甲方书面同意；</w:t>
      </w:r>
    </w:p>
    <w:p w14:paraId="27FE6E2F">
      <w:pPr>
        <w:pStyle w:val="459"/>
        <w:keepNext w:val="0"/>
        <w:keepLines w:val="0"/>
        <w:pageBreakBefore w:val="0"/>
        <w:widowControl/>
        <w:numPr>
          <w:ilvl w:val="0"/>
          <w:numId w:val="23"/>
        </w:numPr>
        <w:kinsoku/>
        <w:wordWrap/>
        <w:overflowPunct/>
        <w:topLinePunct w:val="0"/>
        <w:autoSpaceDE/>
        <w:autoSpaceDN/>
        <w:bidi w:val="0"/>
        <w:adjustRightInd w:val="0"/>
        <w:snapToGrid w:val="0"/>
        <w:spacing w:before="0" w:after="0" w:line="540" w:lineRule="exact"/>
        <w:ind w:left="0" w:leftChars="0"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勤勉履行代理职责，不得泄露甲方商业秘密及技术信息；</w:t>
      </w:r>
    </w:p>
    <w:p w14:paraId="73F8692D">
      <w:pPr>
        <w:pStyle w:val="459"/>
        <w:keepNext w:val="0"/>
        <w:keepLines w:val="0"/>
        <w:pageBreakBefore w:val="0"/>
        <w:widowControl/>
        <w:numPr>
          <w:ilvl w:val="0"/>
          <w:numId w:val="23"/>
        </w:numPr>
        <w:kinsoku/>
        <w:wordWrap/>
        <w:overflowPunct/>
        <w:topLinePunct w:val="0"/>
        <w:autoSpaceDE/>
        <w:autoSpaceDN/>
        <w:bidi w:val="0"/>
        <w:adjustRightInd w:val="0"/>
        <w:snapToGrid w:val="0"/>
        <w:spacing w:before="0" w:after="0" w:line="540" w:lineRule="exact"/>
        <w:ind w:left="0" w:leftChars="0"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对涉及价款、质量等专业问题，应出具书面法律分析意见；</w:t>
      </w:r>
    </w:p>
    <w:p w14:paraId="3587FE61">
      <w:pPr>
        <w:pStyle w:val="459"/>
        <w:keepNext w:val="0"/>
        <w:keepLines w:val="0"/>
        <w:pageBreakBefore w:val="0"/>
        <w:widowControl/>
        <w:numPr>
          <w:ilvl w:val="0"/>
          <w:numId w:val="23"/>
        </w:numPr>
        <w:kinsoku/>
        <w:wordWrap/>
        <w:overflowPunct/>
        <w:topLinePunct w:val="0"/>
        <w:autoSpaceDE/>
        <w:autoSpaceDN/>
        <w:bidi w:val="0"/>
        <w:adjustRightInd w:val="0"/>
        <w:snapToGrid w:val="0"/>
        <w:spacing w:before="0" w:after="0" w:line="540" w:lineRule="exact"/>
        <w:ind w:left="0" w:leftChars="0"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重大决策（如和解方案、鉴定机构选择）需提前 3 个工作日书面征求甲方意见</w:t>
      </w:r>
      <w:r>
        <w:rPr>
          <w:rFonts w:hint="eastAsia" w:ascii="仿宋" w:hAnsi="仿宋" w:eastAsia="仿宋" w:cs="仿宋"/>
          <w:color w:val="auto"/>
          <w:sz w:val="28"/>
          <w:szCs w:val="28"/>
          <w:highlight w:val="none"/>
          <w:lang w:eastAsia="zh-CN"/>
        </w:rPr>
        <w:t>；</w:t>
      </w:r>
    </w:p>
    <w:p w14:paraId="7EBA68C2">
      <w:pPr>
        <w:pStyle w:val="459"/>
        <w:keepNext w:val="0"/>
        <w:keepLines w:val="0"/>
        <w:pageBreakBefore w:val="0"/>
        <w:widowControl w:val="0"/>
        <w:numPr>
          <w:ilvl w:val="0"/>
          <w:numId w:val="23"/>
        </w:numPr>
        <w:kinsoku/>
        <w:wordWrap/>
        <w:overflowPunct/>
        <w:topLinePunct w:val="0"/>
        <w:autoSpaceDE/>
        <w:autoSpaceDN/>
        <w:bidi w:val="0"/>
        <w:adjustRightInd w:val="0"/>
        <w:snapToGrid w:val="0"/>
        <w:spacing w:before="0" w:after="0" w:line="540" w:lineRule="exact"/>
        <w:ind w:left="0" w:leftChars="0"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全面考虑可能涉及到的文件资料并要求甲方提供，因乙方未尽提醒义务导致甲方忽略关键证据材料的，乙方须按成交价的10%承担赔偿义务。</w:t>
      </w:r>
    </w:p>
    <w:p w14:paraId="231A520F">
      <w:pPr>
        <w:pStyle w:val="459"/>
        <w:keepNext w:val="0"/>
        <w:keepLines w:val="0"/>
        <w:pageBreakBefore w:val="0"/>
        <w:widowControl w:val="0"/>
        <w:numPr>
          <w:ilvl w:val="0"/>
          <w:numId w:val="23"/>
        </w:numPr>
        <w:kinsoku/>
        <w:wordWrap/>
        <w:overflowPunct/>
        <w:topLinePunct w:val="0"/>
        <w:autoSpaceDE/>
        <w:autoSpaceDN/>
        <w:bidi w:val="0"/>
        <w:adjustRightInd w:val="0"/>
        <w:snapToGrid w:val="0"/>
        <w:spacing w:before="0" w:after="0" w:line="540" w:lineRule="exact"/>
        <w:ind w:left="0" w:leftChars="0"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乙方未经甲方书面同意擅自和解、放弃重大债权、遗漏关键诉讼程序造成甲方损失的，甲方有权扣除全部未付代理费，并按合同总价 20% 主张违约金，不足以弥补损失的乙方另行赔偿。</w:t>
      </w:r>
    </w:p>
    <w:p w14:paraId="1E25D09D">
      <w:pPr>
        <w:pStyle w:val="8"/>
        <w:keepNext w:val="0"/>
        <w:keepLines w:val="0"/>
        <w:pageBreakBefore w:val="0"/>
        <w:widowControl w:val="0"/>
        <w:kinsoku/>
        <w:overflowPunct/>
        <w:topLinePunct w:val="0"/>
        <w:autoSpaceDE/>
        <w:autoSpaceDN/>
        <w:bidi w:val="0"/>
        <w:adjustRightInd w:val="0"/>
        <w:snapToGrid w:val="0"/>
        <w:spacing w:line="540" w:lineRule="exact"/>
        <w:ind w:left="0" w:firstLine="562"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三、律师费用及支付方式</w:t>
      </w:r>
    </w:p>
    <w:p w14:paraId="1F9190A1">
      <w:pPr>
        <w:pStyle w:val="9"/>
        <w:keepNext w:val="0"/>
        <w:keepLines w:val="0"/>
        <w:pageBreakBefore w:val="0"/>
        <w:widowControl w:val="0"/>
        <w:kinsoku/>
        <w:overflowPunct/>
        <w:topLinePunct w:val="0"/>
        <w:autoSpaceDE/>
        <w:autoSpaceDN/>
        <w:bidi w:val="0"/>
        <w:adjustRightInd w:val="0"/>
        <w:snapToGrid w:val="0"/>
        <w:spacing w:before="0" w:after="0" w:line="540" w:lineRule="exact"/>
        <w:ind w:left="0" w:firstLine="562"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（一）律师费计算方式（三选一）</w:t>
      </w:r>
    </w:p>
    <w:p w14:paraId="294FA57C">
      <w:pPr>
        <w:pStyle w:val="459"/>
        <w:keepNext w:val="0"/>
        <w:keepLines w:val="0"/>
        <w:pageBreakBefore w:val="0"/>
        <w:widowControl w:val="0"/>
        <w:numPr>
          <w:ilvl w:val="0"/>
          <w:numId w:val="24"/>
        </w:numPr>
        <w:kinsoku/>
        <w:wordWrap/>
        <w:overflowPunct/>
        <w:topLinePunct w:val="0"/>
        <w:autoSpaceDE/>
        <w:autoSpaceDN/>
        <w:bidi w:val="0"/>
        <w:adjustRightInd w:val="0"/>
        <w:snapToGrid w:val="0"/>
        <w:spacing w:before="0" w:after="0" w:line="540" w:lineRule="exact"/>
        <w:ind w:left="0" w:leftChars="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 xml:space="preserve"> 固定收费：人民币</w:t>
      </w:r>
      <w:r>
        <w:rPr>
          <w:rFonts w:hint="eastAsia" w:ascii="仿宋" w:hAnsi="仿宋" w:eastAsia="仿宋" w:cs="仿宋"/>
          <w:color w:val="auto"/>
          <w:sz w:val="28"/>
          <w:szCs w:val="28"/>
          <w:highlight w:val="none"/>
          <w:u w:val="single"/>
          <w:lang w:val="en-US" w:eastAsia="zh-CN"/>
        </w:rPr>
        <w:t xml:space="preserve"> / </w:t>
      </w:r>
      <w:r>
        <w:rPr>
          <w:rFonts w:hint="eastAsia" w:ascii="仿宋" w:hAnsi="仿宋" w:eastAsia="仿宋" w:cs="仿宋"/>
          <w:color w:val="auto"/>
          <w:sz w:val="28"/>
          <w:szCs w:val="28"/>
          <w:highlight w:val="none"/>
        </w:rPr>
        <w:t>元（大写：</w:t>
      </w:r>
      <w:r>
        <w:rPr>
          <w:rFonts w:hint="eastAsia" w:ascii="仿宋" w:hAnsi="仿宋" w:eastAsia="仿宋" w:cs="仿宋"/>
          <w:color w:val="auto"/>
          <w:sz w:val="28"/>
          <w:szCs w:val="28"/>
          <w:highlight w:val="none"/>
          <w:u w:val="single"/>
          <w:lang w:val="en-US" w:eastAsia="zh-CN"/>
        </w:rPr>
        <w:t xml:space="preserve"> / </w:t>
      </w:r>
      <w:r>
        <w:rPr>
          <w:rFonts w:hint="eastAsia" w:ascii="仿宋" w:hAnsi="仿宋" w:eastAsia="仿宋" w:cs="仿宋"/>
          <w:color w:val="auto"/>
          <w:sz w:val="28"/>
          <w:szCs w:val="28"/>
          <w:highlight w:val="none"/>
        </w:rPr>
        <w:t>）</w:t>
      </w:r>
    </w:p>
    <w:p w14:paraId="0322EDB1">
      <w:pPr>
        <w:pStyle w:val="459"/>
        <w:keepNext w:val="0"/>
        <w:keepLines w:val="0"/>
        <w:pageBreakBefore w:val="0"/>
        <w:widowControl w:val="0"/>
        <w:numPr>
          <w:ilvl w:val="0"/>
          <w:numId w:val="24"/>
        </w:numPr>
        <w:kinsoku/>
        <w:wordWrap/>
        <w:overflowPunct/>
        <w:topLinePunct w:val="0"/>
        <w:autoSpaceDE/>
        <w:autoSpaceDN/>
        <w:bidi w:val="0"/>
        <w:adjustRightInd w:val="0"/>
        <w:snapToGrid w:val="0"/>
        <w:spacing w:before="0" w:after="0" w:line="540" w:lineRule="exact"/>
        <w:ind w:left="0" w:leftChars="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风险代理：按生效法律文书确定回款金额的</w:t>
      </w:r>
      <w:r>
        <w:rPr>
          <w:rFonts w:hint="eastAsia" w:ascii="仿宋" w:hAnsi="仿宋" w:eastAsia="仿宋" w:cs="仿宋"/>
          <w:color w:val="auto"/>
          <w:sz w:val="28"/>
          <w:szCs w:val="28"/>
          <w:highlight w:val="none"/>
          <w:u w:val="single"/>
          <w:lang w:val="en-US" w:eastAsia="zh-CN"/>
        </w:rPr>
        <w:t xml:space="preserve"> / </w:t>
      </w:r>
      <w:r>
        <w:rPr>
          <w:rFonts w:hint="eastAsia" w:ascii="仿宋" w:hAnsi="仿宋" w:eastAsia="仿宋" w:cs="仿宋"/>
          <w:color w:val="auto"/>
          <w:sz w:val="28"/>
          <w:szCs w:val="28"/>
          <w:highlight w:val="none"/>
        </w:rPr>
        <w:t>% 收取（最高不超过 18%）</w:t>
      </w:r>
    </w:p>
    <w:p w14:paraId="689A8CE6">
      <w:pPr>
        <w:pStyle w:val="459"/>
        <w:keepNext w:val="0"/>
        <w:keepLines w:val="0"/>
        <w:pageBreakBefore w:val="0"/>
        <w:widowControl w:val="0"/>
        <w:numPr>
          <w:ilvl w:val="0"/>
          <w:numId w:val="24"/>
        </w:numPr>
        <w:kinsoku/>
        <w:wordWrap/>
        <w:overflowPunct/>
        <w:topLinePunct w:val="0"/>
        <w:autoSpaceDE/>
        <w:autoSpaceDN/>
        <w:bidi w:val="0"/>
        <w:adjustRightInd w:val="0"/>
        <w:snapToGrid w:val="0"/>
        <w:spacing w:before="0" w:after="0" w:line="540" w:lineRule="exact"/>
        <w:ind w:left="0" w:leftChars="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 xml:space="preserve"> 基础</w:t>
      </w:r>
      <w:r>
        <w:rPr>
          <w:rFonts w:hint="eastAsia" w:ascii="仿宋" w:hAnsi="仿宋" w:eastAsia="仿宋" w:cs="仿宋"/>
          <w:color w:val="auto"/>
          <w:sz w:val="28"/>
          <w:szCs w:val="28"/>
          <w:highlight w:val="none"/>
          <w:lang w:val="en-US" w:eastAsia="zh-CN"/>
        </w:rPr>
        <w:t>服务</w:t>
      </w:r>
      <w:r>
        <w:rPr>
          <w:rFonts w:hint="eastAsia" w:ascii="仿宋" w:hAnsi="仿宋" w:eastAsia="仿宋" w:cs="仿宋"/>
          <w:color w:val="auto"/>
          <w:sz w:val="28"/>
          <w:szCs w:val="28"/>
          <w:highlight w:val="none"/>
        </w:rPr>
        <w:t>费+风险提成</w:t>
      </w:r>
      <w:r>
        <w:rPr>
          <w:rFonts w:hint="eastAsia" w:ascii="仿宋" w:hAnsi="仿宋" w:eastAsia="仿宋" w:cs="仿宋"/>
          <w:color w:val="auto"/>
          <w:sz w:val="28"/>
          <w:szCs w:val="28"/>
          <w:highlight w:val="none"/>
          <w:lang w:eastAsia="zh-CN"/>
        </w:rPr>
        <w:t>（终审判决后结算尾款）</w:t>
      </w:r>
      <w:r>
        <w:rPr>
          <w:rFonts w:hint="eastAsia" w:ascii="仿宋" w:hAnsi="仿宋" w:eastAsia="仿宋" w:cs="仿宋"/>
          <w:color w:val="auto"/>
          <w:sz w:val="28"/>
          <w:szCs w:val="28"/>
          <w:highlight w:val="none"/>
        </w:rPr>
        <w:t>：基础</w:t>
      </w:r>
      <w:r>
        <w:rPr>
          <w:rFonts w:hint="eastAsia" w:ascii="仿宋" w:hAnsi="仿宋" w:eastAsia="仿宋" w:cs="仿宋"/>
          <w:color w:val="auto"/>
          <w:sz w:val="28"/>
          <w:szCs w:val="28"/>
          <w:highlight w:val="none"/>
          <w:lang w:val="en-US" w:eastAsia="zh-CN"/>
        </w:rPr>
        <w:t>服务</w:t>
      </w:r>
      <w:r>
        <w:rPr>
          <w:rFonts w:hint="eastAsia" w:ascii="仿宋" w:hAnsi="仿宋" w:eastAsia="仿宋" w:cs="仿宋"/>
          <w:color w:val="auto"/>
          <w:sz w:val="28"/>
          <w:szCs w:val="28"/>
          <w:highlight w:val="none"/>
        </w:rPr>
        <w:t>费</w:t>
      </w:r>
      <w:r>
        <w:rPr>
          <w:rFonts w:hint="eastAsia" w:ascii="仿宋" w:hAnsi="仿宋" w:eastAsia="仿宋" w:cs="仿宋"/>
          <w:color w:val="auto"/>
          <w:sz w:val="28"/>
          <w:szCs w:val="28"/>
          <w:highlight w:val="none"/>
          <w:lang w:val="en-US" w:eastAsia="zh-CN"/>
        </w:rPr>
        <w:t>为</w:t>
      </w:r>
      <w:r>
        <w:rPr>
          <w:rFonts w:hint="eastAsia" w:ascii="仿宋" w:hAnsi="仿宋" w:eastAsia="仿宋" w:cs="仿宋"/>
          <w:color w:val="auto"/>
          <w:sz w:val="28"/>
          <w:szCs w:val="28"/>
          <w:highlight w:val="none"/>
          <w:u w:val="single"/>
          <w:lang w:val="en-US" w:eastAsia="zh-CN"/>
        </w:rPr>
        <w:t>成交价*40%</w:t>
      </w:r>
      <w:r>
        <w:rPr>
          <w:rFonts w:hint="eastAsia" w:ascii="仿宋" w:hAnsi="仿宋" w:eastAsia="仿宋" w:cs="仿宋"/>
          <w:color w:val="auto"/>
          <w:sz w:val="28"/>
          <w:szCs w:val="28"/>
          <w:highlight w:val="none"/>
        </w:rPr>
        <w:t>，风险提成</w:t>
      </w:r>
      <w:r>
        <w:rPr>
          <w:rFonts w:hint="eastAsia" w:ascii="仿宋" w:hAnsi="仿宋" w:eastAsia="仿宋" w:cs="仿宋"/>
          <w:color w:val="auto"/>
          <w:sz w:val="28"/>
          <w:szCs w:val="28"/>
          <w:highlight w:val="none"/>
          <w:lang w:val="en-US" w:eastAsia="zh-CN"/>
        </w:rPr>
        <w:t>上限按比选文件约定为</w:t>
      </w:r>
      <w:r>
        <w:rPr>
          <w:rFonts w:hint="eastAsia" w:ascii="仿宋" w:hAnsi="仿宋" w:eastAsia="仿宋" w:cs="仿宋"/>
          <w:color w:val="auto"/>
          <w:sz w:val="28"/>
          <w:szCs w:val="28"/>
          <w:highlight w:val="none"/>
          <w:u w:val="single"/>
          <w:lang w:val="en-US" w:eastAsia="zh-CN"/>
        </w:rPr>
        <w:t>成交价*60%*尾款核算比例</w:t>
      </w:r>
      <w:r>
        <w:rPr>
          <w:rFonts w:hint="eastAsia" w:ascii="仿宋" w:hAnsi="仿宋" w:eastAsia="仿宋" w:cs="仿宋"/>
          <w:color w:val="auto"/>
          <w:sz w:val="28"/>
          <w:szCs w:val="28"/>
          <w:highlight w:val="none"/>
        </w:rPr>
        <w:t>收取</w:t>
      </w:r>
      <w:r>
        <w:rPr>
          <w:rFonts w:hint="eastAsia" w:ascii="仿宋" w:hAnsi="仿宋" w:eastAsia="仿宋" w:cs="仿宋"/>
          <w:color w:val="auto"/>
          <w:sz w:val="28"/>
          <w:szCs w:val="28"/>
          <w:highlight w:val="none"/>
          <w:lang w:eastAsia="zh-CN"/>
        </w:rPr>
        <w:t>。</w:t>
      </w:r>
    </w:p>
    <w:p w14:paraId="2490A5B8">
      <w:pPr>
        <w:pStyle w:val="9"/>
        <w:pageBreakBefore w:val="0"/>
        <w:kinsoku/>
        <w:overflowPunct/>
        <w:topLinePunct w:val="0"/>
        <w:autoSpaceDE/>
        <w:autoSpaceDN/>
        <w:bidi w:val="0"/>
        <w:adjustRightInd w:val="0"/>
        <w:snapToGrid w:val="0"/>
        <w:spacing w:before="0" w:after="0" w:line="540" w:lineRule="exact"/>
        <w:ind w:left="0" w:firstLine="562"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（二）支付节点</w:t>
      </w:r>
    </w:p>
    <w:p w14:paraId="2E0EA55C">
      <w:pPr>
        <w:pStyle w:val="459"/>
        <w:keepNext w:val="0"/>
        <w:keepLines w:val="0"/>
        <w:pageBreakBefore w:val="0"/>
        <w:widowControl w:val="0"/>
        <w:numPr>
          <w:ilvl w:val="0"/>
          <w:numId w:val="25"/>
        </w:numPr>
        <w:kinsoku/>
        <w:wordWrap/>
        <w:overflowPunct/>
        <w:topLinePunct w:val="0"/>
        <w:autoSpaceDE/>
        <w:autoSpaceDN/>
        <w:bidi w:val="0"/>
        <w:adjustRightInd w:val="0"/>
        <w:snapToGrid w:val="0"/>
        <w:spacing w:before="0" w:after="0" w:line="540" w:lineRule="exact"/>
        <w:ind w:left="0" w:leftChars="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固定收费</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基础服务费</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若案件周期大于一年，则在案件首次开庭一年后支付至基础服务费的30%，剩余基础服务费待案件终结并办理结算后一次性支付；若案件在一年内终结，则所有基础服务费均在案件终结并办理结算后一次性支付。</w:t>
      </w:r>
    </w:p>
    <w:p w14:paraId="6ACF105A">
      <w:pPr>
        <w:pStyle w:val="459"/>
        <w:keepNext w:val="0"/>
        <w:keepLines w:val="0"/>
        <w:pageBreakBefore w:val="0"/>
        <w:widowControl w:val="0"/>
        <w:numPr>
          <w:ilvl w:val="0"/>
          <w:numId w:val="0"/>
        </w:numPr>
        <w:kinsoku/>
        <w:wordWrap/>
        <w:overflowPunct/>
        <w:topLinePunct w:val="0"/>
        <w:autoSpaceDE/>
        <w:autoSpaceDN/>
        <w:bidi w:val="0"/>
        <w:adjustRightInd w:val="0"/>
        <w:snapToGrid w:val="0"/>
        <w:spacing w:before="0" w:after="0" w:line="540" w:lineRule="exact"/>
        <w:ind w:leftChars="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本合同所称案件周期，自甲方出具书面委托授权书当日起计算。</w:t>
      </w:r>
    </w:p>
    <w:p w14:paraId="4EAC5595">
      <w:pPr>
        <w:pStyle w:val="459"/>
        <w:keepNext w:val="0"/>
        <w:keepLines w:val="0"/>
        <w:pageBreakBefore w:val="0"/>
        <w:widowControl w:val="0"/>
        <w:numPr>
          <w:ilvl w:val="0"/>
          <w:numId w:val="25"/>
        </w:numPr>
        <w:kinsoku/>
        <w:wordWrap/>
        <w:overflowPunct/>
        <w:topLinePunct w:val="0"/>
        <w:autoSpaceDE/>
        <w:autoSpaceDN/>
        <w:bidi w:val="0"/>
        <w:adjustRightInd w:val="0"/>
        <w:snapToGrid w:val="0"/>
        <w:spacing w:before="0" w:after="0" w:line="540" w:lineRule="exact"/>
        <w:ind w:left="0" w:leftChars="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风险</w:t>
      </w:r>
      <w:r>
        <w:rPr>
          <w:rFonts w:hint="eastAsia" w:ascii="仿宋" w:hAnsi="仿宋" w:eastAsia="仿宋" w:cs="仿宋"/>
          <w:color w:val="auto"/>
          <w:sz w:val="28"/>
          <w:szCs w:val="28"/>
          <w:highlight w:val="none"/>
          <w:lang w:val="en-US" w:eastAsia="zh-CN"/>
        </w:rPr>
        <w:t>提成</w:t>
      </w:r>
      <w:r>
        <w:rPr>
          <w:rFonts w:hint="eastAsia" w:ascii="仿宋" w:hAnsi="仿宋" w:eastAsia="仿宋" w:cs="仿宋"/>
          <w:color w:val="auto"/>
          <w:sz w:val="28"/>
          <w:szCs w:val="28"/>
          <w:highlight w:val="none"/>
        </w:rPr>
        <w:t>：案件终结并办理结算后一次性支付。</w:t>
      </w:r>
    </w:p>
    <w:p w14:paraId="54378C0D">
      <w:pPr>
        <w:pStyle w:val="459"/>
        <w:keepNext w:val="0"/>
        <w:keepLines w:val="0"/>
        <w:pageBreakBefore w:val="0"/>
        <w:widowControl/>
        <w:numPr>
          <w:ilvl w:val="0"/>
          <w:numId w:val="25"/>
        </w:numPr>
        <w:kinsoku/>
        <w:wordWrap/>
        <w:overflowPunct/>
        <w:topLinePunct w:val="0"/>
        <w:autoSpaceDE/>
        <w:autoSpaceDN/>
        <w:bidi w:val="0"/>
        <w:adjustRightInd w:val="0"/>
        <w:snapToGrid w:val="0"/>
        <w:spacing w:before="0" w:after="0" w:line="540" w:lineRule="exact"/>
        <w:ind w:left="0" w:leftChars="0"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乙方账户信息：</w:t>
      </w:r>
    </w:p>
    <w:p w14:paraId="1E533C0D">
      <w:pPr>
        <w:pStyle w:val="459"/>
        <w:pageBreakBefore w:val="0"/>
        <w:kinsoku/>
        <w:overflowPunct/>
        <w:topLinePunct w:val="0"/>
        <w:autoSpaceDE/>
        <w:autoSpaceDN/>
        <w:bidi w:val="0"/>
        <w:adjustRightInd w:val="0"/>
        <w:snapToGrid w:val="0"/>
        <w:spacing w:before="0" w:after="0" w:line="540" w:lineRule="exact"/>
        <w:ind w:left="0" w:firstLine="560" w:firstLineChars="200"/>
        <w:textAlignment w:val="auto"/>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开户名：</w:t>
      </w:r>
      <w:r>
        <w:rPr>
          <w:rFonts w:hint="eastAsia" w:ascii="仿宋" w:hAnsi="仿宋" w:eastAsia="仿宋" w:cs="仿宋"/>
          <w:b w:val="0"/>
          <w:bCs w:val="0"/>
          <w:color w:val="auto"/>
          <w:sz w:val="28"/>
          <w:szCs w:val="28"/>
          <w:highlight w:val="none"/>
          <w:lang w:val="en-US" w:eastAsia="zh-CN"/>
        </w:rPr>
        <w:t>**</w:t>
      </w:r>
      <w:r>
        <w:rPr>
          <w:rFonts w:hint="eastAsia" w:ascii="仿宋" w:hAnsi="仿宋" w:eastAsia="仿宋" w:cs="仿宋"/>
          <w:b w:val="0"/>
          <w:bCs w:val="0"/>
          <w:color w:val="auto"/>
          <w:sz w:val="28"/>
          <w:szCs w:val="28"/>
          <w:highlight w:val="none"/>
        </w:rPr>
        <w:t>律师事务所</w:t>
      </w:r>
    </w:p>
    <w:p w14:paraId="72BADCD4">
      <w:pPr>
        <w:pStyle w:val="459"/>
        <w:pageBreakBefore w:val="0"/>
        <w:kinsoku/>
        <w:overflowPunct/>
        <w:topLinePunct w:val="0"/>
        <w:autoSpaceDE/>
        <w:autoSpaceDN/>
        <w:bidi w:val="0"/>
        <w:adjustRightInd w:val="0"/>
        <w:snapToGrid w:val="0"/>
        <w:spacing w:before="0" w:after="0" w:line="540" w:lineRule="exact"/>
        <w:ind w:left="0" w:firstLine="560" w:firstLineChars="200"/>
        <w:textAlignment w:val="auto"/>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rPr>
        <w:t>开户行：</w:t>
      </w:r>
      <w:r>
        <w:rPr>
          <w:rFonts w:hint="eastAsia" w:ascii="仿宋" w:hAnsi="仿宋" w:eastAsia="仿宋" w:cs="仿宋"/>
          <w:b w:val="0"/>
          <w:bCs w:val="0"/>
          <w:color w:val="auto"/>
          <w:sz w:val="28"/>
          <w:szCs w:val="28"/>
          <w:highlight w:val="none"/>
          <w:u w:val="single"/>
          <w:lang w:val="en-US" w:eastAsia="zh-CN"/>
        </w:rPr>
        <w:t xml:space="preserve">              </w:t>
      </w:r>
    </w:p>
    <w:p w14:paraId="544BCF8D">
      <w:pPr>
        <w:pStyle w:val="459"/>
        <w:pageBreakBefore w:val="0"/>
        <w:kinsoku/>
        <w:overflowPunct/>
        <w:topLinePunct w:val="0"/>
        <w:autoSpaceDE/>
        <w:autoSpaceDN/>
        <w:bidi w:val="0"/>
        <w:adjustRightInd w:val="0"/>
        <w:snapToGrid w:val="0"/>
        <w:spacing w:before="0" w:after="0" w:line="540" w:lineRule="exact"/>
        <w:ind w:left="0" w:firstLine="560" w:firstLineChars="200"/>
        <w:textAlignment w:val="auto"/>
        <w:rPr>
          <w:rFonts w:hint="eastAsia" w:ascii="仿宋" w:hAnsi="仿宋" w:eastAsia="仿宋" w:cs="仿宋"/>
          <w:b w:val="0"/>
          <w:bCs w:val="0"/>
          <w:color w:val="auto"/>
          <w:sz w:val="28"/>
          <w:szCs w:val="28"/>
          <w:highlight w:val="none"/>
          <w:u w:val="single"/>
          <w:lang w:val="en-US" w:eastAsia="zh-CN"/>
        </w:rPr>
      </w:pPr>
      <w:r>
        <w:rPr>
          <w:rFonts w:hint="eastAsia" w:ascii="仿宋" w:hAnsi="仿宋" w:eastAsia="仿宋" w:cs="仿宋"/>
          <w:b w:val="0"/>
          <w:bCs w:val="0"/>
          <w:color w:val="auto"/>
          <w:sz w:val="28"/>
          <w:szCs w:val="28"/>
          <w:highlight w:val="none"/>
        </w:rPr>
        <w:t>账 号：</w:t>
      </w:r>
      <w:r>
        <w:rPr>
          <w:rFonts w:hint="eastAsia" w:ascii="仿宋" w:hAnsi="仿宋" w:eastAsia="仿宋" w:cs="仿宋"/>
          <w:b w:val="0"/>
          <w:bCs w:val="0"/>
          <w:color w:val="auto"/>
          <w:sz w:val="28"/>
          <w:szCs w:val="28"/>
          <w:highlight w:val="none"/>
          <w:u w:val="single"/>
          <w:lang w:val="en-US" w:eastAsia="zh-CN"/>
        </w:rPr>
        <w:t xml:space="preserve">              </w:t>
      </w:r>
    </w:p>
    <w:p w14:paraId="7D0062DE">
      <w:pPr>
        <w:pStyle w:val="459"/>
        <w:pageBreakBefore w:val="0"/>
        <w:kinsoku/>
        <w:overflowPunct/>
        <w:topLinePunct w:val="0"/>
        <w:autoSpaceDE/>
        <w:autoSpaceDN/>
        <w:bidi w:val="0"/>
        <w:adjustRightInd w:val="0"/>
        <w:snapToGrid w:val="0"/>
        <w:spacing w:before="0" w:after="0" w:line="540" w:lineRule="exact"/>
        <w:ind w:left="0" w:firstLine="560" w:firstLineChars="200"/>
        <w:textAlignment w:val="auto"/>
        <w:rPr>
          <w:rFonts w:hint="default" w:ascii="仿宋" w:hAnsi="仿宋" w:eastAsia="仿宋" w:cs="仿宋"/>
          <w:b w:val="0"/>
          <w:bCs w:val="0"/>
          <w:color w:val="auto"/>
          <w:sz w:val="28"/>
          <w:szCs w:val="28"/>
          <w:highlight w:val="none"/>
          <w:u w:val="none"/>
          <w:lang w:val="en-US" w:eastAsia="zh-CN"/>
        </w:rPr>
      </w:pPr>
      <w:r>
        <w:rPr>
          <w:rFonts w:hint="eastAsia" w:ascii="仿宋" w:hAnsi="仿宋" w:eastAsia="仿宋" w:cs="仿宋"/>
          <w:b w:val="0"/>
          <w:bCs w:val="0"/>
          <w:color w:val="auto"/>
          <w:sz w:val="28"/>
          <w:szCs w:val="28"/>
          <w:highlight w:val="none"/>
          <w:u w:val="none"/>
          <w:lang w:val="en-US" w:eastAsia="zh-CN"/>
        </w:rPr>
        <w:t>4.本合同发生的诉讼委托代理服务费，</w:t>
      </w:r>
      <w:r>
        <w:rPr>
          <w:rFonts w:hint="eastAsia" w:ascii="仿宋" w:hAnsi="仿宋" w:eastAsia="仿宋" w:cs="仿宋"/>
          <w:b w:val="0"/>
          <w:bCs w:val="0"/>
          <w:color w:val="auto"/>
          <w:sz w:val="28"/>
          <w:szCs w:val="28"/>
          <w:highlight w:val="none"/>
          <w:u w:val="single"/>
          <w:lang w:val="en-US" w:eastAsia="zh-CN"/>
        </w:rPr>
        <w:t>由甲方支付给乙方</w:t>
      </w:r>
      <w:r>
        <w:rPr>
          <w:rFonts w:hint="eastAsia" w:ascii="仿宋" w:hAnsi="仿宋" w:eastAsia="仿宋" w:cs="仿宋"/>
          <w:b w:val="0"/>
          <w:bCs w:val="0"/>
          <w:color w:val="auto"/>
          <w:sz w:val="28"/>
          <w:szCs w:val="28"/>
          <w:highlight w:val="none"/>
          <w:u w:val="none"/>
          <w:lang w:val="en-US" w:eastAsia="zh-CN"/>
        </w:rPr>
        <w:t>，乙方须按法律法规要求提供增值税专用发票。</w:t>
      </w:r>
    </w:p>
    <w:p w14:paraId="48354C49">
      <w:pPr>
        <w:pStyle w:val="9"/>
        <w:pageBreakBefore w:val="0"/>
        <w:kinsoku/>
        <w:overflowPunct/>
        <w:topLinePunct w:val="0"/>
        <w:autoSpaceDE/>
        <w:autoSpaceDN/>
        <w:bidi w:val="0"/>
        <w:adjustRightInd w:val="0"/>
        <w:snapToGrid w:val="0"/>
        <w:spacing w:before="0" w:after="0" w:line="540" w:lineRule="exact"/>
        <w:ind w:left="0" w:firstLine="562"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（三）其他费用</w:t>
      </w:r>
    </w:p>
    <w:p w14:paraId="34527F58">
      <w:pPr>
        <w:pStyle w:val="459"/>
        <w:keepNext w:val="0"/>
        <w:keepLines w:val="0"/>
        <w:pageBreakBefore w:val="0"/>
        <w:widowControl/>
        <w:numPr>
          <w:ilvl w:val="0"/>
          <w:numId w:val="26"/>
        </w:numPr>
        <w:kinsoku/>
        <w:wordWrap/>
        <w:overflowPunct/>
        <w:topLinePunct w:val="0"/>
        <w:autoSpaceDE/>
        <w:autoSpaceDN/>
        <w:bidi w:val="0"/>
        <w:adjustRightInd w:val="0"/>
        <w:snapToGrid w:val="0"/>
        <w:spacing w:before="0" w:after="0" w:line="540" w:lineRule="exact"/>
        <w:ind w:left="0" w:leftChars="0"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如发生</w:t>
      </w:r>
      <w:r>
        <w:rPr>
          <w:rFonts w:hint="eastAsia" w:ascii="仿宋" w:hAnsi="仿宋" w:eastAsia="仿宋" w:cs="仿宋"/>
          <w:color w:val="auto"/>
          <w:sz w:val="28"/>
          <w:szCs w:val="28"/>
          <w:highlight w:val="none"/>
        </w:rPr>
        <w:t>代甲方垫付的诉讼费、保全费、鉴定费等，凭有效票据实报实销；</w:t>
      </w:r>
    </w:p>
    <w:p w14:paraId="4CE8D104">
      <w:pPr>
        <w:pStyle w:val="459"/>
        <w:keepNext w:val="0"/>
        <w:keepLines w:val="0"/>
        <w:pageBreakBefore w:val="0"/>
        <w:widowControl w:val="0"/>
        <w:numPr>
          <w:ilvl w:val="0"/>
          <w:numId w:val="26"/>
        </w:numPr>
        <w:kinsoku/>
        <w:wordWrap/>
        <w:overflowPunct/>
        <w:topLinePunct w:val="0"/>
        <w:autoSpaceDE/>
        <w:autoSpaceDN/>
        <w:bidi w:val="0"/>
        <w:adjustRightInd w:val="0"/>
        <w:snapToGrid w:val="0"/>
        <w:spacing w:before="0" w:after="0" w:line="540" w:lineRule="exact"/>
        <w:ind w:left="0" w:leftChars="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乙方应于费用发生后</w:t>
      </w:r>
      <w:r>
        <w:rPr>
          <w:rFonts w:hint="eastAsia" w:ascii="仿宋" w:hAnsi="仿宋" w:eastAsia="仿宋" w:cs="仿宋"/>
          <w:color w:val="auto"/>
          <w:sz w:val="28"/>
          <w:szCs w:val="28"/>
          <w:highlight w:val="none"/>
          <w:u w:val="single"/>
          <w:lang w:val="en-US" w:eastAsia="zh-CN"/>
        </w:rPr>
        <w:t xml:space="preserve"> </w:t>
      </w:r>
      <w:r>
        <w:rPr>
          <w:rFonts w:hint="eastAsia" w:ascii="仿宋" w:hAnsi="仿宋" w:eastAsia="仿宋" w:cs="仿宋"/>
          <w:color w:val="auto"/>
          <w:sz w:val="28"/>
          <w:szCs w:val="28"/>
          <w:highlight w:val="none"/>
          <w:u w:val="single"/>
        </w:rPr>
        <w:t>5</w:t>
      </w:r>
      <w:r>
        <w:rPr>
          <w:rFonts w:hint="eastAsia" w:ascii="仿宋" w:hAnsi="仿宋" w:eastAsia="仿宋" w:cs="仿宋"/>
          <w:color w:val="auto"/>
          <w:sz w:val="28"/>
          <w:szCs w:val="28"/>
          <w:highlight w:val="none"/>
          <w:u w:val="single"/>
          <w:lang w:val="en-US" w:eastAsia="zh-CN"/>
        </w:rPr>
        <w:t xml:space="preserve"> </w:t>
      </w:r>
      <w:r>
        <w:rPr>
          <w:rFonts w:hint="eastAsia" w:ascii="仿宋" w:hAnsi="仿宋" w:eastAsia="仿宋" w:cs="仿宋"/>
          <w:color w:val="auto"/>
          <w:sz w:val="28"/>
          <w:szCs w:val="28"/>
          <w:highlight w:val="none"/>
        </w:rPr>
        <w:t>个工作日内提交费用清单及票据，</w:t>
      </w:r>
      <w:r>
        <w:rPr>
          <w:rFonts w:hint="eastAsia" w:ascii="仿宋" w:hAnsi="仿宋" w:eastAsia="仿宋" w:cs="仿宋"/>
          <w:color w:val="auto"/>
          <w:sz w:val="28"/>
          <w:szCs w:val="28"/>
          <w:highlight w:val="none"/>
          <w:lang w:val="en-US" w:eastAsia="zh-CN"/>
        </w:rPr>
        <w:t>甲方</w:t>
      </w:r>
      <w:r>
        <w:rPr>
          <w:rFonts w:hint="eastAsia" w:ascii="仿宋" w:hAnsi="仿宋" w:eastAsia="仿宋" w:cs="仿宋"/>
          <w:color w:val="auto"/>
          <w:sz w:val="28"/>
          <w:szCs w:val="28"/>
          <w:highlight w:val="none"/>
        </w:rPr>
        <w:t>在收到后</w:t>
      </w:r>
      <w:r>
        <w:rPr>
          <w:rFonts w:hint="eastAsia" w:ascii="仿宋" w:hAnsi="仿宋" w:eastAsia="仿宋" w:cs="仿宋"/>
          <w:color w:val="auto"/>
          <w:sz w:val="28"/>
          <w:szCs w:val="28"/>
          <w:highlight w:val="none"/>
          <w:u w:val="single"/>
          <w:lang w:val="en-US" w:eastAsia="zh-CN"/>
        </w:rPr>
        <w:t xml:space="preserve"> 60 </w:t>
      </w:r>
      <w:r>
        <w:rPr>
          <w:rFonts w:hint="eastAsia" w:ascii="仿宋" w:hAnsi="仿宋" w:eastAsia="仿宋" w:cs="仿宋"/>
          <w:color w:val="auto"/>
          <w:sz w:val="28"/>
          <w:szCs w:val="28"/>
          <w:highlight w:val="none"/>
        </w:rPr>
        <w:t>日内支付。</w:t>
      </w:r>
    </w:p>
    <w:p w14:paraId="171E6DE4">
      <w:pPr>
        <w:pStyle w:val="8"/>
        <w:pageBreakBefore w:val="0"/>
        <w:kinsoku/>
        <w:overflowPunct/>
        <w:topLinePunct w:val="0"/>
        <w:autoSpaceDE/>
        <w:autoSpaceDN/>
        <w:bidi w:val="0"/>
        <w:adjustRightInd w:val="0"/>
        <w:snapToGrid w:val="0"/>
        <w:spacing w:line="540" w:lineRule="exact"/>
        <w:ind w:left="0" w:firstLine="562"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四、保密与期限</w:t>
      </w:r>
    </w:p>
    <w:p w14:paraId="7A0969BF">
      <w:pPr>
        <w:pStyle w:val="459"/>
        <w:keepNext w:val="0"/>
        <w:keepLines w:val="0"/>
        <w:pageBreakBefore w:val="0"/>
        <w:widowControl/>
        <w:numPr>
          <w:ilvl w:val="0"/>
          <w:numId w:val="27"/>
        </w:numPr>
        <w:kinsoku/>
        <w:wordWrap/>
        <w:overflowPunct/>
        <w:topLinePunct w:val="0"/>
        <w:autoSpaceDE/>
        <w:autoSpaceDN/>
        <w:bidi w:val="0"/>
        <w:adjustRightInd w:val="0"/>
        <w:snapToGrid w:val="0"/>
        <w:spacing w:before="0" w:after="0" w:line="540" w:lineRule="exact"/>
        <w:ind w:left="0" w:leftChars="0"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各方对案件涉及的</w:t>
      </w:r>
      <w:r>
        <w:rPr>
          <w:rFonts w:hint="eastAsia" w:ascii="仿宋" w:hAnsi="仿宋" w:eastAsia="仿宋" w:cs="仿宋"/>
          <w:color w:val="auto"/>
          <w:sz w:val="28"/>
          <w:szCs w:val="28"/>
          <w:highlight w:val="none"/>
          <w:lang w:val="en-US" w:eastAsia="zh-CN"/>
        </w:rPr>
        <w:t>车辆信息</w:t>
      </w:r>
      <w:r>
        <w:rPr>
          <w:rFonts w:hint="eastAsia" w:ascii="仿宋" w:hAnsi="仿宋" w:eastAsia="仿宋" w:cs="仿宋"/>
          <w:color w:val="auto"/>
          <w:sz w:val="28"/>
          <w:szCs w:val="28"/>
          <w:highlight w:val="none"/>
        </w:rPr>
        <w:t>、商业秘密等核心信息终身保密；</w:t>
      </w:r>
    </w:p>
    <w:p w14:paraId="0BAFBA38">
      <w:pPr>
        <w:pStyle w:val="459"/>
        <w:keepNext w:val="0"/>
        <w:keepLines w:val="0"/>
        <w:pageBreakBefore w:val="0"/>
        <w:widowControl w:val="0"/>
        <w:numPr>
          <w:ilvl w:val="0"/>
          <w:numId w:val="27"/>
        </w:numPr>
        <w:kinsoku/>
        <w:wordWrap/>
        <w:overflowPunct/>
        <w:topLinePunct w:val="0"/>
        <w:autoSpaceDE/>
        <w:autoSpaceDN/>
        <w:bidi w:val="0"/>
        <w:adjustRightInd w:val="0"/>
        <w:snapToGrid w:val="0"/>
        <w:spacing w:before="0" w:after="0" w:line="540" w:lineRule="exact"/>
        <w:ind w:left="0" w:leftChars="0"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代理期限自接受采购人委托通知之日起到案件执行终结，包括所有诉讼阶段，包括但不限于一审、二审、再审（如有）等各执行阶段的全过程。</w:t>
      </w:r>
    </w:p>
    <w:p w14:paraId="55B8DE7F">
      <w:pPr>
        <w:pStyle w:val="8"/>
        <w:keepNext w:val="0"/>
        <w:keepLines w:val="0"/>
        <w:pageBreakBefore w:val="0"/>
        <w:widowControl w:val="0"/>
        <w:shd w:val="clear" w:color="auto" w:fill="FFFFFF"/>
        <w:kinsoku/>
        <w:overflowPunct/>
        <w:topLinePunct w:val="0"/>
        <w:autoSpaceDE/>
        <w:autoSpaceDN/>
        <w:bidi w:val="0"/>
        <w:adjustRightInd w:val="0"/>
        <w:snapToGrid w:val="0"/>
        <w:spacing w:line="540" w:lineRule="exact"/>
        <w:ind w:left="0" w:firstLine="562"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五、违约责任</w:t>
      </w:r>
    </w:p>
    <w:p w14:paraId="18AE9500">
      <w:pPr>
        <w:pStyle w:val="459"/>
        <w:keepNext w:val="0"/>
        <w:keepLines w:val="0"/>
        <w:pageBreakBefore w:val="0"/>
        <w:widowControl w:val="0"/>
        <w:numPr>
          <w:ilvl w:val="0"/>
          <w:numId w:val="28"/>
        </w:numPr>
        <w:kinsoku/>
        <w:wordWrap/>
        <w:overflowPunct/>
        <w:topLinePunct w:val="0"/>
        <w:autoSpaceDE/>
        <w:autoSpaceDN/>
        <w:bidi w:val="0"/>
        <w:adjustRightInd w:val="0"/>
        <w:snapToGrid w:val="0"/>
        <w:spacing w:before="0" w:after="0" w:line="540" w:lineRule="exact"/>
        <w:ind w:left="0" w:leftChars="0"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甲方逾期付款的，按日 0.05% 支付违约金；逾期超过 30 日，乙方有权暂停代理；</w:t>
      </w:r>
    </w:p>
    <w:p w14:paraId="0F34A641">
      <w:pPr>
        <w:pStyle w:val="459"/>
        <w:keepNext w:val="0"/>
        <w:keepLines w:val="0"/>
        <w:pageBreakBefore w:val="0"/>
        <w:widowControl w:val="0"/>
        <w:numPr>
          <w:ilvl w:val="0"/>
          <w:numId w:val="28"/>
        </w:numPr>
        <w:kinsoku/>
        <w:wordWrap/>
        <w:overflowPunct/>
        <w:topLinePunct w:val="0"/>
        <w:autoSpaceDE/>
        <w:autoSpaceDN/>
        <w:bidi w:val="0"/>
        <w:adjustRightInd w:val="0"/>
        <w:snapToGrid w:val="0"/>
        <w:spacing w:before="0" w:after="0" w:line="540" w:lineRule="exact"/>
        <w:ind w:left="0" w:leftChars="0"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乙方未勤勉履职导致甲方损失的，</w:t>
      </w:r>
      <w:r>
        <w:rPr>
          <w:rFonts w:hint="eastAsia" w:ascii="仿宋" w:hAnsi="仿宋" w:eastAsia="仿宋" w:cs="仿宋"/>
          <w:color w:val="auto"/>
          <w:sz w:val="28"/>
          <w:szCs w:val="28"/>
          <w:highlight w:val="none"/>
          <w:lang w:val="en-US" w:eastAsia="zh-CN"/>
        </w:rPr>
        <w:t>采购人有权</w:t>
      </w:r>
      <w:r>
        <w:rPr>
          <w:rFonts w:hint="eastAsia" w:ascii="仿宋" w:hAnsi="仿宋" w:eastAsia="仿宋" w:cs="仿宋"/>
          <w:color w:val="auto"/>
          <w:sz w:val="28"/>
          <w:szCs w:val="28"/>
          <w:highlight w:val="none"/>
        </w:rPr>
        <w:t>按</w:t>
      </w:r>
      <w:r>
        <w:rPr>
          <w:rFonts w:hint="eastAsia" w:ascii="仿宋" w:hAnsi="仿宋" w:eastAsia="仿宋" w:cs="仿宋"/>
          <w:color w:val="auto"/>
          <w:sz w:val="28"/>
          <w:szCs w:val="28"/>
          <w:highlight w:val="none"/>
          <w:lang w:val="en-US" w:eastAsia="zh-CN"/>
        </w:rPr>
        <w:t>成交价的</w:t>
      </w:r>
      <w:r>
        <w:rPr>
          <w:rFonts w:hint="eastAsia" w:ascii="仿宋" w:hAnsi="仿宋" w:eastAsia="仿宋" w:cs="仿宋"/>
          <w:color w:val="auto"/>
          <w:sz w:val="28"/>
          <w:szCs w:val="28"/>
          <w:highlight w:val="none"/>
          <w:u w:val="none"/>
          <w:lang w:val="en-US" w:eastAsia="zh-CN"/>
        </w:rPr>
        <w:t>3</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/次的标准收取违约金</w:t>
      </w:r>
      <w:r>
        <w:rPr>
          <w:rFonts w:hint="eastAsia" w:ascii="仿宋" w:hAnsi="仿宋" w:eastAsia="仿宋" w:cs="仿宋"/>
          <w:color w:val="auto"/>
          <w:sz w:val="28"/>
          <w:szCs w:val="28"/>
          <w:highlight w:val="none"/>
        </w:rPr>
        <w:t>；</w:t>
      </w:r>
    </w:p>
    <w:p w14:paraId="73E8824E">
      <w:pPr>
        <w:pStyle w:val="459"/>
        <w:keepNext w:val="0"/>
        <w:keepLines w:val="0"/>
        <w:pageBreakBefore w:val="0"/>
        <w:widowControl w:val="0"/>
        <w:numPr>
          <w:ilvl w:val="0"/>
          <w:numId w:val="28"/>
        </w:numPr>
        <w:kinsoku/>
        <w:wordWrap/>
        <w:overflowPunct/>
        <w:topLinePunct w:val="0"/>
        <w:autoSpaceDE/>
        <w:autoSpaceDN/>
        <w:bidi w:val="0"/>
        <w:adjustRightInd w:val="0"/>
        <w:snapToGrid w:val="0"/>
        <w:spacing w:before="0" w:after="0" w:line="540" w:lineRule="exact"/>
        <w:ind w:left="0" w:leftChars="0"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乙方出现擅自更换主办律师、泄露商业秘密、未经许可和解、严重怠于履职等情形，甲方有权单方解除合同，</w:t>
      </w:r>
      <w:r>
        <w:rPr>
          <w:rFonts w:hint="eastAsia" w:ascii="仿宋" w:hAnsi="仿宋" w:eastAsia="仿宋" w:cs="仿宋"/>
          <w:color w:val="auto"/>
          <w:sz w:val="28"/>
          <w:szCs w:val="28"/>
          <w:highlight w:val="none"/>
          <w:lang w:val="en-US" w:eastAsia="zh-CN"/>
        </w:rPr>
        <w:t>并向乙方追偿损失</w:t>
      </w:r>
      <w:r>
        <w:rPr>
          <w:rFonts w:hint="eastAsia" w:ascii="仿宋" w:hAnsi="仿宋" w:eastAsia="仿宋" w:cs="仿宋"/>
          <w:color w:val="auto"/>
          <w:sz w:val="28"/>
          <w:szCs w:val="28"/>
          <w:highlight w:val="none"/>
          <w:lang w:eastAsia="zh-CN"/>
        </w:rPr>
        <w:t>；</w:t>
      </w:r>
    </w:p>
    <w:p w14:paraId="10B27361">
      <w:pPr>
        <w:pStyle w:val="459"/>
        <w:keepNext w:val="0"/>
        <w:keepLines w:val="0"/>
        <w:pageBreakBefore w:val="0"/>
        <w:widowControl/>
        <w:numPr>
          <w:ilvl w:val="0"/>
          <w:numId w:val="28"/>
        </w:numPr>
        <w:kinsoku/>
        <w:wordWrap/>
        <w:overflowPunct/>
        <w:topLinePunct w:val="0"/>
        <w:autoSpaceDE/>
        <w:autoSpaceDN/>
        <w:bidi w:val="0"/>
        <w:adjustRightInd w:val="0"/>
        <w:snapToGrid w:val="0"/>
        <w:spacing w:before="0" w:after="0" w:line="540" w:lineRule="exact"/>
        <w:ind w:left="0" w:leftChars="0"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甲方隐瞒关键事实导致败诉的，已付律师费不予退还。</w:t>
      </w:r>
    </w:p>
    <w:p w14:paraId="333887C6">
      <w:pPr>
        <w:pStyle w:val="8"/>
        <w:pageBreakBefore w:val="0"/>
        <w:kinsoku/>
        <w:overflowPunct/>
        <w:topLinePunct w:val="0"/>
        <w:autoSpaceDE/>
        <w:autoSpaceDN/>
        <w:bidi w:val="0"/>
        <w:adjustRightInd w:val="0"/>
        <w:snapToGrid w:val="0"/>
        <w:spacing w:line="540" w:lineRule="exact"/>
        <w:ind w:left="0" w:firstLine="562"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六、争议解决</w:t>
      </w:r>
    </w:p>
    <w:p w14:paraId="1FD9D248">
      <w:pPr>
        <w:pStyle w:val="459"/>
        <w:keepNext w:val="0"/>
        <w:keepLines w:val="0"/>
        <w:pageBreakBefore w:val="0"/>
        <w:widowControl w:val="0"/>
        <w:kinsoku/>
        <w:overflowPunct/>
        <w:topLinePunct w:val="0"/>
        <w:autoSpaceDE/>
        <w:autoSpaceDN/>
        <w:bidi w:val="0"/>
        <w:adjustRightInd w:val="0"/>
        <w:snapToGrid w:val="0"/>
        <w:spacing w:before="0" w:after="0" w:line="540" w:lineRule="exact"/>
        <w:ind w:lef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因本合同发生争议，提交</w:t>
      </w:r>
      <w:r>
        <w:rPr>
          <w:rFonts w:hint="eastAsia" w:ascii="仿宋" w:hAnsi="仿宋" w:eastAsia="仿宋" w:cs="仿宋"/>
          <w:color w:val="auto"/>
          <w:sz w:val="28"/>
          <w:szCs w:val="28"/>
          <w:highlight w:val="none"/>
          <w:u w:val="single"/>
          <w:lang w:val="en-US" w:eastAsia="zh-CN"/>
        </w:rPr>
        <w:t xml:space="preserve"> </w:t>
      </w:r>
      <w:r>
        <w:rPr>
          <w:rFonts w:hint="eastAsia" w:ascii="仿宋" w:hAnsi="仿宋" w:eastAsia="仿宋" w:cs="仿宋"/>
          <w:color w:val="auto"/>
          <w:sz w:val="28"/>
          <w:szCs w:val="28"/>
          <w:highlight w:val="none"/>
          <w:u w:val="single"/>
        </w:rPr>
        <w:t xml:space="preserve">甲方所在地法院诉讼 </w:t>
      </w:r>
      <w:r>
        <w:rPr>
          <w:rFonts w:hint="eastAsia" w:ascii="仿宋" w:hAnsi="仿宋" w:eastAsia="仿宋" w:cs="仿宋"/>
          <w:color w:val="auto"/>
          <w:sz w:val="28"/>
          <w:szCs w:val="28"/>
          <w:highlight w:val="none"/>
        </w:rPr>
        <w:t>。</w:t>
      </w:r>
    </w:p>
    <w:p w14:paraId="56235E36">
      <w:pPr>
        <w:pStyle w:val="8"/>
        <w:pageBreakBefore w:val="0"/>
        <w:kinsoku/>
        <w:overflowPunct/>
        <w:topLinePunct w:val="0"/>
        <w:autoSpaceDE/>
        <w:autoSpaceDN/>
        <w:bidi w:val="0"/>
        <w:adjustRightInd w:val="0"/>
        <w:snapToGrid w:val="0"/>
        <w:spacing w:line="540" w:lineRule="exact"/>
        <w:ind w:left="0" w:firstLine="562"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七、其他条款</w:t>
      </w:r>
    </w:p>
    <w:p w14:paraId="120AF904">
      <w:pPr>
        <w:pStyle w:val="459"/>
        <w:keepNext w:val="0"/>
        <w:keepLines w:val="0"/>
        <w:pageBreakBefore w:val="0"/>
        <w:widowControl/>
        <w:numPr>
          <w:ilvl w:val="0"/>
          <w:numId w:val="29"/>
        </w:numPr>
        <w:kinsoku/>
        <w:wordWrap/>
        <w:overflowPunct/>
        <w:topLinePunct w:val="0"/>
        <w:autoSpaceDE/>
        <w:autoSpaceDN/>
        <w:bidi w:val="0"/>
        <w:adjustRightInd w:val="0"/>
        <w:snapToGrid w:val="0"/>
        <w:spacing w:before="0" w:after="0" w:line="540" w:lineRule="exact"/>
        <w:ind w:left="0" w:leftChars="0"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本合同约定的主办律师是指受乙方指派，负责主导处理</w:t>
      </w:r>
      <w:r>
        <w:rPr>
          <w:rFonts w:hint="eastAsia" w:ascii="仿宋" w:hAnsi="仿宋" w:eastAsia="仿宋" w:cs="仿宋"/>
          <w:color w:val="auto"/>
          <w:sz w:val="28"/>
          <w:szCs w:val="28"/>
          <w:highlight w:val="none"/>
          <w:lang w:val="en-US" w:eastAsia="zh-CN"/>
        </w:rPr>
        <w:t>合同约定案件</w:t>
      </w:r>
      <w:r>
        <w:rPr>
          <w:rFonts w:hint="eastAsia" w:ascii="仿宋" w:hAnsi="仿宋" w:eastAsia="仿宋" w:cs="仿宋"/>
          <w:color w:val="auto"/>
          <w:sz w:val="28"/>
          <w:szCs w:val="28"/>
          <w:highlight w:val="none"/>
        </w:rPr>
        <w:t>及其后续诉讼有关法律事务的核心律师，负责制定案件处理策略和方案，对案件处理的整体质量和结果承担主要责任；主办律师由于特殊情况不能参加开庭的，征得甲方同意后，可委托协办律师出庭，主办律师须同步做好交接和指导</w:t>
      </w:r>
      <w:r>
        <w:rPr>
          <w:rFonts w:hint="eastAsia" w:ascii="仿宋" w:hAnsi="仿宋" w:eastAsia="仿宋" w:cs="仿宋"/>
          <w:color w:val="auto"/>
          <w:sz w:val="28"/>
          <w:szCs w:val="28"/>
          <w:highlight w:val="none"/>
          <w:lang w:eastAsia="zh-CN"/>
        </w:rPr>
        <w:t>；</w:t>
      </w:r>
    </w:p>
    <w:p w14:paraId="6760F4C0">
      <w:pPr>
        <w:pStyle w:val="459"/>
        <w:keepNext w:val="0"/>
        <w:keepLines w:val="0"/>
        <w:pageBreakBefore w:val="0"/>
        <w:widowControl w:val="0"/>
        <w:numPr>
          <w:ilvl w:val="0"/>
          <w:numId w:val="29"/>
        </w:numPr>
        <w:kinsoku/>
        <w:wordWrap/>
        <w:overflowPunct/>
        <w:topLinePunct w:val="0"/>
        <w:autoSpaceDE/>
        <w:autoSpaceDN/>
        <w:bidi w:val="0"/>
        <w:adjustRightInd w:val="0"/>
        <w:snapToGrid w:val="0"/>
        <w:spacing w:before="0" w:after="0" w:line="540" w:lineRule="exact"/>
        <w:ind w:left="0" w:leftChars="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本合同一式</w:t>
      </w:r>
      <w:r>
        <w:rPr>
          <w:rFonts w:hint="eastAsia" w:ascii="仿宋" w:hAnsi="仿宋" w:eastAsia="仿宋" w:cs="仿宋"/>
          <w:color w:val="auto"/>
          <w:sz w:val="28"/>
          <w:szCs w:val="28"/>
          <w:highlight w:val="none"/>
          <w:lang w:val="en-US" w:eastAsia="zh-CN"/>
        </w:rPr>
        <w:t>贰</w:t>
      </w:r>
      <w:r>
        <w:rPr>
          <w:rFonts w:hint="eastAsia" w:ascii="仿宋" w:hAnsi="仿宋" w:eastAsia="仿宋" w:cs="仿宋"/>
          <w:color w:val="auto"/>
          <w:sz w:val="28"/>
          <w:szCs w:val="28"/>
          <w:highlight w:val="none"/>
        </w:rPr>
        <w:t>份，甲</w:t>
      </w:r>
      <w:r>
        <w:rPr>
          <w:rFonts w:hint="eastAsia" w:ascii="仿宋" w:hAnsi="仿宋" w:eastAsia="仿宋" w:cs="仿宋"/>
          <w:color w:val="auto"/>
          <w:sz w:val="28"/>
          <w:szCs w:val="28"/>
          <w:highlight w:val="none"/>
          <w:lang w:val="en-US" w:eastAsia="zh-CN"/>
        </w:rPr>
        <w:t>方执壹份、乙方（含承办律师）执壹份</w:t>
      </w:r>
      <w:r>
        <w:rPr>
          <w:rFonts w:hint="eastAsia" w:ascii="仿宋" w:hAnsi="仿宋" w:eastAsia="仿宋" w:cs="仿宋"/>
          <w:color w:val="auto"/>
          <w:sz w:val="28"/>
          <w:szCs w:val="28"/>
          <w:highlight w:val="none"/>
        </w:rPr>
        <w:t>，具有同等效力；</w:t>
      </w:r>
    </w:p>
    <w:p w14:paraId="0792AA37">
      <w:pPr>
        <w:pStyle w:val="459"/>
        <w:keepNext w:val="0"/>
        <w:keepLines w:val="0"/>
        <w:pageBreakBefore w:val="0"/>
        <w:widowControl w:val="0"/>
        <w:numPr>
          <w:ilvl w:val="0"/>
          <w:numId w:val="29"/>
        </w:numPr>
        <w:kinsoku/>
        <w:wordWrap/>
        <w:overflowPunct/>
        <w:topLinePunct w:val="0"/>
        <w:autoSpaceDE/>
        <w:autoSpaceDN/>
        <w:bidi w:val="0"/>
        <w:adjustRightInd w:val="0"/>
        <w:snapToGrid w:val="0"/>
        <w:spacing w:before="0" w:after="0" w:line="540" w:lineRule="exact"/>
        <w:ind w:left="0" w:leftChars="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本合同自</w:t>
      </w:r>
      <w:r>
        <w:rPr>
          <w:rFonts w:hint="eastAsia" w:ascii="仿宋" w:hAnsi="仿宋" w:eastAsia="仿宋" w:cs="仿宋"/>
          <w:color w:val="auto"/>
          <w:sz w:val="28"/>
          <w:szCs w:val="28"/>
          <w:highlight w:val="none"/>
          <w:u w:val="none"/>
          <w:lang w:val="en-US" w:eastAsia="zh-CN"/>
        </w:rPr>
        <w:t>各</w:t>
      </w:r>
      <w:r>
        <w:rPr>
          <w:rFonts w:hint="eastAsia" w:ascii="仿宋" w:hAnsi="仿宋" w:eastAsia="仿宋" w:cs="仿宋"/>
          <w:color w:val="auto"/>
          <w:sz w:val="28"/>
          <w:szCs w:val="28"/>
          <w:highlight w:val="none"/>
          <w:u w:val="none"/>
        </w:rPr>
        <w:t>方签字盖章之日</w:t>
      </w:r>
      <w:r>
        <w:rPr>
          <w:rFonts w:hint="eastAsia" w:ascii="仿宋" w:hAnsi="仿宋" w:eastAsia="仿宋" w:cs="仿宋"/>
          <w:color w:val="auto"/>
          <w:sz w:val="28"/>
          <w:szCs w:val="28"/>
          <w:highlight w:val="none"/>
        </w:rPr>
        <w:t>生效。</w:t>
      </w:r>
    </w:p>
    <w:p w14:paraId="710A6A29">
      <w:pPr>
        <w:pStyle w:val="459"/>
        <w:keepNext w:val="0"/>
        <w:keepLines w:val="0"/>
        <w:pageBreakBefore w:val="0"/>
        <w:widowControl w:val="0"/>
        <w:numPr>
          <w:ilvl w:val="0"/>
          <w:numId w:val="29"/>
        </w:numPr>
        <w:kinsoku/>
        <w:wordWrap/>
        <w:overflowPunct/>
        <w:topLinePunct w:val="0"/>
        <w:autoSpaceDE/>
        <w:autoSpaceDN/>
        <w:bidi w:val="0"/>
        <w:adjustRightInd w:val="0"/>
        <w:snapToGrid w:val="0"/>
        <w:spacing w:before="0" w:after="0" w:line="540" w:lineRule="exact"/>
        <w:ind w:left="0" w:leftChars="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以下</w:t>
      </w:r>
      <w:r>
        <w:rPr>
          <w:rFonts w:hint="eastAsia" w:ascii="仿宋" w:hAnsi="仿宋" w:eastAsia="仿宋" w:cs="仿宋"/>
          <w:color w:val="auto"/>
          <w:sz w:val="28"/>
          <w:szCs w:val="28"/>
          <w:highlight w:val="none"/>
        </w:rPr>
        <w:t>附件为本合同组成部分：</w:t>
      </w:r>
    </w:p>
    <w:p w14:paraId="242D9ED3">
      <w:pPr>
        <w:pStyle w:val="56"/>
        <w:keepNext w:val="0"/>
        <w:keepLines w:val="0"/>
        <w:pageBreakBefore w:val="0"/>
        <w:widowControl w:val="0"/>
        <w:numPr>
          <w:ilvl w:val="0"/>
          <w:numId w:val="0"/>
        </w:numPr>
        <w:shd w:val="clear" w:color="auto" w:fill="FFFFFF"/>
        <w:kinsoku/>
        <w:wordWrap/>
        <w:overflowPunct/>
        <w:topLinePunct w:val="0"/>
        <w:autoSpaceDE/>
        <w:autoSpaceDN/>
        <w:bidi w:val="0"/>
        <w:adjustRightInd w:val="0"/>
        <w:snapToGrid w:val="0"/>
        <w:spacing w:before="0" w:beforeAutospacing="0" w:after="0" w:afterAutospacing="0" w:line="540" w:lineRule="exact"/>
        <w:ind w:leftChars="0" w:firstLine="560" w:firstLineChars="200"/>
        <w:jc w:val="both"/>
        <w:textAlignment w:val="auto"/>
        <w:rPr>
          <w:rFonts w:hint="default" w:ascii="仿宋" w:hAnsi="仿宋" w:eastAsia="仿宋" w:cs="仿宋"/>
          <w:bCs/>
          <w:color w:val="auto"/>
          <w:sz w:val="28"/>
          <w:szCs w:val="28"/>
          <w:highlight w:val="none"/>
          <w:lang w:val="en-US" w:eastAsia="zh-CN"/>
        </w:rPr>
      </w:pPr>
      <w:r>
        <w:rPr>
          <w:rFonts w:hint="eastAsia" w:ascii="仿宋" w:hAnsi="仿宋" w:eastAsia="仿宋" w:cs="仿宋"/>
          <w:bCs/>
          <w:color w:val="auto"/>
          <w:sz w:val="28"/>
          <w:szCs w:val="28"/>
          <w:highlight w:val="none"/>
        </w:rPr>
        <w:t>附件1</w:t>
      </w:r>
      <w:r>
        <w:rPr>
          <w:rFonts w:hint="eastAsia" w:ascii="仿宋" w:hAnsi="仿宋" w:eastAsia="仿宋" w:cs="仿宋"/>
          <w:bCs/>
          <w:color w:val="auto"/>
          <w:sz w:val="28"/>
          <w:szCs w:val="28"/>
          <w:highlight w:val="none"/>
          <w:lang w:eastAsia="zh-CN"/>
        </w:rPr>
        <w:t>：</w:t>
      </w:r>
      <w:r>
        <w:rPr>
          <w:rFonts w:hint="eastAsia" w:ascii="仿宋" w:hAnsi="仿宋" w:eastAsia="仿宋" w:cs="仿宋"/>
          <w:bCs/>
          <w:color w:val="auto"/>
          <w:sz w:val="28"/>
          <w:szCs w:val="28"/>
          <w:highlight w:val="none"/>
          <w:lang w:val="en-US" w:eastAsia="zh-CN"/>
        </w:rPr>
        <w:t>参选函及报价</w:t>
      </w:r>
    </w:p>
    <w:p w14:paraId="4CA510E2">
      <w:pPr>
        <w:pStyle w:val="56"/>
        <w:keepNext w:val="0"/>
        <w:keepLines w:val="0"/>
        <w:pageBreakBefore w:val="0"/>
        <w:widowControl w:val="0"/>
        <w:numPr>
          <w:ilvl w:val="0"/>
          <w:numId w:val="0"/>
        </w:numPr>
        <w:shd w:val="clear" w:color="auto" w:fill="FFFFFF"/>
        <w:kinsoku/>
        <w:wordWrap/>
        <w:overflowPunct/>
        <w:topLinePunct w:val="0"/>
        <w:autoSpaceDE/>
        <w:autoSpaceDN/>
        <w:bidi w:val="0"/>
        <w:adjustRightInd w:val="0"/>
        <w:snapToGrid w:val="0"/>
        <w:spacing w:before="0" w:beforeAutospacing="0" w:after="0" w:afterAutospacing="0" w:line="540" w:lineRule="exact"/>
        <w:ind w:leftChars="0" w:firstLine="560" w:firstLineChars="200"/>
        <w:jc w:val="both"/>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lang w:val="en-US" w:eastAsia="zh-CN"/>
        </w:rPr>
        <w:t>附件2：</w:t>
      </w:r>
      <w:r>
        <w:rPr>
          <w:rFonts w:hint="eastAsia" w:ascii="仿宋" w:hAnsi="仿宋" w:eastAsia="仿宋" w:cs="仿宋"/>
          <w:bCs/>
          <w:color w:val="auto"/>
          <w:sz w:val="28"/>
          <w:szCs w:val="28"/>
          <w:highlight w:val="none"/>
        </w:rPr>
        <w:t>廉政协议书</w:t>
      </w:r>
    </w:p>
    <w:p w14:paraId="73011FB3">
      <w:pPr>
        <w:pStyle w:val="56"/>
        <w:keepNext w:val="0"/>
        <w:keepLines w:val="0"/>
        <w:pageBreakBefore w:val="0"/>
        <w:widowControl w:val="0"/>
        <w:numPr>
          <w:ilvl w:val="0"/>
          <w:numId w:val="0"/>
        </w:numPr>
        <w:shd w:val="clear" w:color="auto" w:fill="FFFFFF"/>
        <w:kinsoku/>
        <w:wordWrap/>
        <w:overflowPunct/>
        <w:topLinePunct w:val="0"/>
        <w:autoSpaceDE/>
        <w:autoSpaceDN/>
        <w:bidi w:val="0"/>
        <w:adjustRightInd w:val="0"/>
        <w:snapToGrid w:val="0"/>
        <w:spacing w:before="0" w:beforeAutospacing="0" w:after="0" w:afterAutospacing="0" w:line="540" w:lineRule="exact"/>
        <w:ind w:leftChars="0" w:firstLine="560" w:firstLineChars="200"/>
        <w:jc w:val="both"/>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附件</w:t>
      </w:r>
      <w:r>
        <w:rPr>
          <w:rFonts w:hint="eastAsia" w:ascii="仿宋" w:hAnsi="仿宋" w:eastAsia="仿宋" w:cs="仿宋"/>
          <w:bCs/>
          <w:color w:val="auto"/>
          <w:sz w:val="28"/>
          <w:szCs w:val="28"/>
          <w:highlight w:val="none"/>
          <w:lang w:val="en-US" w:eastAsia="zh-CN"/>
        </w:rPr>
        <w:t>3</w:t>
      </w:r>
      <w:r>
        <w:rPr>
          <w:rFonts w:hint="eastAsia" w:ascii="仿宋" w:hAnsi="仿宋" w:eastAsia="仿宋" w:cs="仿宋"/>
          <w:bCs/>
          <w:color w:val="auto"/>
          <w:sz w:val="28"/>
          <w:szCs w:val="28"/>
          <w:highlight w:val="none"/>
        </w:rPr>
        <w:t>：风险代理告知书</w:t>
      </w:r>
    </w:p>
    <w:p w14:paraId="564D1BD5">
      <w:pPr>
        <w:pStyle w:val="56"/>
        <w:keepNext w:val="0"/>
        <w:keepLines w:val="0"/>
        <w:pageBreakBefore w:val="0"/>
        <w:widowControl w:val="0"/>
        <w:numPr>
          <w:ilvl w:val="0"/>
          <w:numId w:val="0"/>
        </w:numPr>
        <w:shd w:val="clear" w:color="auto" w:fill="FFFFFF"/>
        <w:kinsoku/>
        <w:wordWrap/>
        <w:overflowPunct/>
        <w:topLinePunct w:val="0"/>
        <w:autoSpaceDE/>
        <w:autoSpaceDN/>
        <w:bidi w:val="0"/>
        <w:adjustRightInd w:val="0"/>
        <w:snapToGrid w:val="0"/>
        <w:spacing w:before="0" w:beforeAutospacing="0" w:after="0" w:afterAutospacing="0" w:line="540" w:lineRule="exact"/>
        <w:ind w:leftChars="0" w:firstLine="560" w:firstLineChars="200"/>
        <w:jc w:val="both"/>
        <w:textAlignment w:val="auto"/>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附件</w:t>
      </w:r>
      <w:r>
        <w:rPr>
          <w:rFonts w:hint="eastAsia" w:ascii="仿宋" w:hAnsi="仿宋" w:eastAsia="仿宋" w:cs="仿宋"/>
          <w:bCs/>
          <w:color w:val="auto"/>
          <w:sz w:val="28"/>
          <w:szCs w:val="28"/>
          <w:highlight w:val="none"/>
          <w:lang w:val="en-US" w:eastAsia="zh-CN"/>
        </w:rPr>
        <w:t>4</w:t>
      </w:r>
      <w:r>
        <w:rPr>
          <w:rFonts w:hint="eastAsia" w:ascii="仿宋" w:hAnsi="仿宋" w:eastAsia="仿宋" w:cs="仿宋"/>
          <w:bCs/>
          <w:color w:val="auto"/>
          <w:sz w:val="28"/>
          <w:szCs w:val="28"/>
          <w:highlight w:val="none"/>
        </w:rPr>
        <w:t>：证据材料（原件）交接单[参考格式]</w:t>
      </w:r>
    </w:p>
    <w:p w14:paraId="6238284A">
      <w:pPr>
        <w:pStyle w:val="56"/>
        <w:keepNext w:val="0"/>
        <w:keepLines w:val="0"/>
        <w:pageBreakBefore w:val="0"/>
        <w:widowControl w:val="0"/>
        <w:numPr>
          <w:ilvl w:val="0"/>
          <w:numId w:val="0"/>
        </w:numPr>
        <w:shd w:val="clear" w:color="auto" w:fill="FFFFFF"/>
        <w:kinsoku/>
        <w:wordWrap/>
        <w:overflowPunct/>
        <w:topLinePunct w:val="0"/>
        <w:autoSpaceDE/>
        <w:autoSpaceDN/>
        <w:bidi w:val="0"/>
        <w:adjustRightInd w:val="0"/>
        <w:snapToGrid w:val="0"/>
        <w:spacing w:before="0" w:beforeAutospacing="0" w:after="0" w:afterAutospacing="0" w:line="540" w:lineRule="exact"/>
        <w:ind w:leftChars="0" w:firstLine="560" w:firstLineChars="200"/>
        <w:jc w:val="both"/>
        <w:textAlignment w:val="auto"/>
        <w:rPr>
          <w:rFonts w:hint="default" w:ascii="仿宋" w:hAnsi="仿宋" w:eastAsia="仿宋" w:cs="仿宋"/>
          <w:bCs/>
          <w:color w:val="auto"/>
          <w:sz w:val="28"/>
          <w:szCs w:val="28"/>
          <w:highlight w:val="none"/>
          <w:lang w:val="en-US" w:eastAsia="zh-CN"/>
        </w:rPr>
      </w:pPr>
      <w:r>
        <w:rPr>
          <w:rFonts w:hint="eastAsia" w:ascii="仿宋" w:hAnsi="仿宋" w:eastAsia="仿宋" w:cs="仿宋"/>
          <w:bCs/>
          <w:color w:val="auto"/>
          <w:sz w:val="28"/>
          <w:szCs w:val="28"/>
          <w:highlight w:val="none"/>
          <w:lang w:val="en-US" w:eastAsia="zh-CN"/>
        </w:rPr>
        <w:t>附件5：成交人执业许可证</w:t>
      </w:r>
    </w:p>
    <w:p w14:paraId="23E61A82">
      <w:pPr>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line="540" w:lineRule="exact"/>
        <w:ind w:right="0"/>
        <w:jc w:val="both"/>
        <w:textAlignment w:val="auto"/>
        <w:rPr>
          <w:rFonts w:hint="eastAsia" w:ascii="仿宋" w:hAnsi="仿宋" w:eastAsia="仿宋" w:cs="仿宋"/>
          <w:color w:val="auto"/>
          <w:sz w:val="28"/>
          <w:szCs w:val="28"/>
          <w:highlight w:val="none"/>
          <w:u w:val="dotted"/>
          <w:lang w:val="en-US"/>
        </w:rPr>
      </w:pPr>
      <w:r>
        <w:rPr>
          <w:rFonts w:hint="eastAsia" w:ascii="仿宋" w:hAnsi="仿宋" w:eastAsia="仿宋" w:cs="仿宋"/>
          <w:color w:val="auto"/>
          <w:kern w:val="0"/>
          <w:sz w:val="28"/>
          <w:szCs w:val="28"/>
          <w:highlight w:val="none"/>
          <w:u w:val="dotted"/>
          <w:lang w:val="en-US" w:eastAsia="zh-CN" w:bidi="ar"/>
        </w:rPr>
        <w:t xml:space="preserve">                                                              </w:t>
      </w:r>
    </w:p>
    <w:p w14:paraId="1808C26D">
      <w:pPr>
        <w:keepNext w:val="0"/>
        <w:keepLines w:val="0"/>
        <w:pageBreakBefore w:val="0"/>
        <w:widowControl w:val="0"/>
        <w:suppressLineNumbers w:val="0"/>
        <w:kinsoku/>
        <w:overflowPunct/>
        <w:topLinePunct w:val="0"/>
        <w:autoSpaceDE/>
        <w:autoSpaceDN/>
        <w:bidi w:val="0"/>
        <w:adjustRightInd w:val="0"/>
        <w:snapToGrid w:val="0"/>
        <w:spacing w:before="0" w:beforeAutospacing="0" w:after="0" w:afterAutospacing="0" w:line="540" w:lineRule="exact"/>
        <w:ind w:left="0" w:right="0" w:firstLine="560" w:firstLineChars="200"/>
        <w:jc w:val="both"/>
        <w:textAlignment w:val="auto"/>
        <w:rPr>
          <w:rFonts w:hint="eastAsia" w:ascii="仿宋" w:hAnsi="仿宋" w:eastAsia="仿宋" w:cs="仿宋"/>
          <w:bCs/>
          <w:color w:val="auto"/>
          <w:kern w:val="0"/>
          <w:sz w:val="28"/>
          <w:szCs w:val="28"/>
          <w:highlight w:val="none"/>
          <w:lang w:val="en-US" w:eastAsia="zh-CN" w:bidi="ar"/>
        </w:rPr>
      </w:pPr>
      <w:r>
        <w:rPr>
          <w:rFonts w:hint="eastAsia" w:ascii="仿宋" w:hAnsi="仿宋" w:eastAsia="仿宋" w:cs="仿宋"/>
          <w:bCs/>
          <w:color w:val="auto"/>
          <w:kern w:val="0"/>
          <w:sz w:val="28"/>
          <w:szCs w:val="28"/>
          <w:highlight w:val="none"/>
          <w:lang w:val="en-US" w:eastAsia="zh-CN" w:bidi="ar"/>
        </w:rPr>
        <w:t>以下无正文，为合同签署页。</w:t>
      </w:r>
    </w:p>
    <w:p w14:paraId="0F762548">
      <w:pPr>
        <w:keepNext w:val="0"/>
        <w:keepLines w:val="0"/>
        <w:widowControl w:val="0"/>
        <w:suppressLineNumbers w:val="0"/>
        <w:adjustRightInd w:val="0"/>
        <w:snapToGrid w:val="0"/>
        <w:spacing w:before="0" w:beforeAutospacing="0" w:after="0" w:afterAutospacing="0" w:line="540" w:lineRule="exact"/>
        <w:ind w:left="0" w:right="0" w:firstLine="560" w:firstLineChars="200"/>
        <w:jc w:val="both"/>
        <w:rPr>
          <w:rFonts w:hint="eastAsia" w:ascii="仿宋" w:hAnsi="仿宋" w:eastAsia="仿宋" w:cs="仿宋"/>
          <w:bCs/>
          <w:color w:val="auto"/>
          <w:kern w:val="0"/>
          <w:sz w:val="28"/>
          <w:szCs w:val="28"/>
          <w:highlight w:val="none"/>
          <w:lang w:val="en-US" w:eastAsia="zh-CN" w:bidi="ar"/>
        </w:rPr>
      </w:pPr>
    </w:p>
    <w:p w14:paraId="7F3CA427">
      <w:pPr>
        <w:rPr>
          <w:rFonts w:hint="eastAsia" w:ascii="仿宋" w:hAnsi="仿宋" w:eastAsia="仿宋" w:cs="仿宋"/>
          <w:bCs/>
          <w:color w:val="auto"/>
          <w:kern w:val="0"/>
          <w:sz w:val="28"/>
          <w:szCs w:val="28"/>
          <w:highlight w:val="none"/>
          <w:lang w:val="en-US" w:eastAsia="zh-CN" w:bidi="ar"/>
        </w:rPr>
      </w:pPr>
      <w:r>
        <w:rPr>
          <w:rFonts w:hint="eastAsia" w:ascii="仿宋" w:hAnsi="仿宋" w:eastAsia="仿宋" w:cs="仿宋"/>
          <w:bCs/>
          <w:color w:val="auto"/>
          <w:kern w:val="0"/>
          <w:sz w:val="28"/>
          <w:szCs w:val="28"/>
          <w:highlight w:val="none"/>
          <w:lang w:val="en-US" w:eastAsia="zh-CN" w:bidi="ar"/>
        </w:rPr>
        <w:br w:type="page"/>
      </w:r>
    </w:p>
    <w:p w14:paraId="073790E7">
      <w:pPr>
        <w:keepNext w:val="0"/>
        <w:keepLines w:val="0"/>
        <w:widowControl w:val="0"/>
        <w:suppressLineNumbers w:val="0"/>
        <w:adjustRightInd w:val="0"/>
        <w:snapToGrid w:val="0"/>
        <w:spacing w:before="0" w:beforeAutospacing="0" w:after="0" w:afterAutospacing="0" w:line="540" w:lineRule="exact"/>
        <w:ind w:left="0" w:right="0" w:firstLine="560" w:firstLineChars="200"/>
        <w:jc w:val="both"/>
        <w:rPr>
          <w:rFonts w:hint="eastAsia" w:ascii="仿宋" w:hAnsi="仿宋" w:eastAsia="仿宋" w:cs="仿宋"/>
          <w:bCs/>
          <w:color w:val="auto"/>
          <w:kern w:val="0"/>
          <w:sz w:val="28"/>
          <w:szCs w:val="28"/>
          <w:highlight w:val="none"/>
          <w:lang w:val="en-US" w:eastAsia="zh-CN" w:bidi="ar"/>
        </w:rPr>
      </w:pPr>
    </w:p>
    <w:p w14:paraId="3C71A26B">
      <w:pPr>
        <w:pStyle w:val="9"/>
        <w:keepNext/>
        <w:keepLines/>
        <w:pageBreakBefore w:val="0"/>
        <w:widowControl w:val="0"/>
        <w:kinsoku/>
        <w:wordWrap/>
        <w:overflowPunct/>
        <w:topLinePunct w:val="0"/>
        <w:autoSpaceDE/>
        <w:autoSpaceDN/>
        <w:bidi w:val="0"/>
        <w:adjustRightInd w:val="0"/>
        <w:snapToGrid w:val="0"/>
        <w:spacing w:before="157" w:beforeLines="50" w:after="157" w:afterLines="50" w:line="540" w:lineRule="exact"/>
        <w:ind w:left="0" w:firstLine="562"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甲方（签章）：</w:t>
      </w:r>
      <w:r>
        <w:rPr>
          <w:rFonts w:hint="eastAsia" w:ascii="仿宋" w:hAnsi="仿宋" w:eastAsia="仿宋" w:cs="仿宋"/>
          <w:b w:val="0"/>
          <w:bCs/>
          <w:color w:val="auto"/>
          <w:sz w:val="28"/>
          <w:szCs w:val="28"/>
          <w:highlight w:val="none"/>
          <w:u w:val="single"/>
        </w:rPr>
        <w:t>安庆</w:t>
      </w:r>
      <w:r>
        <w:rPr>
          <w:rFonts w:hint="eastAsia" w:ascii="仿宋" w:hAnsi="仿宋" w:eastAsia="仿宋" w:cs="仿宋"/>
          <w:b w:val="0"/>
          <w:bCs/>
          <w:color w:val="auto"/>
          <w:sz w:val="28"/>
          <w:szCs w:val="28"/>
          <w:highlight w:val="none"/>
          <w:u w:val="single"/>
          <w:lang w:val="en-US" w:eastAsia="zh-CN"/>
        </w:rPr>
        <w:t>中安供应链管理有限责任</w:t>
      </w:r>
      <w:r>
        <w:rPr>
          <w:rFonts w:hint="eastAsia" w:ascii="仿宋" w:hAnsi="仿宋" w:eastAsia="仿宋" w:cs="仿宋"/>
          <w:b w:val="0"/>
          <w:bCs/>
          <w:color w:val="auto"/>
          <w:sz w:val="28"/>
          <w:szCs w:val="28"/>
          <w:highlight w:val="none"/>
          <w:u w:val="single"/>
        </w:rPr>
        <w:t>公司</w:t>
      </w:r>
    </w:p>
    <w:p w14:paraId="6124A0CB">
      <w:pPr>
        <w:pStyle w:val="459"/>
        <w:pageBreakBefore w:val="0"/>
        <w:kinsoku/>
        <w:overflowPunct/>
        <w:topLinePunct w:val="0"/>
        <w:autoSpaceDE/>
        <w:autoSpaceDN/>
        <w:bidi w:val="0"/>
        <w:adjustRightInd w:val="0"/>
        <w:snapToGrid w:val="0"/>
        <w:spacing w:before="0" w:after="0" w:line="540" w:lineRule="exact"/>
        <w:ind w:left="0"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法定代表人 / 授权代表签字：</w:t>
      </w:r>
    </w:p>
    <w:p w14:paraId="3BD43A3C">
      <w:pPr>
        <w:pStyle w:val="459"/>
        <w:pageBreakBefore w:val="0"/>
        <w:kinsoku/>
        <w:overflowPunct/>
        <w:topLinePunct w:val="0"/>
        <w:autoSpaceDE/>
        <w:autoSpaceDN/>
        <w:bidi w:val="0"/>
        <w:adjustRightInd w:val="0"/>
        <w:snapToGrid w:val="0"/>
        <w:spacing w:before="0" w:after="0" w:line="540" w:lineRule="exact"/>
        <w:ind w:left="0"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签订日期：</w:t>
      </w:r>
      <w:r>
        <w:rPr>
          <w:rFonts w:hint="eastAsia" w:ascii="仿宋" w:hAnsi="仿宋" w:eastAsia="仿宋" w:cs="仿宋"/>
          <w:color w:val="auto"/>
          <w:sz w:val="28"/>
          <w:szCs w:val="28"/>
          <w:highlight w:val="none"/>
          <w:lang w:val="en-US" w:eastAsia="zh-CN"/>
        </w:rPr>
        <w:t>2026</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日</w:t>
      </w:r>
    </w:p>
    <w:p w14:paraId="72BA8B30">
      <w:pPr>
        <w:pStyle w:val="459"/>
        <w:pageBreakBefore w:val="0"/>
        <w:kinsoku/>
        <w:overflowPunct/>
        <w:topLinePunct w:val="0"/>
        <w:autoSpaceDE/>
        <w:autoSpaceDN/>
        <w:bidi w:val="0"/>
        <w:adjustRightInd w:val="0"/>
        <w:snapToGrid w:val="0"/>
        <w:spacing w:before="0" w:after="0" w:line="540" w:lineRule="exact"/>
        <w:ind w:left="0" w:firstLine="560" w:firstLineChars="200"/>
        <w:textAlignment w:val="auto"/>
        <w:rPr>
          <w:rFonts w:hint="eastAsia" w:ascii="仿宋" w:hAnsi="仿宋" w:eastAsia="仿宋" w:cs="仿宋"/>
          <w:color w:val="auto"/>
          <w:sz w:val="28"/>
          <w:szCs w:val="28"/>
          <w:highlight w:val="none"/>
        </w:rPr>
      </w:pPr>
    </w:p>
    <w:p w14:paraId="3C9314EE">
      <w:pPr>
        <w:pStyle w:val="9"/>
        <w:keepNext/>
        <w:keepLines/>
        <w:pageBreakBefore w:val="0"/>
        <w:widowControl w:val="0"/>
        <w:kinsoku/>
        <w:wordWrap/>
        <w:overflowPunct/>
        <w:topLinePunct w:val="0"/>
        <w:autoSpaceDE/>
        <w:autoSpaceDN/>
        <w:bidi w:val="0"/>
        <w:adjustRightInd w:val="0"/>
        <w:snapToGrid w:val="0"/>
        <w:spacing w:before="157" w:beforeLines="50" w:after="157" w:afterLines="50" w:line="540" w:lineRule="exact"/>
        <w:ind w:left="0" w:firstLine="562" w:firstLineChars="200"/>
        <w:textAlignment w:val="auto"/>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乙方（签章）：</w:t>
      </w:r>
      <w:r>
        <w:rPr>
          <w:rFonts w:hint="eastAsia" w:ascii="仿宋" w:hAnsi="仿宋" w:eastAsia="仿宋" w:cs="仿宋"/>
          <w:b w:val="0"/>
          <w:bCs/>
          <w:color w:val="auto"/>
          <w:sz w:val="28"/>
          <w:szCs w:val="28"/>
          <w:highlight w:val="none"/>
          <w:u w:val="single"/>
          <w:lang w:val="en-US" w:eastAsia="zh-CN"/>
        </w:rPr>
        <w:t xml:space="preserve">                      </w:t>
      </w:r>
    </w:p>
    <w:p w14:paraId="07F9693E">
      <w:pPr>
        <w:pStyle w:val="459"/>
        <w:pageBreakBefore w:val="0"/>
        <w:kinsoku/>
        <w:overflowPunct/>
        <w:topLinePunct w:val="0"/>
        <w:autoSpaceDE/>
        <w:autoSpaceDN/>
        <w:bidi w:val="0"/>
        <w:adjustRightInd w:val="0"/>
        <w:snapToGrid w:val="0"/>
        <w:spacing w:before="0" w:after="0" w:line="540" w:lineRule="exact"/>
        <w:ind w:left="0"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负责人 / 授权代表签字：</w:t>
      </w:r>
    </w:p>
    <w:p w14:paraId="2ACF694F">
      <w:pPr>
        <w:pStyle w:val="459"/>
        <w:pageBreakBefore w:val="0"/>
        <w:kinsoku/>
        <w:overflowPunct/>
        <w:topLinePunct w:val="0"/>
        <w:autoSpaceDE/>
        <w:autoSpaceDN/>
        <w:bidi w:val="0"/>
        <w:adjustRightInd w:val="0"/>
        <w:snapToGrid w:val="0"/>
        <w:spacing w:before="0" w:after="0" w:line="540" w:lineRule="exact"/>
        <w:ind w:left="0"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签订日期：</w:t>
      </w:r>
      <w:r>
        <w:rPr>
          <w:rFonts w:hint="eastAsia" w:ascii="仿宋" w:hAnsi="仿宋" w:eastAsia="仿宋" w:cs="仿宋"/>
          <w:color w:val="auto"/>
          <w:sz w:val="28"/>
          <w:szCs w:val="28"/>
          <w:highlight w:val="none"/>
          <w:lang w:val="en-US" w:eastAsia="zh-CN"/>
        </w:rPr>
        <w:t>2026</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日</w:t>
      </w:r>
    </w:p>
    <w:p w14:paraId="4A1AD147">
      <w:pPr>
        <w:pStyle w:val="459"/>
        <w:pageBreakBefore w:val="0"/>
        <w:kinsoku/>
        <w:overflowPunct/>
        <w:topLinePunct w:val="0"/>
        <w:autoSpaceDE/>
        <w:autoSpaceDN/>
        <w:bidi w:val="0"/>
        <w:adjustRightInd w:val="0"/>
        <w:snapToGrid w:val="0"/>
        <w:spacing w:before="0" w:after="0" w:line="540" w:lineRule="exact"/>
        <w:ind w:left="0" w:firstLine="560" w:firstLineChars="200"/>
        <w:textAlignment w:val="auto"/>
        <w:rPr>
          <w:rFonts w:hint="eastAsia" w:ascii="仿宋" w:hAnsi="仿宋" w:eastAsia="仿宋" w:cs="仿宋"/>
          <w:color w:val="auto"/>
          <w:sz w:val="28"/>
          <w:szCs w:val="28"/>
          <w:highlight w:val="none"/>
        </w:rPr>
      </w:pPr>
    </w:p>
    <w:p w14:paraId="4E207554">
      <w:pPr>
        <w:pStyle w:val="459"/>
        <w:pageBreakBefore w:val="0"/>
        <w:kinsoku/>
        <w:overflowPunct/>
        <w:topLinePunct w:val="0"/>
        <w:autoSpaceDE/>
        <w:autoSpaceDN/>
        <w:bidi w:val="0"/>
        <w:adjustRightInd w:val="0"/>
        <w:snapToGrid w:val="0"/>
        <w:spacing w:before="0" w:after="0" w:line="540" w:lineRule="exact"/>
        <w:ind w:left="0" w:firstLine="560" w:firstLineChars="200"/>
        <w:textAlignment w:val="auto"/>
        <w:rPr>
          <w:rFonts w:hint="eastAsia" w:ascii="仿宋" w:hAnsi="仿宋" w:eastAsia="仿宋" w:cs="仿宋"/>
          <w:color w:val="auto"/>
          <w:sz w:val="28"/>
          <w:szCs w:val="28"/>
          <w:highlight w:val="none"/>
        </w:rPr>
      </w:pPr>
    </w:p>
    <w:p w14:paraId="2F1B79AC">
      <w:pPr>
        <w:keepNext w:val="0"/>
        <w:keepLines w:val="0"/>
        <w:widowControl w:val="0"/>
        <w:suppressLineNumbers w:val="0"/>
        <w:adjustRightInd w:val="0"/>
        <w:snapToGrid w:val="0"/>
        <w:spacing w:before="0" w:beforeAutospacing="0" w:after="0" w:afterAutospacing="0" w:line="540" w:lineRule="exact"/>
        <w:ind w:right="0"/>
        <w:jc w:val="both"/>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br w:type="page"/>
      </w:r>
    </w:p>
    <w:p w14:paraId="0ED3D3A4">
      <w:pPr>
        <w:bidi w:val="0"/>
        <w:jc w:val="left"/>
        <w:rPr>
          <w:rFonts w:hint="eastAsia" w:ascii="Times New Roman" w:hAnsi="Times New Roman" w:eastAsia="宋体" w:cs="Times New Roman"/>
          <w:color w:val="auto"/>
          <w:kern w:val="2"/>
          <w:sz w:val="21"/>
          <w:highlight w:val="none"/>
          <w:lang w:val="en-US" w:eastAsia="zh-CN" w:bidi="ar-SA"/>
        </w:rPr>
      </w:pPr>
    </w:p>
    <w:p w14:paraId="38FAEBAD">
      <w:pPr>
        <w:keepNext w:val="0"/>
        <w:keepLines w:val="0"/>
        <w:pageBreakBefore w:val="0"/>
        <w:widowControl w:val="0"/>
        <w:suppressLineNumbers w:val="0"/>
        <w:kinsoku/>
        <w:wordWrap/>
        <w:overflowPunct/>
        <w:topLinePunct w:val="0"/>
        <w:autoSpaceDE/>
        <w:autoSpaceDN/>
        <w:bidi w:val="0"/>
        <w:adjustRightInd w:val="0"/>
        <w:snapToGrid w:val="0"/>
        <w:spacing w:beforeAutospacing="0" w:after="157" w:afterLines="50" w:afterAutospacing="0" w:line="240" w:lineRule="auto"/>
        <w:ind w:right="0"/>
        <w:jc w:val="both"/>
        <w:textAlignment w:val="auto"/>
        <w:outlineLvl w:val="2"/>
        <w:rPr>
          <w:rFonts w:hint="eastAsia" w:ascii="仿宋" w:hAnsi="仿宋" w:eastAsia="仿宋" w:cs="仿宋"/>
          <w:b/>
          <w:bCs/>
          <w:color w:val="auto"/>
          <w:kern w:val="2"/>
          <w:sz w:val="28"/>
          <w:szCs w:val="28"/>
          <w:highlight w:val="none"/>
          <w:lang w:val="en-US" w:eastAsia="zh-CN" w:bidi="ar"/>
        </w:rPr>
      </w:pPr>
      <w:bookmarkStart w:id="71" w:name="_Toc762"/>
      <w:bookmarkStart w:id="72" w:name="_Toc11404"/>
      <w:r>
        <w:rPr>
          <w:rFonts w:hint="eastAsia" w:ascii="仿宋" w:hAnsi="仿宋" w:eastAsia="仿宋" w:cs="仿宋"/>
          <w:b/>
          <w:bCs/>
          <w:color w:val="auto"/>
          <w:kern w:val="2"/>
          <w:sz w:val="28"/>
          <w:szCs w:val="28"/>
          <w:highlight w:val="none"/>
          <w:lang w:val="en-US" w:eastAsia="zh-CN" w:bidi="ar"/>
        </w:rPr>
        <w:t>附件</w:t>
      </w:r>
      <w:bookmarkEnd w:id="71"/>
      <w:r>
        <w:rPr>
          <w:rFonts w:hint="eastAsia" w:ascii="仿宋" w:hAnsi="仿宋" w:eastAsia="仿宋" w:cs="仿宋"/>
          <w:b/>
          <w:bCs/>
          <w:color w:val="auto"/>
          <w:kern w:val="2"/>
          <w:sz w:val="28"/>
          <w:szCs w:val="28"/>
          <w:highlight w:val="none"/>
          <w:lang w:val="en-US" w:eastAsia="zh-CN" w:bidi="ar"/>
        </w:rPr>
        <w:t>1：</w:t>
      </w:r>
      <w:bookmarkEnd w:id="72"/>
      <w:r>
        <w:rPr>
          <w:rFonts w:hint="eastAsia" w:ascii="仿宋" w:hAnsi="仿宋" w:eastAsia="仿宋" w:cs="仿宋"/>
          <w:b/>
          <w:bCs/>
          <w:color w:val="auto"/>
          <w:kern w:val="2"/>
          <w:sz w:val="28"/>
          <w:szCs w:val="28"/>
          <w:highlight w:val="none"/>
          <w:lang w:val="en-US" w:eastAsia="zh-CN" w:bidi="ar"/>
        </w:rPr>
        <w:t>参选函及报价</w:t>
      </w:r>
    </w:p>
    <w:p w14:paraId="1C08665F">
      <w:pPr>
        <w:rPr>
          <w:rFonts w:hint="eastAsia" w:ascii="仿宋" w:hAnsi="仿宋" w:eastAsia="仿宋" w:cs="仿宋"/>
          <w:b/>
          <w:bCs/>
          <w:color w:val="auto"/>
          <w:kern w:val="2"/>
          <w:sz w:val="28"/>
          <w:szCs w:val="28"/>
          <w:highlight w:val="none"/>
          <w:lang w:val="en-US" w:eastAsia="zh-CN" w:bidi="ar"/>
        </w:rPr>
      </w:pPr>
      <w:r>
        <w:rPr>
          <w:rFonts w:hint="eastAsia" w:ascii="仿宋" w:hAnsi="仿宋" w:eastAsia="仿宋" w:cs="仿宋"/>
          <w:b w:val="0"/>
          <w:bCs w:val="0"/>
          <w:color w:val="auto"/>
          <w:kern w:val="2"/>
          <w:sz w:val="28"/>
          <w:szCs w:val="28"/>
          <w:highlight w:val="none"/>
          <w:lang w:val="en-US" w:eastAsia="zh-CN" w:bidi="ar"/>
        </w:rPr>
        <w:t>签订合同时另附。</w:t>
      </w:r>
      <w:r>
        <w:rPr>
          <w:rFonts w:hint="eastAsia" w:ascii="仿宋" w:hAnsi="仿宋" w:eastAsia="仿宋" w:cs="仿宋"/>
          <w:b/>
          <w:bCs/>
          <w:color w:val="auto"/>
          <w:kern w:val="2"/>
          <w:sz w:val="28"/>
          <w:szCs w:val="28"/>
          <w:highlight w:val="none"/>
          <w:lang w:val="en-US" w:eastAsia="zh-CN" w:bidi="ar"/>
        </w:rPr>
        <w:br w:type="page"/>
      </w:r>
    </w:p>
    <w:p w14:paraId="4B2F72C2">
      <w:pPr>
        <w:keepNext w:val="0"/>
        <w:keepLines w:val="0"/>
        <w:pageBreakBefore w:val="0"/>
        <w:widowControl w:val="0"/>
        <w:suppressLineNumbers w:val="0"/>
        <w:kinsoku/>
        <w:wordWrap/>
        <w:overflowPunct/>
        <w:topLinePunct w:val="0"/>
        <w:autoSpaceDE/>
        <w:autoSpaceDN/>
        <w:bidi w:val="0"/>
        <w:adjustRightInd w:val="0"/>
        <w:snapToGrid w:val="0"/>
        <w:spacing w:beforeAutospacing="0" w:after="157" w:afterLines="50" w:afterAutospacing="0" w:line="240" w:lineRule="auto"/>
        <w:ind w:right="0"/>
        <w:jc w:val="both"/>
        <w:textAlignment w:val="auto"/>
        <w:outlineLvl w:val="2"/>
        <w:rPr>
          <w:rFonts w:hint="default" w:ascii="仿宋" w:hAnsi="仿宋" w:eastAsia="仿宋" w:cs="仿宋"/>
          <w:b/>
          <w:bCs/>
          <w:color w:val="auto"/>
          <w:kern w:val="2"/>
          <w:sz w:val="28"/>
          <w:szCs w:val="28"/>
          <w:highlight w:val="none"/>
          <w:lang w:val="en-US"/>
        </w:rPr>
      </w:pPr>
      <w:bookmarkStart w:id="73" w:name="_Toc8489"/>
      <w:r>
        <w:rPr>
          <w:rFonts w:hint="eastAsia" w:ascii="仿宋" w:hAnsi="仿宋" w:eastAsia="仿宋" w:cs="仿宋"/>
          <w:b/>
          <w:bCs/>
          <w:color w:val="auto"/>
          <w:kern w:val="2"/>
          <w:sz w:val="28"/>
          <w:szCs w:val="28"/>
          <w:highlight w:val="none"/>
          <w:lang w:val="en-US" w:eastAsia="zh-CN" w:bidi="ar"/>
        </w:rPr>
        <w:t>附件2：廉政协议书</w:t>
      </w:r>
      <w:bookmarkEnd w:id="73"/>
    </w:p>
    <w:p w14:paraId="0CAA7A06">
      <w:pPr>
        <w:keepNext w:val="0"/>
        <w:keepLines w:val="0"/>
        <w:pageBreakBefore w:val="0"/>
        <w:widowControl w:val="0"/>
        <w:tabs>
          <w:tab w:val="left" w:pos="2040"/>
        </w:tabs>
        <w:kinsoku/>
        <w:wordWrap/>
        <w:overflowPunct/>
        <w:topLinePunct w:val="0"/>
        <w:autoSpaceDE/>
        <w:autoSpaceDN/>
        <w:bidi w:val="0"/>
        <w:adjustRightInd w:val="0"/>
        <w:snapToGrid w:val="0"/>
        <w:spacing w:beforeAutospacing="0" w:afterAutospacing="0" w:line="540" w:lineRule="exact"/>
        <w:ind w:firstLine="560" w:firstLineChars="200"/>
        <w:jc w:val="both"/>
        <w:textAlignment w:val="auto"/>
        <w:rPr>
          <w:rFonts w:hint="eastAsia" w:ascii="仿宋" w:hAnsi="仿宋" w:eastAsia="仿宋" w:cs="仿宋"/>
          <w:b w:val="0"/>
          <w:bCs/>
          <w:color w:val="auto"/>
          <w:sz w:val="28"/>
          <w:szCs w:val="28"/>
          <w:highlight w:val="none"/>
          <w:u w:val="none"/>
          <w:lang w:eastAsia="zh-CN"/>
        </w:rPr>
      </w:pPr>
      <w:r>
        <w:rPr>
          <w:rFonts w:hint="eastAsia" w:ascii="仿宋" w:hAnsi="仿宋" w:eastAsia="仿宋" w:cs="仿宋"/>
          <w:b w:val="0"/>
          <w:bCs/>
          <w:color w:val="auto"/>
          <w:sz w:val="28"/>
          <w:szCs w:val="28"/>
          <w:highlight w:val="none"/>
          <w:lang w:val="en-US" w:eastAsia="zh-CN"/>
        </w:rPr>
        <w:t>采购</w:t>
      </w:r>
      <w:r>
        <w:rPr>
          <w:rFonts w:hint="eastAsia" w:ascii="仿宋" w:hAnsi="仿宋" w:eastAsia="仿宋" w:cs="仿宋"/>
          <w:b w:val="0"/>
          <w:bCs/>
          <w:color w:val="auto"/>
          <w:sz w:val="28"/>
          <w:szCs w:val="28"/>
          <w:highlight w:val="none"/>
        </w:rPr>
        <w:t>人（甲方）：</w:t>
      </w:r>
      <w:r>
        <w:rPr>
          <w:rFonts w:hint="eastAsia" w:ascii="仿宋" w:hAnsi="仿宋" w:eastAsia="仿宋" w:cs="仿宋"/>
          <w:b w:val="0"/>
          <w:bCs/>
          <w:color w:val="auto"/>
          <w:sz w:val="28"/>
          <w:szCs w:val="28"/>
          <w:highlight w:val="none"/>
          <w:u w:val="single"/>
          <w:lang w:eastAsia="zh-CN"/>
        </w:rPr>
        <w:t>安庆</w:t>
      </w:r>
      <w:r>
        <w:rPr>
          <w:rFonts w:hint="eastAsia" w:ascii="仿宋" w:hAnsi="仿宋" w:eastAsia="仿宋" w:cs="仿宋"/>
          <w:b w:val="0"/>
          <w:bCs/>
          <w:color w:val="auto"/>
          <w:sz w:val="28"/>
          <w:szCs w:val="28"/>
          <w:highlight w:val="none"/>
          <w:u w:val="single"/>
          <w:lang w:val="en-US" w:eastAsia="zh-CN"/>
        </w:rPr>
        <w:t>中安供应链管理有限责任</w:t>
      </w:r>
      <w:r>
        <w:rPr>
          <w:rFonts w:hint="eastAsia" w:ascii="仿宋" w:hAnsi="仿宋" w:eastAsia="仿宋" w:cs="仿宋"/>
          <w:b w:val="0"/>
          <w:bCs/>
          <w:color w:val="auto"/>
          <w:sz w:val="28"/>
          <w:szCs w:val="28"/>
          <w:highlight w:val="none"/>
          <w:u w:val="single"/>
          <w:lang w:eastAsia="zh-CN"/>
        </w:rPr>
        <w:t>公司</w:t>
      </w:r>
    </w:p>
    <w:p w14:paraId="5AD7F6D1">
      <w:pPr>
        <w:keepNext w:val="0"/>
        <w:keepLines w:val="0"/>
        <w:pageBreakBefore w:val="0"/>
        <w:widowControl w:val="0"/>
        <w:tabs>
          <w:tab w:val="left" w:pos="2040"/>
        </w:tabs>
        <w:kinsoku/>
        <w:wordWrap/>
        <w:overflowPunct/>
        <w:topLinePunct w:val="0"/>
        <w:autoSpaceDE/>
        <w:autoSpaceDN/>
        <w:bidi w:val="0"/>
        <w:adjustRightInd w:val="0"/>
        <w:snapToGrid w:val="0"/>
        <w:spacing w:beforeAutospacing="0" w:afterAutospacing="0" w:line="540" w:lineRule="exact"/>
        <w:ind w:firstLine="560" w:firstLineChars="200"/>
        <w:jc w:val="both"/>
        <w:textAlignment w:val="auto"/>
        <w:rPr>
          <w:rFonts w:hint="default" w:ascii="仿宋" w:hAnsi="仿宋" w:eastAsia="仿宋" w:cs="仿宋"/>
          <w:b w:val="0"/>
          <w:bCs/>
          <w:color w:val="auto"/>
          <w:sz w:val="28"/>
          <w:szCs w:val="28"/>
          <w:highlight w:val="none"/>
          <w:u w:val="single"/>
          <w:lang w:val="en-US" w:eastAsia="zh-CN"/>
        </w:rPr>
      </w:pPr>
      <w:r>
        <w:rPr>
          <w:rFonts w:hint="eastAsia" w:ascii="仿宋" w:hAnsi="仿宋" w:eastAsia="仿宋" w:cs="仿宋"/>
          <w:b w:val="0"/>
          <w:bCs/>
          <w:color w:val="auto"/>
          <w:sz w:val="28"/>
          <w:szCs w:val="28"/>
          <w:highlight w:val="none"/>
          <w:lang w:val="en-US" w:eastAsia="zh-CN"/>
        </w:rPr>
        <w:t>成交</w:t>
      </w:r>
      <w:r>
        <w:rPr>
          <w:rFonts w:hint="eastAsia" w:ascii="仿宋" w:hAnsi="仿宋" w:eastAsia="仿宋" w:cs="仿宋"/>
          <w:b w:val="0"/>
          <w:bCs/>
          <w:color w:val="auto"/>
          <w:sz w:val="28"/>
          <w:szCs w:val="28"/>
          <w:highlight w:val="none"/>
        </w:rPr>
        <w:t>人（乙方）：</w:t>
      </w:r>
      <w:r>
        <w:rPr>
          <w:rFonts w:hint="eastAsia" w:ascii="仿宋" w:hAnsi="仿宋" w:eastAsia="仿宋" w:cs="仿宋"/>
          <w:b w:val="0"/>
          <w:bCs/>
          <w:color w:val="auto"/>
          <w:sz w:val="28"/>
          <w:szCs w:val="28"/>
          <w:highlight w:val="none"/>
          <w:u w:val="single"/>
          <w:lang w:val="en-US" w:eastAsia="zh-CN"/>
        </w:rPr>
        <w:t xml:space="preserve">                        </w:t>
      </w:r>
    </w:p>
    <w:p w14:paraId="3E51B0F1">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540" w:lineRule="exact"/>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为促进各方诚信经营、廉洁从业，防范商业贿赂，保护国家、集体和当事人的合法权益，根据国家有关法律法规和安徽省、项目所在地廉政建设的规定，各方特此订立本责任书共同遵照执行。</w:t>
      </w:r>
    </w:p>
    <w:p w14:paraId="1D388243">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540" w:lineRule="exact"/>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第一条 各方的权利和义务</w:t>
      </w:r>
    </w:p>
    <w:p w14:paraId="139B562D">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540" w:lineRule="exact"/>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一）各方自觉遵守《中华人民共和国反不正当竞争法》、国家工商行政管理局《关于禁止商业贿赂行为的暂行规定》、国家最高人民检察院、最高人民法院《关于办理受贿刑事案件适用法律若干问题的意见》及相关法律法规和廉政建设的规定。</w:t>
      </w:r>
    </w:p>
    <w:p w14:paraId="1A389D0A">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540" w:lineRule="exact"/>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（二）严格执行</w:t>
      </w:r>
      <w:r>
        <w:rPr>
          <w:rFonts w:hint="eastAsia" w:ascii="仿宋" w:hAnsi="仿宋" w:eastAsia="仿宋" w:cs="仿宋"/>
          <w:color w:val="auto"/>
          <w:kern w:val="2"/>
          <w:sz w:val="28"/>
          <w:szCs w:val="28"/>
          <w:highlight w:val="none"/>
          <w:u w:val="none"/>
          <w:lang w:val="en-US" w:eastAsia="zh-CN" w:bidi="ar"/>
        </w:rPr>
        <w:t>本</w:t>
      </w:r>
      <w:r>
        <w:rPr>
          <w:rFonts w:hint="eastAsia" w:ascii="仿宋" w:hAnsi="仿宋" w:eastAsia="仿宋" w:cs="仿宋"/>
          <w:color w:val="auto"/>
          <w:kern w:val="2"/>
          <w:sz w:val="28"/>
          <w:szCs w:val="28"/>
          <w:highlight w:val="none"/>
          <w:lang w:val="en-US" w:eastAsia="zh-CN" w:bidi="ar"/>
        </w:rPr>
        <w:t>合同要求，自觉履行合同约定的相关义务。</w:t>
      </w:r>
    </w:p>
    <w:p w14:paraId="50A7C993">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540" w:lineRule="exact"/>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（三）在业务活动中坚持公开、公正、诚信、透明的原则，不得损害国家、集体利益。</w:t>
      </w:r>
    </w:p>
    <w:p w14:paraId="5D48F559">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540" w:lineRule="exact"/>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（四）建立健全廉政制度，开展廉政教育，公布举报电话，监督并认真查处违法违纪行为。</w:t>
      </w:r>
    </w:p>
    <w:p w14:paraId="1752EA08">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540" w:lineRule="exact"/>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（五）发现某一方在业务活动中有违反廉政规定的行为，应及时提醒对方纠正。情节严重的，应向其上级有关部门举报、建议给予处理，并有权要求告知处理结果。</w:t>
      </w:r>
    </w:p>
    <w:p w14:paraId="055489EB">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540" w:lineRule="exact"/>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第二条 甲方的义务</w:t>
      </w:r>
    </w:p>
    <w:p w14:paraId="1E98BCE8">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540" w:lineRule="exact"/>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(一)甲方及其工作人员不得索要或接受乙方的礼金、有价证券和贵重物品，不得在乙方报销任何应由甲方单位或个人支付的费用等。</w:t>
      </w:r>
    </w:p>
    <w:p w14:paraId="3FB8DCED">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540" w:lineRule="exact"/>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二）甲方工作人员不得参加乙方安排的可能影响相关业务公开、公正、公平性的宴请和娱乐活动；不得参与任何形式的赌博，严禁通过赌博方式取得乙方及其工作人员的财物；不得接受乙方提供的通讯工具和高档办公用品等。</w:t>
      </w:r>
    </w:p>
    <w:p w14:paraId="065E8262">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540" w:lineRule="exact"/>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（三）甲方及其工作人员不得要求或者接受乙方为其住房装修、婚丧嫁娶活动、配偶子女工作安排以及出国出境、旅游等提供方便等。</w:t>
      </w:r>
    </w:p>
    <w:p w14:paraId="0734222B">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540" w:lineRule="exact"/>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（四）甲方工作人员不得在乙方有股权关联的企业兼职，不得向乙方介绍家属或者亲友从事与甲方业务有关的经济活动。</w:t>
      </w:r>
    </w:p>
    <w:p w14:paraId="4DB7E3A6">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540" w:lineRule="exact"/>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（五）甲方工作人员不得以明显低于市场的价格向乙方购买房屋、汽车等物品；不得以明显高于市场的价格向乙方出售房屋、汽车等物品；不得以其他交易形式非法收受请托人财物。</w:t>
      </w:r>
    </w:p>
    <w:p w14:paraId="106B026F">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540" w:lineRule="exact"/>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（六）甲方工作人员不得利用职务之便收受乙方以回扣、手续费、加班费、咨询费、劳务费、协调费、辛苦费等各种名义给予或赠送的钱物。</w:t>
      </w:r>
    </w:p>
    <w:p w14:paraId="38687115">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540" w:lineRule="exact"/>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（七）甲方工作人员不得接受乙方给予或赠送的干股或红利。</w:t>
      </w:r>
    </w:p>
    <w:p w14:paraId="60A02391">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540" w:lineRule="exact"/>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（八）甲方任何人不得以个人的名义向乙方推荐设备、部件等供货商以及其他合作单位。</w:t>
      </w:r>
    </w:p>
    <w:p w14:paraId="13D4BD6A">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540" w:lineRule="exact"/>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第三条 乙方的义务</w:t>
      </w:r>
    </w:p>
    <w:p w14:paraId="62296ADD">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540" w:lineRule="exact"/>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(一)乙方不得以任何理由向甲方及其工作人员行贿或馈赠礼金、有价证券、贵重礼品。</w:t>
      </w:r>
    </w:p>
    <w:p w14:paraId="6D1E9E31">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540" w:lineRule="exact"/>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（二)乙方不得以任何名义为甲方及其工作人员报销应由甲方单位或个人支付的任何费用。</w:t>
      </w:r>
    </w:p>
    <w:p w14:paraId="063B16B5">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540" w:lineRule="exact"/>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(三)乙方不得以任何理由安排甲方工作人员参加可能影响相关业务公开、公正、公平性的宴请及娱乐活动。</w:t>
      </w:r>
    </w:p>
    <w:p w14:paraId="134C610B">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540" w:lineRule="exact"/>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（四）乙方不得为甲方单位和个人购置或提供通讯工具和高档办公用品等物品，也不得为甲方提供与工作无关的房屋、汽车等。</w:t>
      </w:r>
    </w:p>
    <w:p w14:paraId="79F0C6EC">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540" w:lineRule="exact"/>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（五）乙方不得与甲方工作人员就合同中的质量、数量、价格、工程量、验收等条款进行私下商谈或者达成默契。</w:t>
      </w:r>
    </w:p>
    <w:p w14:paraId="6E50B32F">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540" w:lineRule="exact"/>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（六）乙方不得以回扣、手续费、加班费、咨询费、劳务费、协调费、辛苦费等各种名义向甲方工作人员给予或赠送钱物。</w:t>
      </w:r>
    </w:p>
    <w:p w14:paraId="2344EE33">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540" w:lineRule="exact"/>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（七）乙方不得向甲方工作人员提供干股或红利。</w:t>
      </w:r>
    </w:p>
    <w:p w14:paraId="31B86C3F">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540" w:lineRule="exact"/>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（八）乙方须按</w:t>
      </w:r>
      <w:r>
        <w:rPr>
          <w:rFonts w:hint="eastAsia" w:ascii="仿宋" w:hAnsi="仿宋" w:eastAsia="仿宋" w:cs="仿宋"/>
          <w:color w:val="auto"/>
          <w:kern w:val="2"/>
          <w:sz w:val="28"/>
          <w:szCs w:val="28"/>
          <w:highlight w:val="none"/>
          <w:u w:val="single"/>
          <w:lang w:val="en-US" w:eastAsia="zh-CN" w:bidi="ar"/>
        </w:rPr>
        <w:t xml:space="preserve"> 安庆中安供应链管理有限责任公司 </w:t>
      </w:r>
      <w:r>
        <w:rPr>
          <w:rFonts w:hint="eastAsia" w:ascii="仿宋" w:hAnsi="仿宋" w:eastAsia="仿宋" w:cs="仿宋"/>
          <w:color w:val="auto"/>
          <w:kern w:val="2"/>
          <w:sz w:val="28"/>
          <w:szCs w:val="28"/>
          <w:highlight w:val="none"/>
          <w:lang w:val="en-US" w:eastAsia="zh-CN" w:bidi="ar"/>
        </w:rPr>
        <w:t>专项纪检监察工作组(如有)要求开展相关工作。</w:t>
      </w:r>
    </w:p>
    <w:p w14:paraId="508EF4F4">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540" w:lineRule="exact"/>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第四条 违约责任</w:t>
      </w:r>
    </w:p>
    <w:p w14:paraId="3471FE17">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540" w:lineRule="exact"/>
        <w:ind w:left="0" w:right="0" w:firstLine="560" w:firstLineChars="200"/>
        <w:jc w:val="both"/>
        <w:rPr>
          <w:rFonts w:hint="eastAsia" w:ascii="仿宋" w:hAnsi="仿宋" w:eastAsia="仿宋" w:cs="仿宋"/>
          <w:color w:val="auto"/>
          <w:kern w:val="2"/>
          <w:sz w:val="28"/>
          <w:szCs w:val="28"/>
          <w:highlight w:val="none"/>
          <w:lang w:val="en-US" w:eastAsia="zh-CN" w:bidi="ar"/>
        </w:rPr>
      </w:pPr>
      <w:r>
        <w:rPr>
          <w:rFonts w:hint="eastAsia" w:ascii="仿宋" w:hAnsi="仿宋" w:eastAsia="仿宋" w:cs="仿宋"/>
          <w:color w:val="auto"/>
          <w:kern w:val="2"/>
          <w:sz w:val="28"/>
          <w:szCs w:val="28"/>
          <w:highlight w:val="none"/>
          <w:lang w:val="en-US" w:eastAsia="zh-CN" w:bidi="ar"/>
        </w:rPr>
        <w:t>（一）甲方及其工作人员违反本协议第一、二条规定。甲方按管理权限，对相关责任人依据有关规定给予党纪、政纪处分或组织处理；涉嫌犯罪的，移交司法机关追究刑事责任；给乙方单位造成经济损失的，应予以赔偿。</w:t>
      </w:r>
    </w:p>
    <w:p w14:paraId="3CD904B9">
      <w:pPr>
        <w:keepNext w:val="0"/>
        <w:keepLines w:val="0"/>
        <w:pageBreakBefore w:val="0"/>
        <w:widowControl/>
        <w:kinsoku/>
        <w:wordWrap/>
        <w:overflowPunct/>
        <w:topLinePunct w:val="0"/>
        <w:autoSpaceDE/>
        <w:autoSpaceDN/>
        <w:bidi w:val="0"/>
        <w:adjustRightInd w:val="0"/>
        <w:snapToGrid w:val="0"/>
        <w:spacing w:line="540" w:lineRule="exact"/>
        <w:ind w:firstLine="560" w:firstLineChars="200"/>
        <w:jc w:val="both"/>
        <w:textAlignment w:val="auto"/>
        <w:outlineLvl w:val="9"/>
        <w:rPr>
          <w:rFonts w:hint="eastAsia" w:ascii="仿宋" w:hAnsi="仿宋" w:eastAsia="仿宋" w:cs="仿宋"/>
          <w:color w:val="auto"/>
          <w:kern w:val="2"/>
          <w:sz w:val="28"/>
          <w:szCs w:val="28"/>
          <w:highlight w:val="none"/>
          <w:lang w:val="en-US" w:eastAsia="zh-CN" w:bidi="ar"/>
        </w:rPr>
      </w:pPr>
      <w:r>
        <w:rPr>
          <w:rFonts w:hint="eastAsia" w:ascii="仿宋" w:hAnsi="仿宋" w:eastAsia="仿宋" w:cs="仿宋"/>
          <w:color w:val="auto"/>
          <w:kern w:val="2"/>
          <w:sz w:val="28"/>
          <w:szCs w:val="28"/>
          <w:highlight w:val="none"/>
          <w:lang w:val="en-US" w:eastAsia="zh-CN" w:bidi="ar"/>
        </w:rPr>
        <w:t>甲方</w:t>
      </w:r>
      <w:r>
        <w:rPr>
          <w:rFonts w:hint="eastAsia" w:ascii="仿宋" w:hAnsi="仿宋" w:eastAsia="仿宋" w:cs="仿宋"/>
          <w:color w:val="auto"/>
          <w:kern w:val="0"/>
          <w:sz w:val="28"/>
          <w:szCs w:val="28"/>
          <w:highlight w:val="none"/>
        </w:rPr>
        <w:t>投诉联系部门：</w:t>
      </w:r>
      <w:r>
        <w:rPr>
          <w:rFonts w:hint="eastAsia" w:ascii="仿宋" w:hAnsi="仿宋" w:eastAsia="仿宋" w:cs="仿宋"/>
          <w:color w:val="auto"/>
          <w:kern w:val="0"/>
          <w:sz w:val="28"/>
          <w:szCs w:val="28"/>
          <w:highlight w:val="none"/>
          <w:u w:val="single"/>
        </w:rPr>
        <w:t>前期工作部（纪检监察）</w:t>
      </w:r>
      <w:r>
        <w:rPr>
          <w:rFonts w:hint="eastAsia" w:ascii="仿宋" w:hAnsi="仿宋" w:eastAsia="仿宋" w:cs="仿宋"/>
          <w:color w:val="auto"/>
          <w:kern w:val="0"/>
          <w:sz w:val="28"/>
          <w:szCs w:val="28"/>
          <w:highlight w:val="none"/>
        </w:rPr>
        <w:t>，联系电话：</w:t>
      </w:r>
      <w:r>
        <w:rPr>
          <w:rFonts w:hint="eastAsia" w:ascii="仿宋" w:hAnsi="仿宋" w:eastAsia="仿宋" w:cs="仿宋"/>
          <w:color w:val="auto"/>
          <w:kern w:val="0"/>
          <w:sz w:val="28"/>
          <w:szCs w:val="28"/>
          <w:highlight w:val="none"/>
          <w:u w:val="single"/>
        </w:rPr>
        <w:t>0556-8880050</w:t>
      </w:r>
      <w:r>
        <w:rPr>
          <w:rFonts w:hint="eastAsia" w:ascii="仿宋" w:hAnsi="仿宋" w:eastAsia="仿宋" w:cs="仿宋"/>
          <w:color w:val="auto"/>
          <w:kern w:val="0"/>
          <w:sz w:val="28"/>
          <w:szCs w:val="28"/>
          <w:highlight w:val="none"/>
        </w:rPr>
        <w:t>。</w:t>
      </w:r>
    </w:p>
    <w:p w14:paraId="48CD2A3B">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540" w:lineRule="exact"/>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（二）乙方及其工作人员违反本协议第一、三条规定。根据具体情节和造成的后果，甲方有权对乙方采取以下一种或多种处理办法：</w:t>
      </w:r>
    </w:p>
    <w:p w14:paraId="554EECAD">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540" w:lineRule="exact"/>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 xml:space="preserve">1. 全额收取乙方合同履约保证金不予退还； </w:t>
      </w:r>
    </w:p>
    <w:p w14:paraId="20EBA812">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540" w:lineRule="exact"/>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2. 追究乙方其他违约责任；</w:t>
      </w:r>
    </w:p>
    <w:p w14:paraId="621F01E8">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540" w:lineRule="exact"/>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3. 终止或解除各方已签订的包括本合同在内的所有合同；</w:t>
      </w:r>
    </w:p>
    <w:p w14:paraId="4AD47BBB">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540" w:lineRule="exact"/>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4. 乙方一定期限内（6个月至3年，具体由甲方、丙方根据情况而定）不得参与甲方作为发包人（业主）的工程项目投标。</w:t>
      </w:r>
    </w:p>
    <w:p w14:paraId="5FC24E34">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540" w:lineRule="exact"/>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甲方作出的处理意见，乙方应无条件接受并承担给甲方造成的损失，全额返还通过不正当手段从甲方获取的非法所得，并承担相应的法律责任。</w:t>
      </w:r>
    </w:p>
    <w:p w14:paraId="476FB5D7">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540" w:lineRule="exact"/>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第五条 各方约定</w:t>
      </w:r>
    </w:p>
    <w:p w14:paraId="4775DE1A">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540" w:lineRule="exact"/>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本协议由各方或各方上级单位负责监督。可由甲方或甲方上级单位的纪检监察部门约请乙方或乙方上级单位的纪检监察部门对本协议履行情况进行检查，提出在本协议规定范围内的裁定意见。</w:t>
      </w:r>
    </w:p>
    <w:p w14:paraId="3C1F4F8A">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540" w:lineRule="exact"/>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 xml:space="preserve">第六条 本协议有效期为各方签署之日起至合同终止。  </w:t>
      </w:r>
    </w:p>
    <w:p w14:paraId="6145B35A">
      <w:pPr>
        <w:keepNext w:val="0"/>
        <w:keepLines w:val="0"/>
        <w:pageBreakBefore w:val="0"/>
        <w:widowControl w:val="0"/>
        <w:suppressLineNumbers w:val="0"/>
        <w:kinsoku/>
        <w:wordWrap/>
        <w:topLinePunct w:val="0"/>
        <w:autoSpaceDE w:val="0"/>
        <w:autoSpaceDN/>
        <w:bidi w:val="0"/>
        <w:adjustRightInd w:val="0"/>
        <w:snapToGrid w:val="0"/>
        <w:spacing w:beforeAutospacing="0" w:after="0" w:afterAutospacing="0" w:line="540" w:lineRule="exact"/>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第七条 本协议作为合同的附件，与本合同具有同等法律效力。</w:t>
      </w:r>
    </w:p>
    <w:p w14:paraId="34BC56A9">
      <w:pPr>
        <w:pStyle w:val="4"/>
        <w:keepNext w:val="0"/>
        <w:keepLines w:val="0"/>
        <w:pageBreakBefore w:val="0"/>
        <w:widowControl w:val="0"/>
        <w:kinsoku/>
        <w:wordWrap/>
        <w:topLinePunct w:val="0"/>
        <w:bidi w:val="0"/>
        <w:adjustRightInd w:val="0"/>
        <w:snapToGrid w:val="0"/>
        <w:spacing w:before="0" w:line="540" w:lineRule="exact"/>
        <w:ind w:left="0" w:leftChars="0" w:firstLine="0" w:firstLineChars="0"/>
        <w:rPr>
          <w:rFonts w:hint="default" w:ascii="仿宋" w:hAnsi="仿宋" w:eastAsia="仿宋" w:cs="仿宋"/>
          <w:color w:val="auto"/>
          <w:kern w:val="2"/>
          <w:sz w:val="28"/>
          <w:szCs w:val="28"/>
          <w:highlight w:val="none"/>
          <w:lang w:val="en-US" w:eastAsia="zh-CN"/>
        </w:rPr>
      </w:pPr>
      <w:r>
        <w:rPr>
          <w:rFonts w:hint="eastAsia" w:ascii="仿宋" w:hAnsi="仿宋" w:eastAsia="仿宋" w:cs="仿宋"/>
          <w:b/>
          <w:bCs/>
          <w:color w:val="auto"/>
          <w:kern w:val="2"/>
          <w:sz w:val="28"/>
          <w:szCs w:val="28"/>
          <w:highlight w:val="none"/>
          <w:u w:val="dotted"/>
        </w:rPr>
        <w:t xml:space="preserve">                                </w:t>
      </w:r>
      <w:r>
        <w:rPr>
          <w:rFonts w:hint="eastAsia" w:ascii="仿宋" w:hAnsi="仿宋" w:eastAsia="仿宋" w:cs="仿宋"/>
          <w:b/>
          <w:bCs/>
          <w:color w:val="auto"/>
          <w:kern w:val="2"/>
          <w:sz w:val="28"/>
          <w:szCs w:val="28"/>
          <w:highlight w:val="none"/>
          <w:u w:val="dotted"/>
          <w:lang w:val="en-US" w:eastAsia="zh-CN"/>
        </w:rPr>
        <w:t xml:space="preserve">    </w:t>
      </w:r>
      <w:r>
        <w:rPr>
          <w:rFonts w:hint="eastAsia" w:ascii="仿宋" w:hAnsi="仿宋" w:eastAsia="仿宋" w:cs="仿宋"/>
          <w:b/>
          <w:bCs/>
          <w:color w:val="auto"/>
          <w:kern w:val="2"/>
          <w:sz w:val="28"/>
          <w:szCs w:val="28"/>
          <w:highlight w:val="none"/>
          <w:u w:val="dotted"/>
        </w:rPr>
        <w:t xml:space="preserve">   </w:t>
      </w:r>
      <w:r>
        <w:rPr>
          <w:rFonts w:hint="eastAsia" w:ascii="仿宋" w:hAnsi="仿宋" w:eastAsia="仿宋" w:cs="仿宋"/>
          <w:b/>
          <w:bCs/>
          <w:color w:val="auto"/>
          <w:kern w:val="2"/>
          <w:sz w:val="28"/>
          <w:szCs w:val="28"/>
          <w:highlight w:val="none"/>
          <w:u w:val="dotted"/>
          <w:lang w:val="en-US" w:eastAsia="zh-CN"/>
        </w:rPr>
        <w:t xml:space="preserve">         </w:t>
      </w:r>
      <w:r>
        <w:rPr>
          <w:rFonts w:hint="eastAsia" w:ascii="仿宋" w:hAnsi="仿宋" w:eastAsia="仿宋" w:cs="仿宋"/>
          <w:b/>
          <w:bCs/>
          <w:color w:val="auto"/>
          <w:kern w:val="2"/>
          <w:sz w:val="28"/>
          <w:szCs w:val="28"/>
          <w:highlight w:val="none"/>
          <w:u w:val="dotted"/>
        </w:rPr>
        <w:t xml:space="preserve">              </w:t>
      </w:r>
    </w:p>
    <w:p w14:paraId="1DF52266">
      <w:pPr>
        <w:keepNext w:val="0"/>
        <w:keepLines w:val="0"/>
        <w:pageBreakBefore w:val="0"/>
        <w:widowControl w:val="0"/>
        <w:suppressLineNumbers w:val="0"/>
        <w:kinsoku/>
        <w:wordWrap/>
        <w:overflowPunct w:val="0"/>
        <w:topLinePunct w:val="0"/>
        <w:autoSpaceDE w:val="0"/>
        <w:autoSpaceDN w:val="0"/>
        <w:bidi w:val="0"/>
        <w:adjustRightInd w:val="0"/>
        <w:snapToGrid w:val="0"/>
        <w:spacing w:beforeAutospacing="0" w:after="0" w:afterAutospacing="0" w:line="540" w:lineRule="exact"/>
        <w:ind w:left="0" w:right="0" w:firstLine="560" w:firstLineChars="200"/>
        <w:jc w:val="both"/>
        <w:textAlignment w:val="baseline"/>
        <w:rPr>
          <w:rFonts w:hint="eastAsia" w:ascii="仿宋" w:hAnsi="仿宋" w:eastAsia="仿宋" w:cs="仿宋"/>
          <w:color w:val="auto"/>
          <w:kern w:val="2"/>
          <w:sz w:val="28"/>
          <w:szCs w:val="28"/>
          <w:highlight w:val="none"/>
          <w:vertAlign w:val="baseline"/>
          <w:lang w:val="en-US" w:eastAsia="zh-CN" w:bidi="ar"/>
        </w:rPr>
      </w:pPr>
      <w:r>
        <w:rPr>
          <w:rFonts w:hint="eastAsia" w:ascii="仿宋" w:hAnsi="仿宋" w:eastAsia="仿宋" w:cs="仿宋"/>
          <w:color w:val="auto"/>
          <w:kern w:val="2"/>
          <w:sz w:val="28"/>
          <w:szCs w:val="28"/>
          <w:highlight w:val="none"/>
          <w:vertAlign w:val="baseline"/>
          <w:lang w:val="en-US" w:eastAsia="zh-CN" w:bidi="ar"/>
        </w:rPr>
        <w:t>（以下无正文，为合同签署页）</w:t>
      </w:r>
    </w:p>
    <w:p w14:paraId="51E9A34F">
      <w:pPr>
        <w:keepNext w:val="0"/>
        <w:keepLines w:val="0"/>
        <w:widowControl w:val="0"/>
        <w:suppressLineNumbers w:val="0"/>
        <w:adjustRightInd w:val="0"/>
        <w:snapToGrid w:val="0"/>
        <w:spacing w:before="0" w:beforeAutospacing="0" w:after="0" w:afterAutospacing="0" w:line="540" w:lineRule="exact"/>
        <w:ind w:left="0" w:right="0" w:firstLine="560" w:firstLineChars="200"/>
        <w:jc w:val="both"/>
        <w:rPr>
          <w:rFonts w:hint="eastAsia" w:ascii="仿宋" w:hAnsi="仿宋" w:eastAsia="仿宋" w:cs="仿宋"/>
          <w:bCs/>
          <w:color w:val="auto"/>
          <w:kern w:val="0"/>
          <w:sz w:val="28"/>
          <w:szCs w:val="28"/>
          <w:highlight w:val="none"/>
          <w:lang w:val="en-US" w:eastAsia="zh-CN" w:bidi="ar"/>
        </w:rPr>
      </w:pPr>
    </w:p>
    <w:p w14:paraId="3A4CAF2A">
      <w:pPr>
        <w:pStyle w:val="9"/>
        <w:keepNext/>
        <w:keepLines/>
        <w:pageBreakBefore w:val="0"/>
        <w:widowControl w:val="0"/>
        <w:kinsoku/>
        <w:wordWrap/>
        <w:overflowPunct/>
        <w:topLinePunct w:val="0"/>
        <w:autoSpaceDE/>
        <w:autoSpaceDN/>
        <w:bidi w:val="0"/>
        <w:adjustRightInd w:val="0"/>
        <w:snapToGrid w:val="0"/>
        <w:spacing w:before="157" w:beforeLines="50" w:after="157" w:afterLines="50" w:line="540" w:lineRule="exact"/>
        <w:ind w:left="0" w:firstLine="562"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甲方（签章）：</w:t>
      </w:r>
      <w:r>
        <w:rPr>
          <w:rFonts w:hint="eastAsia" w:ascii="仿宋" w:hAnsi="仿宋" w:eastAsia="仿宋" w:cs="仿宋"/>
          <w:b w:val="0"/>
          <w:bCs/>
          <w:color w:val="auto"/>
          <w:sz w:val="28"/>
          <w:szCs w:val="28"/>
          <w:highlight w:val="none"/>
          <w:u w:val="single"/>
        </w:rPr>
        <w:t>安庆</w:t>
      </w:r>
      <w:r>
        <w:rPr>
          <w:rFonts w:hint="eastAsia" w:ascii="仿宋" w:hAnsi="仿宋" w:eastAsia="仿宋" w:cs="仿宋"/>
          <w:b w:val="0"/>
          <w:bCs/>
          <w:color w:val="auto"/>
          <w:sz w:val="28"/>
          <w:szCs w:val="28"/>
          <w:highlight w:val="none"/>
          <w:u w:val="single"/>
          <w:lang w:val="en-US" w:eastAsia="zh-CN"/>
        </w:rPr>
        <w:t>中安供应链管理有限责任</w:t>
      </w:r>
      <w:r>
        <w:rPr>
          <w:rFonts w:hint="eastAsia" w:ascii="仿宋" w:hAnsi="仿宋" w:eastAsia="仿宋" w:cs="仿宋"/>
          <w:b w:val="0"/>
          <w:bCs/>
          <w:color w:val="auto"/>
          <w:sz w:val="28"/>
          <w:szCs w:val="28"/>
          <w:highlight w:val="none"/>
          <w:u w:val="single"/>
        </w:rPr>
        <w:t>公司</w:t>
      </w:r>
    </w:p>
    <w:p w14:paraId="4818D5CE">
      <w:pPr>
        <w:pStyle w:val="459"/>
        <w:pageBreakBefore w:val="0"/>
        <w:kinsoku/>
        <w:overflowPunct/>
        <w:topLinePunct w:val="0"/>
        <w:autoSpaceDE/>
        <w:autoSpaceDN/>
        <w:bidi w:val="0"/>
        <w:adjustRightInd w:val="0"/>
        <w:snapToGrid w:val="0"/>
        <w:spacing w:before="0" w:after="0" w:line="540" w:lineRule="exact"/>
        <w:ind w:left="0"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法定代表人 / 授权代表签字：</w:t>
      </w:r>
    </w:p>
    <w:p w14:paraId="59C00D9F">
      <w:pPr>
        <w:pStyle w:val="459"/>
        <w:pageBreakBefore w:val="0"/>
        <w:kinsoku/>
        <w:overflowPunct/>
        <w:topLinePunct w:val="0"/>
        <w:autoSpaceDE/>
        <w:autoSpaceDN/>
        <w:bidi w:val="0"/>
        <w:adjustRightInd w:val="0"/>
        <w:snapToGrid w:val="0"/>
        <w:spacing w:before="0" w:after="0" w:line="540" w:lineRule="exact"/>
        <w:ind w:left="0"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签订日期：</w:t>
      </w:r>
      <w:r>
        <w:rPr>
          <w:rFonts w:hint="eastAsia" w:ascii="仿宋" w:hAnsi="仿宋" w:eastAsia="仿宋" w:cs="仿宋"/>
          <w:color w:val="auto"/>
          <w:sz w:val="28"/>
          <w:szCs w:val="28"/>
          <w:highlight w:val="none"/>
          <w:lang w:val="en-US" w:eastAsia="zh-CN"/>
        </w:rPr>
        <w:t>2026</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日</w:t>
      </w:r>
    </w:p>
    <w:p w14:paraId="43822DAE">
      <w:pPr>
        <w:pStyle w:val="459"/>
        <w:pageBreakBefore w:val="0"/>
        <w:kinsoku/>
        <w:overflowPunct/>
        <w:topLinePunct w:val="0"/>
        <w:autoSpaceDE/>
        <w:autoSpaceDN/>
        <w:bidi w:val="0"/>
        <w:adjustRightInd w:val="0"/>
        <w:snapToGrid w:val="0"/>
        <w:spacing w:before="0" w:after="0" w:line="540" w:lineRule="exact"/>
        <w:ind w:left="0" w:firstLine="560" w:firstLineChars="200"/>
        <w:textAlignment w:val="auto"/>
        <w:rPr>
          <w:rFonts w:hint="eastAsia" w:ascii="仿宋" w:hAnsi="仿宋" w:eastAsia="仿宋" w:cs="仿宋"/>
          <w:color w:val="auto"/>
          <w:sz w:val="28"/>
          <w:szCs w:val="28"/>
          <w:highlight w:val="none"/>
        </w:rPr>
      </w:pPr>
    </w:p>
    <w:p w14:paraId="44818F85">
      <w:pPr>
        <w:pStyle w:val="9"/>
        <w:keepNext/>
        <w:keepLines/>
        <w:pageBreakBefore w:val="0"/>
        <w:widowControl w:val="0"/>
        <w:kinsoku/>
        <w:wordWrap/>
        <w:overflowPunct/>
        <w:topLinePunct w:val="0"/>
        <w:autoSpaceDE/>
        <w:autoSpaceDN/>
        <w:bidi w:val="0"/>
        <w:adjustRightInd w:val="0"/>
        <w:snapToGrid w:val="0"/>
        <w:spacing w:before="157" w:beforeLines="50" w:after="157" w:afterLines="50" w:line="540" w:lineRule="exact"/>
        <w:ind w:left="0" w:firstLine="562" w:firstLineChars="200"/>
        <w:textAlignment w:val="auto"/>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乙方（签章）：</w:t>
      </w:r>
      <w:r>
        <w:rPr>
          <w:rFonts w:hint="eastAsia" w:ascii="仿宋" w:hAnsi="仿宋" w:eastAsia="仿宋" w:cs="仿宋"/>
          <w:b w:val="0"/>
          <w:bCs/>
          <w:color w:val="auto"/>
          <w:sz w:val="28"/>
          <w:szCs w:val="28"/>
          <w:highlight w:val="none"/>
          <w:u w:val="single"/>
          <w:lang w:val="en-US" w:eastAsia="zh-CN"/>
        </w:rPr>
        <w:t xml:space="preserve">                      </w:t>
      </w:r>
    </w:p>
    <w:p w14:paraId="42E10BB8">
      <w:pPr>
        <w:pStyle w:val="459"/>
        <w:pageBreakBefore w:val="0"/>
        <w:kinsoku/>
        <w:overflowPunct/>
        <w:topLinePunct w:val="0"/>
        <w:autoSpaceDE/>
        <w:autoSpaceDN/>
        <w:bidi w:val="0"/>
        <w:adjustRightInd w:val="0"/>
        <w:snapToGrid w:val="0"/>
        <w:spacing w:before="0" w:after="0" w:line="540" w:lineRule="exact"/>
        <w:ind w:left="0"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负责人 / 授权代表签字：</w:t>
      </w:r>
    </w:p>
    <w:p w14:paraId="11A7B5C2">
      <w:pPr>
        <w:pStyle w:val="459"/>
        <w:pageBreakBefore w:val="0"/>
        <w:kinsoku/>
        <w:overflowPunct/>
        <w:topLinePunct w:val="0"/>
        <w:autoSpaceDE/>
        <w:autoSpaceDN/>
        <w:bidi w:val="0"/>
        <w:adjustRightInd w:val="0"/>
        <w:snapToGrid w:val="0"/>
        <w:spacing w:before="0" w:after="0" w:line="540" w:lineRule="exact"/>
        <w:ind w:left="0"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签订日期：</w:t>
      </w:r>
      <w:r>
        <w:rPr>
          <w:rFonts w:hint="eastAsia" w:ascii="仿宋" w:hAnsi="仿宋" w:eastAsia="仿宋" w:cs="仿宋"/>
          <w:color w:val="auto"/>
          <w:sz w:val="28"/>
          <w:szCs w:val="28"/>
          <w:highlight w:val="none"/>
          <w:lang w:val="en-US" w:eastAsia="zh-CN"/>
        </w:rPr>
        <w:t>2026</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日</w:t>
      </w:r>
    </w:p>
    <w:p w14:paraId="5F97B5B4">
      <w:pPr>
        <w:pStyle w:val="459"/>
        <w:pageBreakBefore w:val="0"/>
        <w:kinsoku/>
        <w:overflowPunct/>
        <w:topLinePunct w:val="0"/>
        <w:autoSpaceDE/>
        <w:autoSpaceDN/>
        <w:bidi w:val="0"/>
        <w:adjustRightInd w:val="0"/>
        <w:snapToGrid w:val="0"/>
        <w:spacing w:before="0" w:after="0" w:line="540" w:lineRule="exact"/>
        <w:ind w:left="0" w:firstLine="560" w:firstLineChars="200"/>
        <w:textAlignment w:val="auto"/>
        <w:rPr>
          <w:rFonts w:hint="eastAsia" w:ascii="仿宋" w:hAnsi="仿宋" w:eastAsia="仿宋" w:cs="仿宋"/>
          <w:color w:val="auto"/>
          <w:sz w:val="28"/>
          <w:szCs w:val="28"/>
          <w:highlight w:val="none"/>
        </w:rPr>
      </w:pPr>
    </w:p>
    <w:p w14:paraId="2550FC9E">
      <w:pPr>
        <w:rPr>
          <w:rFonts w:hint="eastAsia" w:ascii="仿宋" w:hAnsi="仿宋" w:eastAsia="仿宋" w:cs="仿宋"/>
          <w:color w:val="auto"/>
          <w:kern w:val="2"/>
          <w:sz w:val="30"/>
          <w:szCs w:val="30"/>
          <w:highlight w:val="none"/>
          <w:vertAlign w:val="baseline"/>
          <w:lang w:val="en-US" w:eastAsia="zh-CN" w:bidi="ar"/>
        </w:rPr>
      </w:pPr>
      <w:r>
        <w:rPr>
          <w:rFonts w:hint="eastAsia" w:ascii="仿宋" w:hAnsi="仿宋" w:eastAsia="仿宋" w:cs="仿宋"/>
          <w:color w:val="auto"/>
          <w:kern w:val="2"/>
          <w:sz w:val="30"/>
          <w:szCs w:val="30"/>
          <w:highlight w:val="none"/>
          <w:vertAlign w:val="baseline"/>
          <w:lang w:val="en-US" w:eastAsia="zh-CN" w:bidi="ar"/>
        </w:rPr>
        <w:br w:type="page"/>
      </w:r>
    </w:p>
    <w:p w14:paraId="3D59A279">
      <w:pPr>
        <w:keepNext w:val="0"/>
        <w:keepLines w:val="0"/>
        <w:pageBreakBefore w:val="0"/>
        <w:widowControl w:val="0"/>
        <w:suppressLineNumbers w:val="0"/>
        <w:kinsoku/>
        <w:wordWrap/>
        <w:overflowPunct/>
        <w:topLinePunct w:val="0"/>
        <w:autoSpaceDE/>
        <w:autoSpaceDN/>
        <w:bidi w:val="0"/>
        <w:adjustRightInd w:val="0"/>
        <w:snapToGrid w:val="0"/>
        <w:spacing w:beforeAutospacing="0" w:after="157" w:afterLines="50" w:afterAutospacing="0" w:line="240" w:lineRule="auto"/>
        <w:ind w:right="0"/>
        <w:jc w:val="both"/>
        <w:textAlignment w:val="auto"/>
        <w:outlineLvl w:val="2"/>
        <w:rPr>
          <w:rFonts w:hint="eastAsia" w:ascii="仿宋" w:hAnsi="仿宋" w:eastAsia="仿宋" w:cs="仿宋"/>
          <w:b/>
          <w:bCs/>
          <w:color w:val="auto"/>
          <w:kern w:val="2"/>
          <w:sz w:val="28"/>
          <w:szCs w:val="28"/>
          <w:highlight w:val="none"/>
          <w:lang w:val="en-US" w:eastAsia="zh-CN" w:bidi="ar"/>
        </w:rPr>
      </w:pPr>
      <w:bookmarkStart w:id="74" w:name="_Toc29107"/>
      <w:r>
        <w:rPr>
          <w:rFonts w:hint="eastAsia" w:ascii="仿宋" w:hAnsi="仿宋" w:eastAsia="仿宋" w:cs="仿宋"/>
          <w:b/>
          <w:bCs/>
          <w:color w:val="auto"/>
          <w:kern w:val="2"/>
          <w:sz w:val="28"/>
          <w:szCs w:val="28"/>
          <w:highlight w:val="none"/>
          <w:lang w:val="en-US" w:eastAsia="zh-CN" w:bidi="ar"/>
        </w:rPr>
        <w:t>附件3：风险代理告知书</w:t>
      </w:r>
      <w:bookmarkEnd w:id="74"/>
    </w:p>
    <w:p w14:paraId="1DCA7D50">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40" w:lineRule="exact"/>
        <w:ind w:right="0" w:firstLine="560" w:firstLineChars="200"/>
        <w:jc w:val="both"/>
        <w:textAlignment w:val="auto"/>
        <w:outlineLvl w:val="9"/>
        <w:rPr>
          <w:rFonts w:hint="eastAsia" w:ascii="仿宋" w:hAnsi="仿宋" w:eastAsia="仿宋" w:cs="仿宋"/>
          <w:b w:val="0"/>
          <w:bCs w:val="0"/>
          <w:color w:val="auto"/>
          <w:kern w:val="2"/>
          <w:sz w:val="28"/>
          <w:szCs w:val="28"/>
          <w:highlight w:val="none"/>
          <w:lang w:val="en-US" w:eastAsia="zh-CN" w:bidi="ar"/>
        </w:rPr>
      </w:pPr>
      <w:r>
        <w:rPr>
          <w:rFonts w:hint="eastAsia" w:ascii="仿宋" w:hAnsi="仿宋" w:eastAsia="仿宋" w:cs="仿宋"/>
          <w:b w:val="0"/>
          <w:bCs w:val="0"/>
          <w:color w:val="auto"/>
          <w:kern w:val="2"/>
          <w:sz w:val="28"/>
          <w:szCs w:val="28"/>
          <w:highlight w:val="none"/>
          <w:lang w:val="en-US" w:eastAsia="zh-CN" w:bidi="ar"/>
        </w:rPr>
        <w:t>案件名称：安庆中安公司诉上海星徽汽车贸易有限公司合同纠纷案件</w:t>
      </w:r>
    </w:p>
    <w:p w14:paraId="41FF1CB4">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40" w:lineRule="exact"/>
        <w:ind w:right="0" w:firstLine="560" w:firstLineChars="200"/>
        <w:jc w:val="both"/>
        <w:textAlignment w:val="auto"/>
        <w:outlineLvl w:val="9"/>
        <w:rPr>
          <w:rFonts w:hint="eastAsia" w:ascii="仿宋" w:hAnsi="仿宋" w:eastAsia="仿宋" w:cs="仿宋"/>
          <w:b w:val="0"/>
          <w:bCs w:val="0"/>
          <w:color w:val="auto"/>
          <w:kern w:val="2"/>
          <w:sz w:val="28"/>
          <w:szCs w:val="28"/>
          <w:highlight w:val="none"/>
          <w:lang w:val="en-US" w:eastAsia="zh-CN" w:bidi="ar"/>
        </w:rPr>
      </w:pPr>
      <w:r>
        <w:rPr>
          <w:rFonts w:hint="eastAsia" w:ascii="仿宋" w:hAnsi="仿宋" w:eastAsia="仿宋" w:cs="仿宋"/>
          <w:b w:val="0"/>
          <w:bCs w:val="0"/>
          <w:color w:val="auto"/>
          <w:kern w:val="2"/>
          <w:sz w:val="28"/>
          <w:szCs w:val="28"/>
          <w:highlight w:val="none"/>
          <w:lang w:val="en-US" w:eastAsia="zh-CN" w:bidi="ar"/>
        </w:rPr>
        <w:t>标的总额：4312.85万元</w:t>
      </w:r>
    </w:p>
    <w:p w14:paraId="4AD927DF">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40" w:lineRule="exact"/>
        <w:ind w:right="0" w:firstLine="560" w:firstLineChars="200"/>
        <w:jc w:val="both"/>
        <w:textAlignment w:val="auto"/>
        <w:outlineLvl w:val="9"/>
        <w:rPr>
          <w:rFonts w:hint="eastAsia" w:ascii="仿宋" w:hAnsi="仿宋" w:eastAsia="仿宋" w:cs="仿宋"/>
          <w:b w:val="0"/>
          <w:bCs w:val="0"/>
          <w:color w:val="auto"/>
          <w:kern w:val="2"/>
          <w:sz w:val="28"/>
          <w:szCs w:val="28"/>
          <w:highlight w:val="none"/>
          <w:lang w:val="en-US" w:eastAsia="zh-CN" w:bidi="ar"/>
        </w:rPr>
      </w:pPr>
      <w:r>
        <w:rPr>
          <w:rFonts w:hint="eastAsia" w:ascii="仿宋" w:hAnsi="仿宋" w:eastAsia="仿宋" w:cs="仿宋"/>
          <w:b w:val="0"/>
          <w:bCs w:val="0"/>
          <w:color w:val="auto"/>
          <w:kern w:val="2"/>
          <w:sz w:val="28"/>
          <w:szCs w:val="28"/>
          <w:highlight w:val="none"/>
          <w:lang w:val="en-US" w:eastAsia="zh-CN" w:bidi="ar"/>
        </w:rPr>
        <w:t>委托代理模式：基础服务费（合同总价40%）+风险提成（最高为合同总价60%，按尾款核算比例据实结算）</w:t>
      </w:r>
    </w:p>
    <w:p w14:paraId="3F29C9F6">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40" w:lineRule="exact"/>
        <w:ind w:right="0" w:firstLine="560" w:firstLineChars="200"/>
        <w:jc w:val="both"/>
        <w:textAlignment w:val="auto"/>
        <w:outlineLvl w:val="9"/>
        <w:rPr>
          <w:rFonts w:hint="eastAsia" w:ascii="仿宋" w:hAnsi="仿宋" w:eastAsia="仿宋" w:cs="仿宋"/>
          <w:b w:val="0"/>
          <w:bCs w:val="0"/>
          <w:color w:val="auto"/>
          <w:kern w:val="2"/>
          <w:sz w:val="28"/>
          <w:szCs w:val="28"/>
          <w:highlight w:val="none"/>
          <w:lang w:val="en-US" w:eastAsia="zh-CN" w:bidi="ar"/>
        </w:rPr>
      </w:pPr>
      <w:r>
        <w:rPr>
          <w:rFonts w:hint="eastAsia" w:ascii="仿宋" w:hAnsi="仿宋" w:eastAsia="仿宋" w:cs="仿宋"/>
          <w:b w:val="0"/>
          <w:bCs w:val="0"/>
          <w:color w:val="auto"/>
          <w:kern w:val="2"/>
          <w:sz w:val="28"/>
          <w:szCs w:val="28"/>
          <w:highlight w:val="none"/>
          <w:lang w:val="en-US" w:eastAsia="zh-CN" w:bidi="ar"/>
        </w:rPr>
        <w:t>依据司法部、国家发展改革委、国家市场监督管理总局《关于进一步规范律师服务收费的意见》（司发通〔2021〕87号）相关规定，乙方（律师事务所）已就本案风险代理全部事项向甲方充分提示、告知，双方均已完整阅读、完全理解全部内容，自愿选择本风险代理计费模式，无任何欺诈、胁迫、误导情形。</w:t>
      </w:r>
    </w:p>
    <w:p w14:paraId="4A2F1444">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40" w:lineRule="exact"/>
        <w:ind w:right="0" w:firstLine="562" w:firstLineChars="200"/>
        <w:jc w:val="both"/>
        <w:textAlignment w:val="auto"/>
        <w:outlineLvl w:val="9"/>
        <w:rPr>
          <w:rFonts w:hint="eastAsia" w:ascii="仿宋" w:hAnsi="仿宋" w:eastAsia="仿宋" w:cs="仿宋"/>
          <w:b/>
          <w:bCs/>
          <w:color w:val="auto"/>
          <w:kern w:val="2"/>
          <w:sz w:val="28"/>
          <w:szCs w:val="28"/>
          <w:highlight w:val="none"/>
          <w:lang w:val="en-US" w:eastAsia="zh-CN" w:bidi="ar"/>
        </w:rPr>
      </w:pPr>
      <w:r>
        <w:rPr>
          <w:rFonts w:hint="eastAsia" w:ascii="仿宋" w:hAnsi="仿宋" w:eastAsia="仿宋" w:cs="仿宋"/>
          <w:b/>
          <w:bCs/>
          <w:color w:val="auto"/>
          <w:kern w:val="2"/>
          <w:sz w:val="28"/>
          <w:szCs w:val="28"/>
          <w:highlight w:val="none"/>
          <w:lang w:val="en-US" w:eastAsia="zh-CN" w:bidi="ar"/>
        </w:rPr>
        <w:t>一、风险代理含义告知</w:t>
      </w:r>
    </w:p>
    <w:p w14:paraId="37FAE982">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40" w:lineRule="exact"/>
        <w:ind w:right="0" w:firstLine="560" w:firstLineChars="200"/>
        <w:jc w:val="both"/>
        <w:textAlignment w:val="auto"/>
        <w:outlineLvl w:val="9"/>
        <w:rPr>
          <w:rFonts w:hint="eastAsia" w:ascii="仿宋" w:hAnsi="仿宋" w:eastAsia="仿宋" w:cs="仿宋"/>
          <w:b w:val="0"/>
          <w:bCs w:val="0"/>
          <w:color w:val="auto"/>
          <w:kern w:val="2"/>
          <w:sz w:val="28"/>
          <w:szCs w:val="28"/>
          <w:highlight w:val="none"/>
          <w:lang w:val="en-US" w:eastAsia="zh-CN" w:bidi="ar"/>
        </w:rPr>
      </w:pPr>
      <w:r>
        <w:rPr>
          <w:rFonts w:hint="eastAsia" w:ascii="仿宋" w:hAnsi="仿宋" w:eastAsia="仿宋" w:cs="仿宋"/>
          <w:b w:val="0"/>
          <w:bCs w:val="0"/>
          <w:color w:val="auto"/>
          <w:kern w:val="2"/>
          <w:sz w:val="28"/>
          <w:szCs w:val="28"/>
          <w:highlight w:val="none"/>
          <w:lang w:val="en-US" w:eastAsia="zh-CN" w:bidi="ar"/>
        </w:rPr>
        <w:t>风险代理是指律师事务所与委托人约定，除固定基础服务费外，剩余代理费根据案件最终处理结果（</w:t>
      </w:r>
      <w:r>
        <w:rPr>
          <w:rFonts w:hint="eastAsia" w:ascii="仿宋" w:hAnsi="仿宋" w:eastAsia="仿宋" w:cs="仿宋"/>
          <w:b w:val="0"/>
          <w:bCs w:val="0"/>
          <w:color w:val="auto"/>
          <w:kern w:val="2"/>
          <w:sz w:val="28"/>
          <w:szCs w:val="28"/>
          <w:highlight w:val="none"/>
          <w:lang w:val="en-US" w:eastAsia="zh-CN" w:bidi="ar"/>
        </w:rPr>
        <w:t>原告胜诉债权金额</w:t>
      </w:r>
      <w:r>
        <w:rPr>
          <w:rFonts w:hint="eastAsia" w:ascii="仿宋" w:hAnsi="仿宋" w:eastAsia="仿宋" w:cs="仿宋"/>
          <w:b w:val="0"/>
          <w:bCs w:val="0"/>
          <w:color w:val="auto"/>
          <w:kern w:val="2"/>
          <w:sz w:val="28"/>
          <w:szCs w:val="28"/>
          <w:highlight w:val="none"/>
          <w:lang w:val="en-US" w:eastAsia="zh-CN" w:bidi="ar"/>
        </w:rPr>
        <w:t>）按约定比例计收；案件审理结果存在不确定性，风险提成金额随减损效果浮动，无法保证固定回款/减损金额，不承诺案件一定达成委托人预期目标。</w:t>
      </w:r>
    </w:p>
    <w:p w14:paraId="173DBF06">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40" w:lineRule="exact"/>
        <w:ind w:right="0" w:firstLine="562" w:firstLineChars="200"/>
        <w:jc w:val="both"/>
        <w:textAlignment w:val="auto"/>
        <w:outlineLvl w:val="9"/>
        <w:rPr>
          <w:rFonts w:hint="eastAsia" w:ascii="仿宋" w:hAnsi="仿宋" w:eastAsia="仿宋" w:cs="仿宋"/>
          <w:b/>
          <w:bCs/>
          <w:color w:val="auto"/>
          <w:kern w:val="2"/>
          <w:sz w:val="28"/>
          <w:szCs w:val="28"/>
          <w:highlight w:val="none"/>
          <w:lang w:val="en-US" w:eastAsia="zh-CN" w:bidi="ar"/>
        </w:rPr>
      </w:pPr>
      <w:r>
        <w:rPr>
          <w:rFonts w:hint="eastAsia" w:ascii="仿宋" w:hAnsi="仿宋" w:eastAsia="仿宋" w:cs="仿宋"/>
          <w:b/>
          <w:bCs/>
          <w:color w:val="auto"/>
          <w:kern w:val="2"/>
          <w:sz w:val="28"/>
          <w:szCs w:val="28"/>
          <w:highlight w:val="none"/>
          <w:lang w:val="en-US" w:eastAsia="zh-CN" w:bidi="ar"/>
        </w:rPr>
        <w:t>二、结算特殊情形告知</w:t>
      </w:r>
    </w:p>
    <w:p w14:paraId="0B0BBBE2">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40" w:lineRule="exact"/>
        <w:ind w:right="0" w:firstLine="560" w:firstLineChars="200"/>
        <w:jc w:val="both"/>
        <w:textAlignment w:val="auto"/>
        <w:outlineLvl w:val="9"/>
        <w:rPr>
          <w:rFonts w:hint="eastAsia" w:ascii="仿宋" w:hAnsi="仿宋" w:eastAsia="仿宋" w:cs="仿宋"/>
          <w:b w:val="0"/>
          <w:bCs w:val="0"/>
          <w:color w:val="auto"/>
          <w:kern w:val="2"/>
          <w:sz w:val="28"/>
          <w:szCs w:val="28"/>
          <w:highlight w:val="none"/>
          <w:lang w:val="en-US" w:eastAsia="zh-CN" w:bidi="ar"/>
        </w:rPr>
      </w:pPr>
      <w:r>
        <w:rPr>
          <w:rFonts w:hint="eastAsia" w:ascii="仿宋" w:hAnsi="仿宋" w:eastAsia="仿宋" w:cs="仿宋"/>
          <w:b w:val="0"/>
          <w:bCs w:val="0"/>
          <w:color w:val="auto"/>
          <w:kern w:val="2"/>
          <w:sz w:val="28"/>
          <w:szCs w:val="28"/>
          <w:highlight w:val="none"/>
          <w:lang w:val="en-US" w:eastAsia="zh-CN" w:bidi="ar"/>
        </w:rPr>
        <w:t>原告单方撤诉：仅按合同约定三种情形固定比例结算基础服务费，风险提成不予支付；</w:t>
      </w:r>
    </w:p>
    <w:p w14:paraId="50BEB52A">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40" w:lineRule="exact"/>
        <w:ind w:right="0" w:firstLine="560" w:firstLineChars="200"/>
        <w:jc w:val="both"/>
        <w:textAlignment w:val="auto"/>
        <w:outlineLvl w:val="9"/>
        <w:rPr>
          <w:rFonts w:hint="eastAsia" w:ascii="仿宋" w:hAnsi="仿宋" w:eastAsia="仿宋" w:cs="仿宋"/>
          <w:b w:val="0"/>
          <w:bCs w:val="0"/>
          <w:color w:val="auto"/>
          <w:kern w:val="2"/>
          <w:sz w:val="28"/>
          <w:szCs w:val="28"/>
          <w:highlight w:val="none"/>
          <w:lang w:val="en-US" w:eastAsia="zh-CN" w:bidi="ar"/>
        </w:rPr>
      </w:pPr>
      <w:r>
        <w:rPr>
          <w:rFonts w:hint="eastAsia" w:ascii="仿宋" w:hAnsi="仿宋" w:eastAsia="仿宋" w:cs="仿宋"/>
          <w:b w:val="0"/>
          <w:bCs w:val="0"/>
          <w:color w:val="auto"/>
          <w:kern w:val="2"/>
          <w:sz w:val="28"/>
          <w:szCs w:val="28"/>
          <w:highlight w:val="none"/>
          <w:lang w:val="en-US" w:eastAsia="zh-CN" w:bidi="ar"/>
        </w:rPr>
        <w:t>双方达成和解：基础服务费按合同总价40%×90%计算，风险提成仍按尾款核算比例据实计取；</w:t>
      </w:r>
    </w:p>
    <w:p w14:paraId="66FB634C">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40" w:lineRule="exact"/>
        <w:ind w:right="0" w:firstLine="560" w:firstLineChars="200"/>
        <w:jc w:val="both"/>
        <w:textAlignment w:val="auto"/>
        <w:outlineLvl w:val="9"/>
        <w:rPr>
          <w:rFonts w:hint="eastAsia" w:ascii="仿宋" w:hAnsi="仿宋" w:eastAsia="仿宋" w:cs="仿宋"/>
          <w:b w:val="0"/>
          <w:bCs w:val="0"/>
          <w:color w:val="auto"/>
          <w:kern w:val="2"/>
          <w:sz w:val="28"/>
          <w:szCs w:val="28"/>
          <w:highlight w:val="none"/>
          <w:lang w:val="en-US" w:eastAsia="zh-CN" w:bidi="ar"/>
        </w:rPr>
      </w:pPr>
      <w:r>
        <w:rPr>
          <w:rFonts w:hint="eastAsia" w:ascii="仿宋" w:hAnsi="仿宋" w:eastAsia="仿宋" w:cs="仿宋"/>
          <w:b w:val="0"/>
          <w:bCs w:val="0"/>
          <w:color w:val="auto"/>
          <w:kern w:val="2"/>
          <w:sz w:val="28"/>
          <w:szCs w:val="28"/>
          <w:highlight w:val="none"/>
          <w:lang w:val="en-US" w:eastAsia="zh-CN" w:bidi="ar"/>
        </w:rPr>
        <w:t>无终审判决书仅达成和解的，以双方书面确认的被告应付金额作为核算基数。</w:t>
      </w:r>
    </w:p>
    <w:p w14:paraId="0BB3DC46">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40" w:lineRule="exact"/>
        <w:ind w:right="0" w:firstLine="562" w:firstLineChars="200"/>
        <w:jc w:val="both"/>
        <w:textAlignment w:val="auto"/>
        <w:outlineLvl w:val="9"/>
        <w:rPr>
          <w:rFonts w:hint="eastAsia" w:ascii="仿宋" w:hAnsi="仿宋" w:eastAsia="仿宋" w:cs="仿宋"/>
          <w:b/>
          <w:bCs/>
          <w:color w:val="auto"/>
          <w:kern w:val="2"/>
          <w:sz w:val="28"/>
          <w:szCs w:val="28"/>
          <w:highlight w:val="none"/>
          <w:lang w:val="en-US" w:eastAsia="zh-CN" w:bidi="ar"/>
        </w:rPr>
      </w:pPr>
      <w:r>
        <w:rPr>
          <w:rFonts w:hint="eastAsia" w:ascii="仿宋" w:hAnsi="仿宋" w:eastAsia="仿宋" w:cs="仿宋"/>
          <w:b/>
          <w:bCs/>
          <w:color w:val="auto"/>
          <w:kern w:val="2"/>
          <w:sz w:val="28"/>
          <w:szCs w:val="28"/>
          <w:highlight w:val="none"/>
          <w:lang w:val="en-US" w:eastAsia="zh-CN" w:bidi="ar"/>
        </w:rPr>
        <w:t>三、其他重要提示</w:t>
      </w:r>
    </w:p>
    <w:p w14:paraId="5C8CA6BA">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40" w:lineRule="exact"/>
        <w:ind w:right="0" w:firstLine="560" w:firstLineChars="200"/>
        <w:jc w:val="both"/>
        <w:textAlignment w:val="auto"/>
        <w:outlineLvl w:val="9"/>
        <w:rPr>
          <w:rFonts w:hint="eastAsia" w:ascii="仿宋" w:hAnsi="仿宋" w:eastAsia="仿宋" w:cs="仿宋"/>
          <w:b w:val="0"/>
          <w:bCs w:val="0"/>
          <w:color w:val="auto"/>
          <w:kern w:val="2"/>
          <w:sz w:val="28"/>
          <w:szCs w:val="28"/>
          <w:highlight w:val="none"/>
          <w:lang w:val="en-US" w:eastAsia="zh-CN" w:bidi="ar"/>
        </w:rPr>
      </w:pPr>
      <w:r>
        <w:rPr>
          <w:rFonts w:hint="eastAsia" w:ascii="仿宋" w:hAnsi="仿宋" w:eastAsia="仿宋" w:cs="仿宋"/>
          <w:b w:val="0"/>
          <w:bCs w:val="0"/>
          <w:color w:val="auto"/>
          <w:kern w:val="2"/>
          <w:sz w:val="28"/>
          <w:szCs w:val="28"/>
          <w:highlight w:val="none"/>
          <w:lang w:val="en-US" w:eastAsia="zh-CN" w:bidi="ar"/>
        </w:rPr>
        <w:t>本合同总价为包干价，包含差旅、查档、复印、鉴定辅助、执行异议等全部办案成本，乙方不得另行收取其他律师费；</w:t>
      </w:r>
    </w:p>
    <w:p w14:paraId="0BA5A4A6">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40" w:lineRule="exact"/>
        <w:ind w:right="0" w:firstLine="560" w:firstLineChars="200"/>
        <w:jc w:val="both"/>
        <w:textAlignment w:val="auto"/>
        <w:outlineLvl w:val="9"/>
        <w:rPr>
          <w:rFonts w:hint="eastAsia" w:ascii="仿宋" w:hAnsi="仿宋" w:eastAsia="仿宋" w:cs="仿宋"/>
          <w:b w:val="0"/>
          <w:bCs w:val="0"/>
          <w:color w:val="auto"/>
          <w:kern w:val="2"/>
          <w:sz w:val="28"/>
          <w:szCs w:val="28"/>
          <w:highlight w:val="none"/>
          <w:lang w:val="en-US" w:eastAsia="zh-CN" w:bidi="ar"/>
        </w:rPr>
      </w:pPr>
      <w:r>
        <w:rPr>
          <w:rFonts w:hint="eastAsia" w:ascii="仿宋" w:hAnsi="仿宋" w:eastAsia="仿宋" w:cs="仿宋"/>
          <w:b w:val="0"/>
          <w:bCs w:val="0"/>
          <w:color w:val="auto"/>
          <w:kern w:val="2"/>
          <w:sz w:val="28"/>
          <w:szCs w:val="28"/>
          <w:highlight w:val="none"/>
          <w:lang w:val="en-US" w:eastAsia="zh-CN" w:bidi="ar"/>
        </w:rPr>
        <w:t>所有代理费支付节点、结算标准、举证要求均以《委托代理服务合同》正式条款为准；</w:t>
      </w:r>
    </w:p>
    <w:p w14:paraId="72B22439">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40" w:lineRule="exact"/>
        <w:ind w:right="0" w:firstLine="560" w:firstLineChars="200"/>
        <w:jc w:val="both"/>
        <w:textAlignment w:val="auto"/>
        <w:outlineLvl w:val="9"/>
        <w:rPr>
          <w:rFonts w:hint="eastAsia" w:ascii="仿宋" w:hAnsi="仿宋" w:eastAsia="仿宋" w:cs="仿宋"/>
          <w:b w:val="0"/>
          <w:bCs w:val="0"/>
          <w:color w:val="auto"/>
          <w:kern w:val="2"/>
          <w:sz w:val="28"/>
          <w:szCs w:val="28"/>
          <w:highlight w:val="none"/>
          <w:lang w:val="en-US" w:eastAsia="zh-CN" w:bidi="ar"/>
        </w:rPr>
      </w:pPr>
      <w:r>
        <w:rPr>
          <w:rFonts w:hint="eastAsia" w:ascii="仿宋" w:hAnsi="仿宋" w:eastAsia="仿宋" w:cs="仿宋"/>
          <w:b w:val="0"/>
          <w:bCs w:val="0"/>
          <w:color w:val="auto"/>
          <w:kern w:val="2"/>
          <w:sz w:val="28"/>
          <w:szCs w:val="28"/>
          <w:highlight w:val="none"/>
          <w:lang w:val="en-US" w:eastAsia="zh-CN" w:bidi="ar"/>
        </w:rPr>
        <w:t>双方均已获得充足时间审阅本告知书及委托合同，可独立咨询外部法律专业人士，不存在被迫签署情形。</w:t>
      </w:r>
    </w:p>
    <w:p w14:paraId="0434E97D">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40" w:lineRule="exact"/>
        <w:ind w:right="0" w:firstLine="562" w:firstLineChars="200"/>
        <w:jc w:val="both"/>
        <w:textAlignment w:val="auto"/>
        <w:outlineLvl w:val="9"/>
        <w:rPr>
          <w:rFonts w:hint="eastAsia" w:ascii="仿宋" w:hAnsi="仿宋" w:eastAsia="仿宋" w:cs="仿宋"/>
          <w:b/>
          <w:bCs/>
          <w:color w:val="auto"/>
          <w:kern w:val="2"/>
          <w:sz w:val="28"/>
          <w:szCs w:val="28"/>
          <w:highlight w:val="none"/>
          <w:lang w:val="en-US" w:eastAsia="zh-CN" w:bidi="ar"/>
        </w:rPr>
      </w:pPr>
      <w:r>
        <w:rPr>
          <w:rFonts w:hint="eastAsia" w:ascii="仿宋" w:hAnsi="仿宋" w:eastAsia="仿宋" w:cs="仿宋"/>
          <w:b/>
          <w:bCs/>
          <w:color w:val="auto"/>
          <w:kern w:val="2"/>
          <w:sz w:val="28"/>
          <w:szCs w:val="28"/>
          <w:highlight w:val="none"/>
          <w:lang w:val="en-US" w:eastAsia="zh-CN" w:bidi="ar"/>
        </w:rPr>
        <w:t>四、确认声明</w:t>
      </w:r>
    </w:p>
    <w:p w14:paraId="34C52DE7">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540" w:lineRule="exact"/>
        <w:ind w:right="0" w:firstLine="560" w:firstLineChars="200"/>
        <w:jc w:val="both"/>
        <w:textAlignment w:val="auto"/>
        <w:outlineLvl w:val="9"/>
        <w:rPr>
          <w:rFonts w:hint="eastAsia" w:ascii="仿宋" w:hAnsi="仿宋" w:eastAsia="仿宋" w:cs="仿宋"/>
          <w:b w:val="0"/>
          <w:bCs w:val="0"/>
          <w:color w:val="auto"/>
          <w:kern w:val="2"/>
          <w:sz w:val="28"/>
          <w:szCs w:val="28"/>
          <w:highlight w:val="none"/>
          <w:lang w:val="en-US" w:eastAsia="zh-CN" w:bidi="ar"/>
        </w:rPr>
      </w:pPr>
      <w:r>
        <w:rPr>
          <w:rFonts w:hint="eastAsia" w:ascii="仿宋" w:hAnsi="仿宋" w:eastAsia="仿宋" w:cs="仿宋"/>
          <w:b w:val="0"/>
          <w:bCs w:val="0"/>
          <w:color w:val="auto"/>
          <w:kern w:val="2"/>
          <w:sz w:val="28"/>
          <w:szCs w:val="28"/>
          <w:highlight w:val="none"/>
          <w:lang w:val="en-US" w:eastAsia="zh-CN" w:bidi="ar"/>
        </w:rPr>
        <w:t>甲方、乙方双方均确认：承办律师已逐条解释本告知书全部条款，本人/本单位完全理解风险代理收费模式、法律限制、案件各类风险、结算规则及违约责任，自愿签署本告知书，自愿接受《委托代理服务合同》全部收费条款，无任何异议。</w:t>
      </w:r>
    </w:p>
    <w:p w14:paraId="4BD3CDA7">
      <w:pPr>
        <w:pStyle w:val="4"/>
        <w:keepNext w:val="0"/>
        <w:keepLines w:val="0"/>
        <w:pageBreakBefore w:val="0"/>
        <w:widowControl w:val="0"/>
        <w:kinsoku/>
        <w:wordWrap/>
        <w:topLinePunct w:val="0"/>
        <w:bidi w:val="0"/>
        <w:adjustRightInd w:val="0"/>
        <w:snapToGrid w:val="0"/>
        <w:spacing w:before="0" w:line="540" w:lineRule="exact"/>
        <w:ind w:left="0" w:leftChars="0" w:firstLine="0" w:firstLineChars="0"/>
        <w:rPr>
          <w:rFonts w:hint="default" w:ascii="仿宋" w:hAnsi="仿宋" w:eastAsia="仿宋" w:cs="仿宋"/>
          <w:color w:val="auto"/>
          <w:kern w:val="2"/>
          <w:sz w:val="28"/>
          <w:szCs w:val="28"/>
          <w:highlight w:val="none"/>
          <w:lang w:val="en-US" w:eastAsia="zh-CN"/>
        </w:rPr>
      </w:pPr>
      <w:r>
        <w:rPr>
          <w:rFonts w:hint="eastAsia" w:ascii="仿宋" w:hAnsi="仿宋" w:eastAsia="仿宋" w:cs="仿宋"/>
          <w:b/>
          <w:bCs/>
          <w:color w:val="auto"/>
          <w:kern w:val="2"/>
          <w:sz w:val="28"/>
          <w:szCs w:val="28"/>
          <w:highlight w:val="none"/>
          <w:u w:val="dotted"/>
        </w:rPr>
        <w:t xml:space="preserve">                                </w:t>
      </w:r>
      <w:r>
        <w:rPr>
          <w:rFonts w:hint="eastAsia" w:ascii="仿宋" w:hAnsi="仿宋" w:eastAsia="仿宋" w:cs="仿宋"/>
          <w:b/>
          <w:bCs/>
          <w:color w:val="auto"/>
          <w:kern w:val="2"/>
          <w:sz w:val="28"/>
          <w:szCs w:val="28"/>
          <w:highlight w:val="none"/>
          <w:u w:val="dotted"/>
          <w:lang w:val="en-US" w:eastAsia="zh-CN"/>
        </w:rPr>
        <w:t xml:space="preserve">    </w:t>
      </w:r>
      <w:r>
        <w:rPr>
          <w:rFonts w:hint="eastAsia" w:ascii="仿宋" w:hAnsi="仿宋" w:eastAsia="仿宋" w:cs="仿宋"/>
          <w:b/>
          <w:bCs/>
          <w:color w:val="auto"/>
          <w:kern w:val="2"/>
          <w:sz w:val="28"/>
          <w:szCs w:val="28"/>
          <w:highlight w:val="none"/>
          <w:u w:val="dotted"/>
        </w:rPr>
        <w:t xml:space="preserve">   </w:t>
      </w:r>
      <w:r>
        <w:rPr>
          <w:rFonts w:hint="eastAsia" w:ascii="仿宋" w:hAnsi="仿宋" w:eastAsia="仿宋" w:cs="仿宋"/>
          <w:b/>
          <w:bCs/>
          <w:color w:val="auto"/>
          <w:kern w:val="2"/>
          <w:sz w:val="28"/>
          <w:szCs w:val="28"/>
          <w:highlight w:val="none"/>
          <w:u w:val="dotted"/>
          <w:lang w:val="en-US" w:eastAsia="zh-CN"/>
        </w:rPr>
        <w:t xml:space="preserve">         </w:t>
      </w:r>
      <w:r>
        <w:rPr>
          <w:rFonts w:hint="eastAsia" w:ascii="仿宋" w:hAnsi="仿宋" w:eastAsia="仿宋" w:cs="仿宋"/>
          <w:b/>
          <w:bCs/>
          <w:color w:val="auto"/>
          <w:kern w:val="2"/>
          <w:sz w:val="28"/>
          <w:szCs w:val="28"/>
          <w:highlight w:val="none"/>
          <w:u w:val="dotted"/>
        </w:rPr>
        <w:t xml:space="preserve">              </w:t>
      </w:r>
    </w:p>
    <w:p w14:paraId="77641C68">
      <w:pPr>
        <w:keepNext w:val="0"/>
        <w:keepLines w:val="0"/>
        <w:pageBreakBefore w:val="0"/>
        <w:widowControl w:val="0"/>
        <w:suppressLineNumbers w:val="0"/>
        <w:kinsoku/>
        <w:wordWrap/>
        <w:overflowPunct w:val="0"/>
        <w:topLinePunct w:val="0"/>
        <w:autoSpaceDE w:val="0"/>
        <w:autoSpaceDN w:val="0"/>
        <w:bidi w:val="0"/>
        <w:adjustRightInd w:val="0"/>
        <w:snapToGrid w:val="0"/>
        <w:spacing w:beforeAutospacing="0" w:after="0" w:afterAutospacing="0" w:line="540" w:lineRule="exact"/>
        <w:ind w:left="0" w:right="0" w:firstLine="560" w:firstLineChars="200"/>
        <w:jc w:val="both"/>
        <w:textAlignment w:val="baseline"/>
        <w:rPr>
          <w:rFonts w:hint="eastAsia" w:ascii="仿宋" w:hAnsi="仿宋" w:eastAsia="仿宋" w:cs="仿宋"/>
          <w:color w:val="auto"/>
          <w:kern w:val="2"/>
          <w:sz w:val="28"/>
          <w:szCs w:val="28"/>
          <w:highlight w:val="none"/>
          <w:vertAlign w:val="baseline"/>
          <w:lang w:val="en-US" w:eastAsia="zh-CN" w:bidi="ar"/>
        </w:rPr>
      </w:pPr>
      <w:r>
        <w:rPr>
          <w:rFonts w:hint="eastAsia" w:ascii="仿宋" w:hAnsi="仿宋" w:eastAsia="仿宋" w:cs="仿宋"/>
          <w:color w:val="auto"/>
          <w:kern w:val="2"/>
          <w:sz w:val="28"/>
          <w:szCs w:val="28"/>
          <w:highlight w:val="none"/>
          <w:vertAlign w:val="baseline"/>
          <w:lang w:val="en-US" w:eastAsia="zh-CN" w:bidi="ar"/>
        </w:rPr>
        <w:t>（以下无正文，为合同签署页）</w:t>
      </w:r>
    </w:p>
    <w:p w14:paraId="77693609">
      <w:pPr>
        <w:keepNext w:val="0"/>
        <w:keepLines w:val="0"/>
        <w:widowControl w:val="0"/>
        <w:suppressLineNumbers w:val="0"/>
        <w:adjustRightInd w:val="0"/>
        <w:snapToGrid w:val="0"/>
        <w:spacing w:before="0" w:beforeAutospacing="0" w:after="0" w:afterAutospacing="0" w:line="540" w:lineRule="exact"/>
        <w:ind w:left="0" w:right="0" w:firstLine="560" w:firstLineChars="200"/>
        <w:jc w:val="both"/>
        <w:rPr>
          <w:rFonts w:hint="eastAsia" w:ascii="仿宋" w:hAnsi="仿宋" w:eastAsia="仿宋" w:cs="仿宋"/>
          <w:bCs/>
          <w:color w:val="auto"/>
          <w:kern w:val="0"/>
          <w:sz w:val="28"/>
          <w:szCs w:val="28"/>
          <w:highlight w:val="none"/>
          <w:lang w:val="en-US" w:eastAsia="zh-CN" w:bidi="ar"/>
        </w:rPr>
      </w:pPr>
    </w:p>
    <w:p w14:paraId="3EE6F6FA">
      <w:pPr>
        <w:pStyle w:val="9"/>
        <w:keepNext/>
        <w:keepLines/>
        <w:pageBreakBefore w:val="0"/>
        <w:widowControl w:val="0"/>
        <w:kinsoku/>
        <w:wordWrap/>
        <w:overflowPunct/>
        <w:topLinePunct w:val="0"/>
        <w:autoSpaceDE/>
        <w:autoSpaceDN/>
        <w:bidi w:val="0"/>
        <w:adjustRightInd w:val="0"/>
        <w:snapToGrid w:val="0"/>
        <w:spacing w:before="157" w:beforeLines="50" w:after="157" w:afterLines="50" w:line="540" w:lineRule="exact"/>
        <w:ind w:left="0" w:firstLine="562"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甲方（签章）：</w:t>
      </w:r>
      <w:r>
        <w:rPr>
          <w:rFonts w:hint="eastAsia" w:ascii="仿宋" w:hAnsi="仿宋" w:eastAsia="仿宋" w:cs="仿宋"/>
          <w:b w:val="0"/>
          <w:bCs/>
          <w:color w:val="auto"/>
          <w:sz w:val="28"/>
          <w:szCs w:val="28"/>
          <w:highlight w:val="none"/>
          <w:u w:val="single"/>
        </w:rPr>
        <w:t>安庆</w:t>
      </w:r>
      <w:r>
        <w:rPr>
          <w:rFonts w:hint="eastAsia" w:ascii="仿宋" w:hAnsi="仿宋" w:eastAsia="仿宋" w:cs="仿宋"/>
          <w:b w:val="0"/>
          <w:bCs/>
          <w:color w:val="auto"/>
          <w:sz w:val="28"/>
          <w:szCs w:val="28"/>
          <w:highlight w:val="none"/>
          <w:u w:val="single"/>
          <w:lang w:val="en-US" w:eastAsia="zh-CN"/>
        </w:rPr>
        <w:t>中安供应链管理有限责任</w:t>
      </w:r>
      <w:r>
        <w:rPr>
          <w:rFonts w:hint="eastAsia" w:ascii="仿宋" w:hAnsi="仿宋" w:eastAsia="仿宋" w:cs="仿宋"/>
          <w:b w:val="0"/>
          <w:bCs/>
          <w:color w:val="auto"/>
          <w:sz w:val="28"/>
          <w:szCs w:val="28"/>
          <w:highlight w:val="none"/>
          <w:u w:val="single"/>
        </w:rPr>
        <w:t>公司</w:t>
      </w:r>
    </w:p>
    <w:p w14:paraId="61476A05">
      <w:pPr>
        <w:pStyle w:val="459"/>
        <w:pageBreakBefore w:val="0"/>
        <w:kinsoku/>
        <w:overflowPunct/>
        <w:topLinePunct w:val="0"/>
        <w:autoSpaceDE/>
        <w:autoSpaceDN/>
        <w:bidi w:val="0"/>
        <w:adjustRightInd w:val="0"/>
        <w:snapToGrid w:val="0"/>
        <w:spacing w:before="0" w:after="0" w:line="540" w:lineRule="exact"/>
        <w:ind w:left="0"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法定代表人 / 授权代表签字：</w:t>
      </w:r>
    </w:p>
    <w:p w14:paraId="6144A518">
      <w:pPr>
        <w:pStyle w:val="459"/>
        <w:pageBreakBefore w:val="0"/>
        <w:kinsoku/>
        <w:overflowPunct/>
        <w:topLinePunct w:val="0"/>
        <w:autoSpaceDE/>
        <w:autoSpaceDN/>
        <w:bidi w:val="0"/>
        <w:adjustRightInd w:val="0"/>
        <w:snapToGrid w:val="0"/>
        <w:spacing w:before="0" w:after="0" w:line="540" w:lineRule="exact"/>
        <w:ind w:left="0"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签订日期：</w:t>
      </w:r>
      <w:r>
        <w:rPr>
          <w:rFonts w:hint="eastAsia" w:ascii="仿宋" w:hAnsi="仿宋" w:eastAsia="仿宋" w:cs="仿宋"/>
          <w:color w:val="auto"/>
          <w:sz w:val="28"/>
          <w:szCs w:val="28"/>
          <w:highlight w:val="none"/>
          <w:lang w:val="en-US" w:eastAsia="zh-CN"/>
        </w:rPr>
        <w:t>2026</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日</w:t>
      </w:r>
    </w:p>
    <w:p w14:paraId="683A67C1">
      <w:pPr>
        <w:pStyle w:val="459"/>
        <w:pageBreakBefore w:val="0"/>
        <w:kinsoku/>
        <w:overflowPunct/>
        <w:topLinePunct w:val="0"/>
        <w:autoSpaceDE/>
        <w:autoSpaceDN/>
        <w:bidi w:val="0"/>
        <w:adjustRightInd w:val="0"/>
        <w:snapToGrid w:val="0"/>
        <w:spacing w:before="0" w:after="0" w:line="540" w:lineRule="exact"/>
        <w:ind w:left="0" w:firstLine="560" w:firstLineChars="200"/>
        <w:textAlignment w:val="auto"/>
        <w:rPr>
          <w:rFonts w:hint="eastAsia" w:ascii="仿宋" w:hAnsi="仿宋" w:eastAsia="仿宋" w:cs="仿宋"/>
          <w:color w:val="auto"/>
          <w:sz w:val="28"/>
          <w:szCs w:val="28"/>
          <w:highlight w:val="none"/>
        </w:rPr>
      </w:pPr>
    </w:p>
    <w:p w14:paraId="7B36955E">
      <w:pPr>
        <w:pStyle w:val="9"/>
        <w:keepNext/>
        <w:keepLines/>
        <w:pageBreakBefore w:val="0"/>
        <w:widowControl w:val="0"/>
        <w:kinsoku/>
        <w:wordWrap/>
        <w:overflowPunct/>
        <w:topLinePunct w:val="0"/>
        <w:autoSpaceDE/>
        <w:autoSpaceDN/>
        <w:bidi w:val="0"/>
        <w:adjustRightInd w:val="0"/>
        <w:snapToGrid w:val="0"/>
        <w:spacing w:before="157" w:beforeLines="50" w:after="157" w:afterLines="50" w:line="540" w:lineRule="exact"/>
        <w:ind w:left="0" w:firstLine="562" w:firstLineChars="200"/>
        <w:textAlignment w:val="auto"/>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乙方（签章）：</w:t>
      </w:r>
      <w:r>
        <w:rPr>
          <w:rFonts w:hint="eastAsia" w:ascii="仿宋" w:hAnsi="仿宋" w:eastAsia="仿宋" w:cs="仿宋"/>
          <w:b w:val="0"/>
          <w:bCs/>
          <w:color w:val="auto"/>
          <w:sz w:val="28"/>
          <w:szCs w:val="28"/>
          <w:highlight w:val="none"/>
          <w:u w:val="single"/>
          <w:lang w:val="en-US" w:eastAsia="zh-CN"/>
        </w:rPr>
        <w:t xml:space="preserve">                      </w:t>
      </w:r>
    </w:p>
    <w:p w14:paraId="23968AE5">
      <w:pPr>
        <w:pStyle w:val="459"/>
        <w:pageBreakBefore w:val="0"/>
        <w:kinsoku/>
        <w:overflowPunct/>
        <w:topLinePunct w:val="0"/>
        <w:autoSpaceDE/>
        <w:autoSpaceDN/>
        <w:bidi w:val="0"/>
        <w:adjustRightInd w:val="0"/>
        <w:snapToGrid w:val="0"/>
        <w:spacing w:before="0" w:after="0" w:line="540" w:lineRule="exact"/>
        <w:ind w:left="0"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负责人 / 授权代表签字：</w:t>
      </w:r>
    </w:p>
    <w:p w14:paraId="601F5BA3">
      <w:pPr>
        <w:pStyle w:val="459"/>
        <w:pageBreakBefore w:val="0"/>
        <w:kinsoku/>
        <w:overflowPunct/>
        <w:topLinePunct w:val="0"/>
        <w:autoSpaceDE/>
        <w:autoSpaceDN/>
        <w:bidi w:val="0"/>
        <w:adjustRightInd w:val="0"/>
        <w:snapToGrid w:val="0"/>
        <w:spacing w:before="0" w:after="0" w:line="540" w:lineRule="exact"/>
        <w:ind w:left="0"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签订日期：</w:t>
      </w:r>
      <w:r>
        <w:rPr>
          <w:rFonts w:hint="eastAsia" w:ascii="仿宋" w:hAnsi="仿宋" w:eastAsia="仿宋" w:cs="仿宋"/>
          <w:color w:val="auto"/>
          <w:sz w:val="28"/>
          <w:szCs w:val="28"/>
          <w:highlight w:val="none"/>
          <w:lang w:val="en-US" w:eastAsia="zh-CN"/>
        </w:rPr>
        <w:t>2026</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日</w:t>
      </w:r>
    </w:p>
    <w:p w14:paraId="4B4C0C24">
      <w:pPr>
        <w:pStyle w:val="459"/>
        <w:pageBreakBefore w:val="0"/>
        <w:kinsoku/>
        <w:overflowPunct/>
        <w:topLinePunct w:val="0"/>
        <w:autoSpaceDE/>
        <w:autoSpaceDN/>
        <w:bidi w:val="0"/>
        <w:adjustRightInd w:val="0"/>
        <w:snapToGrid w:val="0"/>
        <w:spacing w:before="0" w:after="0" w:line="540" w:lineRule="exact"/>
        <w:ind w:left="0" w:firstLine="560" w:firstLineChars="200"/>
        <w:textAlignment w:val="auto"/>
        <w:rPr>
          <w:rFonts w:hint="eastAsia" w:ascii="仿宋" w:hAnsi="仿宋" w:eastAsia="仿宋" w:cs="仿宋"/>
          <w:color w:val="auto"/>
          <w:sz w:val="28"/>
          <w:szCs w:val="28"/>
          <w:highlight w:val="none"/>
        </w:rPr>
      </w:pPr>
    </w:p>
    <w:p w14:paraId="1DF4182A">
      <w:pPr>
        <w:rPr>
          <w:rFonts w:hint="eastAsia" w:ascii="仿宋" w:hAnsi="仿宋" w:eastAsia="仿宋" w:cs="仿宋"/>
          <w:b w:val="0"/>
          <w:bCs w:val="0"/>
          <w:color w:val="auto"/>
          <w:kern w:val="2"/>
          <w:sz w:val="28"/>
          <w:szCs w:val="28"/>
          <w:highlight w:val="none"/>
          <w:lang w:val="en-US" w:eastAsia="zh-CN" w:bidi="ar"/>
        </w:rPr>
      </w:pPr>
      <w:r>
        <w:rPr>
          <w:rFonts w:hint="eastAsia" w:ascii="仿宋" w:hAnsi="仿宋" w:eastAsia="仿宋" w:cs="仿宋"/>
          <w:b w:val="0"/>
          <w:bCs w:val="0"/>
          <w:color w:val="auto"/>
          <w:kern w:val="2"/>
          <w:sz w:val="28"/>
          <w:szCs w:val="28"/>
          <w:highlight w:val="none"/>
          <w:lang w:val="en-US" w:eastAsia="zh-CN" w:bidi="ar"/>
        </w:rPr>
        <w:br w:type="page"/>
      </w:r>
    </w:p>
    <w:p w14:paraId="4D07CD85">
      <w:pPr>
        <w:keepNext w:val="0"/>
        <w:keepLines w:val="0"/>
        <w:pageBreakBefore w:val="0"/>
        <w:widowControl w:val="0"/>
        <w:suppressLineNumbers w:val="0"/>
        <w:kinsoku/>
        <w:wordWrap/>
        <w:overflowPunct/>
        <w:topLinePunct w:val="0"/>
        <w:autoSpaceDE/>
        <w:autoSpaceDN/>
        <w:bidi w:val="0"/>
        <w:adjustRightInd w:val="0"/>
        <w:snapToGrid w:val="0"/>
        <w:spacing w:beforeAutospacing="0" w:after="157" w:afterLines="50" w:afterAutospacing="0" w:line="240" w:lineRule="auto"/>
        <w:ind w:right="0"/>
        <w:jc w:val="both"/>
        <w:textAlignment w:val="auto"/>
        <w:outlineLvl w:val="2"/>
        <w:rPr>
          <w:rFonts w:hint="default" w:ascii="仿宋" w:hAnsi="仿宋" w:eastAsia="仿宋" w:cs="仿宋"/>
          <w:b/>
          <w:bCs/>
          <w:color w:val="auto"/>
          <w:kern w:val="2"/>
          <w:sz w:val="28"/>
          <w:szCs w:val="28"/>
          <w:highlight w:val="none"/>
          <w:lang w:val="en-US" w:eastAsia="zh-CN" w:bidi="ar"/>
        </w:rPr>
      </w:pPr>
      <w:bookmarkStart w:id="75" w:name="_Toc21923"/>
      <w:r>
        <w:rPr>
          <w:rFonts w:hint="eastAsia" w:ascii="仿宋" w:hAnsi="仿宋" w:eastAsia="仿宋" w:cs="仿宋"/>
          <w:b/>
          <w:bCs/>
          <w:color w:val="auto"/>
          <w:kern w:val="2"/>
          <w:sz w:val="28"/>
          <w:szCs w:val="28"/>
          <w:highlight w:val="none"/>
          <w:lang w:val="en-US" w:eastAsia="zh-CN" w:bidi="ar"/>
        </w:rPr>
        <w:t>附件4：证据材料（原件）交接单[参考格式]</w:t>
      </w:r>
      <w:bookmarkEnd w:id="75"/>
    </w:p>
    <w:tbl>
      <w:tblPr>
        <w:tblStyle w:val="6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39"/>
        <w:gridCol w:w="1151"/>
        <w:gridCol w:w="1495"/>
        <w:gridCol w:w="1495"/>
        <w:gridCol w:w="1496"/>
        <w:gridCol w:w="1496"/>
      </w:tblGrid>
      <w:tr w14:paraId="2B0C9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39" w:type="dxa"/>
            <w:tcMar>
              <w:top w:w="60" w:type="dxa"/>
              <w:left w:w="120" w:type="dxa"/>
              <w:bottom w:w="30" w:type="dxa"/>
              <w:right w:w="120" w:type="dxa"/>
            </w:tcMar>
          </w:tcPr>
          <w:p w14:paraId="1F073B00">
            <w:pPr>
              <w:pStyle w:val="459"/>
              <w:keepNext w:val="0"/>
              <w:keepLines w:val="0"/>
              <w:widowControl/>
              <w:suppressLineNumbers w:val="0"/>
              <w:spacing w:beforeAutospacing="0" w:afterAutospacing="0"/>
              <w:ind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材料名称</w:t>
            </w:r>
          </w:p>
        </w:tc>
        <w:tc>
          <w:tcPr>
            <w:tcW w:w="1151" w:type="dxa"/>
            <w:tcMar>
              <w:top w:w="60" w:type="dxa"/>
              <w:left w:w="120" w:type="dxa"/>
              <w:bottom w:w="30" w:type="dxa"/>
              <w:right w:w="120" w:type="dxa"/>
            </w:tcMar>
          </w:tcPr>
          <w:p w14:paraId="1BFF3CFA">
            <w:pPr>
              <w:pStyle w:val="459"/>
              <w:keepNext w:val="0"/>
              <w:keepLines w:val="0"/>
              <w:widowControl/>
              <w:suppressLineNumbers w:val="0"/>
              <w:spacing w:beforeAutospacing="0" w:afterAutospacing="0"/>
              <w:ind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份数</w:t>
            </w:r>
          </w:p>
        </w:tc>
        <w:tc>
          <w:tcPr>
            <w:tcW w:w="1495" w:type="dxa"/>
            <w:tcMar>
              <w:top w:w="60" w:type="dxa"/>
              <w:left w:w="120" w:type="dxa"/>
              <w:bottom w:w="30" w:type="dxa"/>
              <w:right w:w="120" w:type="dxa"/>
            </w:tcMar>
          </w:tcPr>
          <w:p w14:paraId="50223D59">
            <w:pPr>
              <w:pStyle w:val="459"/>
              <w:keepNext w:val="0"/>
              <w:keepLines w:val="0"/>
              <w:widowControl/>
              <w:suppressLineNumbers w:val="0"/>
              <w:spacing w:beforeAutospacing="0" w:afterAutospacing="0"/>
              <w:ind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页数</w:t>
            </w:r>
          </w:p>
        </w:tc>
        <w:tc>
          <w:tcPr>
            <w:tcW w:w="1495" w:type="dxa"/>
            <w:tcMar>
              <w:top w:w="60" w:type="dxa"/>
              <w:left w:w="120" w:type="dxa"/>
              <w:bottom w:w="30" w:type="dxa"/>
              <w:right w:w="120" w:type="dxa"/>
            </w:tcMar>
          </w:tcPr>
          <w:p w14:paraId="5F835D70">
            <w:pPr>
              <w:pStyle w:val="459"/>
              <w:keepNext w:val="0"/>
              <w:keepLines w:val="0"/>
              <w:widowControl/>
              <w:suppressLineNumbers w:val="0"/>
              <w:spacing w:beforeAutospacing="0" w:afterAutospacing="0"/>
              <w:ind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提交日期</w:t>
            </w:r>
          </w:p>
        </w:tc>
        <w:tc>
          <w:tcPr>
            <w:tcW w:w="1496" w:type="dxa"/>
            <w:tcMar>
              <w:top w:w="60" w:type="dxa"/>
              <w:left w:w="120" w:type="dxa"/>
              <w:bottom w:w="30" w:type="dxa"/>
              <w:right w:w="120" w:type="dxa"/>
            </w:tcMar>
          </w:tcPr>
          <w:p w14:paraId="2BADB251">
            <w:pPr>
              <w:pStyle w:val="459"/>
              <w:keepNext w:val="0"/>
              <w:keepLines w:val="0"/>
              <w:widowControl/>
              <w:suppressLineNumbers w:val="0"/>
              <w:spacing w:beforeAutospacing="0" w:afterAutospacing="0"/>
              <w:ind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接收人</w:t>
            </w:r>
          </w:p>
        </w:tc>
        <w:tc>
          <w:tcPr>
            <w:tcW w:w="1496" w:type="dxa"/>
            <w:tcMar>
              <w:top w:w="60" w:type="dxa"/>
              <w:left w:w="120" w:type="dxa"/>
              <w:bottom w:w="30" w:type="dxa"/>
              <w:right w:w="120" w:type="dxa"/>
            </w:tcMar>
          </w:tcPr>
          <w:p w14:paraId="5123B598">
            <w:pPr>
              <w:pStyle w:val="459"/>
              <w:keepNext w:val="0"/>
              <w:keepLines w:val="0"/>
              <w:widowControl/>
              <w:suppressLineNumbers w:val="0"/>
              <w:spacing w:beforeAutospacing="0" w:afterAutospacing="0"/>
              <w:ind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备注</w:t>
            </w:r>
          </w:p>
        </w:tc>
      </w:tr>
      <w:tr w14:paraId="7666A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39" w:type="dxa"/>
            <w:tcMar>
              <w:top w:w="60" w:type="dxa"/>
              <w:left w:w="120" w:type="dxa"/>
              <w:bottom w:w="30" w:type="dxa"/>
              <w:right w:w="120" w:type="dxa"/>
            </w:tcMar>
          </w:tcPr>
          <w:p w14:paraId="662FB851">
            <w:pPr>
              <w:pStyle w:val="459"/>
              <w:keepNext w:val="0"/>
              <w:keepLines w:val="0"/>
              <w:widowControl/>
              <w:suppressLineNumbers w:val="0"/>
              <w:spacing w:beforeAutospacing="0" w:afterAutospacing="0"/>
              <w:ind w:right="0"/>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w:t>
            </w:r>
          </w:p>
        </w:tc>
        <w:tc>
          <w:tcPr>
            <w:tcW w:w="1151" w:type="dxa"/>
            <w:tcMar>
              <w:top w:w="60" w:type="dxa"/>
              <w:left w:w="120" w:type="dxa"/>
              <w:bottom w:w="30" w:type="dxa"/>
              <w:right w:w="120" w:type="dxa"/>
            </w:tcMar>
          </w:tcPr>
          <w:p w14:paraId="22007A11">
            <w:pPr>
              <w:pStyle w:val="459"/>
              <w:keepNext w:val="0"/>
              <w:keepLines w:val="0"/>
              <w:widowControl/>
              <w:suppressLineNumbers w:val="0"/>
              <w:spacing w:beforeAutospacing="0" w:afterAutospacing="0"/>
              <w:ind w:right="0"/>
              <w:jc w:val="center"/>
              <w:rPr>
                <w:rFonts w:hint="eastAsia" w:ascii="仿宋" w:hAnsi="仿宋" w:eastAsia="仿宋" w:cs="仿宋"/>
                <w:color w:val="auto"/>
                <w:sz w:val="24"/>
                <w:szCs w:val="24"/>
                <w:highlight w:val="none"/>
              </w:rPr>
            </w:pPr>
          </w:p>
        </w:tc>
        <w:tc>
          <w:tcPr>
            <w:tcW w:w="1495" w:type="dxa"/>
            <w:tcMar>
              <w:top w:w="60" w:type="dxa"/>
              <w:left w:w="120" w:type="dxa"/>
              <w:bottom w:w="30" w:type="dxa"/>
              <w:right w:w="120" w:type="dxa"/>
            </w:tcMar>
          </w:tcPr>
          <w:p w14:paraId="35E4E55D">
            <w:pPr>
              <w:pStyle w:val="459"/>
              <w:keepNext w:val="0"/>
              <w:keepLines w:val="0"/>
              <w:widowControl/>
              <w:suppressLineNumbers w:val="0"/>
              <w:spacing w:beforeAutospacing="0" w:afterAutospacing="0"/>
              <w:ind w:right="0"/>
              <w:jc w:val="center"/>
              <w:rPr>
                <w:rFonts w:hint="eastAsia" w:ascii="仿宋" w:hAnsi="仿宋" w:eastAsia="仿宋" w:cs="仿宋"/>
                <w:color w:val="auto"/>
                <w:sz w:val="24"/>
                <w:szCs w:val="24"/>
                <w:highlight w:val="none"/>
              </w:rPr>
            </w:pPr>
          </w:p>
        </w:tc>
        <w:tc>
          <w:tcPr>
            <w:tcW w:w="1495" w:type="dxa"/>
            <w:tcMar>
              <w:top w:w="60" w:type="dxa"/>
              <w:left w:w="120" w:type="dxa"/>
              <w:bottom w:w="30" w:type="dxa"/>
              <w:right w:w="120" w:type="dxa"/>
            </w:tcMar>
          </w:tcPr>
          <w:p w14:paraId="50E391BC">
            <w:pPr>
              <w:pStyle w:val="459"/>
              <w:keepNext w:val="0"/>
              <w:keepLines w:val="0"/>
              <w:widowControl/>
              <w:suppressLineNumbers w:val="0"/>
              <w:spacing w:beforeAutospacing="0" w:afterAutospacing="0"/>
              <w:ind w:right="0"/>
              <w:jc w:val="center"/>
              <w:rPr>
                <w:rFonts w:hint="eastAsia" w:ascii="仿宋" w:hAnsi="仿宋" w:eastAsia="仿宋" w:cs="仿宋"/>
                <w:color w:val="auto"/>
                <w:sz w:val="24"/>
                <w:szCs w:val="24"/>
                <w:highlight w:val="none"/>
              </w:rPr>
            </w:pPr>
          </w:p>
        </w:tc>
        <w:tc>
          <w:tcPr>
            <w:tcW w:w="1496" w:type="dxa"/>
            <w:tcMar>
              <w:top w:w="60" w:type="dxa"/>
              <w:left w:w="120" w:type="dxa"/>
              <w:bottom w:w="30" w:type="dxa"/>
              <w:right w:w="120" w:type="dxa"/>
            </w:tcMar>
          </w:tcPr>
          <w:p w14:paraId="75F2D8DE">
            <w:pPr>
              <w:pStyle w:val="459"/>
              <w:keepNext w:val="0"/>
              <w:keepLines w:val="0"/>
              <w:widowControl/>
              <w:suppressLineNumbers w:val="0"/>
              <w:spacing w:beforeAutospacing="0" w:afterAutospacing="0"/>
              <w:ind w:right="0"/>
              <w:jc w:val="center"/>
              <w:rPr>
                <w:rFonts w:hint="eastAsia" w:ascii="仿宋" w:hAnsi="仿宋" w:eastAsia="仿宋" w:cs="仿宋"/>
                <w:color w:val="auto"/>
                <w:sz w:val="24"/>
                <w:szCs w:val="24"/>
                <w:highlight w:val="none"/>
              </w:rPr>
            </w:pPr>
          </w:p>
        </w:tc>
        <w:tc>
          <w:tcPr>
            <w:tcW w:w="1496" w:type="dxa"/>
            <w:tcMar>
              <w:top w:w="60" w:type="dxa"/>
              <w:left w:w="120" w:type="dxa"/>
              <w:bottom w:w="30" w:type="dxa"/>
              <w:right w:w="120" w:type="dxa"/>
            </w:tcMar>
          </w:tcPr>
          <w:p w14:paraId="781C2ADB">
            <w:pPr>
              <w:pStyle w:val="459"/>
              <w:keepNext w:val="0"/>
              <w:keepLines w:val="0"/>
              <w:widowControl/>
              <w:suppressLineNumbers w:val="0"/>
              <w:spacing w:beforeAutospacing="0" w:afterAutospacing="0"/>
              <w:ind w:right="0"/>
              <w:jc w:val="center"/>
              <w:rPr>
                <w:rFonts w:hint="eastAsia" w:ascii="仿宋" w:hAnsi="仿宋" w:eastAsia="仿宋" w:cs="仿宋"/>
                <w:color w:val="auto"/>
                <w:sz w:val="24"/>
                <w:szCs w:val="24"/>
                <w:highlight w:val="none"/>
              </w:rPr>
            </w:pPr>
          </w:p>
        </w:tc>
      </w:tr>
      <w:tr w14:paraId="66F59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39" w:type="dxa"/>
            <w:tcMar>
              <w:top w:w="60" w:type="dxa"/>
              <w:left w:w="120" w:type="dxa"/>
              <w:bottom w:w="30" w:type="dxa"/>
              <w:right w:w="120" w:type="dxa"/>
            </w:tcMar>
          </w:tcPr>
          <w:p w14:paraId="6304DE48">
            <w:pPr>
              <w:pStyle w:val="459"/>
              <w:keepNext w:val="0"/>
              <w:keepLines w:val="0"/>
              <w:widowControl/>
              <w:suppressLineNumbers w:val="0"/>
              <w:spacing w:beforeAutospacing="0" w:afterAutospacing="0"/>
              <w:ind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w:t>
            </w:r>
          </w:p>
        </w:tc>
        <w:tc>
          <w:tcPr>
            <w:tcW w:w="1151" w:type="dxa"/>
            <w:tcMar>
              <w:top w:w="60" w:type="dxa"/>
              <w:left w:w="120" w:type="dxa"/>
              <w:bottom w:w="30" w:type="dxa"/>
              <w:right w:w="120" w:type="dxa"/>
            </w:tcMar>
          </w:tcPr>
          <w:p w14:paraId="60610191">
            <w:pPr>
              <w:pStyle w:val="459"/>
              <w:keepNext w:val="0"/>
              <w:keepLines w:val="0"/>
              <w:widowControl/>
              <w:suppressLineNumbers w:val="0"/>
              <w:spacing w:beforeAutospacing="0" w:afterAutospacing="0"/>
              <w:ind w:right="0"/>
              <w:jc w:val="center"/>
              <w:rPr>
                <w:rFonts w:hint="eastAsia" w:ascii="仿宋" w:hAnsi="仿宋" w:eastAsia="仿宋" w:cs="仿宋"/>
                <w:color w:val="auto"/>
                <w:sz w:val="24"/>
                <w:szCs w:val="24"/>
                <w:highlight w:val="none"/>
              </w:rPr>
            </w:pPr>
          </w:p>
        </w:tc>
        <w:tc>
          <w:tcPr>
            <w:tcW w:w="1495" w:type="dxa"/>
            <w:tcMar>
              <w:top w:w="60" w:type="dxa"/>
              <w:left w:w="120" w:type="dxa"/>
              <w:bottom w:w="30" w:type="dxa"/>
              <w:right w:w="120" w:type="dxa"/>
            </w:tcMar>
          </w:tcPr>
          <w:p w14:paraId="3F389A33">
            <w:pPr>
              <w:pStyle w:val="459"/>
              <w:keepNext w:val="0"/>
              <w:keepLines w:val="0"/>
              <w:widowControl/>
              <w:suppressLineNumbers w:val="0"/>
              <w:spacing w:beforeAutospacing="0" w:afterAutospacing="0"/>
              <w:ind w:right="0"/>
              <w:jc w:val="center"/>
              <w:rPr>
                <w:rFonts w:hint="eastAsia" w:ascii="仿宋" w:hAnsi="仿宋" w:eastAsia="仿宋" w:cs="仿宋"/>
                <w:color w:val="auto"/>
                <w:sz w:val="24"/>
                <w:szCs w:val="24"/>
                <w:highlight w:val="none"/>
              </w:rPr>
            </w:pPr>
          </w:p>
        </w:tc>
        <w:tc>
          <w:tcPr>
            <w:tcW w:w="1495" w:type="dxa"/>
            <w:tcMar>
              <w:top w:w="60" w:type="dxa"/>
              <w:left w:w="120" w:type="dxa"/>
              <w:bottom w:w="30" w:type="dxa"/>
              <w:right w:w="120" w:type="dxa"/>
            </w:tcMar>
          </w:tcPr>
          <w:p w14:paraId="5CCCDEC9">
            <w:pPr>
              <w:pStyle w:val="459"/>
              <w:keepNext w:val="0"/>
              <w:keepLines w:val="0"/>
              <w:widowControl/>
              <w:suppressLineNumbers w:val="0"/>
              <w:spacing w:beforeAutospacing="0" w:afterAutospacing="0"/>
              <w:ind w:right="0"/>
              <w:jc w:val="center"/>
              <w:rPr>
                <w:rFonts w:hint="eastAsia" w:ascii="仿宋" w:hAnsi="仿宋" w:eastAsia="仿宋" w:cs="仿宋"/>
                <w:color w:val="auto"/>
                <w:sz w:val="24"/>
                <w:szCs w:val="24"/>
                <w:highlight w:val="none"/>
              </w:rPr>
            </w:pPr>
          </w:p>
        </w:tc>
        <w:tc>
          <w:tcPr>
            <w:tcW w:w="1496" w:type="dxa"/>
            <w:tcMar>
              <w:top w:w="60" w:type="dxa"/>
              <w:left w:w="120" w:type="dxa"/>
              <w:bottom w:w="30" w:type="dxa"/>
              <w:right w:w="120" w:type="dxa"/>
            </w:tcMar>
          </w:tcPr>
          <w:p w14:paraId="0B959377">
            <w:pPr>
              <w:pStyle w:val="459"/>
              <w:keepNext w:val="0"/>
              <w:keepLines w:val="0"/>
              <w:widowControl/>
              <w:suppressLineNumbers w:val="0"/>
              <w:spacing w:beforeAutospacing="0" w:afterAutospacing="0"/>
              <w:ind w:right="0"/>
              <w:jc w:val="center"/>
              <w:rPr>
                <w:rFonts w:hint="eastAsia" w:ascii="仿宋" w:hAnsi="仿宋" w:eastAsia="仿宋" w:cs="仿宋"/>
                <w:color w:val="auto"/>
                <w:sz w:val="24"/>
                <w:szCs w:val="24"/>
                <w:highlight w:val="none"/>
              </w:rPr>
            </w:pPr>
          </w:p>
        </w:tc>
        <w:tc>
          <w:tcPr>
            <w:tcW w:w="1496" w:type="dxa"/>
            <w:tcMar>
              <w:top w:w="60" w:type="dxa"/>
              <w:left w:w="120" w:type="dxa"/>
              <w:bottom w:w="30" w:type="dxa"/>
              <w:right w:w="120" w:type="dxa"/>
            </w:tcMar>
          </w:tcPr>
          <w:p w14:paraId="64DD5F5E">
            <w:pPr>
              <w:pStyle w:val="459"/>
              <w:keepNext w:val="0"/>
              <w:keepLines w:val="0"/>
              <w:widowControl/>
              <w:suppressLineNumbers w:val="0"/>
              <w:spacing w:beforeAutospacing="0" w:afterAutospacing="0"/>
              <w:ind w:right="0"/>
              <w:jc w:val="center"/>
              <w:rPr>
                <w:rFonts w:hint="eastAsia" w:ascii="仿宋" w:hAnsi="仿宋" w:eastAsia="仿宋" w:cs="仿宋"/>
                <w:color w:val="auto"/>
                <w:sz w:val="24"/>
                <w:szCs w:val="24"/>
                <w:highlight w:val="none"/>
              </w:rPr>
            </w:pPr>
          </w:p>
        </w:tc>
      </w:tr>
      <w:tr w14:paraId="1F3C1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39" w:type="dxa"/>
            <w:tcMar>
              <w:top w:w="60" w:type="dxa"/>
              <w:left w:w="120" w:type="dxa"/>
              <w:bottom w:w="30" w:type="dxa"/>
              <w:right w:w="120" w:type="dxa"/>
            </w:tcMar>
          </w:tcPr>
          <w:p w14:paraId="393A1426">
            <w:pPr>
              <w:pStyle w:val="459"/>
              <w:keepNext w:val="0"/>
              <w:keepLines w:val="0"/>
              <w:widowControl/>
              <w:suppressLineNumbers w:val="0"/>
              <w:spacing w:beforeAutospacing="0" w:afterAutospacing="0"/>
              <w:ind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w:t>
            </w:r>
          </w:p>
        </w:tc>
        <w:tc>
          <w:tcPr>
            <w:tcW w:w="1151" w:type="dxa"/>
            <w:tcMar>
              <w:top w:w="60" w:type="dxa"/>
              <w:left w:w="120" w:type="dxa"/>
              <w:bottom w:w="30" w:type="dxa"/>
              <w:right w:w="120" w:type="dxa"/>
            </w:tcMar>
          </w:tcPr>
          <w:p w14:paraId="0C886EF6">
            <w:pPr>
              <w:pStyle w:val="459"/>
              <w:keepNext w:val="0"/>
              <w:keepLines w:val="0"/>
              <w:widowControl/>
              <w:suppressLineNumbers w:val="0"/>
              <w:spacing w:beforeAutospacing="0" w:afterAutospacing="0"/>
              <w:ind w:right="0"/>
              <w:jc w:val="center"/>
              <w:rPr>
                <w:rFonts w:hint="eastAsia" w:ascii="仿宋" w:hAnsi="仿宋" w:eastAsia="仿宋" w:cs="仿宋"/>
                <w:color w:val="auto"/>
                <w:sz w:val="24"/>
                <w:szCs w:val="24"/>
                <w:highlight w:val="none"/>
              </w:rPr>
            </w:pPr>
          </w:p>
        </w:tc>
        <w:tc>
          <w:tcPr>
            <w:tcW w:w="1495" w:type="dxa"/>
            <w:tcMar>
              <w:top w:w="60" w:type="dxa"/>
              <w:left w:w="120" w:type="dxa"/>
              <w:bottom w:w="30" w:type="dxa"/>
              <w:right w:w="120" w:type="dxa"/>
            </w:tcMar>
          </w:tcPr>
          <w:p w14:paraId="22946857">
            <w:pPr>
              <w:pStyle w:val="459"/>
              <w:keepNext w:val="0"/>
              <w:keepLines w:val="0"/>
              <w:widowControl/>
              <w:suppressLineNumbers w:val="0"/>
              <w:spacing w:beforeAutospacing="0" w:afterAutospacing="0"/>
              <w:ind w:right="0"/>
              <w:jc w:val="center"/>
              <w:rPr>
                <w:rFonts w:hint="eastAsia" w:ascii="仿宋" w:hAnsi="仿宋" w:eastAsia="仿宋" w:cs="仿宋"/>
                <w:color w:val="auto"/>
                <w:sz w:val="24"/>
                <w:szCs w:val="24"/>
                <w:highlight w:val="none"/>
              </w:rPr>
            </w:pPr>
          </w:p>
        </w:tc>
        <w:tc>
          <w:tcPr>
            <w:tcW w:w="1495" w:type="dxa"/>
            <w:tcMar>
              <w:top w:w="60" w:type="dxa"/>
              <w:left w:w="120" w:type="dxa"/>
              <w:bottom w:w="30" w:type="dxa"/>
              <w:right w:w="120" w:type="dxa"/>
            </w:tcMar>
          </w:tcPr>
          <w:p w14:paraId="57163EEE">
            <w:pPr>
              <w:pStyle w:val="459"/>
              <w:keepNext w:val="0"/>
              <w:keepLines w:val="0"/>
              <w:widowControl/>
              <w:suppressLineNumbers w:val="0"/>
              <w:spacing w:beforeAutospacing="0" w:afterAutospacing="0"/>
              <w:ind w:right="0"/>
              <w:jc w:val="center"/>
              <w:rPr>
                <w:rFonts w:hint="eastAsia" w:ascii="仿宋" w:hAnsi="仿宋" w:eastAsia="仿宋" w:cs="仿宋"/>
                <w:color w:val="auto"/>
                <w:sz w:val="24"/>
                <w:szCs w:val="24"/>
                <w:highlight w:val="none"/>
              </w:rPr>
            </w:pPr>
          </w:p>
        </w:tc>
        <w:tc>
          <w:tcPr>
            <w:tcW w:w="1496" w:type="dxa"/>
            <w:tcMar>
              <w:top w:w="60" w:type="dxa"/>
              <w:left w:w="120" w:type="dxa"/>
              <w:bottom w:w="30" w:type="dxa"/>
              <w:right w:w="120" w:type="dxa"/>
            </w:tcMar>
          </w:tcPr>
          <w:p w14:paraId="7E1BAC85">
            <w:pPr>
              <w:pStyle w:val="459"/>
              <w:keepNext w:val="0"/>
              <w:keepLines w:val="0"/>
              <w:widowControl/>
              <w:suppressLineNumbers w:val="0"/>
              <w:spacing w:beforeAutospacing="0" w:afterAutospacing="0"/>
              <w:ind w:right="0"/>
              <w:jc w:val="center"/>
              <w:rPr>
                <w:rFonts w:hint="eastAsia" w:ascii="仿宋" w:hAnsi="仿宋" w:eastAsia="仿宋" w:cs="仿宋"/>
                <w:color w:val="auto"/>
                <w:sz w:val="24"/>
                <w:szCs w:val="24"/>
                <w:highlight w:val="none"/>
              </w:rPr>
            </w:pPr>
          </w:p>
        </w:tc>
        <w:tc>
          <w:tcPr>
            <w:tcW w:w="1496" w:type="dxa"/>
            <w:tcMar>
              <w:top w:w="60" w:type="dxa"/>
              <w:left w:w="120" w:type="dxa"/>
              <w:bottom w:w="30" w:type="dxa"/>
              <w:right w:w="120" w:type="dxa"/>
            </w:tcMar>
          </w:tcPr>
          <w:p w14:paraId="75DF2583">
            <w:pPr>
              <w:pStyle w:val="459"/>
              <w:keepNext w:val="0"/>
              <w:keepLines w:val="0"/>
              <w:widowControl/>
              <w:suppressLineNumbers w:val="0"/>
              <w:spacing w:beforeAutospacing="0" w:afterAutospacing="0"/>
              <w:ind w:right="0"/>
              <w:jc w:val="center"/>
              <w:rPr>
                <w:rFonts w:hint="eastAsia" w:ascii="仿宋" w:hAnsi="仿宋" w:eastAsia="仿宋" w:cs="仿宋"/>
                <w:color w:val="auto"/>
                <w:sz w:val="24"/>
                <w:szCs w:val="24"/>
                <w:highlight w:val="none"/>
              </w:rPr>
            </w:pPr>
          </w:p>
        </w:tc>
      </w:tr>
      <w:tr w14:paraId="2A157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39" w:type="dxa"/>
            <w:tcMar>
              <w:top w:w="60" w:type="dxa"/>
              <w:left w:w="120" w:type="dxa"/>
              <w:bottom w:w="30" w:type="dxa"/>
              <w:right w:w="120" w:type="dxa"/>
            </w:tcMar>
          </w:tcPr>
          <w:p w14:paraId="471411D0">
            <w:pPr>
              <w:pStyle w:val="459"/>
              <w:keepNext w:val="0"/>
              <w:keepLines w:val="0"/>
              <w:widowControl/>
              <w:suppressLineNumbers w:val="0"/>
              <w:spacing w:beforeAutospacing="0" w:afterAutospacing="0"/>
              <w:ind w:right="0"/>
              <w:jc w:val="center"/>
              <w:rPr>
                <w:rFonts w:hint="eastAsia" w:ascii="仿宋" w:hAnsi="仿宋" w:eastAsia="仿宋" w:cs="仿宋"/>
                <w:color w:val="auto"/>
                <w:sz w:val="24"/>
                <w:szCs w:val="24"/>
                <w:highlight w:val="none"/>
                <w:lang w:eastAsia="zh-CN"/>
              </w:rPr>
            </w:pPr>
          </w:p>
        </w:tc>
        <w:tc>
          <w:tcPr>
            <w:tcW w:w="1151" w:type="dxa"/>
            <w:tcMar>
              <w:top w:w="60" w:type="dxa"/>
              <w:left w:w="120" w:type="dxa"/>
              <w:bottom w:w="30" w:type="dxa"/>
              <w:right w:w="120" w:type="dxa"/>
            </w:tcMar>
          </w:tcPr>
          <w:p w14:paraId="2EBF2BF3">
            <w:pPr>
              <w:pStyle w:val="459"/>
              <w:keepNext w:val="0"/>
              <w:keepLines w:val="0"/>
              <w:widowControl/>
              <w:suppressLineNumbers w:val="0"/>
              <w:spacing w:beforeAutospacing="0" w:afterAutospacing="0"/>
              <w:ind w:right="0"/>
              <w:jc w:val="center"/>
              <w:rPr>
                <w:rFonts w:hint="eastAsia" w:ascii="仿宋" w:hAnsi="仿宋" w:eastAsia="仿宋" w:cs="仿宋"/>
                <w:color w:val="auto"/>
                <w:sz w:val="24"/>
                <w:szCs w:val="24"/>
                <w:highlight w:val="none"/>
              </w:rPr>
            </w:pPr>
          </w:p>
        </w:tc>
        <w:tc>
          <w:tcPr>
            <w:tcW w:w="1495" w:type="dxa"/>
            <w:tcMar>
              <w:top w:w="60" w:type="dxa"/>
              <w:left w:w="120" w:type="dxa"/>
              <w:bottom w:w="30" w:type="dxa"/>
              <w:right w:w="120" w:type="dxa"/>
            </w:tcMar>
          </w:tcPr>
          <w:p w14:paraId="4B33FA97">
            <w:pPr>
              <w:pStyle w:val="459"/>
              <w:keepNext w:val="0"/>
              <w:keepLines w:val="0"/>
              <w:widowControl/>
              <w:suppressLineNumbers w:val="0"/>
              <w:spacing w:beforeAutospacing="0" w:afterAutospacing="0"/>
              <w:ind w:right="0"/>
              <w:jc w:val="center"/>
              <w:rPr>
                <w:rFonts w:hint="eastAsia" w:ascii="仿宋" w:hAnsi="仿宋" w:eastAsia="仿宋" w:cs="仿宋"/>
                <w:color w:val="auto"/>
                <w:sz w:val="24"/>
                <w:szCs w:val="24"/>
                <w:highlight w:val="none"/>
              </w:rPr>
            </w:pPr>
          </w:p>
        </w:tc>
        <w:tc>
          <w:tcPr>
            <w:tcW w:w="1495" w:type="dxa"/>
            <w:tcMar>
              <w:top w:w="60" w:type="dxa"/>
              <w:left w:w="120" w:type="dxa"/>
              <w:bottom w:w="30" w:type="dxa"/>
              <w:right w:w="120" w:type="dxa"/>
            </w:tcMar>
          </w:tcPr>
          <w:p w14:paraId="0588420A">
            <w:pPr>
              <w:pStyle w:val="459"/>
              <w:keepNext w:val="0"/>
              <w:keepLines w:val="0"/>
              <w:widowControl/>
              <w:suppressLineNumbers w:val="0"/>
              <w:spacing w:beforeAutospacing="0" w:afterAutospacing="0"/>
              <w:ind w:right="0"/>
              <w:jc w:val="center"/>
              <w:rPr>
                <w:rFonts w:hint="eastAsia" w:ascii="仿宋" w:hAnsi="仿宋" w:eastAsia="仿宋" w:cs="仿宋"/>
                <w:color w:val="auto"/>
                <w:sz w:val="24"/>
                <w:szCs w:val="24"/>
                <w:highlight w:val="none"/>
              </w:rPr>
            </w:pPr>
          </w:p>
        </w:tc>
        <w:tc>
          <w:tcPr>
            <w:tcW w:w="1496" w:type="dxa"/>
            <w:tcMar>
              <w:top w:w="60" w:type="dxa"/>
              <w:left w:w="120" w:type="dxa"/>
              <w:bottom w:w="30" w:type="dxa"/>
              <w:right w:w="120" w:type="dxa"/>
            </w:tcMar>
          </w:tcPr>
          <w:p w14:paraId="7A4EF05D">
            <w:pPr>
              <w:pStyle w:val="459"/>
              <w:keepNext w:val="0"/>
              <w:keepLines w:val="0"/>
              <w:widowControl/>
              <w:suppressLineNumbers w:val="0"/>
              <w:spacing w:beforeAutospacing="0" w:afterAutospacing="0"/>
              <w:ind w:right="0"/>
              <w:jc w:val="center"/>
              <w:rPr>
                <w:rFonts w:hint="eastAsia" w:ascii="仿宋" w:hAnsi="仿宋" w:eastAsia="仿宋" w:cs="仿宋"/>
                <w:color w:val="auto"/>
                <w:sz w:val="24"/>
                <w:szCs w:val="24"/>
                <w:highlight w:val="none"/>
              </w:rPr>
            </w:pPr>
          </w:p>
        </w:tc>
        <w:tc>
          <w:tcPr>
            <w:tcW w:w="1496" w:type="dxa"/>
            <w:tcMar>
              <w:top w:w="60" w:type="dxa"/>
              <w:left w:w="120" w:type="dxa"/>
              <w:bottom w:w="30" w:type="dxa"/>
              <w:right w:w="120" w:type="dxa"/>
            </w:tcMar>
          </w:tcPr>
          <w:p w14:paraId="1B8CBB68">
            <w:pPr>
              <w:pStyle w:val="459"/>
              <w:keepNext w:val="0"/>
              <w:keepLines w:val="0"/>
              <w:widowControl/>
              <w:suppressLineNumbers w:val="0"/>
              <w:spacing w:beforeAutospacing="0" w:afterAutospacing="0"/>
              <w:ind w:right="0"/>
              <w:jc w:val="center"/>
              <w:rPr>
                <w:rFonts w:hint="eastAsia" w:ascii="仿宋" w:hAnsi="仿宋" w:eastAsia="仿宋" w:cs="仿宋"/>
                <w:color w:val="auto"/>
                <w:sz w:val="24"/>
                <w:szCs w:val="24"/>
                <w:highlight w:val="none"/>
              </w:rPr>
            </w:pPr>
          </w:p>
        </w:tc>
      </w:tr>
    </w:tbl>
    <w:p w14:paraId="7362B8A6">
      <w:pPr>
        <w:pStyle w:val="459"/>
        <w:keepNext w:val="0"/>
        <w:keepLines w:val="0"/>
        <w:pageBreakBefore w:val="0"/>
        <w:widowControl/>
        <w:kinsoku/>
        <w:wordWrap/>
        <w:overflowPunct/>
        <w:topLinePunct w:val="0"/>
        <w:autoSpaceDE/>
        <w:autoSpaceDN/>
        <w:bidi w:val="0"/>
        <w:adjustRightInd w:val="0"/>
        <w:snapToGrid w:val="0"/>
        <w:spacing w:before="0" w:after="0" w:line="360" w:lineRule="auto"/>
        <w:textAlignment w:val="auto"/>
        <w:rPr>
          <w:rFonts w:hint="eastAsia" w:ascii="仿宋" w:hAnsi="仿宋" w:eastAsia="仿宋" w:cs="仿宋"/>
          <w:color w:val="auto"/>
          <w:sz w:val="24"/>
          <w:szCs w:val="24"/>
          <w:highlight w:val="none"/>
        </w:rPr>
      </w:pPr>
    </w:p>
    <w:p w14:paraId="3AF0D873">
      <w:pPr>
        <w:pStyle w:val="459"/>
        <w:keepNext w:val="0"/>
        <w:keepLines w:val="0"/>
        <w:pageBreakBefore w:val="0"/>
        <w:widowControl/>
        <w:kinsoku/>
        <w:wordWrap/>
        <w:overflowPunct/>
        <w:topLinePunct w:val="0"/>
        <w:autoSpaceDE/>
        <w:autoSpaceDN/>
        <w:bidi w:val="0"/>
        <w:adjustRightInd w:val="0"/>
        <w:snapToGrid w:val="0"/>
        <w:spacing w:before="0" w:after="0" w:line="540" w:lineRule="exac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提交人（签字）：________</w:t>
      </w:r>
    </w:p>
    <w:p w14:paraId="5A5F8CAC">
      <w:pPr>
        <w:pStyle w:val="459"/>
        <w:keepNext w:val="0"/>
        <w:keepLines w:val="0"/>
        <w:pageBreakBefore w:val="0"/>
        <w:widowControl/>
        <w:kinsoku/>
        <w:wordWrap/>
        <w:overflowPunct/>
        <w:topLinePunct w:val="0"/>
        <w:autoSpaceDE/>
        <w:autoSpaceDN/>
        <w:bidi w:val="0"/>
        <w:adjustRightInd w:val="0"/>
        <w:snapToGrid w:val="0"/>
        <w:spacing w:before="0" w:after="0" w:line="540" w:lineRule="exac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接收人（签字）：________</w:t>
      </w:r>
    </w:p>
    <w:p w14:paraId="3B515ADF">
      <w:pPr>
        <w:pStyle w:val="459"/>
        <w:keepNext w:val="0"/>
        <w:keepLines w:val="0"/>
        <w:pageBreakBefore w:val="0"/>
        <w:widowControl/>
        <w:kinsoku/>
        <w:wordWrap/>
        <w:overflowPunct/>
        <w:topLinePunct w:val="0"/>
        <w:autoSpaceDE/>
        <w:autoSpaceDN/>
        <w:bidi w:val="0"/>
        <w:adjustRightInd w:val="0"/>
        <w:snapToGrid w:val="0"/>
        <w:spacing w:before="0" w:after="0" w:line="540" w:lineRule="exac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日期：______年____月____日</w:t>
      </w:r>
    </w:p>
    <w:p w14:paraId="58BB0D29">
      <w:pPr>
        <w:rPr>
          <w:rFonts w:hint="eastAsia" w:ascii="仿宋" w:hAnsi="仿宋" w:eastAsia="仿宋" w:cs="仿宋"/>
          <w:color w:val="auto"/>
          <w:kern w:val="2"/>
          <w:sz w:val="30"/>
          <w:szCs w:val="30"/>
          <w:highlight w:val="none"/>
          <w:vertAlign w:val="baseline"/>
          <w:lang w:val="en-US" w:eastAsia="zh-CN" w:bidi="ar"/>
        </w:rPr>
      </w:pPr>
      <w:r>
        <w:rPr>
          <w:rFonts w:hint="eastAsia" w:ascii="仿宋" w:hAnsi="仿宋" w:eastAsia="仿宋" w:cs="仿宋"/>
          <w:color w:val="auto"/>
          <w:kern w:val="2"/>
          <w:sz w:val="30"/>
          <w:szCs w:val="30"/>
          <w:highlight w:val="none"/>
          <w:vertAlign w:val="baseline"/>
          <w:lang w:val="en-US" w:eastAsia="zh-CN" w:bidi="ar"/>
        </w:rPr>
        <w:br w:type="page"/>
      </w:r>
    </w:p>
    <w:p w14:paraId="04F22CC3">
      <w:pPr>
        <w:keepNext w:val="0"/>
        <w:keepLines w:val="0"/>
        <w:pageBreakBefore w:val="0"/>
        <w:widowControl w:val="0"/>
        <w:suppressLineNumbers w:val="0"/>
        <w:kinsoku/>
        <w:wordWrap/>
        <w:overflowPunct/>
        <w:topLinePunct w:val="0"/>
        <w:autoSpaceDE/>
        <w:autoSpaceDN/>
        <w:bidi w:val="0"/>
        <w:adjustRightInd w:val="0"/>
        <w:snapToGrid w:val="0"/>
        <w:spacing w:beforeAutospacing="0" w:after="157" w:afterLines="50" w:afterAutospacing="0" w:line="240" w:lineRule="auto"/>
        <w:ind w:right="0"/>
        <w:jc w:val="both"/>
        <w:textAlignment w:val="auto"/>
        <w:outlineLvl w:val="2"/>
        <w:rPr>
          <w:rFonts w:hint="eastAsia" w:ascii="仿宋" w:hAnsi="仿宋" w:eastAsia="仿宋" w:cs="仿宋"/>
          <w:b/>
          <w:bCs/>
          <w:color w:val="auto"/>
          <w:kern w:val="2"/>
          <w:sz w:val="28"/>
          <w:szCs w:val="28"/>
          <w:highlight w:val="none"/>
          <w:lang w:val="en-US" w:eastAsia="zh-CN" w:bidi="ar"/>
        </w:rPr>
      </w:pPr>
      <w:bookmarkStart w:id="76" w:name="_Toc26204"/>
      <w:r>
        <w:rPr>
          <w:rFonts w:hint="eastAsia" w:ascii="仿宋" w:hAnsi="仿宋" w:eastAsia="仿宋" w:cs="仿宋"/>
          <w:b/>
          <w:bCs/>
          <w:color w:val="auto"/>
          <w:kern w:val="2"/>
          <w:sz w:val="28"/>
          <w:szCs w:val="28"/>
          <w:highlight w:val="none"/>
          <w:lang w:val="en-US" w:eastAsia="zh-CN" w:bidi="ar"/>
        </w:rPr>
        <w:t>附件5：成交人执业许可证</w:t>
      </w:r>
      <w:bookmarkEnd w:id="76"/>
    </w:p>
    <w:p w14:paraId="56048D95">
      <w:pPr>
        <w:keepNext w:val="0"/>
        <w:keepLines w:val="0"/>
        <w:pageBreakBefore w:val="0"/>
        <w:widowControl w:val="0"/>
        <w:suppressLineNumbers w:val="0"/>
        <w:kinsoku/>
        <w:wordWrap/>
        <w:overflowPunct/>
        <w:topLinePunct w:val="0"/>
        <w:autoSpaceDE/>
        <w:autoSpaceDN/>
        <w:bidi w:val="0"/>
        <w:adjustRightInd w:val="0"/>
        <w:snapToGrid w:val="0"/>
        <w:spacing w:beforeAutospacing="0" w:after="157" w:afterLines="50" w:afterAutospacing="0" w:line="240" w:lineRule="auto"/>
        <w:ind w:right="0"/>
        <w:jc w:val="both"/>
        <w:textAlignment w:val="auto"/>
        <w:outlineLvl w:val="2"/>
        <w:rPr>
          <w:rFonts w:hint="eastAsia" w:ascii="仿宋" w:hAnsi="仿宋" w:eastAsia="仿宋" w:cs="仿宋"/>
          <w:color w:val="auto"/>
          <w:kern w:val="2"/>
          <w:sz w:val="30"/>
          <w:szCs w:val="30"/>
          <w:highlight w:val="none"/>
          <w:vertAlign w:val="baseline"/>
          <w:lang w:val="en-US" w:eastAsia="zh-CN" w:bidi="ar"/>
        </w:rPr>
      </w:pPr>
      <w:r>
        <w:rPr>
          <w:rFonts w:hint="eastAsia" w:ascii="仿宋" w:hAnsi="仿宋" w:eastAsia="仿宋" w:cs="仿宋"/>
          <w:b w:val="0"/>
          <w:bCs w:val="0"/>
          <w:color w:val="auto"/>
          <w:kern w:val="2"/>
          <w:sz w:val="28"/>
          <w:szCs w:val="28"/>
          <w:highlight w:val="none"/>
          <w:lang w:val="en-US" w:eastAsia="zh-CN" w:bidi="ar"/>
        </w:rPr>
        <w:t>签订合同时另附。</w:t>
      </w:r>
    </w:p>
    <w:p w14:paraId="1BC1CF46">
      <w:pPr>
        <w:keepNext w:val="0"/>
        <w:keepLines w:val="0"/>
        <w:pageBreakBefore w:val="0"/>
        <w:widowControl w:val="0"/>
        <w:suppressLineNumbers w:val="0"/>
        <w:kinsoku/>
        <w:wordWrap/>
        <w:overflowPunct/>
        <w:topLinePunct w:val="0"/>
        <w:autoSpaceDE/>
        <w:autoSpaceDN/>
        <w:bidi w:val="0"/>
        <w:adjustRightInd w:val="0"/>
        <w:snapToGrid w:val="0"/>
        <w:spacing w:beforeAutospacing="0" w:after="157" w:afterLines="50" w:afterAutospacing="0" w:line="240" w:lineRule="auto"/>
        <w:ind w:right="0"/>
        <w:jc w:val="both"/>
        <w:textAlignment w:val="auto"/>
        <w:outlineLvl w:val="2"/>
        <w:rPr>
          <w:rFonts w:hint="eastAsia" w:ascii="仿宋" w:hAnsi="仿宋" w:eastAsia="仿宋" w:cs="仿宋"/>
          <w:color w:val="auto"/>
          <w:kern w:val="2"/>
          <w:sz w:val="30"/>
          <w:szCs w:val="30"/>
          <w:highlight w:val="none"/>
          <w:vertAlign w:val="baseline"/>
          <w:lang w:val="en-US" w:eastAsia="zh-CN" w:bidi="ar"/>
        </w:rPr>
      </w:pPr>
      <w:r>
        <w:rPr>
          <w:rFonts w:hint="eastAsia" w:ascii="仿宋" w:hAnsi="仿宋" w:eastAsia="仿宋" w:cs="仿宋"/>
          <w:color w:val="auto"/>
          <w:kern w:val="2"/>
          <w:sz w:val="30"/>
          <w:szCs w:val="30"/>
          <w:highlight w:val="none"/>
          <w:vertAlign w:val="baseline"/>
          <w:lang w:val="en-US" w:eastAsia="zh-CN" w:bidi="ar"/>
        </w:rPr>
        <w:br w:type="page"/>
      </w:r>
      <w:bookmarkStart w:id="83" w:name="_GoBack"/>
      <w:bookmarkEnd w:id="83"/>
    </w:p>
    <w:p w14:paraId="38316775">
      <w:pPr>
        <w:pStyle w:val="2"/>
        <w:spacing w:before="62" w:beforeLines="20" w:after="62" w:afterLines="20" w:line="480" w:lineRule="exact"/>
        <w:ind w:firstLine="0" w:firstLineChars="0"/>
        <w:jc w:val="center"/>
        <w:rPr>
          <w:rFonts w:ascii="Arial" w:hAnsi="Arial"/>
          <w:color w:val="auto"/>
          <w:kern w:val="2"/>
          <w:sz w:val="32"/>
          <w:szCs w:val="32"/>
          <w:highlight w:val="none"/>
        </w:rPr>
      </w:pPr>
      <w:r>
        <w:rPr>
          <w:rFonts w:hint="eastAsia" w:ascii="Arial" w:hAnsi="Arial"/>
          <w:color w:val="auto"/>
          <w:kern w:val="2"/>
          <w:sz w:val="32"/>
          <w:szCs w:val="32"/>
          <w:highlight w:val="none"/>
          <w:lang w:val="zh-CN"/>
        </w:rPr>
        <w:t>第</w:t>
      </w:r>
      <w:r>
        <w:rPr>
          <w:rFonts w:hint="eastAsia" w:ascii="Arial" w:hAnsi="Arial"/>
          <w:color w:val="auto"/>
          <w:kern w:val="2"/>
          <w:sz w:val="32"/>
          <w:szCs w:val="32"/>
          <w:highlight w:val="none"/>
        </w:rPr>
        <w:t>五</w:t>
      </w:r>
      <w:r>
        <w:rPr>
          <w:rFonts w:hint="eastAsia" w:ascii="Arial" w:hAnsi="Arial"/>
          <w:color w:val="auto"/>
          <w:kern w:val="2"/>
          <w:sz w:val="32"/>
          <w:szCs w:val="32"/>
          <w:highlight w:val="none"/>
          <w:lang w:val="zh-CN"/>
        </w:rPr>
        <w:t xml:space="preserve">章  </w:t>
      </w:r>
      <w:bookmarkEnd w:id="63"/>
      <w:bookmarkEnd w:id="64"/>
      <w:bookmarkEnd w:id="65"/>
      <w:bookmarkEnd w:id="66"/>
      <w:bookmarkStart w:id="77" w:name="_Toc26873"/>
      <w:bookmarkStart w:id="78" w:name="_Toc54884158"/>
      <w:r>
        <w:rPr>
          <w:rFonts w:hint="eastAsia" w:ascii="Arial" w:hAnsi="Arial"/>
          <w:color w:val="auto"/>
          <w:kern w:val="2"/>
          <w:sz w:val="32"/>
          <w:szCs w:val="32"/>
          <w:highlight w:val="none"/>
        </w:rPr>
        <w:t>参选文件格式</w:t>
      </w:r>
      <w:bookmarkEnd w:id="77"/>
      <w:bookmarkEnd w:id="78"/>
    </w:p>
    <w:p w14:paraId="49945C73">
      <w:pPr>
        <w:spacing w:line="360" w:lineRule="auto"/>
        <w:jc w:val="center"/>
        <w:rPr>
          <w:rFonts w:ascii="仿宋" w:hAnsi="仿宋" w:eastAsia="仿宋"/>
          <w:b/>
          <w:color w:val="auto"/>
          <w:spacing w:val="20"/>
          <w:sz w:val="36"/>
          <w:szCs w:val="36"/>
          <w:highlight w:val="none"/>
          <w:u w:val="single"/>
        </w:rPr>
      </w:pPr>
    </w:p>
    <w:p w14:paraId="2C41F8BF">
      <w:pPr>
        <w:spacing w:line="360" w:lineRule="auto"/>
        <w:jc w:val="center"/>
        <w:rPr>
          <w:rFonts w:ascii="宋体" w:hAnsi="宋体"/>
          <w:color w:val="auto"/>
          <w:sz w:val="24"/>
          <w:highlight w:val="none"/>
        </w:rPr>
      </w:pPr>
      <w:r>
        <w:rPr>
          <w:rFonts w:hint="eastAsia" w:ascii="仿宋" w:hAnsi="仿宋" w:eastAsia="仿宋"/>
          <w:b/>
          <w:color w:val="auto"/>
          <w:spacing w:val="20"/>
          <w:sz w:val="36"/>
          <w:szCs w:val="36"/>
          <w:highlight w:val="none"/>
        </w:rPr>
        <w:t>（项目名称</w:t>
      </w:r>
      <w:r>
        <w:rPr>
          <w:rFonts w:hint="eastAsia" w:ascii="仿宋" w:hAnsi="仿宋" w:eastAsia="仿宋"/>
          <w:b/>
          <w:color w:val="auto"/>
          <w:spacing w:val="20"/>
          <w:sz w:val="36"/>
          <w:szCs w:val="36"/>
          <w:highlight w:val="none"/>
          <w:lang w:eastAsia="zh-CN"/>
        </w:rPr>
        <w:t>：</w:t>
      </w:r>
      <w:r>
        <w:rPr>
          <w:rFonts w:hint="default" w:ascii="仿宋" w:hAnsi="仿宋" w:eastAsia="仿宋"/>
          <w:b/>
          <w:color w:val="auto"/>
          <w:spacing w:val="20"/>
          <w:sz w:val="36"/>
          <w:szCs w:val="36"/>
          <w:highlight w:val="none"/>
          <w:lang w:val="en-US" w:eastAsia="zh-CN"/>
        </w:rPr>
        <w:t>_____________________</w:t>
      </w:r>
      <w:r>
        <w:rPr>
          <w:rFonts w:hint="eastAsia" w:ascii="仿宋" w:hAnsi="仿宋" w:eastAsia="仿宋"/>
          <w:b/>
          <w:color w:val="auto"/>
          <w:spacing w:val="20"/>
          <w:sz w:val="36"/>
          <w:szCs w:val="36"/>
          <w:highlight w:val="none"/>
        </w:rPr>
        <w:t>）</w:t>
      </w:r>
    </w:p>
    <w:p w14:paraId="37BE6761">
      <w:pPr>
        <w:spacing w:line="360" w:lineRule="auto"/>
        <w:ind w:firstLine="803" w:firstLineChars="200"/>
        <w:rPr>
          <w:rFonts w:ascii="宋体" w:hAnsi="宋体"/>
          <w:color w:val="auto"/>
          <w:sz w:val="24"/>
          <w:highlight w:val="none"/>
        </w:rPr>
      </w:pPr>
      <w:r>
        <w:rPr>
          <w:rFonts w:hint="eastAsia" w:ascii="仿宋" w:hAnsi="仿宋" w:eastAsia="仿宋"/>
          <w:b/>
          <w:color w:val="auto"/>
          <w:spacing w:val="20"/>
          <w:sz w:val="36"/>
          <w:szCs w:val="36"/>
          <w:highlight w:val="none"/>
        </w:rPr>
        <w:t>（项目</w:t>
      </w:r>
      <w:r>
        <w:rPr>
          <w:rFonts w:hint="eastAsia" w:ascii="仿宋" w:hAnsi="仿宋" w:eastAsia="仿宋"/>
          <w:b/>
          <w:color w:val="auto"/>
          <w:spacing w:val="20"/>
          <w:sz w:val="36"/>
          <w:szCs w:val="36"/>
          <w:highlight w:val="none"/>
          <w:lang w:val="en-US" w:eastAsia="zh-CN"/>
        </w:rPr>
        <w:t>编号</w:t>
      </w:r>
      <w:r>
        <w:rPr>
          <w:rFonts w:hint="default" w:ascii="仿宋" w:hAnsi="仿宋" w:eastAsia="仿宋"/>
          <w:b/>
          <w:color w:val="auto"/>
          <w:spacing w:val="20"/>
          <w:sz w:val="36"/>
          <w:szCs w:val="36"/>
          <w:highlight w:val="none"/>
          <w:lang w:val="en-US" w:eastAsia="zh-CN"/>
        </w:rPr>
        <w:t>:______________________</w:t>
      </w:r>
      <w:r>
        <w:rPr>
          <w:rFonts w:hint="eastAsia" w:ascii="仿宋" w:hAnsi="仿宋" w:eastAsia="仿宋"/>
          <w:b/>
          <w:color w:val="auto"/>
          <w:spacing w:val="20"/>
          <w:sz w:val="36"/>
          <w:szCs w:val="36"/>
          <w:highlight w:val="none"/>
        </w:rPr>
        <w:t>）</w:t>
      </w:r>
    </w:p>
    <w:p w14:paraId="10E9401D">
      <w:pPr>
        <w:spacing w:line="360" w:lineRule="auto"/>
        <w:rPr>
          <w:rFonts w:ascii="宋体" w:hAnsi="宋体"/>
          <w:color w:val="auto"/>
          <w:sz w:val="24"/>
          <w:highlight w:val="none"/>
        </w:rPr>
      </w:pPr>
    </w:p>
    <w:p w14:paraId="56FBD223">
      <w:pPr>
        <w:spacing w:line="900" w:lineRule="auto"/>
        <w:jc w:val="center"/>
        <w:rPr>
          <w:rFonts w:ascii="宋体" w:hAnsi="宋体"/>
          <w:b/>
          <w:color w:val="auto"/>
          <w:sz w:val="96"/>
          <w:szCs w:val="72"/>
          <w:highlight w:val="none"/>
        </w:rPr>
      </w:pPr>
      <w:r>
        <w:rPr>
          <w:rFonts w:hint="eastAsia" w:ascii="宋体" w:hAnsi="宋体"/>
          <w:b/>
          <w:color w:val="auto"/>
          <w:sz w:val="96"/>
          <w:szCs w:val="72"/>
          <w:highlight w:val="none"/>
        </w:rPr>
        <w:t>参</w:t>
      </w:r>
    </w:p>
    <w:p w14:paraId="03FDAD36">
      <w:pPr>
        <w:spacing w:line="900" w:lineRule="auto"/>
        <w:jc w:val="center"/>
        <w:rPr>
          <w:rFonts w:ascii="宋体" w:hAnsi="宋体"/>
          <w:b/>
          <w:color w:val="auto"/>
          <w:sz w:val="96"/>
          <w:szCs w:val="72"/>
          <w:highlight w:val="none"/>
        </w:rPr>
      </w:pPr>
      <w:r>
        <w:rPr>
          <w:rFonts w:hint="eastAsia" w:ascii="宋体" w:hAnsi="宋体"/>
          <w:b/>
          <w:color w:val="auto"/>
          <w:sz w:val="96"/>
          <w:szCs w:val="72"/>
          <w:highlight w:val="none"/>
        </w:rPr>
        <w:t>选</w:t>
      </w:r>
    </w:p>
    <w:p w14:paraId="699AEAE3">
      <w:pPr>
        <w:spacing w:line="900" w:lineRule="auto"/>
        <w:jc w:val="center"/>
        <w:rPr>
          <w:rFonts w:ascii="宋体" w:hAnsi="宋体"/>
          <w:b/>
          <w:color w:val="auto"/>
          <w:sz w:val="96"/>
          <w:szCs w:val="72"/>
          <w:highlight w:val="none"/>
        </w:rPr>
      </w:pPr>
      <w:r>
        <w:rPr>
          <w:rFonts w:hint="eastAsia" w:ascii="宋体" w:hAnsi="宋体"/>
          <w:b/>
          <w:color w:val="auto"/>
          <w:sz w:val="96"/>
          <w:szCs w:val="72"/>
          <w:highlight w:val="none"/>
        </w:rPr>
        <w:t>文</w:t>
      </w:r>
    </w:p>
    <w:p w14:paraId="4660B020">
      <w:pPr>
        <w:spacing w:line="900" w:lineRule="auto"/>
        <w:jc w:val="center"/>
        <w:rPr>
          <w:rFonts w:ascii="宋体" w:hAnsi="宋体"/>
          <w:b/>
          <w:color w:val="auto"/>
          <w:sz w:val="96"/>
          <w:szCs w:val="72"/>
          <w:highlight w:val="none"/>
        </w:rPr>
      </w:pPr>
      <w:r>
        <w:rPr>
          <w:rFonts w:hint="eastAsia" w:ascii="宋体" w:hAnsi="宋体"/>
          <w:b/>
          <w:color w:val="auto"/>
          <w:sz w:val="96"/>
          <w:szCs w:val="72"/>
          <w:highlight w:val="none"/>
        </w:rPr>
        <w:t>件</w:t>
      </w:r>
    </w:p>
    <w:p w14:paraId="1E15E8A7">
      <w:pPr>
        <w:pStyle w:val="82"/>
        <w:spacing w:before="156"/>
        <w:ind w:firstLine="350"/>
        <w:rPr>
          <w:color w:val="auto"/>
          <w:highlight w:val="none"/>
        </w:rPr>
      </w:pPr>
    </w:p>
    <w:p w14:paraId="6EEADEAF">
      <w:pPr>
        <w:spacing w:line="360" w:lineRule="auto"/>
        <w:rPr>
          <w:rFonts w:ascii="宋体" w:hAnsi="宋体"/>
          <w:color w:val="auto"/>
          <w:sz w:val="24"/>
          <w:highlight w:val="none"/>
        </w:rPr>
      </w:pPr>
    </w:p>
    <w:p w14:paraId="34B8CFE0">
      <w:pPr>
        <w:spacing w:line="360" w:lineRule="auto"/>
        <w:ind w:firstLine="148" w:firstLineChars="49"/>
        <w:rPr>
          <w:rFonts w:ascii="宋体" w:hAnsi="宋体"/>
          <w:b/>
          <w:color w:val="auto"/>
          <w:sz w:val="30"/>
          <w:szCs w:val="30"/>
          <w:highlight w:val="none"/>
        </w:rPr>
      </w:pPr>
      <w:r>
        <w:rPr>
          <w:rFonts w:hint="eastAsia" w:ascii="宋体" w:hAnsi="宋体"/>
          <w:b/>
          <w:color w:val="auto"/>
          <w:sz w:val="30"/>
          <w:szCs w:val="30"/>
          <w:highlight w:val="none"/>
        </w:rPr>
        <w:t>采购人名称：</w:t>
      </w:r>
      <w:r>
        <w:rPr>
          <w:rFonts w:hint="eastAsia" w:ascii="宋体" w:hAnsi="宋体"/>
          <w:b/>
          <w:color w:val="auto"/>
          <w:sz w:val="30"/>
          <w:szCs w:val="30"/>
          <w:highlight w:val="none"/>
          <w:u w:val="single"/>
        </w:rPr>
        <w:t xml:space="preserve">                                        </w:t>
      </w:r>
      <w:r>
        <w:rPr>
          <w:rFonts w:hint="eastAsia" w:ascii="宋体" w:hAnsi="宋体"/>
          <w:b/>
          <w:color w:val="auto"/>
          <w:sz w:val="30"/>
          <w:szCs w:val="30"/>
          <w:highlight w:val="none"/>
        </w:rPr>
        <w:t xml:space="preserve"> </w:t>
      </w:r>
    </w:p>
    <w:p w14:paraId="62D4BF87">
      <w:pPr>
        <w:spacing w:line="360" w:lineRule="auto"/>
        <w:rPr>
          <w:rFonts w:ascii="宋体" w:hAnsi="宋体"/>
          <w:b/>
          <w:color w:val="auto"/>
          <w:sz w:val="30"/>
          <w:szCs w:val="30"/>
          <w:highlight w:val="none"/>
        </w:rPr>
      </w:pPr>
    </w:p>
    <w:p w14:paraId="764D1A80">
      <w:pPr>
        <w:spacing w:line="360" w:lineRule="auto"/>
        <w:ind w:firstLine="148" w:firstLineChars="49"/>
        <w:rPr>
          <w:rFonts w:ascii="宋体" w:hAnsi="宋体"/>
          <w:b/>
          <w:color w:val="auto"/>
          <w:sz w:val="30"/>
          <w:szCs w:val="30"/>
          <w:highlight w:val="none"/>
          <w:u w:val="single"/>
        </w:rPr>
      </w:pPr>
      <w:r>
        <w:rPr>
          <w:rFonts w:hint="eastAsia" w:ascii="宋体" w:hAnsi="宋体"/>
          <w:b/>
          <w:color w:val="auto"/>
          <w:sz w:val="30"/>
          <w:szCs w:val="30"/>
          <w:highlight w:val="none"/>
        </w:rPr>
        <w:t xml:space="preserve">参选人名称： </w:t>
      </w:r>
      <w:r>
        <w:rPr>
          <w:rFonts w:hint="eastAsia" w:ascii="宋体" w:hAnsi="宋体"/>
          <w:b/>
          <w:color w:val="auto"/>
          <w:sz w:val="30"/>
          <w:szCs w:val="30"/>
          <w:highlight w:val="none"/>
          <w:u w:val="single"/>
        </w:rPr>
        <w:t xml:space="preserve">                              （盖 章）</w:t>
      </w:r>
    </w:p>
    <w:p w14:paraId="58CD2BE6">
      <w:pPr>
        <w:pStyle w:val="82"/>
        <w:spacing w:before="156"/>
        <w:ind w:firstLine="350"/>
        <w:rPr>
          <w:color w:val="auto"/>
          <w:highlight w:val="none"/>
        </w:rPr>
      </w:pPr>
    </w:p>
    <w:p w14:paraId="7BE6F0EE">
      <w:pPr>
        <w:spacing w:line="360" w:lineRule="auto"/>
        <w:ind w:firstLine="148" w:firstLineChars="49"/>
        <w:rPr>
          <w:rFonts w:ascii="宋体"/>
          <w:b/>
          <w:color w:val="auto"/>
          <w:sz w:val="30"/>
          <w:szCs w:val="30"/>
          <w:highlight w:val="none"/>
        </w:rPr>
      </w:pPr>
      <w:r>
        <w:rPr>
          <w:rFonts w:hint="eastAsia" w:ascii="宋体" w:hAnsi="宋体" w:cs="宋体"/>
          <w:b/>
          <w:color w:val="auto"/>
          <w:sz w:val="30"/>
          <w:szCs w:val="30"/>
          <w:highlight w:val="none"/>
        </w:rPr>
        <w:t>法定代表人或委托代理人：</w:t>
      </w:r>
      <w:r>
        <w:rPr>
          <w:rFonts w:hint="eastAsia" w:ascii="宋体" w:hAnsi="宋体" w:cs="宋体"/>
          <w:b/>
          <w:color w:val="auto"/>
          <w:sz w:val="30"/>
          <w:szCs w:val="30"/>
          <w:highlight w:val="none"/>
          <w:u w:val="single"/>
        </w:rPr>
        <w:t xml:space="preserve">                (签字或盖章)</w:t>
      </w:r>
    </w:p>
    <w:p w14:paraId="3ACAF24D">
      <w:pPr>
        <w:spacing w:line="360" w:lineRule="auto"/>
        <w:rPr>
          <w:rFonts w:ascii="仿宋_GB2312" w:eastAsia="仿宋_GB2312"/>
          <w:color w:val="auto"/>
          <w:sz w:val="30"/>
          <w:szCs w:val="30"/>
          <w:highlight w:val="none"/>
        </w:rPr>
      </w:pPr>
    </w:p>
    <w:p w14:paraId="0CEBC3BD">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 xml:space="preserve">日期： </w:t>
      </w:r>
      <w:r>
        <w:rPr>
          <w:rFonts w:ascii="宋体" w:hAnsi="宋体"/>
          <w:b/>
          <w:color w:val="auto"/>
          <w:sz w:val="30"/>
          <w:szCs w:val="30"/>
          <w:highlight w:val="none"/>
        </w:rPr>
        <w:t xml:space="preserve">   </w:t>
      </w:r>
      <w:r>
        <w:rPr>
          <w:rFonts w:hint="eastAsia" w:ascii="宋体" w:hAnsi="宋体"/>
          <w:b/>
          <w:color w:val="auto"/>
          <w:sz w:val="30"/>
          <w:szCs w:val="30"/>
          <w:highlight w:val="none"/>
        </w:rPr>
        <w:t xml:space="preserve">年 </w:t>
      </w:r>
      <w:r>
        <w:rPr>
          <w:rFonts w:ascii="宋体" w:hAnsi="宋体"/>
          <w:b/>
          <w:color w:val="auto"/>
          <w:sz w:val="30"/>
          <w:szCs w:val="30"/>
          <w:highlight w:val="none"/>
        </w:rPr>
        <w:t xml:space="preserve">   </w:t>
      </w:r>
      <w:r>
        <w:rPr>
          <w:rFonts w:hint="eastAsia" w:ascii="宋体" w:hAnsi="宋体"/>
          <w:b/>
          <w:color w:val="auto"/>
          <w:sz w:val="30"/>
          <w:szCs w:val="30"/>
          <w:highlight w:val="none"/>
        </w:rPr>
        <w:t xml:space="preserve">月 </w:t>
      </w:r>
      <w:r>
        <w:rPr>
          <w:rFonts w:ascii="宋体" w:hAnsi="宋体"/>
          <w:b/>
          <w:color w:val="auto"/>
          <w:sz w:val="30"/>
          <w:szCs w:val="30"/>
          <w:highlight w:val="none"/>
        </w:rPr>
        <w:t xml:space="preserve">   </w:t>
      </w:r>
      <w:r>
        <w:rPr>
          <w:rFonts w:hint="eastAsia" w:ascii="宋体" w:hAnsi="宋体"/>
          <w:b/>
          <w:color w:val="auto"/>
          <w:sz w:val="30"/>
          <w:szCs w:val="30"/>
          <w:highlight w:val="none"/>
        </w:rPr>
        <w:t>日</w:t>
      </w:r>
    </w:p>
    <w:p w14:paraId="4F4EF1B3">
      <w:pPr>
        <w:spacing w:line="480" w:lineRule="exact"/>
        <w:jc w:val="center"/>
        <w:rPr>
          <w:rFonts w:ascii="宋体" w:hAnsi="宋体"/>
          <w:b/>
          <w:color w:val="auto"/>
          <w:sz w:val="30"/>
          <w:szCs w:val="30"/>
          <w:highlight w:val="none"/>
        </w:rPr>
      </w:pPr>
    </w:p>
    <w:p w14:paraId="2C8155D5">
      <w:pPr>
        <w:spacing w:line="480" w:lineRule="exact"/>
        <w:rPr>
          <w:rFonts w:ascii="黑体" w:eastAsia="黑体"/>
          <w:b/>
          <w:bCs/>
          <w:color w:val="auto"/>
          <w:szCs w:val="21"/>
          <w:highlight w:val="none"/>
        </w:rPr>
      </w:pPr>
    </w:p>
    <w:p w14:paraId="3891DCD9">
      <w:pPr>
        <w:jc w:val="center"/>
        <w:rPr>
          <w:rFonts w:ascii="宋体" w:cs="宋体"/>
          <w:b/>
          <w:color w:val="auto"/>
          <w:sz w:val="30"/>
          <w:szCs w:val="30"/>
          <w:highlight w:val="none"/>
        </w:rPr>
      </w:pPr>
      <w:r>
        <w:rPr>
          <w:rFonts w:hint="eastAsia" w:ascii="宋体" w:hAnsi="宋体" w:cs="宋体"/>
          <w:b/>
          <w:color w:val="auto"/>
          <w:sz w:val="30"/>
          <w:szCs w:val="30"/>
          <w:highlight w:val="none"/>
        </w:rPr>
        <w:t>目</w:t>
      </w:r>
      <w:r>
        <w:rPr>
          <w:rFonts w:hint="eastAsia" w:ascii="宋体" w:hAnsi="宋体" w:cs="宋体"/>
          <w:b/>
          <w:color w:val="auto"/>
          <w:sz w:val="30"/>
          <w:szCs w:val="30"/>
          <w:highlight w:val="none"/>
          <w:lang w:val="en-US" w:eastAsia="zh-CN"/>
        </w:rPr>
        <w:t xml:space="preserve">  </w:t>
      </w:r>
      <w:r>
        <w:rPr>
          <w:rFonts w:hint="eastAsia" w:ascii="宋体" w:hAnsi="宋体" w:cs="宋体"/>
          <w:b/>
          <w:color w:val="auto"/>
          <w:sz w:val="30"/>
          <w:szCs w:val="30"/>
          <w:highlight w:val="none"/>
        </w:rPr>
        <w:t>录</w:t>
      </w:r>
    </w:p>
    <w:p w14:paraId="43D54045">
      <w:pPr>
        <w:pStyle w:val="82"/>
        <w:rPr>
          <w:rFonts w:hint="eastAsia" w:ascii="宋体" w:hAnsi="宋体"/>
          <w:color w:val="auto"/>
          <w:sz w:val="24"/>
          <w:highlight w:val="none"/>
        </w:rPr>
      </w:pPr>
      <w:r>
        <w:rPr>
          <w:rFonts w:hint="eastAsia" w:ascii="宋体" w:hAnsi="宋体"/>
          <w:color w:val="auto"/>
          <w:sz w:val="24"/>
          <w:highlight w:val="none"/>
        </w:rPr>
        <w:t>一、</w:t>
      </w:r>
      <w:r>
        <w:rPr>
          <w:rFonts w:hint="eastAsia" w:ascii="宋体" w:hAnsi="宋体"/>
          <w:color w:val="auto"/>
          <w:sz w:val="24"/>
          <w:highlight w:val="none"/>
          <w:lang w:val="en-US" w:eastAsia="zh-CN"/>
        </w:rPr>
        <w:t>参选函</w:t>
      </w:r>
    </w:p>
    <w:p w14:paraId="73AD4447">
      <w:pPr>
        <w:pStyle w:val="82"/>
        <w:rPr>
          <w:rFonts w:hint="eastAsia" w:ascii="宋体" w:hAnsi="宋体"/>
          <w:color w:val="auto"/>
          <w:sz w:val="24"/>
          <w:highlight w:val="none"/>
        </w:rPr>
      </w:pPr>
      <w:r>
        <w:rPr>
          <w:rFonts w:hint="eastAsia" w:ascii="宋体" w:hAnsi="宋体"/>
          <w:color w:val="auto"/>
          <w:sz w:val="24"/>
          <w:highlight w:val="none"/>
        </w:rPr>
        <w:t>二、报价表</w:t>
      </w:r>
    </w:p>
    <w:p w14:paraId="3DAC9C42">
      <w:pPr>
        <w:pStyle w:val="82"/>
        <w:rPr>
          <w:rFonts w:hint="eastAsia" w:ascii="宋体" w:hAnsi="宋体"/>
          <w:color w:val="auto"/>
          <w:sz w:val="24"/>
          <w:highlight w:val="none"/>
        </w:rPr>
      </w:pPr>
      <w:r>
        <w:rPr>
          <w:rFonts w:hint="eastAsia" w:ascii="宋体" w:hAnsi="宋体"/>
          <w:color w:val="auto"/>
          <w:sz w:val="24"/>
          <w:highlight w:val="none"/>
        </w:rPr>
        <w:t>三、相关证明文件</w:t>
      </w:r>
    </w:p>
    <w:p w14:paraId="633C2590">
      <w:pPr>
        <w:pStyle w:val="82"/>
        <w:rPr>
          <w:rFonts w:hint="eastAsia" w:ascii="宋体" w:hAnsi="宋体"/>
          <w:color w:val="auto"/>
          <w:sz w:val="24"/>
          <w:highlight w:val="none"/>
        </w:rPr>
      </w:pPr>
    </w:p>
    <w:p w14:paraId="6BD7A7B0">
      <w:pPr>
        <w:widowControl/>
        <w:jc w:val="left"/>
        <w:rPr>
          <w:rFonts w:ascii="宋体" w:cs="宋体"/>
          <w:color w:val="auto"/>
          <w:sz w:val="24"/>
          <w:highlight w:val="none"/>
        </w:rPr>
      </w:pPr>
      <w:r>
        <w:rPr>
          <w:rFonts w:ascii="宋体" w:cs="宋体"/>
          <w:color w:val="auto"/>
          <w:sz w:val="24"/>
          <w:highlight w:val="none"/>
        </w:rPr>
        <w:br w:type="page"/>
      </w:r>
    </w:p>
    <w:p w14:paraId="6B3C16F0">
      <w:pPr>
        <w:pStyle w:val="8"/>
        <w:jc w:val="center"/>
        <w:rPr>
          <w:color w:val="auto"/>
          <w:sz w:val="28"/>
          <w:szCs w:val="28"/>
          <w:highlight w:val="none"/>
        </w:rPr>
      </w:pPr>
      <w:bookmarkStart w:id="79" w:name="_Toc54941342"/>
      <w:bookmarkStart w:id="80" w:name="_Toc476584433"/>
      <w:r>
        <w:rPr>
          <w:rFonts w:hint="eastAsia" w:cs="宋体"/>
          <w:color w:val="auto"/>
          <w:sz w:val="28"/>
          <w:szCs w:val="28"/>
          <w:highlight w:val="none"/>
        </w:rPr>
        <w:t>一、</w:t>
      </w:r>
      <w:bookmarkEnd w:id="79"/>
      <w:bookmarkEnd w:id="80"/>
      <w:r>
        <w:rPr>
          <w:rFonts w:hint="eastAsia"/>
          <w:color w:val="auto"/>
          <w:sz w:val="28"/>
          <w:szCs w:val="28"/>
          <w:highlight w:val="none"/>
          <w:lang w:val="en-US" w:eastAsia="zh-CN"/>
        </w:rPr>
        <w:t>参选函</w:t>
      </w:r>
    </w:p>
    <w:p w14:paraId="1266B40E">
      <w:pPr>
        <w:tabs>
          <w:tab w:val="left" w:pos="5580"/>
        </w:tabs>
        <w:spacing w:before="120" w:line="360" w:lineRule="auto"/>
        <w:rPr>
          <w:rFonts w:hint="eastAsia" w:ascii="宋体" w:hAnsi="宋体"/>
          <w:color w:val="auto"/>
          <w:szCs w:val="21"/>
          <w:highlight w:val="none"/>
        </w:rPr>
      </w:pPr>
    </w:p>
    <w:p w14:paraId="1CE0FD45">
      <w:pPr>
        <w:tabs>
          <w:tab w:val="left" w:pos="5580"/>
        </w:tabs>
        <w:spacing w:before="120" w:line="360" w:lineRule="auto"/>
        <w:rPr>
          <w:rFonts w:ascii="宋体" w:hAnsi="宋体"/>
          <w:color w:val="auto"/>
          <w:szCs w:val="21"/>
          <w:highlight w:val="none"/>
          <w:u w:val="single"/>
        </w:rPr>
      </w:pPr>
      <w:r>
        <w:rPr>
          <w:rFonts w:hint="eastAsia" w:ascii="宋体" w:hAnsi="宋体"/>
          <w:color w:val="auto"/>
          <w:szCs w:val="21"/>
          <w:highlight w:val="none"/>
        </w:rPr>
        <w:t>致：</w:t>
      </w:r>
      <w:r>
        <w:rPr>
          <w:rFonts w:hint="eastAsia" w:ascii="宋体" w:hAnsi="宋体"/>
          <w:color w:val="auto"/>
          <w:szCs w:val="21"/>
          <w:highlight w:val="none"/>
          <w:u w:val="single"/>
          <w:lang w:eastAsia="zh-CN"/>
        </w:rPr>
        <w:t>安庆</w:t>
      </w:r>
      <w:r>
        <w:rPr>
          <w:rFonts w:hint="eastAsia" w:ascii="宋体" w:hAnsi="宋体"/>
          <w:color w:val="auto"/>
          <w:szCs w:val="21"/>
          <w:highlight w:val="none"/>
          <w:u w:val="single"/>
          <w:lang w:val="en-US" w:eastAsia="zh-CN"/>
        </w:rPr>
        <w:t>中安供应链管理有限责任</w:t>
      </w:r>
      <w:r>
        <w:rPr>
          <w:rFonts w:hint="eastAsia" w:ascii="宋体" w:hAnsi="宋体"/>
          <w:color w:val="auto"/>
          <w:szCs w:val="21"/>
          <w:highlight w:val="none"/>
          <w:u w:val="single"/>
          <w:lang w:eastAsia="zh-CN"/>
        </w:rPr>
        <w:t>公司</w:t>
      </w:r>
    </w:p>
    <w:p w14:paraId="378BFED1">
      <w:pPr>
        <w:widowControl w:val="0"/>
        <w:numPr>
          <w:ilvl w:val="0"/>
          <w:numId w:val="30"/>
        </w:numPr>
        <w:tabs>
          <w:tab w:val="left" w:pos="5580"/>
        </w:tabs>
        <w:spacing w:line="360" w:lineRule="auto"/>
        <w:ind w:firstLine="420" w:firstLineChars="200"/>
        <w:jc w:val="both"/>
        <w:rPr>
          <w:rFonts w:ascii="宋体" w:hAnsi="宋体" w:eastAsia="宋体" w:cs="Courier New"/>
          <w:color w:val="auto"/>
          <w:kern w:val="2"/>
          <w:sz w:val="21"/>
          <w:szCs w:val="21"/>
          <w:highlight w:val="none"/>
          <w:lang w:val="en-US" w:eastAsia="zh-CN" w:bidi="ar-SA"/>
        </w:rPr>
      </w:pPr>
      <w:r>
        <w:rPr>
          <w:rFonts w:hint="eastAsia" w:ascii="宋体" w:hAnsi="宋体" w:eastAsia="宋体" w:cs="Courier New"/>
          <w:color w:val="auto"/>
          <w:kern w:val="2"/>
          <w:sz w:val="21"/>
          <w:szCs w:val="21"/>
          <w:highlight w:val="none"/>
          <w:lang w:val="en-US" w:eastAsia="zh-CN" w:bidi="ar-SA"/>
        </w:rPr>
        <w:t>根据贵方比选公告，我方决定参加贵方组织的</w:t>
      </w:r>
      <w:r>
        <w:rPr>
          <w:rFonts w:hint="eastAsia" w:ascii="宋体" w:hAnsi="宋体" w:cs="Courier New"/>
          <w:color w:val="auto"/>
          <w:kern w:val="2"/>
          <w:sz w:val="21"/>
          <w:szCs w:val="21"/>
          <w:highlight w:val="none"/>
          <w:u w:val="single"/>
          <w:lang w:val="en-US" w:eastAsia="zh-CN" w:bidi="ar-SA"/>
        </w:rPr>
        <w:t xml:space="preserve"> 安庆中安公司诉上海星徽汽车贸易有限公司合同纠纷案件诉讼代理服（重新招标）</w:t>
      </w:r>
      <w:r>
        <w:rPr>
          <w:rFonts w:hint="eastAsia" w:ascii="宋体" w:hAnsi="宋体" w:eastAsia="宋体" w:cs="Courier New"/>
          <w:color w:val="auto"/>
          <w:kern w:val="2"/>
          <w:sz w:val="21"/>
          <w:szCs w:val="21"/>
          <w:highlight w:val="none"/>
          <w:lang w:val="en-US" w:eastAsia="zh-CN" w:bidi="ar-SA"/>
        </w:rPr>
        <w:t>的比选活动。我方授权</w:t>
      </w:r>
      <w:r>
        <w:rPr>
          <w:rFonts w:hint="eastAsia" w:ascii="宋体" w:hAnsi="宋体" w:eastAsia="宋体" w:cs="Courier New"/>
          <w:color w:val="auto"/>
          <w:kern w:val="2"/>
          <w:sz w:val="21"/>
          <w:szCs w:val="21"/>
          <w:highlight w:val="none"/>
          <w:u w:val="single"/>
          <w:lang w:val="en-US" w:eastAsia="zh-CN" w:bidi="ar-SA"/>
        </w:rPr>
        <w:t xml:space="preserve">   </w:t>
      </w:r>
      <w:r>
        <w:rPr>
          <w:rFonts w:hint="eastAsia" w:ascii="宋体" w:hAnsi="宋体" w:cs="Courier New"/>
          <w:color w:val="auto"/>
          <w:kern w:val="2"/>
          <w:sz w:val="21"/>
          <w:szCs w:val="21"/>
          <w:highlight w:val="none"/>
          <w:u w:val="single"/>
          <w:lang w:val="en-US" w:eastAsia="zh-CN" w:bidi="ar-SA"/>
        </w:rPr>
        <w:t xml:space="preserve">               </w:t>
      </w:r>
      <w:r>
        <w:rPr>
          <w:rFonts w:hint="eastAsia" w:ascii="宋体" w:hAnsi="宋体" w:eastAsia="宋体" w:cs="Courier New"/>
          <w:color w:val="auto"/>
          <w:kern w:val="2"/>
          <w:sz w:val="21"/>
          <w:szCs w:val="21"/>
          <w:highlight w:val="none"/>
          <w:u w:val="single"/>
          <w:lang w:val="en-US" w:eastAsia="zh-CN" w:bidi="ar-SA"/>
        </w:rPr>
        <w:t xml:space="preserve">        </w:t>
      </w:r>
      <w:r>
        <w:rPr>
          <w:rFonts w:hint="eastAsia" w:ascii="宋体" w:hAnsi="宋体" w:eastAsia="宋体" w:cs="Courier New"/>
          <w:color w:val="auto"/>
          <w:kern w:val="2"/>
          <w:sz w:val="21"/>
          <w:szCs w:val="21"/>
          <w:highlight w:val="none"/>
          <w:lang w:val="en-US" w:eastAsia="zh-CN" w:bidi="ar-SA"/>
        </w:rPr>
        <w:t>(姓名和职务)代表我方</w:t>
      </w:r>
      <w:r>
        <w:rPr>
          <w:rFonts w:hint="eastAsia" w:ascii="宋体" w:hAnsi="宋体" w:eastAsia="宋体" w:cs="Courier New"/>
          <w:color w:val="auto"/>
          <w:kern w:val="2"/>
          <w:sz w:val="21"/>
          <w:szCs w:val="21"/>
          <w:highlight w:val="none"/>
          <w:u w:val="single"/>
          <w:lang w:val="en-US" w:eastAsia="zh-CN" w:bidi="ar-SA"/>
        </w:rPr>
        <w:t xml:space="preserve">                 </w:t>
      </w:r>
      <w:r>
        <w:rPr>
          <w:rFonts w:hint="eastAsia" w:ascii="宋体" w:hAnsi="宋体" w:eastAsia="宋体" w:cs="Courier New"/>
          <w:color w:val="auto"/>
          <w:kern w:val="2"/>
          <w:sz w:val="21"/>
          <w:szCs w:val="21"/>
          <w:highlight w:val="none"/>
          <w:lang w:val="en-US" w:eastAsia="zh-CN" w:bidi="ar-SA"/>
        </w:rPr>
        <w:t>（参选人的名称）全权处理本项目投标的有关事宜。</w:t>
      </w:r>
    </w:p>
    <w:p w14:paraId="667A43BC">
      <w:pPr>
        <w:widowControl w:val="0"/>
        <w:numPr>
          <w:ilvl w:val="0"/>
          <w:numId w:val="0"/>
        </w:numPr>
        <w:tabs>
          <w:tab w:val="left" w:pos="5580"/>
        </w:tabs>
        <w:spacing w:line="360" w:lineRule="auto"/>
        <w:ind w:firstLine="420" w:firstLineChars="200"/>
        <w:jc w:val="both"/>
        <w:rPr>
          <w:rFonts w:hint="eastAsia" w:ascii="宋体" w:hAnsi="宋体" w:eastAsia="宋体" w:cs="Courier New"/>
          <w:color w:val="auto"/>
          <w:kern w:val="2"/>
          <w:sz w:val="21"/>
          <w:szCs w:val="21"/>
          <w:highlight w:val="none"/>
          <w:lang w:val="en-US" w:eastAsia="zh-CN" w:bidi="ar-SA"/>
        </w:rPr>
      </w:pPr>
      <w:r>
        <w:rPr>
          <w:rFonts w:hint="eastAsia" w:ascii="宋体" w:hAnsi="宋体" w:eastAsia="宋体" w:cs="Courier New"/>
          <w:color w:val="auto"/>
          <w:kern w:val="2"/>
          <w:sz w:val="21"/>
          <w:szCs w:val="21"/>
          <w:highlight w:val="none"/>
          <w:lang w:val="en-US" w:eastAsia="zh-CN" w:bidi="ar-SA"/>
        </w:rPr>
        <w:t>2、我方充分了解并完全响应比选文件的全部内容，愿意按照比选文件规定的各项要求，向采购人提供所需服务</w:t>
      </w:r>
      <w:r>
        <w:rPr>
          <w:rFonts w:hint="eastAsia" w:ascii="宋体" w:hAnsi="宋体" w:cs="Courier New"/>
          <w:color w:val="auto"/>
          <w:kern w:val="2"/>
          <w:sz w:val="21"/>
          <w:szCs w:val="21"/>
          <w:highlight w:val="none"/>
          <w:lang w:val="en-US" w:eastAsia="zh-CN" w:bidi="ar-SA"/>
        </w:rPr>
        <w:t>，</w:t>
      </w:r>
      <w:r>
        <w:rPr>
          <w:rFonts w:hint="eastAsia" w:ascii="宋体" w:hAnsi="宋体" w:eastAsia="宋体" w:cs="Courier New"/>
          <w:color w:val="auto"/>
          <w:kern w:val="2"/>
          <w:sz w:val="21"/>
          <w:szCs w:val="21"/>
          <w:highlight w:val="none"/>
          <w:lang w:val="en-US" w:eastAsia="zh-CN" w:bidi="ar-SA"/>
        </w:rPr>
        <w:t>比选</w:t>
      </w:r>
      <w:r>
        <w:rPr>
          <w:rFonts w:hint="eastAsia" w:ascii="宋体" w:hAnsi="宋体" w:cs="Courier New"/>
          <w:color w:val="auto"/>
          <w:kern w:val="2"/>
          <w:sz w:val="21"/>
          <w:szCs w:val="21"/>
          <w:highlight w:val="none"/>
          <w:lang w:val="en-US" w:eastAsia="zh-CN" w:bidi="ar-SA"/>
        </w:rPr>
        <w:t>报价</w:t>
      </w:r>
      <w:r>
        <w:rPr>
          <w:rFonts w:hint="eastAsia" w:ascii="宋体" w:hAnsi="宋体" w:eastAsia="宋体" w:cs="Courier New"/>
          <w:color w:val="auto"/>
          <w:kern w:val="2"/>
          <w:sz w:val="21"/>
          <w:szCs w:val="21"/>
          <w:highlight w:val="none"/>
          <w:lang w:val="en-US" w:eastAsia="zh-CN" w:bidi="ar-SA"/>
        </w:rPr>
        <w:t>为（大写）</w:t>
      </w:r>
      <w:r>
        <w:rPr>
          <w:rFonts w:hint="eastAsia" w:ascii="宋体" w:hAnsi="宋体" w:cs="Courier New"/>
          <w:color w:val="auto"/>
          <w:kern w:val="2"/>
          <w:sz w:val="21"/>
          <w:szCs w:val="21"/>
          <w:highlight w:val="none"/>
          <w:lang w:val="en-US" w:eastAsia="zh-CN" w:bidi="ar-SA"/>
        </w:rPr>
        <w:t>：</w:t>
      </w:r>
      <w:r>
        <w:rPr>
          <w:rFonts w:hint="eastAsia" w:ascii="宋体" w:hAnsi="宋体" w:cs="Courier New"/>
          <w:color w:val="auto"/>
          <w:kern w:val="2"/>
          <w:sz w:val="21"/>
          <w:szCs w:val="21"/>
          <w:highlight w:val="none"/>
          <w:u w:val="none"/>
          <w:lang w:val="en-US" w:eastAsia="zh-CN" w:bidi="ar-SA"/>
        </w:rPr>
        <w:t>人民币</w:t>
      </w:r>
      <w:r>
        <w:rPr>
          <w:rFonts w:hint="eastAsia" w:ascii="宋体" w:hAnsi="宋体" w:eastAsia="宋体" w:cs="Courier New"/>
          <w:color w:val="auto"/>
          <w:kern w:val="2"/>
          <w:sz w:val="21"/>
          <w:szCs w:val="21"/>
          <w:highlight w:val="none"/>
          <w:u w:val="single"/>
          <w:lang w:val="en-US" w:eastAsia="zh-CN" w:bidi="ar-SA"/>
        </w:rPr>
        <w:t xml:space="preserve">   </w:t>
      </w:r>
      <w:r>
        <w:rPr>
          <w:rFonts w:hint="eastAsia" w:ascii="宋体" w:hAnsi="宋体" w:cs="Courier New"/>
          <w:color w:val="auto"/>
          <w:kern w:val="2"/>
          <w:sz w:val="21"/>
          <w:szCs w:val="21"/>
          <w:highlight w:val="none"/>
          <w:u w:val="single"/>
          <w:lang w:val="en-US" w:eastAsia="zh-CN" w:bidi="ar-SA"/>
        </w:rPr>
        <w:t xml:space="preserve">  </w:t>
      </w:r>
      <w:r>
        <w:rPr>
          <w:rFonts w:hint="eastAsia" w:ascii="宋体" w:hAnsi="宋体" w:eastAsia="宋体" w:cs="Courier New"/>
          <w:color w:val="auto"/>
          <w:kern w:val="2"/>
          <w:sz w:val="21"/>
          <w:szCs w:val="21"/>
          <w:highlight w:val="none"/>
          <w:u w:val="single"/>
          <w:lang w:val="en-US" w:eastAsia="zh-CN" w:bidi="ar-SA"/>
        </w:rPr>
        <w:t xml:space="preserve">     </w:t>
      </w:r>
      <w:r>
        <w:rPr>
          <w:rFonts w:hint="eastAsia" w:ascii="宋体" w:hAnsi="宋体" w:cs="Courier New"/>
          <w:color w:val="auto"/>
          <w:kern w:val="2"/>
          <w:sz w:val="21"/>
          <w:szCs w:val="21"/>
          <w:highlight w:val="none"/>
          <w:u w:val="none"/>
          <w:lang w:val="en-US" w:eastAsia="zh-CN" w:bidi="ar-SA"/>
        </w:rPr>
        <w:t>；</w:t>
      </w:r>
      <w:r>
        <w:rPr>
          <w:rFonts w:hint="eastAsia" w:ascii="宋体" w:hAnsi="宋体" w:eastAsia="宋体" w:cs="Courier New"/>
          <w:color w:val="auto"/>
          <w:kern w:val="2"/>
          <w:sz w:val="21"/>
          <w:szCs w:val="21"/>
          <w:highlight w:val="none"/>
          <w:lang w:val="en-US" w:eastAsia="zh-CN" w:bidi="ar-SA"/>
        </w:rPr>
        <w:t>(小写</w:t>
      </w:r>
      <w:r>
        <w:rPr>
          <w:rFonts w:hint="eastAsia" w:ascii="宋体" w:hAnsi="宋体" w:cs="Courier New"/>
          <w:color w:val="auto"/>
          <w:kern w:val="2"/>
          <w:sz w:val="21"/>
          <w:szCs w:val="21"/>
          <w:highlight w:val="none"/>
          <w:lang w:val="en-US" w:eastAsia="zh-CN" w:bidi="ar-SA"/>
        </w:rPr>
        <w:t>）￥</w:t>
      </w:r>
      <w:r>
        <w:rPr>
          <w:rFonts w:hint="eastAsia" w:ascii="宋体" w:hAnsi="宋体" w:eastAsia="宋体" w:cs="Courier New"/>
          <w:color w:val="auto"/>
          <w:kern w:val="2"/>
          <w:sz w:val="21"/>
          <w:szCs w:val="21"/>
          <w:highlight w:val="none"/>
          <w:u w:val="single"/>
          <w:lang w:val="en-US" w:eastAsia="zh-CN" w:bidi="ar-SA"/>
        </w:rPr>
        <w:t xml:space="preserve">  </w:t>
      </w:r>
      <w:r>
        <w:rPr>
          <w:rFonts w:hint="eastAsia" w:ascii="宋体" w:hAnsi="宋体" w:cs="Courier New"/>
          <w:color w:val="auto"/>
          <w:kern w:val="2"/>
          <w:sz w:val="21"/>
          <w:szCs w:val="21"/>
          <w:highlight w:val="none"/>
          <w:u w:val="single"/>
          <w:lang w:val="en-US" w:eastAsia="zh-CN" w:bidi="ar-SA"/>
        </w:rPr>
        <w:t xml:space="preserve">    </w:t>
      </w:r>
      <w:r>
        <w:rPr>
          <w:rFonts w:hint="eastAsia" w:ascii="宋体" w:hAnsi="宋体" w:eastAsia="宋体" w:cs="Courier New"/>
          <w:color w:val="auto"/>
          <w:kern w:val="2"/>
          <w:sz w:val="21"/>
          <w:szCs w:val="21"/>
          <w:highlight w:val="none"/>
          <w:u w:val="single"/>
          <w:lang w:val="en-US" w:eastAsia="zh-CN" w:bidi="ar-SA"/>
        </w:rPr>
        <w:t xml:space="preserve">    </w:t>
      </w:r>
      <w:r>
        <w:rPr>
          <w:rFonts w:hint="eastAsia" w:ascii="宋体" w:hAnsi="宋体" w:cs="Courier New"/>
          <w:color w:val="auto"/>
          <w:kern w:val="2"/>
          <w:sz w:val="21"/>
          <w:szCs w:val="21"/>
          <w:highlight w:val="none"/>
          <w:u w:val="none"/>
          <w:lang w:val="en-US" w:eastAsia="zh-CN" w:bidi="ar-SA"/>
        </w:rPr>
        <w:t>元。</w:t>
      </w:r>
    </w:p>
    <w:p w14:paraId="3B8EAC67">
      <w:pPr>
        <w:widowControl w:val="0"/>
        <w:tabs>
          <w:tab w:val="left" w:pos="5580"/>
        </w:tabs>
        <w:spacing w:line="360" w:lineRule="auto"/>
        <w:ind w:firstLine="420" w:firstLineChars="200"/>
        <w:jc w:val="both"/>
        <w:rPr>
          <w:rFonts w:hint="default" w:ascii="宋体" w:hAnsi="宋体" w:eastAsia="宋体" w:cs="Courier New"/>
          <w:b/>
          <w:bCs/>
          <w:color w:val="auto"/>
          <w:kern w:val="2"/>
          <w:sz w:val="21"/>
          <w:szCs w:val="21"/>
          <w:highlight w:val="none"/>
          <w:u w:val="single"/>
          <w:lang w:val="en-US" w:eastAsia="zh-CN" w:bidi="ar-SA"/>
        </w:rPr>
      </w:pPr>
      <w:r>
        <w:rPr>
          <w:rFonts w:hint="eastAsia" w:ascii="宋体" w:hAnsi="宋体" w:eastAsia="宋体" w:cs="Courier New"/>
          <w:color w:val="auto"/>
          <w:kern w:val="2"/>
          <w:sz w:val="21"/>
          <w:szCs w:val="21"/>
          <w:highlight w:val="none"/>
          <w:lang w:val="en-US" w:eastAsia="zh-CN" w:bidi="ar-SA"/>
        </w:rPr>
        <w:t>3、一旦我方成交，我方将严格履行合同规定的责任和义务，保证该项目</w:t>
      </w:r>
      <w:r>
        <w:rPr>
          <w:rFonts w:hint="eastAsia" w:ascii="宋体" w:hAnsi="宋体" w:cs="Courier New"/>
          <w:color w:val="auto"/>
          <w:kern w:val="2"/>
          <w:sz w:val="21"/>
          <w:szCs w:val="21"/>
          <w:highlight w:val="none"/>
          <w:lang w:val="en-US" w:eastAsia="zh-CN" w:bidi="ar-SA"/>
        </w:rPr>
        <w:t>应达到</w:t>
      </w:r>
      <w:r>
        <w:rPr>
          <w:rFonts w:hint="eastAsia" w:ascii="宋体" w:hAnsi="宋体" w:eastAsia="宋体" w:cs="Courier New"/>
          <w:color w:val="auto"/>
          <w:kern w:val="2"/>
          <w:sz w:val="21"/>
          <w:szCs w:val="21"/>
          <w:highlight w:val="none"/>
          <w:lang w:val="en-US" w:eastAsia="zh-CN" w:bidi="ar-SA"/>
        </w:rPr>
        <w:t>的</w:t>
      </w:r>
      <w:r>
        <w:rPr>
          <w:rFonts w:hint="eastAsia" w:ascii="宋体" w:hAnsi="宋体" w:cs="Courier New"/>
          <w:color w:val="auto"/>
          <w:kern w:val="2"/>
          <w:sz w:val="21"/>
          <w:szCs w:val="21"/>
          <w:highlight w:val="none"/>
          <w:lang w:val="en-US" w:eastAsia="zh-CN" w:bidi="ar-SA"/>
        </w:rPr>
        <w:t>时间及质量要求。</w:t>
      </w:r>
    </w:p>
    <w:p w14:paraId="04A094C5">
      <w:pPr>
        <w:widowControl w:val="0"/>
        <w:tabs>
          <w:tab w:val="left" w:pos="5580"/>
        </w:tabs>
        <w:spacing w:line="360" w:lineRule="auto"/>
        <w:ind w:firstLine="417" w:firstLineChars="199"/>
        <w:jc w:val="both"/>
        <w:rPr>
          <w:rFonts w:ascii="宋体" w:hAnsi="宋体" w:eastAsia="宋体" w:cs="Courier New"/>
          <w:color w:val="auto"/>
          <w:kern w:val="2"/>
          <w:sz w:val="21"/>
          <w:szCs w:val="21"/>
          <w:highlight w:val="none"/>
          <w:lang w:val="en-US" w:eastAsia="zh-CN" w:bidi="ar-SA"/>
        </w:rPr>
      </w:pPr>
      <w:r>
        <w:rPr>
          <w:rFonts w:hint="eastAsia" w:ascii="宋体" w:hAnsi="宋体" w:eastAsia="宋体" w:cs="Courier New"/>
          <w:color w:val="auto"/>
          <w:kern w:val="2"/>
          <w:sz w:val="21"/>
          <w:szCs w:val="21"/>
          <w:highlight w:val="none"/>
          <w:lang w:val="en-US" w:eastAsia="zh-CN" w:bidi="ar-SA"/>
        </w:rPr>
        <w:t>4、我方保证按照本项目比选文件要求提交参选文件。</w:t>
      </w:r>
    </w:p>
    <w:p w14:paraId="665A3C2E">
      <w:pPr>
        <w:widowControl w:val="0"/>
        <w:tabs>
          <w:tab w:val="left" w:pos="5580"/>
        </w:tabs>
        <w:spacing w:line="360" w:lineRule="auto"/>
        <w:ind w:firstLine="417" w:firstLineChars="199"/>
        <w:jc w:val="both"/>
        <w:rPr>
          <w:rFonts w:ascii="宋体" w:hAnsi="宋体" w:eastAsia="宋体" w:cs="Courier New"/>
          <w:color w:val="auto"/>
          <w:kern w:val="2"/>
          <w:sz w:val="21"/>
          <w:szCs w:val="21"/>
          <w:highlight w:val="none"/>
          <w:lang w:val="en-US" w:eastAsia="zh-CN" w:bidi="ar-SA"/>
        </w:rPr>
      </w:pPr>
      <w:r>
        <w:rPr>
          <w:rFonts w:hint="eastAsia" w:ascii="宋体" w:hAnsi="宋体" w:eastAsia="宋体" w:cs="Courier New"/>
          <w:color w:val="auto"/>
          <w:kern w:val="2"/>
          <w:sz w:val="21"/>
          <w:szCs w:val="21"/>
          <w:highlight w:val="none"/>
          <w:lang w:val="en-US" w:eastAsia="zh-CN" w:bidi="ar-SA"/>
        </w:rPr>
        <w:t>5、我方愿意提供贵方可能另外要求的、与比选有关的文件资料，并保证我方已提供和将要提供的文件是真实的、准确的。</w:t>
      </w:r>
    </w:p>
    <w:p w14:paraId="3427E396">
      <w:pPr>
        <w:pStyle w:val="31"/>
        <w:tabs>
          <w:tab w:val="left" w:pos="5580"/>
        </w:tabs>
        <w:spacing w:line="360" w:lineRule="auto"/>
        <w:ind w:firstLine="417" w:firstLineChars="199"/>
        <w:rPr>
          <w:rFonts w:hAnsi="宋体"/>
          <w:color w:val="auto"/>
          <w:highlight w:val="none"/>
        </w:rPr>
      </w:pPr>
    </w:p>
    <w:p w14:paraId="4FD3E49F">
      <w:pPr>
        <w:pStyle w:val="31"/>
        <w:tabs>
          <w:tab w:val="left" w:pos="5580"/>
        </w:tabs>
        <w:spacing w:line="360" w:lineRule="auto"/>
        <w:ind w:right="360" w:firstLine="3570" w:firstLineChars="1700"/>
        <w:rPr>
          <w:rFonts w:hAnsi="宋体"/>
          <w:color w:val="auto"/>
          <w:highlight w:val="none"/>
        </w:rPr>
      </w:pPr>
    </w:p>
    <w:p w14:paraId="22814F3F">
      <w:pPr>
        <w:pStyle w:val="31"/>
        <w:tabs>
          <w:tab w:val="left" w:pos="5580"/>
        </w:tabs>
        <w:spacing w:line="360" w:lineRule="auto"/>
        <w:ind w:right="360" w:firstLine="3570" w:firstLineChars="1700"/>
        <w:rPr>
          <w:rFonts w:hAnsi="宋体"/>
          <w:color w:val="auto"/>
          <w:highlight w:val="none"/>
        </w:rPr>
      </w:pPr>
    </w:p>
    <w:p w14:paraId="2F4A581E">
      <w:pPr>
        <w:pStyle w:val="31"/>
        <w:tabs>
          <w:tab w:val="left" w:pos="5580"/>
        </w:tabs>
        <w:spacing w:line="360" w:lineRule="auto"/>
        <w:ind w:right="360" w:firstLine="3570" w:firstLineChars="1700"/>
        <w:rPr>
          <w:rFonts w:hAnsi="宋体"/>
          <w:color w:val="auto"/>
          <w:highlight w:val="none"/>
        </w:rPr>
      </w:pPr>
    </w:p>
    <w:p w14:paraId="7444DD93">
      <w:pPr>
        <w:pStyle w:val="31"/>
        <w:tabs>
          <w:tab w:val="left" w:pos="5580"/>
        </w:tabs>
        <w:spacing w:line="480" w:lineRule="auto"/>
        <w:ind w:right="360" w:firstLine="3570" w:firstLineChars="1700"/>
        <w:jc w:val="right"/>
        <w:rPr>
          <w:rFonts w:hAnsi="宋体"/>
          <w:color w:val="auto"/>
          <w:highlight w:val="none"/>
          <w:u w:val="single"/>
        </w:rPr>
      </w:pPr>
      <w:r>
        <w:rPr>
          <w:rFonts w:hint="eastAsia" w:hAnsi="宋体"/>
          <w:color w:val="auto"/>
          <w:highlight w:val="none"/>
        </w:rPr>
        <w:t>参选人：</w:t>
      </w:r>
      <w:r>
        <w:rPr>
          <w:rFonts w:hint="eastAsia" w:hAnsi="宋体"/>
          <w:color w:val="auto"/>
          <w:highlight w:val="none"/>
          <w:u w:val="single"/>
        </w:rPr>
        <w:t xml:space="preserve">           </w:t>
      </w:r>
      <w:r>
        <w:rPr>
          <w:rFonts w:hint="eastAsia" w:hAnsi="宋体"/>
          <w:color w:val="auto"/>
          <w:highlight w:val="none"/>
          <w:u w:val="single"/>
          <w:lang w:val="en-US" w:eastAsia="zh-CN"/>
        </w:rPr>
        <w:t xml:space="preserve"> </w:t>
      </w:r>
      <w:r>
        <w:rPr>
          <w:rFonts w:hint="eastAsia" w:hAnsi="宋体"/>
          <w:color w:val="auto"/>
          <w:highlight w:val="none"/>
          <w:u w:val="single"/>
        </w:rPr>
        <w:t xml:space="preserve">          （盖章）</w:t>
      </w:r>
    </w:p>
    <w:p w14:paraId="6AC678E2">
      <w:pPr>
        <w:pStyle w:val="31"/>
        <w:tabs>
          <w:tab w:val="left" w:pos="5580"/>
        </w:tabs>
        <w:wordWrap w:val="0"/>
        <w:spacing w:line="480" w:lineRule="auto"/>
        <w:ind w:firstLine="420" w:firstLineChars="200"/>
        <w:jc w:val="right"/>
        <w:rPr>
          <w:rFonts w:hint="eastAsia" w:hAnsi="宋体" w:eastAsia="宋体"/>
          <w:color w:val="auto"/>
          <w:highlight w:val="none"/>
          <w:u w:val="single"/>
          <w:lang w:val="en-US" w:eastAsia="zh-CN"/>
        </w:rPr>
      </w:pPr>
      <w:r>
        <w:rPr>
          <w:rFonts w:hint="eastAsia" w:hAnsi="宋体"/>
          <w:color w:val="auto"/>
          <w:highlight w:val="none"/>
        </w:rPr>
        <w:t>单位地址：</w:t>
      </w:r>
      <w:r>
        <w:rPr>
          <w:rFonts w:hint="eastAsia" w:hAnsi="宋体"/>
          <w:color w:val="auto"/>
          <w:highlight w:val="none"/>
          <w:u w:val="single"/>
          <w:lang w:val="en-US" w:eastAsia="zh-CN"/>
        </w:rPr>
        <w:t xml:space="preserve">                     </w:t>
      </w:r>
    </w:p>
    <w:p w14:paraId="39101A32">
      <w:pPr>
        <w:pStyle w:val="31"/>
        <w:tabs>
          <w:tab w:val="left" w:pos="5580"/>
        </w:tabs>
        <w:spacing w:line="480" w:lineRule="auto"/>
        <w:ind w:firstLine="3570" w:firstLineChars="1700"/>
        <w:jc w:val="right"/>
        <w:rPr>
          <w:rFonts w:hAnsi="宋体"/>
          <w:color w:val="auto"/>
          <w:highlight w:val="none"/>
          <w:u w:val="single"/>
        </w:rPr>
      </w:pPr>
      <w:r>
        <w:rPr>
          <w:rFonts w:hint="eastAsia" w:hAnsi="宋体" w:cs="宋体"/>
          <w:color w:val="auto"/>
          <w:highlight w:val="none"/>
        </w:rPr>
        <w:t>法定代表人或委托代理人：</w:t>
      </w:r>
      <w:r>
        <w:rPr>
          <w:rFonts w:hint="eastAsia" w:hAnsi="宋体" w:cs="宋体"/>
          <w:color w:val="auto"/>
          <w:highlight w:val="none"/>
          <w:u w:val="single"/>
        </w:rPr>
        <w:t xml:space="preserve">   （签字或盖章）</w:t>
      </w:r>
    </w:p>
    <w:p w14:paraId="02376F9F">
      <w:pPr>
        <w:pStyle w:val="31"/>
        <w:tabs>
          <w:tab w:val="left" w:pos="5580"/>
        </w:tabs>
        <w:spacing w:line="480" w:lineRule="auto"/>
        <w:ind w:firstLine="3570" w:firstLineChars="1700"/>
        <w:jc w:val="right"/>
        <w:rPr>
          <w:rFonts w:hAnsi="宋体"/>
          <w:color w:val="auto"/>
          <w:highlight w:val="none"/>
        </w:rPr>
      </w:pPr>
      <w:r>
        <w:rPr>
          <w:rFonts w:hint="eastAsia" w:hAnsi="宋体"/>
          <w:color w:val="auto"/>
          <w:highlight w:val="none"/>
        </w:rPr>
        <w:t>日期：       年      月      日</w:t>
      </w:r>
    </w:p>
    <w:p w14:paraId="164A6737">
      <w:pPr>
        <w:pStyle w:val="26"/>
        <w:rPr>
          <w:color w:val="auto"/>
          <w:highlight w:val="none"/>
        </w:rPr>
      </w:pPr>
    </w:p>
    <w:p w14:paraId="355E8CF7">
      <w:pPr>
        <w:rPr>
          <w:rFonts w:hint="eastAsia" w:cs="宋体"/>
          <w:color w:val="auto"/>
          <w:highlight w:val="none"/>
        </w:rPr>
      </w:pPr>
      <w:bookmarkStart w:id="81" w:name="_Toc54941350"/>
      <w:bookmarkStart w:id="82" w:name="_Toc476584438"/>
      <w:r>
        <w:rPr>
          <w:rFonts w:hint="eastAsia" w:cs="宋体"/>
          <w:color w:val="auto"/>
          <w:highlight w:val="none"/>
        </w:rPr>
        <w:br w:type="page"/>
      </w:r>
    </w:p>
    <w:p w14:paraId="3F4610D3">
      <w:pPr>
        <w:keepNext/>
        <w:keepLines/>
        <w:widowControl w:val="0"/>
        <w:shd w:val="clear" w:color="auto" w:fill="FFFFFF"/>
        <w:wordWrap w:val="0"/>
        <w:spacing w:line="360" w:lineRule="exact"/>
        <w:jc w:val="center"/>
        <w:outlineLvl w:val="2"/>
        <w:rPr>
          <w:rFonts w:ascii="宋体" w:hAnsi="宋体" w:eastAsia="宋体" w:cs="Times New Roman"/>
          <w:b/>
          <w:color w:val="auto"/>
          <w:kern w:val="2"/>
          <w:sz w:val="28"/>
          <w:szCs w:val="28"/>
          <w:highlight w:val="none"/>
          <w:bdr w:val="single" w:color="auto" w:sz="4" w:space="0"/>
          <w:shd w:val="clear" w:color="auto" w:fill="FFFFFF"/>
          <w:lang w:val="en-US" w:eastAsia="zh-CN" w:bidi="ar-SA"/>
        </w:rPr>
      </w:pPr>
      <w:r>
        <w:rPr>
          <w:rFonts w:hint="eastAsia" w:ascii="宋体" w:hAnsi="宋体" w:eastAsia="宋体" w:cs="宋体"/>
          <w:b/>
          <w:color w:val="auto"/>
          <w:kern w:val="2"/>
          <w:sz w:val="28"/>
          <w:szCs w:val="28"/>
          <w:highlight w:val="none"/>
          <w:shd w:val="clear" w:color="auto" w:fill="FFFFFF"/>
          <w:lang w:val="en-US" w:eastAsia="zh-CN" w:bidi="ar-SA"/>
        </w:rPr>
        <w:t>二、</w:t>
      </w:r>
      <w:r>
        <w:rPr>
          <w:rFonts w:hint="eastAsia" w:ascii="宋体" w:hAnsi="宋体" w:eastAsia="宋体" w:cs="Times New Roman"/>
          <w:b/>
          <w:color w:val="auto"/>
          <w:kern w:val="2"/>
          <w:sz w:val="28"/>
          <w:szCs w:val="28"/>
          <w:highlight w:val="none"/>
          <w:shd w:val="clear" w:color="auto" w:fill="FFFFFF"/>
          <w:lang w:val="en-US" w:eastAsia="zh-CN" w:bidi="ar-SA"/>
        </w:rPr>
        <w:t>报价表</w:t>
      </w:r>
    </w:p>
    <w:p w14:paraId="51904405">
      <w:pPr>
        <w:spacing w:line="360" w:lineRule="auto"/>
        <w:ind w:firstLine="420" w:firstLineChars="200"/>
        <w:rPr>
          <w:rFonts w:ascii="仿宋" w:hAnsi="仿宋" w:eastAsia="仿宋" w:cs="Times New Roman"/>
          <w:color w:val="auto"/>
          <w:szCs w:val="21"/>
          <w:highlight w:val="none"/>
        </w:rPr>
      </w:pPr>
    </w:p>
    <w:p w14:paraId="1F481763">
      <w:pPr>
        <w:widowControl w:val="0"/>
        <w:autoSpaceDE w:val="0"/>
        <w:autoSpaceDN w:val="0"/>
        <w:adjustRightInd w:val="0"/>
        <w:ind w:firstLine="420"/>
        <w:jc w:val="left"/>
        <w:rPr>
          <w:rFonts w:ascii="宋体" w:hAnsi="Times New Roman" w:eastAsia="宋体" w:cs="Times New Roman"/>
          <w:color w:val="auto"/>
          <w:kern w:val="0"/>
          <w:sz w:val="24"/>
          <w:szCs w:val="20"/>
          <w:highlight w:val="none"/>
          <w:lang w:val="en-US" w:eastAsia="zh-CN" w:bidi="ar-SA"/>
        </w:rPr>
      </w:pPr>
    </w:p>
    <w:p w14:paraId="29B14AAD">
      <w:pPr>
        <w:spacing w:line="360" w:lineRule="auto"/>
        <w:rPr>
          <w:rFonts w:ascii="Times New Roman" w:hAnsi="Times New Roman" w:eastAsia="宋体" w:cs="Times New Roman"/>
          <w:color w:val="auto"/>
          <w:sz w:val="24"/>
          <w:szCs w:val="24"/>
          <w:highlight w:val="none"/>
        </w:rPr>
      </w:pPr>
      <w:r>
        <w:rPr>
          <w:rFonts w:hint="eastAsia" w:ascii="宋体" w:hAnsi="宋体" w:eastAsia="宋体" w:cs="Times New Roman"/>
          <w:color w:val="auto"/>
          <w:sz w:val="24"/>
          <w:szCs w:val="24"/>
          <w:highlight w:val="none"/>
        </w:rPr>
        <w:t>项目名称：</w:t>
      </w:r>
      <w:r>
        <w:rPr>
          <w:rFonts w:ascii="宋体" w:hAnsi="宋体" w:eastAsia="宋体" w:cs="Times New Roman"/>
          <w:color w:val="auto"/>
          <w:sz w:val="24"/>
          <w:szCs w:val="24"/>
          <w:highlight w:val="none"/>
        </w:rPr>
        <w:t xml:space="preserve">  </w:t>
      </w:r>
    </w:p>
    <w:p w14:paraId="2F97B03E">
      <w:pPr>
        <w:spacing w:line="360" w:lineRule="auto"/>
        <w:rPr>
          <w:rFonts w:ascii="Times New Roman" w:hAnsi="Times New Roman" w:eastAsia="仿宋" w:cs="Times New Roman"/>
          <w:color w:val="auto"/>
          <w:kern w:val="0"/>
          <w:sz w:val="24"/>
          <w:szCs w:val="24"/>
          <w:highlight w:val="none"/>
          <w:lang w:val="zh-CN"/>
        </w:rPr>
      </w:pPr>
      <w:r>
        <w:rPr>
          <w:rFonts w:hint="eastAsia" w:ascii="宋体" w:hAnsi="宋体" w:eastAsia="宋体" w:cs="Times New Roman"/>
          <w:color w:val="auto"/>
          <w:sz w:val="24"/>
          <w:szCs w:val="24"/>
          <w:highlight w:val="none"/>
        </w:rPr>
        <w:t>项目编号：</w:t>
      </w:r>
      <w:r>
        <w:rPr>
          <w:rFonts w:ascii="宋体" w:hAnsi="宋体" w:eastAsia="宋体" w:cs="Times New Roman"/>
          <w:color w:val="auto"/>
          <w:sz w:val="24"/>
          <w:szCs w:val="24"/>
          <w:highlight w:val="none"/>
        </w:rPr>
        <w:t xml:space="preserve"> </w:t>
      </w:r>
    </w:p>
    <w:tbl>
      <w:tblPr>
        <w:tblStyle w:val="61"/>
        <w:tblW w:w="96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1"/>
        <w:gridCol w:w="8019"/>
      </w:tblGrid>
      <w:tr w14:paraId="0D8AB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1611" w:type="dxa"/>
            <w:vMerge w:val="restart"/>
            <w:vAlign w:val="center"/>
          </w:tcPr>
          <w:p w14:paraId="719002AB">
            <w:pPr>
              <w:keepNext w:val="0"/>
              <w:keepLines w:val="0"/>
              <w:suppressLineNumbers w:val="0"/>
              <w:spacing w:before="0" w:beforeAutospacing="0" w:after="0" w:afterAutospacing="0" w:line="400" w:lineRule="exact"/>
              <w:ind w:left="0" w:right="0"/>
              <w:jc w:val="center"/>
              <w:rPr>
                <w:rFonts w:hint="eastAsia" w:ascii="Times New Roman" w:hAnsi="宋体" w:eastAsia="宋体" w:cs="Times New Roman"/>
                <w:color w:val="auto"/>
                <w:sz w:val="24"/>
                <w:szCs w:val="24"/>
                <w:highlight w:val="none"/>
                <w:lang w:eastAsia="zh-CN"/>
              </w:rPr>
            </w:pPr>
            <w:r>
              <w:rPr>
                <w:rFonts w:hint="eastAsia" w:ascii="Times New Roman" w:hAnsi="宋体" w:eastAsia="宋体" w:cs="Times New Roman"/>
                <w:color w:val="auto"/>
                <w:sz w:val="24"/>
                <w:szCs w:val="24"/>
                <w:highlight w:val="none"/>
              </w:rPr>
              <w:t>报价</w:t>
            </w:r>
            <w:r>
              <w:rPr>
                <w:rFonts w:hint="eastAsia" w:hAnsi="宋体" w:cs="Times New Roman"/>
                <w:color w:val="auto"/>
                <w:sz w:val="24"/>
                <w:szCs w:val="24"/>
                <w:highlight w:val="none"/>
                <w:lang w:eastAsia="zh-CN"/>
              </w:rPr>
              <w:t>：</w:t>
            </w:r>
          </w:p>
          <w:p w14:paraId="77B44519">
            <w:pPr>
              <w:keepNext w:val="0"/>
              <w:keepLines w:val="0"/>
              <w:suppressLineNumbers w:val="0"/>
              <w:spacing w:before="0" w:beforeAutospacing="0" w:after="0" w:afterAutospacing="0" w:line="400" w:lineRule="exact"/>
              <w:ind w:left="0" w:right="0"/>
              <w:jc w:val="both"/>
              <w:rPr>
                <w:rFonts w:hint="eastAsia" w:ascii="Times New Roman" w:hAnsi="宋体" w:eastAsia="宋体" w:cs="Times New Roman"/>
                <w:color w:val="auto"/>
                <w:sz w:val="24"/>
                <w:szCs w:val="24"/>
                <w:highlight w:val="none"/>
                <w:lang w:eastAsia="zh-CN"/>
              </w:rPr>
            </w:pPr>
            <w:r>
              <w:rPr>
                <w:rFonts w:hint="eastAsia" w:hAnsi="宋体" w:cs="Times New Roman"/>
                <w:color w:val="auto"/>
                <w:sz w:val="24"/>
                <w:szCs w:val="24"/>
                <w:highlight w:val="none"/>
                <w:lang w:eastAsia="zh-CN"/>
              </w:rPr>
              <w:t>（</w:t>
            </w:r>
            <w:r>
              <w:rPr>
                <w:rFonts w:hint="eastAsia" w:hAnsi="宋体" w:cs="Times New Roman"/>
                <w:color w:val="auto"/>
                <w:sz w:val="24"/>
                <w:szCs w:val="24"/>
                <w:highlight w:val="none"/>
                <w:lang w:val="en-US" w:eastAsia="zh-CN"/>
              </w:rPr>
              <w:t>合计总价</w:t>
            </w:r>
            <w:r>
              <w:rPr>
                <w:rFonts w:hint="eastAsia" w:hAnsi="宋体" w:cs="Times New Roman"/>
                <w:color w:val="auto"/>
                <w:sz w:val="24"/>
                <w:szCs w:val="24"/>
                <w:highlight w:val="none"/>
                <w:lang w:eastAsia="zh-CN"/>
              </w:rPr>
              <w:t>）</w:t>
            </w:r>
          </w:p>
        </w:tc>
        <w:tc>
          <w:tcPr>
            <w:tcW w:w="8019" w:type="dxa"/>
            <w:vAlign w:val="center"/>
          </w:tcPr>
          <w:p w14:paraId="436A608F">
            <w:pPr>
              <w:keepNext w:val="0"/>
              <w:keepLines w:val="0"/>
              <w:suppressLineNumbers w:val="0"/>
              <w:wordWrap w:val="0"/>
              <w:spacing w:before="0" w:beforeAutospacing="0" w:after="0" w:afterAutospacing="0" w:line="400" w:lineRule="exact"/>
              <w:ind w:left="0" w:right="0"/>
              <w:rPr>
                <w:rFonts w:hint="default" w:ascii="Times New Roman" w:hAnsi="Times New Roman" w:eastAsia="宋体" w:cs="Times New Roman"/>
                <w:color w:val="auto"/>
                <w:sz w:val="24"/>
                <w:szCs w:val="24"/>
                <w:highlight w:val="none"/>
              </w:rPr>
            </w:pPr>
            <w:r>
              <w:rPr>
                <w:rFonts w:hint="eastAsia" w:ascii="Times New Roman" w:hAnsi="宋体" w:eastAsia="宋体" w:cs="Times New Roman"/>
                <w:color w:val="auto"/>
                <w:sz w:val="24"/>
                <w:szCs w:val="24"/>
                <w:highlight w:val="none"/>
              </w:rPr>
              <w:t>大写：</w:t>
            </w:r>
            <w:r>
              <w:rPr>
                <w:rFonts w:hint="eastAsia" w:ascii="宋体" w:hAnsi="宋体" w:cs="Courier New"/>
                <w:color w:val="auto"/>
                <w:kern w:val="2"/>
                <w:sz w:val="24"/>
                <w:szCs w:val="24"/>
                <w:highlight w:val="none"/>
                <w:u w:val="none"/>
                <w:lang w:val="en-US" w:eastAsia="zh-CN" w:bidi="ar-SA"/>
              </w:rPr>
              <w:t>人民币</w:t>
            </w:r>
            <w:r>
              <w:rPr>
                <w:rFonts w:hint="eastAsia" w:ascii="宋体" w:hAnsi="宋体" w:eastAsia="宋体" w:cs="Courier New"/>
                <w:color w:val="auto"/>
                <w:kern w:val="2"/>
                <w:sz w:val="24"/>
                <w:szCs w:val="24"/>
                <w:highlight w:val="none"/>
                <w:u w:val="single"/>
                <w:lang w:val="en-US" w:eastAsia="zh-CN" w:bidi="ar-SA"/>
              </w:rPr>
              <w:t xml:space="preserve">     </w:t>
            </w:r>
            <w:r>
              <w:rPr>
                <w:rFonts w:hint="eastAsia" w:ascii="宋体" w:hAnsi="宋体" w:cs="Courier New"/>
                <w:color w:val="auto"/>
                <w:kern w:val="2"/>
                <w:sz w:val="24"/>
                <w:szCs w:val="24"/>
                <w:highlight w:val="none"/>
                <w:u w:val="single"/>
                <w:lang w:val="en-US" w:eastAsia="zh-CN" w:bidi="ar-SA"/>
              </w:rPr>
              <w:t xml:space="preserve">   </w:t>
            </w:r>
            <w:r>
              <w:rPr>
                <w:rFonts w:hint="eastAsia" w:ascii="宋体" w:hAnsi="宋体" w:eastAsia="宋体" w:cs="Courier New"/>
                <w:color w:val="auto"/>
                <w:kern w:val="2"/>
                <w:sz w:val="24"/>
                <w:szCs w:val="24"/>
                <w:highlight w:val="none"/>
                <w:u w:val="single"/>
                <w:lang w:val="en-US" w:eastAsia="zh-CN" w:bidi="ar-SA"/>
              </w:rPr>
              <w:t xml:space="preserve">   </w:t>
            </w:r>
            <w:r>
              <w:rPr>
                <w:rFonts w:hint="eastAsia" w:ascii="宋体" w:hAnsi="宋体" w:cs="Courier New"/>
                <w:color w:val="auto"/>
                <w:kern w:val="2"/>
                <w:sz w:val="24"/>
                <w:szCs w:val="24"/>
                <w:highlight w:val="none"/>
                <w:u w:val="none"/>
                <w:lang w:val="en-US" w:eastAsia="zh-CN" w:bidi="ar-SA"/>
              </w:rPr>
              <w:t>元</w:t>
            </w:r>
          </w:p>
        </w:tc>
      </w:tr>
      <w:tr w14:paraId="181C9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1611" w:type="dxa"/>
            <w:vMerge w:val="continue"/>
            <w:vAlign w:val="center"/>
          </w:tcPr>
          <w:p w14:paraId="50A69579">
            <w:pPr>
              <w:keepNext w:val="0"/>
              <w:keepLines w:val="0"/>
              <w:suppressLineNumbers w:val="0"/>
              <w:spacing w:before="0" w:beforeAutospacing="0" w:after="0" w:afterAutospacing="0" w:line="400" w:lineRule="exact"/>
              <w:ind w:left="0" w:right="0"/>
              <w:jc w:val="center"/>
              <w:rPr>
                <w:rFonts w:hint="default" w:ascii="Times New Roman" w:hAnsi="Times New Roman" w:eastAsia="宋体" w:cs="Times New Roman"/>
                <w:color w:val="auto"/>
                <w:sz w:val="24"/>
                <w:szCs w:val="24"/>
                <w:highlight w:val="none"/>
              </w:rPr>
            </w:pPr>
          </w:p>
        </w:tc>
        <w:tc>
          <w:tcPr>
            <w:tcW w:w="8019" w:type="dxa"/>
            <w:vAlign w:val="center"/>
          </w:tcPr>
          <w:p w14:paraId="22A30204">
            <w:pPr>
              <w:keepNext w:val="0"/>
              <w:keepLines w:val="0"/>
              <w:suppressLineNumbers w:val="0"/>
              <w:wordWrap w:val="0"/>
              <w:spacing w:before="0" w:beforeAutospacing="0" w:after="0" w:afterAutospacing="0"/>
              <w:ind w:left="0" w:right="0"/>
              <w:rPr>
                <w:rFonts w:hint="default" w:ascii="Times New Roman" w:hAnsi="宋体" w:eastAsia="宋体" w:cs="Times New Roman"/>
                <w:color w:val="auto"/>
                <w:sz w:val="24"/>
                <w:szCs w:val="24"/>
                <w:highlight w:val="none"/>
                <w:lang w:val="en-US" w:eastAsia="zh-CN"/>
              </w:rPr>
            </w:pPr>
            <w:r>
              <w:rPr>
                <w:rFonts w:hint="eastAsia" w:ascii="Times New Roman" w:hAnsi="宋体" w:eastAsia="宋体" w:cs="Times New Roman"/>
                <w:color w:val="auto"/>
                <w:sz w:val="24"/>
                <w:szCs w:val="24"/>
                <w:highlight w:val="none"/>
              </w:rPr>
              <w:t>小写：</w:t>
            </w:r>
            <w:r>
              <w:rPr>
                <w:rFonts w:hint="eastAsia" w:hAnsi="宋体" w:cs="Times New Roman"/>
                <w:color w:val="auto"/>
                <w:sz w:val="24"/>
                <w:szCs w:val="24"/>
                <w:highlight w:val="none"/>
                <w:lang w:eastAsia="zh-CN"/>
              </w:rPr>
              <w:t>￥</w:t>
            </w:r>
            <w:r>
              <w:rPr>
                <w:rFonts w:hint="eastAsia" w:hAnsi="宋体" w:cs="Times New Roman"/>
                <w:color w:val="auto"/>
                <w:sz w:val="24"/>
                <w:szCs w:val="24"/>
                <w:highlight w:val="none"/>
                <w:u w:val="single"/>
                <w:lang w:val="en-US" w:eastAsia="zh-CN"/>
              </w:rPr>
              <w:t xml:space="preserve">           </w:t>
            </w:r>
            <w:r>
              <w:rPr>
                <w:rFonts w:hint="eastAsia" w:hAnsi="宋体" w:cs="Times New Roman"/>
                <w:color w:val="auto"/>
                <w:sz w:val="24"/>
                <w:szCs w:val="24"/>
                <w:highlight w:val="none"/>
                <w:u w:val="none"/>
                <w:lang w:val="en-US" w:eastAsia="zh-CN"/>
              </w:rPr>
              <w:t>元</w:t>
            </w:r>
          </w:p>
        </w:tc>
      </w:tr>
      <w:tr w14:paraId="68210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exact"/>
          <w:jc w:val="center"/>
        </w:trPr>
        <w:tc>
          <w:tcPr>
            <w:tcW w:w="9630" w:type="dxa"/>
            <w:gridSpan w:val="2"/>
            <w:vAlign w:val="center"/>
          </w:tcPr>
          <w:p w14:paraId="3462994A">
            <w:pPr>
              <w:keepNext w:val="0"/>
              <w:keepLines w:val="0"/>
              <w:suppressLineNumbers w:val="0"/>
              <w:spacing w:before="0" w:beforeAutospacing="0" w:after="0" w:afterAutospacing="0" w:line="400" w:lineRule="exact"/>
              <w:ind w:left="0" w:right="0"/>
              <w:rPr>
                <w:rFonts w:hint="default" w:ascii="Times New Roman" w:hAnsi="宋体" w:eastAsia="宋体" w:cs="Times New Roman"/>
                <w:color w:val="auto"/>
                <w:sz w:val="24"/>
                <w:szCs w:val="24"/>
                <w:highlight w:val="none"/>
              </w:rPr>
            </w:pPr>
            <w:r>
              <w:rPr>
                <w:rFonts w:hint="eastAsia" w:ascii="Times New Roman" w:hAnsi="宋体" w:eastAsia="宋体" w:cs="Times New Roman"/>
                <w:color w:val="auto"/>
                <w:sz w:val="24"/>
                <w:szCs w:val="24"/>
                <w:highlight w:val="none"/>
              </w:rPr>
              <w:t>注：</w:t>
            </w:r>
          </w:p>
          <w:p w14:paraId="7952E34D">
            <w:pPr>
              <w:keepNext w:val="0"/>
              <w:keepLines w:val="0"/>
              <w:suppressLineNumbers w:val="0"/>
              <w:spacing w:before="0" w:beforeAutospacing="0" w:after="0" w:afterAutospacing="0" w:line="400" w:lineRule="exact"/>
              <w:ind w:left="0" w:right="0"/>
              <w:rPr>
                <w:rFonts w:hint="default" w:ascii="Times New Roman" w:hAnsi="宋体" w:eastAsia="宋体" w:cs="Times New Roman"/>
                <w:color w:val="auto"/>
                <w:sz w:val="24"/>
                <w:szCs w:val="24"/>
                <w:highlight w:val="none"/>
              </w:rPr>
            </w:pPr>
            <w:r>
              <w:rPr>
                <w:rFonts w:hint="default" w:ascii="Times New Roman" w:hAnsi="宋体" w:eastAsia="宋体" w:cs="Times New Roman"/>
                <w:color w:val="auto"/>
                <w:sz w:val="24"/>
                <w:szCs w:val="24"/>
                <w:highlight w:val="none"/>
              </w:rPr>
              <w:t>1</w:t>
            </w:r>
            <w:r>
              <w:rPr>
                <w:rFonts w:hint="eastAsia" w:ascii="Times New Roman" w:hAnsi="宋体" w:eastAsia="宋体" w:cs="Times New Roman"/>
                <w:color w:val="auto"/>
                <w:sz w:val="24"/>
                <w:szCs w:val="24"/>
                <w:highlight w:val="none"/>
              </w:rPr>
              <w:t>、</w:t>
            </w:r>
            <w:r>
              <w:rPr>
                <w:rFonts w:hint="eastAsia" w:ascii="Times New Roman" w:hAnsi="宋体" w:eastAsia="宋体" w:cs="Times New Roman"/>
                <w:color w:val="auto"/>
                <w:sz w:val="24"/>
                <w:szCs w:val="24"/>
                <w:highlight w:val="none"/>
                <w:lang w:val="en-US" w:eastAsia="zh-CN"/>
              </w:rPr>
              <w:t>参选人报价不得高于比选最高限价。</w:t>
            </w:r>
          </w:p>
        </w:tc>
      </w:tr>
    </w:tbl>
    <w:p w14:paraId="40915C3D">
      <w:pPr>
        <w:spacing w:line="360" w:lineRule="auto"/>
        <w:rPr>
          <w:rFonts w:hint="eastAsia" w:ascii="宋体" w:hAnsi="宋体" w:eastAsia="宋体" w:cs="Times New Roman"/>
          <w:b/>
          <w:color w:val="auto"/>
          <w:sz w:val="24"/>
          <w:szCs w:val="24"/>
          <w:highlight w:val="none"/>
        </w:rPr>
      </w:pPr>
    </w:p>
    <w:p w14:paraId="126491C8">
      <w:pPr>
        <w:spacing w:line="360" w:lineRule="auto"/>
        <w:rPr>
          <w:rFonts w:ascii="宋体" w:hAnsi="Times New Roman" w:eastAsia="宋体" w:cs="Times New Roman"/>
          <w:b/>
          <w:color w:val="auto"/>
          <w:sz w:val="24"/>
          <w:szCs w:val="24"/>
          <w:highlight w:val="none"/>
        </w:rPr>
      </w:pPr>
      <w:r>
        <w:rPr>
          <w:rFonts w:hint="eastAsia" w:ascii="宋体" w:hAnsi="宋体" w:eastAsia="宋体" w:cs="Times New Roman"/>
          <w:b/>
          <w:color w:val="auto"/>
          <w:sz w:val="24"/>
          <w:szCs w:val="24"/>
          <w:highlight w:val="none"/>
        </w:rPr>
        <w:t>（</w:t>
      </w:r>
      <w:r>
        <w:rPr>
          <w:rFonts w:hint="eastAsia" w:ascii="宋体" w:hAnsi="宋体" w:cs="Times New Roman"/>
          <w:b/>
          <w:color w:val="auto"/>
          <w:sz w:val="24"/>
          <w:szCs w:val="24"/>
          <w:highlight w:val="none"/>
          <w:lang w:val="en-US" w:eastAsia="zh-CN"/>
        </w:rPr>
        <w:t>注：</w:t>
      </w:r>
      <w:r>
        <w:rPr>
          <w:rFonts w:hint="eastAsia" w:ascii="宋体" w:hAnsi="宋体" w:eastAsia="宋体" w:cs="Times New Roman"/>
          <w:b/>
          <w:color w:val="auto"/>
          <w:sz w:val="24"/>
          <w:szCs w:val="24"/>
          <w:highlight w:val="none"/>
        </w:rPr>
        <w:t>此表须法定代表人</w:t>
      </w:r>
      <w:r>
        <w:rPr>
          <w:rFonts w:hint="eastAsia" w:ascii="宋体" w:hAnsi="宋体" w:eastAsia="宋体" w:cs="Times New Roman"/>
          <w:b/>
          <w:color w:val="auto"/>
          <w:sz w:val="24"/>
          <w:szCs w:val="24"/>
          <w:highlight w:val="none"/>
          <w:lang w:val="en-US" w:eastAsia="zh-CN"/>
        </w:rPr>
        <w:t>签字或盖章，并</w:t>
      </w:r>
      <w:r>
        <w:rPr>
          <w:rFonts w:hint="eastAsia" w:ascii="宋体" w:hAnsi="宋体" w:eastAsia="宋体" w:cs="Times New Roman"/>
          <w:b/>
          <w:color w:val="auto"/>
          <w:sz w:val="24"/>
          <w:szCs w:val="24"/>
          <w:highlight w:val="none"/>
        </w:rPr>
        <w:t>加盖参选人公章）</w:t>
      </w:r>
    </w:p>
    <w:p w14:paraId="741B829E">
      <w:pPr>
        <w:spacing w:line="360" w:lineRule="auto"/>
        <w:ind w:firstLine="3465" w:firstLineChars="1650"/>
        <w:rPr>
          <w:rFonts w:ascii="宋体" w:hAnsi="Times New Roman" w:eastAsia="宋体" w:cs="Times New Roman"/>
          <w:color w:val="auto"/>
          <w:szCs w:val="21"/>
          <w:highlight w:val="none"/>
        </w:rPr>
      </w:pPr>
    </w:p>
    <w:p w14:paraId="16DCA676">
      <w:pPr>
        <w:spacing w:line="360" w:lineRule="auto"/>
        <w:ind w:firstLine="3465" w:firstLineChars="1650"/>
        <w:jc w:val="right"/>
        <w:rPr>
          <w:rFonts w:ascii="宋体" w:hAnsi="Times New Roman" w:eastAsia="宋体" w:cs="Times New Roman"/>
          <w:color w:val="auto"/>
          <w:szCs w:val="21"/>
          <w:highlight w:val="none"/>
        </w:rPr>
      </w:pPr>
      <w:r>
        <w:rPr>
          <w:rFonts w:hint="eastAsia" w:ascii="宋体" w:hAnsi="宋体" w:eastAsia="宋体" w:cs="Times New Roman"/>
          <w:color w:val="auto"/>
          <w:szCs w:val="21"/>
          <w:highlight w:val="none"/>
        </w:rPr>
        <w:t>参选人：</w:t>
      </w:r>
      <w:r>
        <w:rPr>
          <w:rFonts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（盖章）</w:t>
      </w:r>
    </w:p>
    <w:p w14:paraId="18F3E66B">
      <w:pPr>
        <w:spacing w:line="360" w:lineRule="auto"/>
        <w:ind w:firstLine="3561" w:firstLineChars="1696"/>
        <w:jc w:val="right"/>
        <w:rPr>
          <w:rFonts w:ascii="宋体" w:hAnsi="Times New Roman" w:eastAsia="宋体" w:cs="Times New Roman"/>
          <w:color w:val="auto"/>
          <w:szCs w:val="21"/>
          <w:highlight w:val="none"/>
        </w:rPr>
      </w:pPr>
    </w:p>
    <w:p w14:paraId="2F78DB47">
      <w:pPr>
        <w:spacing w:line="360" w:lineRule="auto"/>
        <w:ind w:firstLine="3465" w:firstLineChars="1650"/>
        <w:jc w:val="right"/>
        <w:rPr>
          <w:rFonts w:ascii="宋体" w:hAnsi="Times New Roman" w:eastAsia="宋体" w:cs="Times New Roman"/>
          <w:color w:val="auto"/>
          <w:szCs w:val="21"/>
          <w:highlight w:val="none"/>
        </w:rPr>
      </w:pPr>
      <w:r>
        <w:rPr>
          <w:rFonts w:hint="eastAsia" w:ascii="宋体" w:hAnsi="宋体" w:eastAsia="宋体" w:cs="Times New Roman"/>
          <w:color w:val="auto"/>
          <w:szCs w:val="21"/>
          <w:highlight w:val="none"/>
        </w:rPr>
        <w:t>法定代表人：</w:t>
      </w:r>
      <w:r>
        <w:rPr>
          <w:rFonts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val="en-US" w:eastAsia="zh-CN"/>
        </w:rPr>
        <w:t>签字或</w:t>
      </w:r>
      <w:r>
        <w:rPr>
          <w:rFonts w:hint="eastAsia" w:ascii="宋体" w:hAnsi="宋体" w:eastAsia="宋体" w:cs="Times New Roman"/>
          <w:color w:val="auto"/>
          <w:szCs w:val="21"/>
          <w:highlight w:val="none"/>
        </w:rPr>
        <w:t>签章）</w:t>
      </w:r>
    </w:p>
    <w:p w14:paraId="1C88C77D">
      <w:pPr>
        <w:spacing w:line="360" w:lineRule="auto"/>
        <w:ind w:firstLine="3570" w:firstLineChars="1700"/>
        <w:jc w:val="right"/>
        <w:rPr>
          <w:rFonts w:ascii="宋体" w:hAnsi="Times New Roman" w:eastAsia="宋体" w:cs="Times New Roman"/>
          <w:color w:val="auto"/>
          <w:szCs w:val="21"/>
          <w:highlight w:val="none"/>
        </w:rPr>
      </w:pPr>
    </w:p>
    <w:p w14:paraId="0C2BB971">
      <w:pPr>
        <w:spacing w:line="360" w:lineRule="auto"/>
        <w:ind w:firstLine="3570" w:firstLineChars="1700"/>
        <w:jc w:val="right"/>
        <w:rPr>
          <w:rFonts w:ascii="宋体"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日</w:t>
      </w:r>
      <w:r>
        <w:rPr>
          <w:rFonts w:ascii="Times New Roman" w:hAnsi="Times New Roman" w:eastAsia="宋体" w:cs="Times New Roman"/>
          <w:color w:val="auto"/>
          <w:szCs w:val="21"/>
          <w:highlight w:val="none"/>
        </w:rPr>
        <w:t xml:space="preserve">  </w:t>
      </w:r>
      <w:r>
        <w:rPr>
          <w:rFonts w:hint="eastAsia" w:ascii="Times New Roman" w:hAnsi="Times New Roman" w:eastAsia="宋体" w:cs="Times New Roman"/>
          <w:color w:val="auto"/>
          <w:szCs w:val="21"/>
          <w:highlight w:val="none"/>
        </w:rPr>
        <w:t>期：</w:t>
      </w:r>
      <w:r>
        <w:rPr>
          <w:rFonts w:ascii="Times New Roman" w:hAnsi="Times New Roman" w:eastAsia="宋体" w:cs="Times New Roman"/>
          <w:color w:val="auto"/>
          <w:szCs w:val="21"/>
          <w:highlight w:val="none"/>
          <w:u w:val="single"/>
        </w:rPr>
        <w:t xml:space="preserve">         </w:t>
      </w:r>
      <w:r>
        <w:rPr>
          <w:rFonts w:hint="eastAsia" w:ascii="Times New Roman" w:hAnsi="Times New Roman" w:eastAsia="宋体" w:cs="Times New Roman"/>
          <w:color w:val="auto"/>
          <w:szCs w:val="21"/>
          <w:highlight w:val="none"/>
        </w:rPr>
        <w:t>年</w:t>
      </w:r>
      <w:r>
        <w:rPr>
          <w:rFonts w:ascii="Times New Roman" w:hAnsi="Times New Roman" w:eastAsia="宋体" w:cs="Times New Roman"/>
          <w:color w:val="auto"/>
          <w:szCs w:val="21"/>
          <w:highlight w:val="none"/>
          <w:u w:val="single"/>
        </w:rPr>
        <w:t xml:space="preserve">       </w:t>
      </w:r>
      <w:r>
        <w:rPr>
          <w:rFonts w:hint="eastAsia" w:ascii="Times New Roman" w:hAnsi="Times New Roman" w:eastAsia="宋体" w:cs="Times New Roman"/>
          <w:color w:val="auto"/>
          <w:szCs w:val="21"/>
          <w:highlight w:val="none"/>
        </w:rPr>
        <w:t>月</w:t>
      </w:r>
      <w:r>
        <w:rPr>
          <w:rFonts w:ascii="Times New Roman" w:hAnsi="Times New Roman" w:eastAsia="宋体" w:cs="Times New Roman"/>
          <w:color w:val="auto"/>
          <w:szCs w:val="21"/>
          <w:highlight w:val="none"/>
          <w:u w:val="single"/>
        </w:rPr>
        <w:t xml:space="preserve">      </w:t>
      </w:r>
      <w:r>
        <w:rPr>
          <w:rFonts w:hint="eastAsia" w:ascii="Times New Roman" w:hAnsi="Times New Roman" w:eastAsia="宋体" w:cs="Times New Roman"/>
          <w:color w:val="auto"/>
          <w:szCs w:val="21"/>
          <w:highlight w:val="none"/>
        </w:rPr>
        <w:t>日</w:t>
      </w:r>
    </w:p>
    <w:p w14:paraId="47D74405">
      <w:pPr>
        <w:rPr>
          <w:rFonts w:hint="eastAsia"/>
          <w:color w:val="auto"/>
          <w:highlight w:val="none"/>
        </w:rPr>
      </w:pPr>
      <w:r>
        <w:rPr>
          <w:rFonts w:hint="eastAsia"/>
          <w:color w:val="auto"/>
          <w:highlight w:val="none"/>
        </w:rPr>
        <w:br w:type="page"/>
      </w:r>
    </w:p>
    <w:bookmarkEnd w:id="81"/>
    <w:bookmarkEnd w:id="82"/>
    <w:p w14:paraId="16391EC0">
      <w:pPr>
        <w:keepNext/>
        <w:keepLines/>
        <w:widowControl w:val="0"/>
        <w:shd w:val="clear" w:color="auto" w:fill="FFFFFF"/>
        <w:wordWrap w:val="0"/>
        <w:spacing w:line="360" w:lineRule="exact"/>
        <w:jc w:val="center"/>
        <w:outlineLvl w:val="2"/>
        <w:rPr>
          <w:rFonts w:ascii="宋体" w:hAnsi="宋体" w:eastAsia="宋体" w:cs="宋体"/>
          <w:b/>
          <w:color w:val="auto"/>
          <w:kern w:val="2"/>
          <w:sz w:val="28"/>
          <w:szCs w:val="28"/>
          <w:highlight w:val="none"/>
          <w:bdr w:val="single" w:color="auto" w:sz="4" w:space="0"/>
          <w:shd w:val="clear" w:color="auto" w:fill="FFFFFF"/>
          <w:lang w:val="en-US" w:eastAsia="zh-CN" w:bidi="ar-SA"/>
        </w:rPr>
      </w:pPr>
      <w:r>
        <w:rPr>
          <w:rFonts w:hint="eastAsia" w:ascii="宋体" w:hAnsi="宋体" w:cs="宋体"/>
          <w:b/>
          <w:color w:val="auto"/>
          <w:kern w:val="2"/>
          <w:sz w:val="28"/>
          <w:szCs w:val="28"/>
          <w:highlight w:val="none"/>
          <w:shd w:val="clear" w:color="auto" w:fill="FFFFFF"/>
          <w:lang w:val="en-US" w:eastAsia="zh-CN" w:bidi="ar-SA"/>
        </w:rPr>
        <w:t>三</w:t>
      </w:r>
      <w:r>
        <w:rPr>
          <w:rFonts w:hint="eastAsia" w:ascii="宋体" w:hAnsi="宋体" w:eastAsia="宋体" w:cs="宋体"/>
          <w:b/>
          <w:color w:val="auto"/>
          <w:kern w:val="2"/>
          <w:sz w:val="28"/>
          <w:szCs w:val="28"/>
          <w:highlight w:val="none"/>
          <w:shd w:val="clear" w:color="auto" w:fill="FFFFFF"/>
          <w:lang w:val="en-US" w:eastAsia="zh-CN" w:bidi="ar-SA"/>
        </w:rPr>
        <w:t>、相关证明文件</w:t>
      </w:r>
    </w:p>
    <w:p w14:paraId="27D7AFC1">
      <w:pPr>
        <w:spacing w:line="360" w:lineRule="auto"/>
        <w:ind w:firstLine="420" w:firstLineChars="200"/>
        <w:rPr>
          <w:rFonts w:ascii="宋体" w:hAnsi="宋体" w:eastAsia="宋体" w:cs="宋体"/>
          <w:color w:val="auto"/>
          <w:szCs w:val="21"/>
          <w:highlight w:val="none"/>
        </w:rPr>
      </w:pPr>
    </w:p>
    <w:p w14:paraId="7DAA606B">
      <w:pPr>
        <w:spacing w:line="360" w:lineRule="auto"/>
        <w:ind w:firstLine="420" w:firstLineChars="200"/>
        <w:rPr>
          <w:rFonts w:hint="eastAsia"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1</w:t>
      </w:r>
      <w:r>
        <w:rPr>
          <w:rFonts w:hint="eastAsia" w:ascii="宋体" w:hAnsi="宋体" w:eastAsia="宋体" w:cs="Times New Roman"/>
          <w:color w:val="auto"/>
          <w:szCs w:val="21"/>
          <w:highlight w:val="none"/>
          <w:lang w:val="en-US" w:eastAsia="zh-CN"/>
        </w:rPr>
        <w:t>、</w:t>
      </w:r>
      <w:r>
        <w:rPr>
          <w:rFonts w:hint="eastAsia" w:ascii="宋体" w:hAnsi="宋体" w:cs="Times New Roman"/>
          <w:color w:val="auto"/>
          <w:szCs w:val="21"/>
          <w:highlight w:val="none"/>
          <w:lang w:val="en-US" w:eastAsia="zh-CN"/>
        </w:rPr>
        <w:t>律师事务所负责人</w:t>
      </w:r>
      <w:r>
        <w:rPr>
          <w:rFonts w:hint="eastAsia" w:ascii="宋体" w:hAnsi="宋体" w:eastAsia="宋体" w:cs="Times New Roman"/>
          <w:color w:val="auto"/>
          <w:szCs w:val="21"/>
          <w:highlight w:val="none"/>
          <w:lang w:val="en-US" w:eastAsia="zh-CN"/>
        </w:rPr>
        <w:t>身份证明书（格式见附件）及其有效二代居民身份证；</w:t>
      </w:r>
    </w:p>
    <w:p w14:paraId="1A139C20">
      <w:pPr>
        <w:spacing w:line="360" w:lineRule="auto"/>
        <w:ind w:firstLine="420" w:firstLineChars="200"/>
        <w:rPr>
          <w:rFonts w:hint="eastAsia"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2</w:t>
      </w:r>
      <w:r>
        <w:rPr>
          <w:rFonts w:hint="eastAsia" w:ascii="宋体" w:hAnsi="宋体" w:eastAsia="宋体" w:cs="Times New Roman"/>
          <w:color w:val="auto"/>
          <w:szCs w:val="21"/>
          <w:highlight w:val="none"/>
          <w:lang w:val="en-US" w:eastAsia="zh-CN"/>
        </w:rPr>
        <w:t>、</w:t>
      </w:r>
      <w:r>
        <w:rPr>
          <w:rFonts w:hint="eastAsia" w:ascii="宋体" w:hAnsi="宋体" w:cs="Times New Roman"/>
          <w:color w:val="auto"/>
          <w:szCs w:val="21"/>
          <w:highlight w:val="none"/>
          <w:lang w:val="en-US" w:eastAsia="zh-CN"/>
        </w:rPr>
        <w:t>律师事务所负责人</w:t>
      </w:r>
      <w:r>
        <w:rPr>
          <w:rFonts w:hint="eastAsia" w:ascii="宋体" w:hAnsi="宋体" w:eastAsia="宋体" w:cs="Times New Roman"/>
          <w:color w:val="auto"/>
          <w:szCs w:val="21"/>
          <w:highlight w:val="none"/>
          <w:lang w:val="en-US" w:eastAsia="zh-CN"/>
        </w:rPr>
        <w:t>授权委托书（格式见附件）及委托代理人有效二代居民身份证，若</w:t>
      </w:r>
      <w:r>
        <w:rPr>
          <w:rFonts w:hint="eastAsia" w:ascii="宋体" w:hAnsi="宋体" w:cs="Times New Roman"/>
          <w:color w:val="auto"/>
          <w:szCs w:val="21"/>
          <w:highlight w:val="none"/>
          <w:lang w:val="en-US" w:eastAsia="zh-CN"/>
        </w:rPr>
        <w:t>律师事务所负责人</w:t>
      </w:r>
      <w:r>
        <w:rPr>
          <w:rFonts w:hint="eastAsia" w:ascii="宋体" w:hAnsi="宋体" w:eastAsia="宋体" w:cs="Times New Roman"/>
          <w:color w:val="auto"/>
          <w:szCs w:val="21"/>
          <w:highlight w:val="none"/>
          <w:lang w:val="en-US" w:eastAsia="zh-CN"/>
        </w:rPr>
        <w:t>本人参与比选则不需此件；</w:t>
      </w:r>
    </w:p>
    <w:p w14:paraId="12ED02BC">
      <w:pPr>
        <w:spacing w:line="360" w:lineRule="auto"/>
        <w:ind w:firstLine="420" w:firstLineChars="200"/>
        <w:rPr>
          <w:rFonts w:hint="eastAsia"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3、</w:t>
      </w:r>
      <w:r>
        <w:rPr>
          <w:rFonts w:hint="eastAsia" w:ascii="宋体" w:hAnsi="宋体" w:eastAsia="宋体" w:cs="Times New Roman"/>
          <w:color w:val="auto"/>
          <w:szCs w:val="21"/>
          <w:highlight w:val="none"/>
          <w:lang w:val="en-US" w:eastAsia="zh-CN"/>
        </w:rPr>
        <w:t>参选人认为提供的其他材料；</w:t>
      </w:r>
    </w:p>
    <w:p w14:paraId="197A8E36">
      <w:pPr>
        <w:spacing w:line="360" w:lineRule="auto"/>
        <w:ind w:firstLine="420" w:firstLineChars="200"/>
        <w:rPr>
          <w:rFonts w:hint="default"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4</w:t>
      </w:r>
      <w:r>
        <w:rPr>
          <w:rFonts w:hint="eastAsia" w:ascii="宋体" w:hAnsi="宋体" w:eastAsia="宋体" w:cs="Times New Roman"/>
          <w:color w:val="auto"/>
          <w:szCs w:val="21"/>
          <w:highlight w:val="none"/>
          <w:lang w:val="en-US" w:eastAsia="zh-CN"/>
        </w:rPr>
        <w:t>、须提供上述证明文件复印件或扫描件或影印件。</w:t>
      </w:r>
    </w:p>
    <w:p w14:paraId="77E818EA">
      <w:pPr>
        <w:spacing w:line="360" w:lineRule="auto"/>
        <w:ind w:left="368" w:leftChars="175"/>
        <w:rPr>
          <w:rFonts w:ascii="宋体" w:hAnsi="宋体" w:cs="宋体"/>
          <w:b/>
          <w:color w:val="auto"/>
          <w:spacing w:val="-4"/>
          <w:kern w:val="0"/>
          <w:szCs w:val="21"/>
          <w:highlight w:val="none"/>
        </w:rPr>
      </w:pPr>
    </w:p>
    <w:p w14:paraId="4304ADC4">
      <w:pPr>
        <w:rPr>
          <w:color w:val="auto"/>
          <w:highlight w:val="none"/>
        </w:rPr>
      </w:pPr>
      <w:r>
        <w:rPr>
          <w:rFonts w:ascii="宋体" w:hAnsi="宋体" w:cs="宋体"/>
          <w:b/>
          <w:color w:val="auto"/>
          <w:spacing w:val="-4"/>
          <w:kern w:val="0"/>
          <w:szCs w:val="21"/>
          <w:highlight w:val="none"/>
        </w:rPr>
        <w:br w:type="page"/>
      </w:r>
    </w:p>
    <w:p w14:paraId="738691E2">
      <w:pPr>
        <w:spacing w:line="360" w:lineRule="auto"/>
        <w:jc w:val="left"/>
        <w:rPr>
          <w:rFonts w:ascii="宋体" w:hAnsi="宋体" w:cs="Times New Roman"/>
          <w:b/>
          <w:bCs/>
          <w:color w:val="auto"/>
          <w:szCs w:val="21"/>
          <w:highlight w:val="none"/>
        </w:rPr>
      </w:pPr>
      <w:r>
        <w:rPr>
          <w:rFonts w:hint="eastAsia" w:ascii="宋体" w:hAnsi="宋体" w:cs="Times New Roman"/>
          <w:b/>
          <w:bCs/>
          <w:color w:val="auto"/>
          <w:szCs w:val="24"/>
          <w:highlight w:val="none"/>
        </w:rPr>
        <w:t>附件：</w:t>
      </w:r>
    </w:p>
    <w:p w14:paraId="60D08CAE">
      <w:pPr>
        <w:spacing w:line="360" w:lineRule="auto"/>
        <w:ind w:firstLine="413" w:firstLineChars="196"/>
        <w:jc w:val="center"/>
        <w:rPr>
          <w:rFonts w:hint="eastAsia" w:ascii="宋体" w:hAnsi="宋体" w:eastAsia="宋体" w:cs="宋体"/>
          <w:b/>
          <w:color w:val="auto"/>
          <w:szCs w:val="21"/>
          <w:highlight w:val="none"/>
        </w:rPr>
      </w:pPr>
    </w:p>
    <w:p w14:paraId="0C267E2F">
      <w:pPr>
        <w:spacing w:line="360" w:lineRule="auto"/>
        <w:ind w:firstLine="413" w:firstLineChars="196"/>
        <w:jc w:val="center"/>
        <w:rPr>
          <w:rFonts w:ascii="宋体" w:hAnsi="Times New Roman" w:eastAsia="宋体" w:cs="宋体"/>
          <w:b/>
          <w:color w:val="auto"/>
          <w:szCs w:val="21"/>
          <w:highlight w:val="none"/>
        </w:rPr>
      </w:pPr>
      <w:r>
        <w:rPr>
          <w:rFonts w:hint="eastAsia" w:ascii="宋体" w:hAnsi="宋体" w:cs="宋体"/>
          <w:b/>
          <w:color w:val="auto"/>
          <w:szCs w:val="21"/>
          <w:highlight w:val="none"/>
          <w:lang w:eastAsia="zh-CN"/>
        </w:rPr>
        <w:t>律师事务所负责人</w:t>
      </w:r>
      <w:r>
        <w:rPr>
          <w:rFonts w:hint="eastAsia" w:ascii="宋体" w:hAnsi="宋体" w:eastAsia="宋体" w:cs="宋体"/>
          <w:b/>
          <w:color w:val="auto"/>
          <w:szCs w:val="21"/>
          <w:highlight w:val="none"/>
        </w:rPr>
        <w:t>身份证明书</w:t>
      </w:r>
    </w:p>
    <w:p w14:paraId="19D0FE92">
      <w:pPr>
        <w:wordWrap w:val="0"/>
        <w:adjustRightInd w:val="0"/>
        <w:snapToGrid w:val="0"/>
        <w:spacing w:line="360" w:lineRule="auto"/>
        <w:ind w:firstLine="420" w:firstLineChars="200"/>
        <w:rPr>
          <w:rFonts w:ascii="宋体" w:hAnsi="Times New Roman" w:eastAsia="宋体" w:cs="宋体"/>
          <w:color w:val="auto"/>
          <w:szCs w:val="21"/>
          <w:highlight w:val="none"/>
          <w:u w:val="single"/>
        </w:rPr>
      </w:pPr>
      <w:r>
        <w:rPr>
          <w:rFonts w:hint="eastAsia" w:ascii="宋体" w:hAnsi="宋体" w:eastAsia="宋体" w:cs="宋体"/>
          <w:color w:val="auto"/>
          <w:szCs w:val="21"/>
          <w:highlight w:val="none"/>
        </w:rPr>
        <w:t>参选人名称：</w:t>
      </w:r>
      <w:r>
        <w:rPr>
          <w:rFonts w:hint="eastAsia" w:ascii="宋体" w:hAnsi="宋体" w:eastAsia="宋体" w:cs="宋体"/>
          <w:color w:val="auto"/>
          <w:szCs w:val="21"/>
          <w:highlight w:val="none"/>
          <w:u w:val="single"/>
        </w:rPr>
        <w:t xml:space="preserve">                    </w:t>
      </w:r>
    </w:p>
    <w:p w14:paraId="43C08A11">
      <w:pPr>
        <w:wordWrap w:val="0"/>
        <w:adjustRightInd w:val="0"/>
        <w:snapToGrid w:val="0"/>
        <w:spacing w:line="360" w:lineRule="auto"/>
        <w:ind w:firstLine="420" w:firstLineChars="200"/>
        <w:rPr>
          <w:rFonts w:ascii="宋体" w:hAnsi="Times New Roman" w:eastAsia="宋体" w:cs="宋体"/>
          <w:color w:val="auto"/>
          <w:szCs w:val="21"/>
          <w:highlight w:val="none"/>
          <w:u w:val="single"/>
        </w:rPr>
      </w:pPr>
      <w:r>
        <w:rPr>
          <w:rFonts w:hint="eastAsia" w:ascii="宋体" w:hAnsi="宋体" w:eastAsia="宋体" w:cs="宋体"/>
          <w:color w:val="auto"/>
          <w:szCs w:val="21"/>
          <w:highlight w:val="none"/>
        </w:rPr>
        <w:t>单位性质：</w:t>
      </w:r>
      <w:r>
        <w:rPr>
          <w:rFonts w:hint="eastAsia" w:ascii="宋体" w:hAnsi="宋体" w:eastAsia="宋体" w:cs="宋体"/>
          <w:color w:val="auto"/>
          <w:szCs w:val="21"/>
          <w:highlight w:val="none"/>
          <w:u w:val="single"/>
        </w:rPr>
        <w:t xml:space="preserve">                     </w:t>
      </w:r>
    </w:p>
    <w:p w14:paraId="6D3379D8">
      <w:pPr>
        <w:wordWrap w:val="0"/>
        <w:adjustRightInd w:val="0"/>
        <w:snapToGrid w:val="0"/>
        <w:spacing w:line="360" w:lineRule="auto"/>
        <w:ind w:firstLine="420" w:firstLineChars="200"/>
        <w:rPr>
          <w:rFonts w:ascii="宋体" w:hAnsi="Times New Roman" w:eastAsia="宋体" w:cs="宋体"/>
          <w:color w:val="auto"/>
          <w:szCs w:val="21"/>
          <w:highlight w:val="none"/>
          <w:u w:val="single"/>
        </w:rPr>
      </w:pPr>
      <w:r>
        <w:rPr>
          <w:rFonts w:hint="eastAsia" w:ascii="宋体" w:hAnsi="宋体" w:eastAsia="宋体" w:cs="宋体"/>
          <w:color w:val="auto"/>
          <w:szCs w:val="21"/>
          <w:highlight w:val="none"/>
        </w:rPr>
        <w:t>地址：</w:t>
      </w:r>
      <w:r>
        <w:rPr>
          <w:rFonts w:hint="eastAsia" w:ascii="宋体" w:hAnsi="宋体" w:eastAsia="宋体" w:cs="宋体"/>
          <w:color w:val="auto"/>
          <w:szCs w:val="21"/>
          <w:highlight w:val="none"/>
          <w:u w:val="single"/>
        </w:rPr>
        <w:t xml:space="preserve">                   </w:t>
      </w:r>
    </w:p>
    <w:p w14:paraId="5EB500FD">
      <w:pPr>
        <w:wordWrap w:val="0"/>
        <w:adjustRightInd w:val="0"/>
        <w:snapToGrid w:val="0"/>
        <w:spacing w:line="360" w:lineRule="auto"/>
        <w:ind w:firstLine="420" w:firstLineChars="200"/>
        <w:rPr>
          <w:rFonts w:ascii="宋体" w:hAnsi="Times New Roman" w:eastAsia="宋体" w:cs="宋体"/>
          <w:color w:val="auto"/>
          <w:szCs w:val="21"/>
          <w:highlight w:val="none"/>
          <w:u w:val="single"/>
        </w:rPr>
      </w:pPr>
      <w:r>
        <w:rPr>
          <w:rFonts w:hint="eastAsia" w:ascii="宋体" w:hAnsi="宋体" w:eastAsia="宋体" w:cs="宋体"/>
          <w:color w:val="auto"/>
          <w:szCs w:val="21"/>
          <w:highlight w:val="none"/>
        </w:rPr>
        <w:t>姓名：</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性别：</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年龄：</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职务：</w:t>
      </w:r>
      <w:r>
        <w:rPr>
          <w:rFonts w:hint="eastAsia" w:ascii="宋体" w:hAnsi="宋体" w:eastAsia="宋体" w:cs="宋体"/>
          <w:color w:val="auto"/>
          <w:szCs w:val="21"/>
          <w:highlight w:val="none"/>
          <w:u w:val="single"/>
        </w:rPr>
        <w:t xml:space="preserve">            </w:t>
      </w:r>
    </w:p>
    <w:p w14:paraId="75E5BD8C">
      <w:pPr>
        <w:wordWrap w:val="0"/>
        <w:adjustRightInd w:val="0"/>
        <w:snapToGrid w:val="0"/>
        <w:spacing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系</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（参选人名称）的</w:t>
      </w:r>
      <w:r>
        <w:rPr>
          <w:rFonts w:hint="eastAsia" w:ascii="宋体" w:hAnsi="宋体" w:cs="宋体"/>
          <w:color w:val="auto"/>
          <w:szCs w:val="21"/>
          <w:highlight w:val="none"/>
          <w:lang w:eastAsia="zh-CN"/>
        </w:rPr>
        <w:t>律师事务所负责人</w:t>
      </w:r>
      <w:r>
        <w:rPr>
          <w:rFonts w:hint="eastAsia" w:ascii="宋体" w:hAnsi="宋体" w:eastAsia="宋体" w:cs="宋体"/>
          <w:color w:val="auto"/>
          <w:szCs w:val="21"/>
          <w:highlight w:val="none"/>
        </w:rPr>
        <w:t>。</w:t>
      </w:r>
    </w:p>
    <w:p w14:paraId="2DE510C9">
      <w:pPr>
        <w:wordWrap w:val="0"/>
        <w:adjustRightInd w:val="0"/>
        <w:snapToGrid w:val="0"/>
        <w:spacing w:line="360" w:lineRule="auto"/>
        <w:ind w:firstLine="411" w:firstLineChars="196"/>
        <w:rPr>
          <w:rFonts w:ascii="Times New Roman" w:hAnsi="宋体" w:eastAsia="宋体" w:cs="Times New Roman"/>
          <w:color w:val="auto"/>
          <w:szCs w:val="21"/>
          <w:highlight w:val="none"/>
        </w:rPr>
      </w:pPr>
      <w:r>
        <w:rPr>
          <w:rFonts w:hint="eastAsia" w:ascii="Times New Roman" w:hAnsi="宋体" w:eastAsia="宋体" w:cs="Times New Roman"/>
          <w:color w:val="auto"/>
          <w:szCs w:val="21"/>
          <w:highlight w:val="none"/>
        </w:rPr>
        <w:t>联系方式（移动电话）：</w:t>
      </w:r>
      <w:r>
        <w:rPr>
          <w:rFonts w:hint="eastAsia" w:ascii="Times New Roman" w:hAnsi="宋体" w:eastAsia="宋体" w:cs="Times New Roman"/>
          <w:color w:val="auto"/>
          <w:szCs w:val="21"/>
          <w:highlight w:val="none"/>
          <w:u w:val="single"/>
        </w:rPr>
        <w:t xml:space="preserve">                 </w:t>
      </w:r>
    </w:p>
    <w:p w14:paraId="68792150">
      <w:pPr>
        <w:wordWrap w:val="0"/>
        <w:adjustRightInd w:val="0"/>
        <w:snapToGrid w:val="0"/>
        <w:spacing w:line="360" w:lineRule="auto"/>
        <w:ind w:firstLine="420" w:firstLineChars="200"/>
        <w:rPr>
          <w:rFonts w:ascii="宋体" w:hAnsi="Times New Roman" w:eastAsia="宋体" w:cs="宋体"/>
          <w:color w:val="auto"/>
          <w:szCs w:val="21"/>
          <w:highlight w:val="none"/>
        </w:rPr>
      </w:pPr>
      <w:r>
        <w:rPr>
          <w:rFonts w:hint="eastAsia" w:ascii="Times New Roman" w:hAnsi="宋体" w:eastAsia="宋体" w:cs="Times New Roman"/>
          <w:color w:val="auto"/>
          <w:szCs w:val="21"/>
          <w:highlight w:val="none"/>
        </w:rPr>
        <w:t>电子邮箱：</w:t>
      </w:r>
      <w:r>
        <w:rPr>
          <w:rFonts w:hint="eastAsia" w:ascii="Times New Roman" w:hAnsi="宋体" w:eastAsia="宋体" w:cs="Times New Roman"/>
          <w:color w:val="auto"/>
          <w:szCs w:val="21"/>
          <w:highlight w:val="none"/>
          <w:u w:val="single"/>
        </w:rPr>
        <w:t xml:space="preserve">                       </w:t>
      </w:r>
    </w:p>
    <w:p w14:paraId="4742834E">
      <w:pPr>
        <w:wordWrap w:val="0"/>
        <w:adjustRightInd w:val="0"/>
        <w:snapToGrid w:val="0"/>
        <w:spacing w:line="360" w:lineRule="auto"/>
        <w:ind w:firstLine="411" w:firstLineChars="196"/>
        <w:rPr>
          <w:rFonts w:ascii="宋体" w:hAnsi="Times New Roman" w:eastAsia="宋体" w:cs="宋体"/>
          <w:color w:val="auto"/>
          <w:szCs w:val="21"/>
          <w:highlight w:val="none"/>
        </w:rPr>
      </w:pPr>
      <w:r>
        <w:rPr>
          <w:rFonts w:hint="eastAsia" w:ascii="宋体" w:hAnsi="宋体" w:eastAsia="宋体" w:cs="宋体"/>
          <w:color w:val="auto"/>
          <w:szCs w:val="21"/>
          <w:highlight w:val="none"/>
        </w:rPr>
        <w:t>特此证明</w:t>
      </w:r>
    </w:p>
    <w:p w14:paraId="69DD4388">
      <w:pPr>
        <w:wordWrap w:val="0"/>
        <w:adjustRightInd w:val="0"/>
        <w:snapToGrid w:val="0"/>
        <w:spacing w:line="360" w:lineRule="auto"/>
        <w:ind w:firstLine="4137" w:firstLineChars="1970"/>
        <w:rPr>
          <w:rFonts w:ascii="宋体" w:hAnsi="Times New Roman" w:eastAsia="宋体" w:cs="宋体"/>
          <w:color w:val="auto"/>
          <w:szCs w:val="21"/>
          <w:highlight w:val="none"/>
        </w:rPr>
      </w:pPr>
      <w:r>
        <w:rPr>
          <w:rFonts w:hint="eastAsia" w:ascii="宋体" w:hAnsi="宋体" w:eastAsia="宋体" w:cs="宋体"/>
          <w:color w:val="auto"/>
          <w:szCs w:val="21"/>
          <w:highlight w:val="none"/>
        </w:rPr>
        <w:t>参选人：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（盖单位章）</w:t>
      </w:r>
    </w:p>
    <w:p w14:paraId="0BD2B829">
      <w:pPr>
        <w:wordWrap w:val="0"/>
        <w:adjustRightInd w:val="0"/>
        <w:snapToGrid w:val="0"/>
        <w:spacing w:line="360" w:lineRule="auto"/>
        <w:ind w:right="360" w:firstLine="4851" w:firstLineChars="2310"/>
        <w:jc w:val="right"/>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 年  月  日</w:t>
      </w:r>
    </w:p>
    <w:p w14:paraId="3DA741AA">
      <w:pPr>
        <w:pStyle w:val="82"/>
        <w:ind w:left="0" w:leftChars="0" w:firstLine="0" w:firstLineChars="0"/>
        <w:rPr>
          <w:color w:val="auto"/>
          <w:highlight w:val="none"/>
        </w:rPr>
      </w:pPr>
    </w:p>
    <w:p w14:paraId="3837105C">
      <w:pPr>
        <w:wordWrap w:val="0"/>
        <w:spacing w:line="360" w:lineRule="auto"/>
        <w:jc w:val="center"/>
        <w:rPr>
          <w:rFonts w:ascii="宋体" w:hAnsi="Times New Roman" w:eastAsia="宋体" w:cs="宋体"/>
          <w:b/>
          <w:color w:val="auto"/>
          <w:szCs w:val="21"/>
          <w:highlight w:val="none"/>
        </w:rPr>
      </w:pPr>
      <w:r>
        <w:rPr>
          <w:rFonts w:hint="eastAsia" w:ascii="宋体" w:hAnsi="宋体" w:cs="宋体"/>
          <w:b/>
          <w:color w:val="auto"/>
          <w:szCs w:val="21"/>
          <w:highlight w:val="none"/>
          <w:lang w:eastAsia="zh-CN"/>
        </w:rPr>
        <w:t>律师事务所负责人</w:t>
      </w:r>
      <w:r>
        <w:rPr>
          <w:rFonts w:hint="eastAsia" w:ascii="宋体" w:hAnsi="宋体" w:eastAsia="宋体" w:cs="宋体"/>
          <w:b/>
          <w:color w:val="auto"/>
          <w:szCs w:val="21"/>
          <w:highlight w:val="none"/>
        </w:rPr>
        <w:t>授权委托书</w:t>
      </w:r>
    </w:p>
    <w:p w14:paraId="376D4B7D">
      <w:pPr>
        <w:wordWrap w:val="0"/>
        <w:spacing w:line="360" w:lineRule="auto"/>
        <w:ind w:firstLine="420" w:firstLineChars="200"/>
        <w:rPr>
          <w:rFonts w:ascii="宋体" w:hAnsi="Times New Roman" w:eastAsia="宋体" w:cs="宋体"/>
          <w:color w:val="auto"/>
          <w:szCs w:val="21"/>
          <w:highlight w:val="none"/>
        </w:rPr>
      </w:pPr>
      <w:r>
        <w:rPr>
          <w:rFonts w:hint="eastAsia" w:ascii="宋体" w:hAnsi="宋体" w:eastAsia="宋体" w:cs="宋体"/>
          <w:color w:val="auto"/>
          <w:szCs w:val="21"/>
          <w:highlight w:val="none"/>
        </w:rPr>
        <w:t>本人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（姓名）系</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（参选人名称）的</w:t>
      </w:r>
      <w:r>
        <w:rPr>
          <w:rFonts w:hint="eastAsia" w:ascii="宋体" w:hAnsi="宋体" w:cs="宋体"/>
          <w:color w:val="auto"/>
          <w:szCs w:val="21"/>
          <w:highlight w:val="none"/>
          <w:lang w:eastAsia="zh-CN"/>
        </w:rPr>
        <w:t>律师事务所负责人</w:t>
      </w:r>
      <w:r>
        <w:rPr>
          <w:rFonts w:hint="eastAsia" w:ascii="宋体" w:hAnsi="宋体" w:eastAsia="宋体" w:cs="宋体"/>
          <w:color w:val="auto"/>
          <w:szCs w:val="21"/>
          <w:highlight w:val="none"/>
        </w:rPr>
        <w:t>，现委托</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（姓名）为我方委托代理人。委托代理人根据授权，以我方名义签署、澄清、说明、补正、提交、撤回、修改</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（项目名称）参选文件、签订合同等一切事宜，其法律后果由我方承担。</w:t>
      </w:r>
    </w:p>
    <w:p w14:paraId="0A501F0D">
      <w:pPr>
        <w:wordWrap w:val="0"/>
        <w:spacing w:line="360" w:lineRule="auto"/>
        <w:ind w:firstLine="420" w:firstLineChars="200"/>
        <w:rPr>
          <w:rFonts w:ascii="宋体" w:hAnsi="Times New Roman" w:eastAsia="宋体" w:cs="宋体"/>
          <w:color w:val="auto"/>
          <w:szCs w:val="21"/>
          <w:highlight w:val="none"/>
        </w:rPr>
      </w:pPr>
      <w:r>
        <w:rPr>
          <w:rFonts w:hint="eastAsia" w:ascii="宋体" w:hAnsi="宋体" w:eastAsia="宋体" w:cs="宋体"/>
          <w:color w:val="auto"/>
          <w:szCs w:val="21"/>
          <w:highlight w:val="none"/>
        </w:rPr>
        <w:t>委托期限：</w:t>
      </w:r>
      <w:r>
        <w:rPr>
          <w:rFonts w:hint="eastAsia" w:ascii="宋体" w:hAnsi="宋体" w:eastAsia="宋体" w:cs="宋体"/>
          <w:color w:val="auto"/>
          <w:szCs w:val="21"/>
          <w:highlight w:val="none"/>
          <w:u w:val="single"/>
        </w:rPr>
        <w:t xml:space="preserve">              </w:t>
      </w:r>
    </w:p>
    <w:p w14:paraId="26ECD99A">
      <w:pPr>
        <w:wordWrap w:val="0"/>
        <w:spacing w:line="360" w:lineRule="auto"/>
        <w:ind w:firstLine="420" w:firstLineChars="200"/>
        <w:rPr>
          <w:rFonts w:ascii="宋体" w:hAnsi="Times New Roman" w:eastAsia="宋体" w:cs="宋体"/>
          <w:color w:val="auto"/>
          <w:szCs w:val="21"/>
          <w:highlight w:val="none"/>
        </w:rPr>
      </w:pPr>
      <w:r>
        <w:rPr>
          <w:rFonts w:hint="eastAsia" w:ascii="宋体" w:hAnsi="宋体" w:eastAsia="宋体" w:cs="宋体"/>
          <w:color w:val="auto"/>
          <w:szCs w:val="21"/>
          <w:highlight w:val="none"/>
        </w:rPr>
        <w:t>委托代理人无转委托权，特此委托。</w:t>
      </w:r>
    </w:p>
    <w:p w14:paraId="3168B4DB">
      <w:pPr>
        <w:wordWrap w:val="0"/>
        <w:spacing w:line="360" w:lineRule="auto"/>
        <w:ind w:firstLine="420" w:firstLineChars="200"/>
        <w:rPr>
          <w:rFonts w:ascii="宋体" w:hAnsi="Times New Roman" w:eastAsia="宋体" w:cs="宋体"/>
          <w:color w:val="auto"/>
          <w:szCs w:val="21"/>
          <w:highlight w:val="none"/>
          <w:u w:val="single"/>
        </w:rPr>
      </w:pPr>
      <w:r>
        <w:rPr>
          <w:rFonts w:hint="eastAsia" w:ascii="宋体" w:hAnsi="宋体" w:eastAsia="宋体" w:cs="宋体"/>
          <w:color w:val="auto"/>
          <w:szCs w:val="21"/>
          <w:highlight w:val="none"/>
        </w:rPr>
        <w:t>委托代理人：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性别：</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年龄：</w:t>
      </w:r>
      <w:r>
        <w:rPr>
          <w:rFonts w:ascii="宋体" w:hAnsi="宋体" w:eastAsia="宋体" w:cs="宋体"/>
          <w:color w:val="auto"/>
          <w:szCs w:val="21"/>
          <w:highlight w:val="none"/>
        </w:rPr>
        <w:t>_______</w:t>
      </w:r>
    </w:p>
    <w:p w14:paraId="663E4174">
      <w:pPr>
        <w:wordWrap w:val="0"/>
        <w:spacing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身份证号码：</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职务：</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p>
    <w:p w14:paraId="7DCC86DC">
      <w:pPr>
        <w:wordWrap w:val="0"/>
        <w:spacing w:line="360" w:lineRule="auto"/>
        <w:ind w:firstLine="420" w:firstLineChars="200"/>
        <w:rPr>
          <w:rFonts w:ascii="Times New Roman" w:hAnsi="宋体" w:eastAsia="宋体" w:cs="Times New Roman"/>
          <w:color w:val="auto"/>
          <w:szCs w:val="21"/>
          <w:highlight w:val="none"/>
        </w:rPr>
      </w:pPr>
      <w:r>
        <w:rPr>
          <w:rFonts w:hint="eastAsia" w:ascii="宋体" w:hAnsi="宋体" w:eastAsia="宋体" w:cs="宋体"/>
          <w:color w:val="auto"/>
          <w:szCs w:val="21"/>
          <w:highlight w:val="none"/>
        </w:rPr>
        <w:t>联系方</w:t>
      </w:r>
      <w:r>
        <w:rPr>
          <w:rFonts w:hint="eastAsia" w:ascii="Times New Roman" w:hAnsi="宋体" w:eastAsia="宋体" w:cs="Times New Roman"/>
          <w:color w:val="auto"/>
          <w:szCs w:val="21"/>
          <w:highlight w:val="none"/>
        </w:rPr>
        <w:t>式（移动电话）</w:t>
      </w:r>
      <w:r>
        <w:rPr>
          <w:rFonts w:hint="eastAsia" w:ascii="宋体" w:hAnsi="宋体" w:eastAsia="宋体" w:cs="宋体"/>
          <w:color w:val="auto"/>
          <w:szCs w:val="21"/>
          <w:highlight w:val="none"/>
        </w:rPr>
        <w:t>：</w:t>
      </w:r>
      <w:r>
        <w:rPr>
          <w:rFonts w:hint="eastAsia" w:ascii="Times New Roman" w:hAnsi="宋体" w:eastAsia="宋体" w:cs="Times New Roman"/>
          <w:color w:val="auto"/>
          <w:szCs w:val="21"/>
          <w:highlight w:val="none"/>
          <w:u w:val="single"/>
        </w:rPr>
        <w:t xml:space="preserve">                   </w:t>
      </w:r>
    </w:p>
    <w:p w14:paraId="66B2F9A2">
      <w:pPr>
        <w:wordWrap w:val="0"/>
        <w:spacing w:line="360" w:lineRule="auto"/>
        <w:ind w:firstLine="420" w:firstLineChars="200"/>
        <w:rPr>
          <w:rFonts w:ascii="宋体" w:hAnsi="宋体" w:eastAsia="宋体" w:cs="宋体"/>
          <w:color w:val="auto"/>
          <w:szCs w:val="21"/>
          <w:highlight w:val="none"/>
          <w:u w:val="single"/>
        </w:rPr>
      </w:pPr>
      <w:r>
        <w:rPr>
          <w:rFonts w:hint="eastAsia" w:ascii="Times New Roman" w:hAnsi="宋体" w:eastAsia="宋体" w:cs="Times New Roman"/>
          <w:color w:val="auto"/>
          <w:szCs w:val="21"/>
          <w:highlight w:val="none"/>
        </w:rPr>
        <w:t>电子邮箱：</w:t>
      </w:r>
      <w:r>
        <w:rPr>
          <w:rFonts w:hint="eastAsia" w:ascii="Times New Roman" w:hAnsi="宋体" w:eastAsia="宋体" w:cs="Times New Roman"/>
          <w:color w:val="auto"/>
          <w:szCs w:val="21"/>
          <w:highlight w:val="none"/>
          <w:u w:val="single"/>
        </w:rPr>
        <w:t xml:space="preserve">               </w:t>
      </w:r>
    </w:p>
    <w:p w14:paraId="5DCB7BE8">
      <w:pPr>
        <w:wordWrap w:val="0"/>
        <w:spacing w:line="360" w:lineRule="auto"/>
        <w:ind w:firstLine="420" w:firstLineChars="200"/>
        <w:rPr>
          <w:rFonts w:ascii="宋体" w:hAnsi="Times New Roman" w:eastAsia="宋体" w:cs="宋体"/>
          <w:color w:val="auto"/>
          <w:szCs w:val="21"/>
          <w:highlight w:val="none"/>
        </w:rPr>
      </w:pPr>
      <w:r>
        <w:rPr>
          <w:rFonts w:hint="eastAsia" w:ascii="宋体" w:hAnsi="宋体" w:eastAsia="宋体" w:cs="宋体"/>
          <w:color w:val="auto"/>
          <w:szCs w:val="21"/>
          <w:highlight w:val="none"/>
        </w:rPr>
        <w:t>参选人：</w:t>
      </w:r>
      <w:r>
        <w:rPr>
          <w:rFonts w:hint="eastAsia" w:ascii="宋体" w:hAnsi="宋体" w:eastAsia="宋体" w:cs="宋体"/>
          <w:color w:val="auto"/>
          <w:szCs w:val="21"/>
          <w:highlight w:val="none"/>
          <w:u w:val="single"/>
        </w:rPr>
        <w:t xml:space="preserve">                   （盖章）</w:t>
      </w:r>
    </w:p>
    <w:p w14:paraId="212B6121">
      <w:pPr>
        <w:wordWrap w:val="0"/>
        <w:spacing w:line="360" w:lineRule="auto"/>
        <w:ind w:firstLine="420" w:firstLineChars="200"/>
        <w:rPr>
          <w:rFonts w:ascii="宋体" w:hAnsi="Times New Roman" w:eastAsia="宋体" w:cs="宋体"/>
          <w:color w:val="auto"/>
          <w:szCs w:val="21"/>
          <w:highlight w:val="none"/>
        </w:rPr>
      </w:pPr>
      <w:r>
        <w:rPr>
          <w:rFonts w:hint="eastAsia" w:ascii="宋体" w:hAnsi="宋体" w:cs="宋体"/>
          <w:color w:val="auto"/>
          <w:szCs w:val="21"/>
          <w:highlight w:val="none"/>
          <w:lang w:eastAsia="zh-CN"/>
        </w:rPr>
        <w:t>律师事务所负责人</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w:t>
      </w:r>
      <w:r>
        <w:rPr>
          <w:rFonts w:hint="eastAsia" w:ascii="Times New Roman" w:hAnsi="宋体" w:eastAsia="宋体" w:cs="宋体"/>
          <w:color w:val="auto"/>
          <w:highlight w:val="none"/>
          <w:u w:val="single"/>
        </w:rPr>
        <w:t>签字或</w:t>
      </w:r>
      <w:r>
        <w:rPr>
          <w:rFonts w:hint="eastAsia" w:ascii="宋体" w:hAnsi="宋体" w:eastAsia="宋体" w:cs="宋体"/>
          <w:color w:val="auto"/>
          <w:szCs w:val="21"/>
          <w:highlight w:val="none"/>
          <w:u w:val="single"/>
        </w:rPr>
        <w:t>盖章）</w:t>
      </w:r>
    </w:p>
    <w:p w14:paraId="77886AFD">
      <w:pPr>
        <w:wordWrap w:val="0"/>
        <w:spacing w:line="360" w:lineRule="auto"/>
        <w:ind w:right="480"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授权委托日期：  年  月  日</w:t>
      </w:r>
    </w:p>
    <w:p w14:paraId="4299CF48">
      <w:pPr>
        <w:wordWrap w:val="0"/>
        <w:spacing w:line="360" w:lineRule="auto"/>
        <w:ind w:right="480" w:firstLine="420" w:firstLineChars="200"/>
        <w:rPr>
          <w:rFonts w:ascii="宋体" w:hAnsi="宋体" w:cs="宋体"/>
          <w:color w:val="auto"/>
          <w:szCs w:val="21"/>
          <w:highlight w:val="none"/>
        </w:rPr>
      </w:pPr>
    </w:p>
    <w:sectPr>
      <w:headerReference r:id="rId3" w:type="default"/>
      <w:footerReference r:id="rId4" w:type="default"/>
      <w:pgSz w:w="11906" w:h="16838"/>
      <w:pgMar w:top="1440" w:right="1587" w:bottom="1440" w:left="1587" w:header="851" w:footer="992" w:gutter="0"/>
      <w:pgBorders>
        <w:top w:val="none" w:sz="0" w:space="0"/>
        <w:left w:val="none" w:sz="0" w:space="0"/>
        <w:bottom w:val="none" w:sz="0" w:space="0"/>
        <w:right w:val="none" w:sz="0" w:space="0"/>
      </w:pgBorders>
      <w:pgNumType w:start="1"/>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
    <w:altName w:val="Times New Roman"/>
    <w:panose1 w:val="00000000000000000000"/>
    <w:charset w:val="00"/>
    <w:family w:val="auto"/>
    <w:pitch w:val="default"/>
    <w:sig w:usb0="00000000" w:usb1="00000000" w:usb2="00000000" w:usb3="00000000" w:csb0="00000001" w:csb1="00000000"/>
  </w:font>
  <w:font w:name="Georgia">
    <w:panose1 w:val="02040502050405020303"/>
    <w:charset w:val="00"/>
    <w:family w:val="roman"/>
    <w:pitch w:val="default"/>
    <w:sig w:usb0="00000287" w:usb1="00000000" w:usb2="00000000" w:usb3="00000000" w:csb0="200000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HYDaHeiJ">
    <w:altName w:val="宋体"/>
    <w:panose1 w:val="00000000000000000000"/>
    <w:charset w:val="86"/>
    <w:family w:val="auto"/>
    <w:pitch w:val="default"/>
    <w:sig w:usb0="00000000" w:usb1="00000000" w:usb2="00000010" w:usb3="00000000" w:csb0="00040000" w:csb1="00000000"/>
  </w:font>
  <w:font w:name="华文细黑">
    <w:panose1 w:val="02010600040101010101"/>
    <w:charset w:val="86"/>
    <w:family w:val="auto"/>
    <w:pitch w:val="default"/>
    <w:sig w:usb0="00000287" w:usb1="080F0000" w:usb2="00000000" w:usb3="00000000" w:csb0="0004009F" w:csb1="DFD70000"/>
  </w:font>
  <w:font w:name="Verdana">
    <w:panose1 w:val="020B0604030504040204"/>
    <w:charset w:val="00"/>
    <w:family w:val="swiss"/>
    <w:pitch w:val="default"/>
    <w:sig w:usb0="A00006FF" w:usb1="4000205B" w:usb2="00000010" w:usb3="00000000" w:csb0="2000019F" w:csb1="00000000"/>
  </w:font>
  <w:font w:name="华文楷体">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62198"/>
      <w:docPartObj>
        <w:docPartGallery w:val="autotext"/>
      </w:docPartObj>
    </w:sdtPr>
    <w:sdtContent>
      <w:p w14:paraId="6352615A">
        <w:pPr>
          <w:pStyle w:val="38"/>
          <w:jc w:val="center"/>
        </w:pPr>
        <w:r>
          <w:fldChar w:fldCharType="begin"/>
        </w:r>
        <w:r>
          <w:instrText xml:space="preserve">PAGE   \* MERGEFORMAT</w:instrText>
        </w:r>
        <w:r>
          <w:fldChar w:fldCharType="separate"/>
        </w:r>
        <w:r>
          <w:rPr>
            <w:lang w:val="zh-CN"/>
          </w:rPr>
          <w:t>2</w:t>
        </w:r>
        <w:r>
          <w:fldChar w:fldCharType="end"/>
        </w:r>
      </w:p>
    </w:sdtContent>
  </w:sdt>
  <w:p w14:paraId="6EC54CBC">
    <w:pPr>
      <w:pStyle w:val="3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1CCCCA">
    <w:pPr>
      <w:pStyle w:val="39"/>
      <w:pBdr>
        <w:bottom w:val="single" w:color="auto" w:sz="4" w:space="1"/>
      </w:pBdr>
      <w:jc w:val="right"/>
    </w:pPr>
    <w:r>
      <w:rPr>
        <w:rFonts w:hint="eastAsia"/>
        <w:sz w:val="16"/>
        <w:szCs w:val="16"/>
        <w:lang w:eastAsia="zh-CN"/>
      </w:rPr>
      <w:t>安</w:t>
    </w:r>
    <w:r>
      <w:rPr>
        <w:rFonts w:hint="eastAsia"/>
        <w:sz w:val="16"/>
        <w:szCs w:val="16"/>
        <w:lang w:val="en-US" w:eastAsia="zh-CN"/>
      </w:rPr>
      <w:t>庆中安公司诉上海星徽汽车贸易有限公司合同纠纷案件</w:t>
    </w:r>
    <w:r>
      <w:rPr>
        <w:rFonts w:hint="eastAsia"/>
        <w:sz w:val="16"/>
        <w:szCs w:val="16"/>
        <w:lang w:eastAsia="zh-CN"/>
      </w:rPr>
      <w:t>诉讼代理服务（重新招标）</w:t>
    </w:r>
    <w:r>
      <w:rPr>
        <w:sz w:val="16"/>
        <w:szCs w:val="16"/>
      </w:rPr>
      <w:t>比选</w:t>
    </w:r>
    <w:r>
      <w:rPr>
        <w:rFonts w:hint="eastAsia"/>
        <w:sz w:val="16"/>
        <w:szCs w:val="16"/>
      </w:rPr>
      <w:t>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BF4CDB"/>
    <w:multiLevelType w:val="singleLevel"/>
    <w:tmpl w:val="99BF4CDB"/>
    <w:lvl w:ilvl="0" w:tentative="0">
      <w:start w:val="1"/>
      <w:numFmt w:val="decimal"/>
      <w:suff w:val="nothing"/>
      <w:lvlText w:val="(%1)"/>
      <w:lvlJc w:val="left"/>
      <w:pPr>
        <w:ind w:left="0" w:leftChars="0" w:firstLine="0" w:firstLineChars="0"/>
      </w:pPr>
      <w:rPr>
        <w:rFonts w:hint="default"/>
      </w:rPr>
    </w:lvl>
  </w:abstractNum>
  <w:abstractNum w:abstractNumId="1">
    <w:nsid w:val="9A205910"/>
    <w:multiLevelType w:val="multilevel"/>
    <w:tmpl w:val="9A205910"/>
    <w:lvl w:ilvl="0" w:tentative="0">
      <w:start w:val="1"/>
      <w:numFmt w:val="decimal"/>
      <w:suff w:val="nothing"/>
      <w:lvlText w:val="%1."/>
      <w:lvlJc w:val="left"/>
      <w:pPr>
        <w:ind w:left="0" w:leftChars="0" w:firstLine="0" w:firstLineChars="0"/>
      </w:pPr>
      <w:rPr>
        <w:rFonts w:hint="default"/>
        <w:color w:val="auto"/>
        <w:sz w:val="28"/>
        <w:szCs w:val="28"/>
      </w:rPr>
    </w:lvl>
    <w:lvl w:ilvl="1" w:tentative="0">
      <w:start w:val="1"/>
      <w:numFmt w:val="lowerLetter"/>
      <w:lvlText w:val="%2."/>
      <w:lvlJc w:val="left"/>
      <w:pPr>
        <w:ind w:left="720" w:hanging="288"/>
      </w:pPr>
      <w:rPr>
        <w:color w:val="3370FF"/>
        <w:sz w:val="22"/>
        <w:szCs w:val="22"/>
      </w:rPr>
    </w:lvl>
    <w:lvl w:ilvl="2" w:tentative="0">
      <w:start w:val="1"/>
      <w:numFmt w:val="lowerRoman"/>
      <w:lvlText w:val="%3."/>
      <w:lvlJc w:val="left"/>
      <w:pPr>
        <w:ind w:left="1152" w:hanging="288"/>
      </w:pPr>
      <w:rPr>
        <w:color w:val="3370FF"/>
        <w:sz w:val="22"/>
        <w:szCs w:val="22"/>
      </w:rPr>
    </w:lvl>
    <w:lvl w:ilvl="3" w:tentative="0">
      <w:start w:val="1"/>
      <w:numFmt w:val="decimal"/>
      <w:lvlText w:val="%4."/>
      <w:lvlJc w:val="left"/>
      <w:pPr>
        <w:ind w:left="1583" w:hanging="288"/>
      </w:pPr>
      <w:rPr>
        <w:color w:val="3370FF"/>
        <w:sz w:val="22"/>
        <w:szCs w:val="22"/>
      </w:rPr>
    </w:lvl>
    <w:lvl w:ilvl="4" w:tentative="0">
      <w:start w:val="1"/>
      <w:numFmt w:val="lowerLetter"/>
      <w:lvlText w:val="%5."/>
      <w:lvlJc w:val="left"/>
      <w:pPr>
        <w:ind w:left="2015" w:hanging="288"/>
      </w:pPr>
      <w:rPr>
        <w:color w:val="3370FF"/>
        <w:sz w:val="22"/>
        <w:szCs w:val="22"/>
      </w:rPr>
    </w:lvl>
    <w:lvl w:ilvl="5" w:tentative="0">
      <w:start w:val="1"/>
      <w:numFmt w:val="lowerRoman"/>
      <w:lvlText w:val="%6."/>
      <w:lvlJc w:val="left"/>
      <w:pPr>
        <w:ind w:left="2448" w:hanging="288"/>
      </w:pPr>
      <w:rPr>
        <w:color w:val="3370FF"/>
        <w:sz w:val="22"/>
        <w:szCs w:val="22"/>
      </w:rPr>
    </w:lvl>
    <w:lvl w:ilvl="6" w:tentative="0">
      <w:start w:val="1"/>
      <w:numFmt w:val="decimal"/>
      <w:lvlText w:val="%7."/>
      <w:lvlJc w:val="left"/>
      <w:pPr>
        <w:ind w:left="2879" w:hanging="288"/>
      </w:pPr>
      <w:rPr>
        <w:color w:val="3370FF"/>
        <w:sz w:val="22"/>
        <w:szCs w:val="22"/>
      </w:rPr>
    </w:lvl>
    <w:lvl w:ilvl="7" w:tentative="0">
      <w:start w:val="1"/>
      <w:numFmt w:val="lowerLetter"/>
      <w:lvlText w:val="%8."/>
      <w:lvlJc w:val="left"/>
      <w:pPr>
        <w:ind w:left="3312" w:hanging="288"/>
      </w:pPr>
      <w:rPr>
        <w:color w:val="3370FF"/>
        <w:sz w:val="22"/>
        <w:szCs w:val="22"/>
      </w:rPr>
    </w:lvl>
    <w:lvl w:ilvl="8" w:tentative="0">
      <w:start w:val="1"/>
      <w:numFmt w:val="lowerRoman"/>
      <w:lvlText w:val="%9."/>
      <w:lvlJc w:val="left"/>
      <w:pPr>
        <w:ind w:left="3744" w:hanging="288"/>
      </w:pPr>
      <w:rPr>
        <w:color w:val="3370FF"/>
        <w:sz w:val="22"/>
        <w:szCs w:val="22"/>
      </w:rPr>
    </w:lvl>
  </w:abstractNum>
  <w:abstractNum w:abstractNumId="2">
    <w:nsid w:val="A491D5A4"/>
    <w:multiLevelType w:val="multilevel"/>
    <w:tmpl w:val="A491D5A4"/>
    <w:lvl w:ilvl="0" w:tentative="0">
      <w:start w:val="1"/>
      <w:numFmt w:val="decimal"/>
      <w:suff w:val="nothing"/>
      <w:lvlText w:val="%1."/>
      <w:lvlJc w:val="left"/>
      <w:pPr>
        <w:ind w:left="0" w:leftChars="0" w:firstLine="0" w:firstLineChars="0"/>
      </w:pPr>
      <w:rPr>
        <w:rFonts w:hint="default"/>
        <w:color w:val="auto"/>
        <w:sz w:val="28"/>
        <w:szCs w:val="28"/>
      </w:rPr>
    </w:lvl>
    <w:lvl w:ilvl="1" w:tentative="0">
      <w:start w:val="1"/>
      <w:numFmt w:val="lowerLetter"/>
      <w:lvlText w:val="%2."/>
      <w:lvlJc w:val="left"/>
      <w:pPr>
        <w:ind w:left="720" w:hanging="288"/>
      </w:pPr>
      <w:rPr>
        <w:color w:val="3370FF"/>
        <w:sz w:val="22"/>
        <w:szCs w:val="22"/>
      </w:rPr>
    </w:lvl>
    <w:lvl w:ilvl="2" w:tentative="0">
      <w:start w:val="1"/>
      <w:numFmt w:val="lowerRoman"/>
      <w:lvlText w:val="%3."/>
      <w:lvlJc w:val="left"/>
      <w:pPr>
        <w:ind w:left="1152" w:hanging="288"/>
      </w:pPr>
      <w:rPr>
        <w:color w:val="3370FF"/>
        <w:sz w:val="22"/>
        <w:szCs w:val="22"/>
      </w:rPr>
    </w:lvl>
    <w:lvl w:ilvl="3" w:tentative="0">
      <w:start w:val="1"/>
      <w:numFmt w:val="decimal"/>
      <w:lvlText w:val="%4."/>
      <w:lvlJc w:val="left"/>
      <w:pPr>
        <w:ind w:left="1583" w:hanging="288"/>
      </w:pPr>
      <w:rPr>
        <w:color w:val="3370FF"/>
        <w:sz w:val="22"/>
        <w:szCs w:val="22"/>
      </w:rPr>
    </w:lvl>
    <w:lvl w:ilvl="4" w:tentative="0">
      <w:start w:val="1"/>
      <w:numFmt w:val="lowerLetter"/>
      <w:lvlText w:val="%5."/>
      <w:lvlJc w:val="left"/>
      <w:pPr>
        <w:ind w:left="2015" w:hanging="288"/>
      </w:pPr>
      <w:rPr>
        <w:color w:val="3370FF"/>
        <w:sz w:val="22"/>
        <w:szCs w:val="22"/>
      </w:rPr>
    </w:lvl>
    <w:lvl w:ilvl="5" w:tentative="0">
      <w:start w:val="1"/>
      <w:numFmt w:val="lowerRoman"/>
      <w:lvlText w:val="%6."/>
      <w:lvlJc w:val="left"/>
      <w:pPr>
        <w:ind w:left="2448" w:hanging="288"/>
      </w:pPr>
      <w:rPr>
        <w:color w:val="3370FF"/>
        <w:sz w:val="22"/>
        <w:szCs w:val="22"/>
      </w:rPr>
    </w:lvl>
    <w:lvl w:ilvl="6" w:tentative="0">
      <w:start w:val="1"/>
      <w:numFmt w:val="decimal"/>
      <w:lvlText w:val="%7."/>
      <w:lvlJc w:val="left"/>
      <w:pPr>
        <w:ind w:left="2879" w:hanging="288"/>
      </w:pPr>
      <w:rPr>
        <w:color w:val="3370FF"/>
        <w:sz w:val="22"/>
        <w:szCs w:val="22"/>
      </w:rPr>
    </w:lvl>
    <w:lvl w:ilvl="7" w:tentative="0">
      <w:start w:val="1"/>
      <w:numFmt w:val="lowerLetter"/>
      <w:lvlText w:val="%8."/>
      <w:lvlJc w:val="left"/>
      <w:pPr>
        <w:ind w:left="3312" w:hanging="288"/>
      </w:pPr>
      <w:rPr>
        <w:color w:val="3370FF"/>
        <w:sz w:val="22"/>
        <w:szCs w:val="22"/>
      </w:rPr>
    </w:lvl>
    <w:lvl w:ilvl="8" w:tentative="0">
      <w:start w:val="1"/>
      <w:numFmt w:val="lowerRoman"/>
      <w:lvlText w:val="%9."/>
      <w:lvlJc w:val="left"/>
      <w:pPr>
        <w:ind w:left="3744" w:hanging="288"/>
      </w:pPr>
      <w:rPr>
        <w:color w:val="3370FF"/>
        <w:sz w:val="22"/>
        <w:szCs w:val="22"/>
      </w:rPr>
    </w:lvl>
  </w:abstractNum>
  <w:abstractNum w:abstractNumId="3">
    <w:nsid w:val="B749F481"/>
    <w:multiLevelType w:val="singleLevel"/>
    <w:tmpl w:val="B749F481"/>
    <w:lvl w:ilvl="0" w:tentative="0">
      <w:start w:val="1"/>
      <w:numFmt w:val="decimal"/>
      <w:suff w:val="nothing"/>
      <w:lvlText w:val="%1."/>
      <w:lvlJc w:val="left"/>
      <w:pPr>
        <w:ind w:left="0" w:leftChars="0" w:firstLine="0" w:firstLineChars="0"/>
      </w:pPr>
      <w:rPr>
        <w:rFonts w:hint="default"/>
      </w:rPr>
    </w:lvl>
  </w:abstractNum>
  <w:abstractNum w:abstractNumId="4">
    <w:nsid w:val="B79A4FF6"/>
    <w:multiLevelType w:val="singleLevel"/>
    <w:tmpl w:val="B79A4FF6"/>
    <w:lvl w:ilvl="0" w:tentative="0">
      <w:start w:val="1"/>
      <w:numFmt w:val="decimalEnclosedCircleChinese"/>
      <w:suff w:val="nothing"/>
      <w:lvlText w:val="%1　"/>
      <w:lvlJc w:val="left"/>
      <w:pPr>
        <w:ind w:left="0" w:firstLine="0"/>
      </w:pPr>
      <w:rPr>
        <w:rFonts w:hint="eastAsia"/>
        <w:b w:val="0"/>
        <w:bCs w:val="0"/>
      </w:rPr>
    </w:lvl>
  </w:abstractNum>
  <w:abstractNum w:abstractNumId="5">
    <w:nsid w:val="B83B8E65"/>
    <w:multiLevelType w:val="singleLevel"/>
    <w:tmpl w:val="B83B8E65"/>
    <w:lvl w:ilvl="0" w:tentative="0">
      <w:start w:val="1"/>
      <w:numFmt w:val="decimal"/>
      <w:suff w:val="nothing"/>
      <w:lvlText w:val="(%1)"/>
      <w:lvlJc w:val="left"/>
      <w:pPr>
        <w:ind w:left="0" w:leftChars="0" w:firstLine="0" w:firstLineChars="0"/>
      </w:pPr>
      <w:rPr>
        <w:rFonts w:hint="default"/>
      </w:rPr>
    </w:lvl>
  </w:abstractNum>
  <w:abstractNum w:abstractNumId="6">
    <w:nsid w:val="BF3D058B"/>
    <w:multiLevelType w:val="singleLevel"/>
    <w:tmpl w:val="BF3D058B"/>
    <w:lvl w:ilvl="0" w:tentative="0">
      <w:start w:val="3"/>
      <w:numFmt w:val="chineseCounting"/>
      <w:suff w:val="space"/>
      <w:lvlText w:val="第%1章"/>
      <w:lvlJc w:val="left"/>
      <w:rPr>
        <w:rFonts w:hint="eastAsia"/>
      </w:rPr>
    </w:lvl>
  </w:abstractNum>
  <w:abstractNum w:abstractNumId="7">
    <w:nsid w:val="C0B4D315"/>
    <w:multiLevelType w:val="singleLevel"/>
    <w:tmpl w:val="C0B4D315"/>
    <w:lvl w:ilvl="0" w:tentative="0">
      <w:start w:val="1"/>
      <w:numFmt w:val="chineseCounting"/>
      <w:suff w:val="space"/>
      <w:lvlText w:val="第%1章"/>
      <w:lvlJc w:val="left"/>
      <w:rPr>
        <w:rFonts w:hint="eastAsia"/>
      </w:rPr>
    </w:lvl>
  </w:abstractNum>
  <w:abstractNum w:abstractNumId="8">
    <w:nsid w:val="C2E0CEF6"/>
    <w:multiLevelType w:val="multilevel"/>
    <w:tmpl w:val="C2E0CEF6"/>
    <w:lvl w:ilvl="0" w:tentative="0">
      <w:start w:val="1"/>
      <w:numFmt w:val="decimal"/>
      <w:suff w:val="nothing"/>
      <w:lvlText w:val="%1."/>
      <w:lvlJc w:val="left"/>
      <w:pPr>
        <w:ind w:left="0" w:leftChars="0" w:firstLine="0" w:firstLineChars="0"/>
      </w:pPr>
      <w:rPr>
        <w:rFonts w:hint="default"/>
        <w:color w:val="auto"/>
        <w:sz w:val="28"/>
        <w:szCs w:val="28"/>
      </w:rPr>
    </w:lvl>
    <w:lvl w:ilvl="1" w:tentative="0">
      <w:start w:val="1"/>
      <w:numFmt w:val="lowerLetter"/>
      <w:lvlText w:val="%2."/>
      <w:lvlJc w:val="left"/>
      <w:pPr>
        <w:ind w:left="720" w:hanging="288"/>
      </w:pPr>
      <w:rPr>
        <w:color w:val="3370FF"/>
        <w:sz w:val="22"/>
        <w:szCs w:val="22"/>
      </w:rPr>
    </w:lvl>
    <w:lvl w:ilvl="2" w:tentative="0">
      <w:start w:val="1"/>
      <w:numFmt w:val="lowerRoman"/>
      <w:lvlText w:val="%3."/>
      <w:lvlJc w:val="left"/>
      <w:pPr>
        <w:ind w:left="1152" w:hanging="288"/>
      </w:pPr>
      <w:rPr>
        <w:color w:val="3370FF"/>
        <w:sz w:val="22"/>
        <w:szCs w:val="22"/>
      </w:rPr>
    </w:lvl>
    <w:lvl w:ilvl="3" w:tentative="0">
      <w:start w:val="1"/>
      <w:numFmt w:val="decimal"/>
      <w:lvlText w:val="%4."/>
      <w:lvlJc w:val="left"/>
      <w:pPr>
        <w:ind w:left="1583" w:hanging="288"/>
      </w:pPr>
      <w:rPr>
        <w:color w:val="3370FF"/>
        <w:sz w:val="22"/>
        <w:szCs w:val="22"/>
      </w:rPr>
    </w:lvl>
    <w:lvl w:ilvl="4" w:tentative="0">
      <w:start w:val="1"/>
      <w:numFmt w:val="lowerLetter"/>
      <w:lvlText w:val="%5."/>
      <w:lvlJc w:val="left"/>
      <w:pPr>
        <w:ind w:left="2015" w:hanging="288"/>
      </w:pPr>
      <w:rPr>
        <w:color w:val="3370FF"/>
        <w:sz w:val="22"/>
        <w:szCs w:val="22"/>
      </w:rPr>
    </w:lvl>
    <w:lvl w:ilvl="5" w:tentative="0">
      <w:start w:val="1"/>
      <w:numFmt w:val="lowerRoman"/>
      <w:lvlText w:val="%6."/>
      <w:lvlJc w:val="left"/>
      <w:pPr>
        <w:ind w:left="2448" w:hanging="288"/>
      </w:pPr>
      <w:rPr>
        <w:color w:val="3370FF"/>
        <w:sz w:val="22"/>
        <w:szCs w:val="22"/>
      </w:rPr>
    </w:lvl>
    <w:lvl w:ilvl="6" w:tentative="0">
      <w:start w:val="1"/>
      <w:numFmt w:val="decimal"/>
      <w:lvlText w:val="%7."/>
      <w:lvlJc w:val="left"/>
      <w:pPr>
        <w:ind w:left="2879" w:hanging="288"/>
      </w:pPr>
      <w:rPr>
        <w:color w:val="3370FF"/>
        <w:sz w:val="22"/>
        <w:szCs w:val="22"/>
      </w:rPr>
    </w:lvl>
    <w:lvl w:ilvl="7" w:tentative="0">
      <w:start w:val="1"/>
      <w:numFmt w:val="lowerLetter"/>
      <w:lvlText w:val="%8."/>
      <w:lvlJc w:val="left"/>
      <w:pPr>
        <w:ind w:left="3312" w:hanging="288"/>
      </w:pPr>
      <w:rPr>
        <w:color w:val="3370FF"/>
        <w:sz w:val="22"/>
        <w:szCs w:val="22"/>
      </w:rPr>
    </w:lvl>
    <w:lvl w:ilvl="8" w:tentative="0">
      <w:start w:val="1"/>
      <w:numFmt w:val="lowerRoman"/>
      <w:lvlText w:val="%9."/>
      <w:lvlJc w:val="left"/>
      <w:pPr>
        <w:ind w:left="3744" w:hanging="288"/>
      </w:pPr>
      <w:rPr>
        <w:color w:val="3370FF"/>
        <w:sz w:val="22"/>
        <w:szCs w:val="22"/>
      </w:rPr>
    </w:lvl>
  </w:abstractNum>
  <w:abstractNum w:abstractNumId="9">
    <w:nsid w:val="C4BC3CD3"/>
    <w:multiLevelType w:val="singleLevel"/>
    <w:tmpl w:val="C4BC3CD3"/>
    <w:lvl w:ilvl="0" w:tentative="0">
      <w:start w:val="1"/>
      <w:numFmt w:val="bullet"/>
      <w:pStyle w:val="27"/>
      <w:lvlText w:val=""/>
      <w:lvlJc w:val="left"/>
      <w:pPr>
        <w:tabs>
          <w:tab w:val="left" w:pos="780"/>
        </w:tabs>
        <w:ind w:left="780" w:hanging="360"/>
      </w:pPr>
      <w:rPr>
        <w:rFonts w:hint="default" w:ascii="Wingdings" w:hAnsi="Wingdings"/>
      </w:rPr>
    </w:lvl>
  </w:abstractNum>
  <w:abstractNum w:abstractNumId="10">
    <w:nsid w:val="DCAFDEBB"/>
    <w:multiLevelType w:val="multilevel"/>
    <w:tmpl w:val="DCAFDEBB"/>
    <w:lvl w:ilvl="0" w:tentative="0">
      <w:start w:val="1"/>
      <w:numFmt w:val="decimal"/>
      <w:suff w:val="nothing"/>
      <w:lvlText w:val="%1."/>
      <w:lvlJc w:val="left"/>
      <w:pPr>
        <w:ind w:left="0" w:leftChars="0" w:firstLine="0" w:firstLineChars="0"/>
      </w:pPr>
      <w:rPr>
        <w:rFonts w:hint="default"/>
        <w:color w:val="auto"/>
        <w:sz w:val="28"/>
        <w:szCs w:val="28"/>
      </w:rPr>
    </w:lvl>
    <w:lvl w:ilvl="1" w:tentative="0">
      <w:start w:val="1"/>
      <w:numFmt w:val="lowerLetter"/>
      <w:lvlText w:val="%2."/>
      <w:lvlJc w:val="left"/>
      <w:pPr>
        <w:ind w:left="720" w:hanging="288"/>
      </w:pPr>
      <w:rPr>
        <w:color w:val="3370FF"/>
        <w:sz w:val="22"/>
        <w:szCs w:val="22"/>
      </w:rPr>
    </w:lvl>
    <w:lvl w:ilvl="2" w:tentative="0">
      <w:start w:val="1"/>
      <w:numFmt w:val="lowerRoman"/>
      <w:lvlText w:val="%3."/>
      <w:lvlJc w:val="left"/>
      <w:pPr>
        <w:ind w:left="1152" w:hanging="288"/>
      </w:pPr>
      <w:rPr>
        <w:color w:val="3370FF"/>
        <w:sz w:val="22"/>
        <w:szCs w:val="22"/>
      </w:rPr>
    </w:lvl>
    <w:lvl w:ilvl="3" w:tentative="0">
      <w:start w:val="1"/>
      <w:numFmt w:val="decimal"/>
      <w:lvlText w:val="%4."/>
      <w:lvlJc w:val="left"/>
      <w:pPr>
        <w:ind w:left="1583" w:hanging="288"/>
      </w:pPr>
      <w:rPr>
        <w:color w:val="3370FF"/>
        <w:sz w:val="22"/>
        <w:szCs w:val="22"/>
      </w:rPr>
    </w:lvl>
    <w:lvl w:ilvl="4" w:tentative="0">
      <w:start w:val="1"/>
      <w:numFmt w:val="lowerLetter"/>
      <w:lvlText w:val="%5."/>
      <w:lvlJc w:val="left"/>
      <w:pPr>
        <w:ind w:left="2015" w:hanging="288"/>
      </w:pPr>
      <w:rPr>
        <w:color w:val="3370FF"/>
        <w:sz w:val="22"/>
        <w:szCs w:val="22"/>
      </w:rPr>
    </w:lvl>
    <w:lvl w:ilvl="5" w:tentative="0">
      <w:start w:val="1"/>
      <w:numFmt w:val="lowerRoman"/>
      <w:lvlText w:val="%6."/>
      <w:lvlJc w:val="left"/>
      <w:pPr>
        <w:ind w:left="2448" w:hanging="288"/>
      </w:pPr>
      <w:rPr>
        <w:color w:val="3370FF"/>
        <w:sz w:val="22"/>
        <w:szCs w:val="22"/>
      </w:rPr>
    </w:lvl>
    <w:lvl w:ilvl="6" w:tentative="0">
      <w:start w:val="1"/>
      <w:numFmt w:val="decimal"/>
      <w:lvlText w:val="%7."/>
      <w:lvlJc w:val="left"/>
      <w:pPr>
        <w:ind w:left="2879" w:hanging="288"/>
      </w:pPr>
      <w:rPr>
        <w:color w:val="3370FF"/>
        <w:sz w:val="22"/>
        <w:szCs w:val="22"/>
      </w:rPr>
    </w:lvl>
    <w:lvl w:ilvl="7" w:tentative="0">
      <w:start w:val="1"/>
      <w:numFmt w:val="lowerLetter"/>
      <w:lvlText w:val="%8."/>
      <w:lvlJc w:val="left"/>
      <w:pPr>
        <w:ind w:left="3312" w:hanging="288"/>
      </w:pPr>
      <w:rPr>
        <w:color w:val="3370FF"/>
        <w:sz w:val="22"/>
        <w:szCs w:val="22"/>
      </w:rPr>
    </w:lvl>
    <w:lvl w:ilvl="8" w:tentative="0">
      <w:start w:val="1"/>
      <w:numFmt w:val="lowerRoman"/>
      <w:lvlText w:val="%9."/>
      <w:lvlJc w:val="left"/>
      <w:pPr>
        <w:ind w:left="3744" w:hanging="288"/>
      </w:pPr>
      <w:rPr>
        <w:color w:val="3370FF"/>
        <w:sz w:val="22"/>
        <w:szCs w:val="22"/>
      </w:rPr>
    </w:lvl>
  </w:abstractNum>
  <w:abstractNum w:abstractNumId="11">
    <w:nsid w:val="E19F89A9"/>
    <w:multiLevelType w:val="multilevel"/>
    <w:tmpl w:val="E19F89A9"/>
    <w:lvl w:ilvl="0" w:tentative="0">
      <w:start w:val="1"/>
      <w:numFmt w:val="decimal"/>
      <w:suff w:val="nothing"/>
      <w:lvlText w:val="%1."/>
      <w:lvlJc w:val="left"/>
      <w:pPr>
        <w:ind w:left="0" w:leftChars="0" w:firstLine="0" w:firstLineChars="0"/>
      </w:pPr>
      <w:rPr>
        <w:rFonts w:hint="default"/>
        <w:b w:val="0"/>
        <w:bCs w:val="0"/>
        <w:color w:val="auto"/>
        <w:sz w:val="28"/>
        <w:szCs w:val="28"/>
      </w:rPr>
    </w:lvl>
    <w:lvl w:ilvl="1" w:tentative="0">
      <w:start w:val="1"/>
      <w:numFmt w:val="lowerLetter"/>
      <w:lvlText w:val="%2."/>
      <w:lvlJc w:val="left"/>
      <w:pPr>
        <w:ind w:left="720" w:hanging="288"/>
      </w:pPr>
      <w:rPr>
        <w:color w:val="3370FF"/>
        <w:sz w:val="22"/>
        <w:szCs w:val="22"/>
      </w:rPr>
    </w:lvl>
    <w:lvl w:ilvl="2" w:tentative="0">
      <w:start w:val="1"/>
      <w:numFmt w:val="lowerRoman"/>
      <w:lvlText w:val="%3."/>
      <w:lvlJc w:val="left"/>
      <w:pPr>
        <w:ind w:left="1152" w:hanging="288"/>
      </w:pPr>
      <w:rPr>
        <w:color w:val="3370FF"/>
        <w:sz w:val="22"/>
        <w:szCs w:val="22"/>
      </w:rPr>
    </w:lvl>
    <w:lvl w:ilvl="3" w:tentative="0">
      <w:start w:val="1"/>
      <w:numFmt w:val="decimal"/>
      <w:lvlText w:val="%4."/>
      <w:lvlJc w:val="left"/>
      <w:pPr>
        <w:ind w:left="1583" w:hanging="288"/>
      </w:pPr>
      <w:rPr>
        <w:color w:val="3370FF"/>
        <w:sz w:val="22"/>
        <w:szCs w:val="22"/>
      </w:rPr>
    </w:lvl>
    <w:lvl w:ilvl="4" w:tentative="0">
      <w:start w:val="1"/>
      <w:numFmt w:val="lowerLetter"/>
      <w:lvlText w:val="%5."/>
      <w:lvlJc w:val="left"/>
      <w:pPr>
        <w:ind w:left="2015" w:hanging="288"/>
      </w:pPr>
      <w:rPr>
        <w:color w:val="3370FF"/>
        <w:sz w:val="22"/>
        <w:szCs w:val="22"/>
      </w:rPr>
    </w:lvl>
    <w:lvl w:ilvl="5" w:tentative="0">
      <w:start w:val="1"/>
      <w:numFmt w:val="lowerRoman"/>
      <w:lvlText w:val="%6."/>
      <w:lvlJc w:val="left"/>
      <w:pPr>
        <w:ind w:left="2448" w:hanging="288"/>
      </w:pPr>
      <w:rPr>
        <w:color w:val="3370FF"/>
        <w:sz w:val="22"/>
        <w:szCs w:val="22"/>
      </w:rPr>
    </w:lvl>
    <w:lvl w:ilvl="6" w:tentative="0">
      <w:start w:val="1"/>
      <w:numFmt w:val="decimal"/>
      <w:lvlText w:val="%7."/>
      <w:lvlJc w:val="left"/>
      <w:pPr>
        <w:ind w:left="2879" w:hanging="288"/>
      </w:pPr>
      <w:rPr>
        <w:color w:val="3370FF"/>
        <w:sz w:val="22"/>
        <w:szCs w:val="22"/>
      </w:rPr>
    </w:lvl>
    <w:lvl w:ilvl="7" w:tentative="0">
      <w:start w:val="1"/>
      <w:numFmt w:val="lowerLetter"/>
      <w:lvlText w:val="%8."/>
      <w:lvlJc w:val="left"/>
      <w:pPr>
        <w:ind w:left="3312" w:hanging="288"/>
      </w:pPr>
      <w:rPr>
        <w:color w:val="3370FF"/>
        <w:sz w:val="22"/>
        <w:szCs w:val="22"/>
      </w:rPr>
    </w:lvl>
    <w:lvl w:ilvl="8" w:tentative="0">
      <w:start w:val="1"/>
      <w:numFmt w:val="lowerRoman"/>
      <w:lvlText w:val="%9."/>
      <w:lvlJc w:val="left"/>
      <w:pPr>
        <w:ind w:left="3744" w:hanging="288"/>
      </w:pPr>
      <w:rPr>
        <w:color w:val="3370FF"/>
        <w:sz w:val="22"/>
        <w:szCs w:val="22"/>
      </w:rPr>
    </w:lvl>
  </w:abstractNum>
  <w:abstractNum w:abstractNumId="12">
    <w:nsid w:val="EA2D63A5"/>
    <w:multiLevelType w:val="multilevel"/>
    <w:tmpl w:val="EA2D63A5"/>
    <w:lvl w:ilvl="0" w:tentative="0">
      <w:start w:val="1"/>
      <w:numFmt w:val="decimal"/>
      <w:suff w:val="nothing"/>
      <w:lvlText w:val="%1."/>
      <w:lvlJc w:val="left"/>
      <w:pPr>
        <w:ind w:left="0" w:leftChars="0" w:firstLine="0" w:firstLineChars="0"/>
      </w:pPr>
      <w:rPr>
        <w:rFonts w:hint="default"/>
        <w:b/>
        <w:bCs/>
        <w:color w:val="auto"/>
        <w:sz w:val="28"/>
        <w:szCs w:val="28"/>
      </w:rPr>
    </w:lvl>
    <w:lvl w:ilvl="1" w:tentative="0">
      <w:start w:val="1"/>
      <w:numFmt w:val="lowerLetter"/>
      <w:lvlText w:val="%2."/>
      <w:lvlJc w:val="left"/>
      <w:pPr>
        <w:ind w:left="720" w:hanging="288"/>
      </w:pPr>
      <w:rPr>
        <w:color w:val="3370FF"/>
        <w:sz w:val="22"/>
        <w:szCs w:val="22"/>
      </w:rPr>
    </w:lvl>
    <w:lvl w:ilvl="2" w:tentative="0">
      <w:start w:val="1"/>
      <w:numFmt w:val="lowerRoman"/>
      <w:lvlText w:val="%3."/>
      <w:lvlJc w:val="left"/>
      <w:pPr>
        <w:ind w:left="1152" w:hanging="288"/>
      </w:pPr>
      <w:rPr>
        <w:color w:val="3370FF"/>
        <w:sz w:val="22"/>
        <w:szCs w:val="22"/>
      </w:rPr>
    </w:lvl>
    <w:lvl w:ilvl="3" w:tentative="0">
      <w:start w:val="1"/>
      <w:numFmt w:val="decimal"/>
      <w:lvlText w:val="%4."/>
      <w:lvlJc w:val="left"/>
      <w:pPr>
        <w:ind w:left="1583" w:hanging="288"/>
      </w:pPr>
      <w:rPr>
        <w:color w:val="3370FF"/>
        <w:sz w:val="22"/>
        <w:szCs w:val="22"/>
      </w:rPr>
    </w:lvl>
    <w:lvl w:ilvl="4" w:tentative="0">
      <w:start w:val="1"/>
      <w:numFmt w:val="lowerLetter"/>
      <w:lvlText w:val="%5."/>
      <w:lvlJc w:val="left"/>
      <w:pPr>
        <w:ind w:left="2015" w:hanging="288"/>
      </w:pPr>
      <w:rPr>
        <w:color w:val="3370FF"/>
        <w:sz w:val="22"/>
        <w:szCs w:val="22"/>
      </w:rPr>
    </w:lvl>
    <w:lvl w:ilvl="5" w:tentative="0">
      <w:start w:val="1"/>
      <w:numFmt w:val="lowerRoman"/>
      <w:lvlText w:val="%6."/>
      <w:lvlJc w:val="left"/>
      <w:pPr>
        <w:ind w:left="2448" w:hanging="288"/>
      </w:pPr>
      <w:rPr>
        <w:color w:val="3370FF"/>
        <w:sz w:val="22"/>
        <w:szCs w:val="22"/>
      </w:rPr>
    </w:lvl>
    <w:lvl w:ilvl="6" w:tentative="0">
      <w:start w:val="1"/>
      <w:numFmt w:val="decimal"/>
      <w:lvlText w:val="%7."/>
      <w:lvlJc w:val="left"/>
      <w:pPr>
        <w:ind w:left="2879" w:hanging="288"/>
      </w:pPr>
      <w:rPr>
        <w:color w:val="3370FF"/>
        <w:sz w:val="22"/>
        <w:szCs w:val="22"/>
      </w:rPr>
    </w:lvl>
    <w:lvl w:ilvl="7" w:tentative="0">
      <w:start w:val="1"/>
      <w:numFmt w:val="lowerLetter"/>
      <w:lvlText w:val="%8."/>
      <w:lvlJc w:val="left"/>
      <w:pPr>
        <w:ind w:left="3312" w:hanging="288"/>
      </w:pPr>
      <w:rPr>
        <w:color w:val="3370FF"/>
        <w:sz w:val="22"/>
        <w:szCs w:val="22"/>
      </w:rPr>
    </w:lvl>
    <w:lvl w:ilvl="8" w:tentative="0">
      <w:start w:val="1"/>
      <w:numFmt w:val="lowerRoman"/>
      <w:lvlText w:val="%9."/>
      <w:lvlJc w:val="left"/>
      <w:pPr>
        <w:ind w:left="3744" w:hanging="288"/>
      </w:pPr>
      <w:rPr>
        <w:color w:val="3370FF"/>
        <w:sz w:val="22"/>
        <w:szCs w:val="22"/>
      </w:rPr>
    </w:lvl>
  </w:abstractNum>
  <w:abstractNum w:abstractNumId="13">
    <w:nsid w:val="F622585D"/>
    <w:multiLevelType w:val="multilevel"/>
    <w:tmpl w:val="F622585D"/>
    <w:lvl w:ilvl="0" w:tentative="0">
      <w:start w:val="1"/>
      <w:numFmt w:val="decimal"/>
      <w:suff w:val="nothing"/>
      <w:lvlText w:val="%1."/>
      <w:lvlJc w:val="left"/>
      <w:pPr>
        <w:ind w:left="0" w:leftChars="0" w:firstLine="0" w:firstLineChars="0"/>
      </w:pPr>
      <w:rPr>
        <w:rFonts w:hint="default"/>
        <w:color w:val="auto"/>
        <w:sz w:val="28"/>
        <w:szCs w:val="28"/>
      </w:rPr>
    </w:lvl>
    <w:lvl w:ilvl="1" w:tentative="0">
      <w:start w:val="1"/>
      <w:numFmt w:val="lowerLetter"/>
      <w:lvlText w:val="%2."/>
      <w:lvlJc w:val="left"/>
      <w:pPr>
        <w:ind w:left="720" w:hanging="288"/>
      </w:pPr>
      <w:rPr>
        <w:color w:val="3370FF"/>
        <w:sz w:val="22"/>
        <w:szCs w:val="22"/>
      </w:rPr>
    </w:lvl>
    <w:lvl w:ilvl="2" w:tentative="0">
      <w:start w:val="1"/>
      <w:numFmt w:val="lowerRoman"/>
      <w:lvlText w:val="%3."/>
      <w:lvlJc w:val="left"/>
      <w:pPr>
        <w:ind w:left="1152" w:hanging="288"/>
      </w:pPr>
      <w:rPr>
        <w:color w:val="3370FF"/>
        <w:sz w:val="22"/>
        <w:szCs w:val="22"/>
      </w:rPr>
    </w:lvl>
    <w:lvl w:ilvl="3" w:tentative="0">
      <w:start w:val="1"/>
      <w:numFmt w:val="decimal"/>
      <w:lvlText w:val="%4."/>
      <w:lvlJc w:val="left"/>
      <w:pPr>
        <w:ind w:left="1583" w:hanging="288"/>
      </w:pPr>
      <w:rPr>
        <w:color w:val="3370FF"/>
        <w:sz w:val="22"/>
        <w:szCs w:val="22"/>
      </w:rPr>
    </w:lvl>
    <w:lvl w:ilvl="4" w:tentative="0">
      <w:start w:val="1"/>
      <w:numFmt w:val="lowerLetter"/>
      <w:lvlText w:val="%5."/>
      <w:lvlJc w:val="left"/>
      <w:pPr>
        <w:ind w:left="2015" w:hanging="288"/>
      </w:pPr>
      <w:rPr>
        <w:color w:val="3370FF"/>
        <w:sz w:val="22"/>
        <w:szCs w:val="22"/>
      </w:rPr>
    </w:lvl>
    <w:lvl w:ilvl="5" w:tentative="0">
      <w:start w:val="1"/>
      <w:numFmt w:val="lowerRoman"/>
      <w:lvlText w:val="%6."/>
      <w:lvlJc w:val="left"/>
      <w:pPr>
        <w:ind w:left="2448" w:hanging="288"/>
      </w:pPr>
      <w:rPr>
        <w:color w:val="3370FF"/>
        <w:sz w:val="22"/>
        <w:szCs w:val="22"/>
      </w:rPr>
    </w:lvl>
    <w:lvl w:ilvl="6" w:tentative="0">
      <w:start w:val="1"/>
      <w:numFmt w:val="decimal"/>
      <w:lvlText w:val="%7."/>
      <w:lvlJc w:val="left"/>
      <w:pPr>
        <w:ind w:left="2879" w:hanging="288"/>
      </w:pPr>
      <w:rPr>
        <w:color w:val="3370FF"/>
        <w:sz w:val="22"/>
        <w:szCs w:val="22"/>
      </w:rPr>
    </w:lvl>
    <w:lvl w:ilvl="7" w:tentative="0">
      <w:start w:val="1"/>
      <w:numFmt w:val="lowerLetter"/>
      <w:lvlText w:val="%8."/>
      <w:lvlJc w:val="left"/>
      <w:pPr>
        <w:ind w:left="3312" w:hanging="288"/>
      </w:pPr>
      <w:rPr>
        <w:color w:val="3370FF"/>
        <w:sz w:val="22"/>
        <w:szCs w:val="22"/>
      </w:rPr>
    </w:lvl>
    <w:lvl w:ilvl="8" w:tentative="0">
      <w:start w:val="1"/>
      <w:numFmt w:val="lowerRoman"/>
      <w:lvlText w:val="%9."/>
      <w:lvlJc w:val="left"/>
      <w:pPr>
        <w:ind w:left="3744" w:hanging="288"/>
      </w:pPr>
      <w:rPr>
        <w:color w:val="3370FF"/>
        <w:sz w:val="22"/>
        <w:szCs w:val="22"/>
      </w:rPr>
    </w:lvl>
  </w:abstractNum>
  <w:abstractNum w:abstractNumId="14">
    <w:nsid w:val="00000001"/>
    <w:multiLevelType w:val="multilevel"/>
    <w:tmpl w:val="00000001"/>
    <w:lvl w:ilvl="0" w:tentative="0">
      <w:start w:val="1"/>
      <w:numFmt w:val="bullet"/>
      <w:pStyle w:val="338"/>
      <w:lvlText w:val=""/>
      <w:lvlJc w:val="left"/>
      <w:pPr>
        <w:tabs>
          <w:tab w:val="left" w:pos="420"/>
        </w:tabs>
        <w:ind w:left="420" w:hanging="420"/>
      </w:pPr>
      <w:rPr>
        <w:rFonts w:hint="default" w:ascii="Wingdings" w:hAnsi="Wingdings"/>
      </w:rPr>
    </w:lvl>
    <w:lvl w:ilvl="1" w:tentative="0">
      <w:start w:val="1"/>
      <w:numFmt w:val="decimal"/>
      <w:lvlText w:val="（%2）"/>
      <w:lvlJc w:val="left"/>
      <w:pPr>
        <w:tabs>
          <w:tab w:val="left" w:pos="1500"/>
        </w:tabs>
        <w:ind w:left="1500" w:hanging="1080"/>
      </w:pPr>
      <w:rPr>
        <w:rFonts w:hint="eastAsia" w:cs="Times New Roman"/>
      </w:rPr>
    </w:lvl>
    <w:lvl w:ilvl="2" w:tentative="0">
      <w:start w:val="1"/>
      <w:numFmt w:val="decimal"/>
      <w:lvlText w:val="（%3）"/>
      <w:lvlJc w:val="left"/>
      <w:pPr>
        <w:tabs>
          <w:tab w:val="left" w:pos="1560"/>
        </w:tabs>
        <w:ind w:left="1560" w:hanging="720"/>
      </w:pPr>
      <w:rPr>
        <w:rFonts w:hint="eastAsia"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5">
    <w:nsid w:val="00000002"/>
    <w:multiLevelType w:val="singleLevel"/>
    <w:tmpl w:val="00000002"/>
    <w:lvl w:ilvl="0" w:tentative="0">
      <w:start w:val="1"/>
      <w:numFmt w:val="bullet"/>
      <w:pStyle w:val="366"/>
      <w:lvlText w:val=""/>
      <w:lvlJc w:val="left"/>
      <w:pPr>
        <w:tabs>
          <w:tab w:val="left" w:pos="360"/>
        </w:tabs>
        <w:ind w:left="360" w:hanging="360"/>
      </w:pPr>
      <w:rPr>
        <w:rFonts w:hint="default" w:ascii="Symbol" w:hAnsi="Symbol"/>
      </w:rPr>
    </w:lvl>
  </w:abstractNum>
  <w:abstractNum w:abstractNumId="16">
    <w:nsid w:val="00000011"/>
    <w:multiLevelType w:val="multilevel"/>
    <w:tmpl w:val="00000011"/>
    <w:lvl w:ilvl="0" w:tentative="0">
      <w:start w:val="1"/>
      <w:numFmt w:val="decimal"/>
      <w:pStyle w:val="353"/>
      <w:lvlText w:val="(%1)"/>
      <w:lvlJc w:val="left"/>
      <w:pPr>
        <w:tabs>
          <w:tab w:val="left" w:pos="397"/>
        </w:tabs>
        <w:ind w:left="397" w:hanging="397"/>
      </w:pPr>
      <w:rPr>
        <w:rFonts w:hint="default" w:ascii="Arial" w:hAnsi="Arial" w:eastAsia="宋体" w:cs="Times New Roman"/>
        <w:b w:val="0"/>
        <w:i w:val="0"/>
        <w:color w:val="auto"/>
        <w:sz w:val="18"/>
        <w:szCs w:val="18"/>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pStyle w:val="381"/>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7">
    <w:nsid w:val="1086B6E8"/>
    <w:multiLevelType w:val="multilevel"/>
    <w:tmpl w:val="1086B6E8"/>
    <w:lvl w:ilvl="0" w:tentative="0">
      <w:start w:val="1"/>
      <w:numFmt w:val="decimal"/>
      <w:suff w:val="nothing"/>
      <w:lvlText w:val="%1."/>
      <w:lvlJc w:val="left"/>
      <w:pPr>
        <w:ind w:left="0" w:leftChars="0" w:firstLine="0" w:firstLineChars="0"/>
      </w:pPr>
      <w:rPr>
        <w:rFonts w:hint="default"/>
        <w:color w:val="auto"/>
        <w:sz w:val="28"/>
        <w:szCs w:val="28"/>
      </w:rPr>
    </w:lvl>
    <w:lvl w:ilvl="1" w:tentative="0">
      <w:start w:val="1"/>
      <w:numFmt w:val="lowerLetter"/>
      <w:lvlText w:val="%2."/>
      <w:lvlJc w:val="left"/>
      <w:pPr>
        <w:ind w:left="720" w:hanging="288"/>
      </w:pPr>
      <w:rPr>
        <w:color w:val="3370FF"/>
        <w:sz w:val="22"/>
        <w:szCs w:val="22"/>
      </w:rPr>
    </w:lvl>
    <w:lvl w:ilvl="2" w:tentative="0">
      <w:start w:val="1"/>
      <w:numFmt w:val="lowerRoman"/>
      <w:lvlText w:val="%3."/>
      <w:lvlJc w:val="left"/>
      <w:pPr>
        <w:ind w:left="1152" w:hanging="288"/>
      </w:pPr>
      <w:rPr>
        <w:color w:val="3370FF"/>
        <w:sz w:val="22"/>
        <w:szCs w:val="22"/>
      </w:rPr>
    </w:lvl>
    <w:lvl w:ilvl="3" w:tentative="0">
      <w:start w:val="1"/>
      <w:numFmt w:val="decimal"/>
      <w:lvlText w:val="%4."/>
      <w:lvlJc w:val="left"/>
      <w:pPr>
        <w:ind w:left="1583" w:hanging="288"/>
      </w:pPr>
      <w:rPr>
        <w:color w:val="3370FF"/>
        <w:sz w:val="22"/>
        <w:szCs w:val="22"/>
      </w:rPr>
    </w:lvl>
    <w:lvl w:ilvl="4" w:tentative="0">
      <w:start w:val="1"/>
      <w:numFmt w:val="lowerLetter"/>
      <w:lvlText w:val="%5."/>
      <w:lvlJc w:val="left"/>
      <w:pPr>
        <w:ind w:left="2015" w:hanging="288"/>
      </w:pPr>
      <w:rPr>
        <w:color w:val="3370FF"/>
        <w:sz w:val="22"/>
        <w:szCs w:val="22"/>
      </w:rPr>
    </w:lvl>
    <w:lvl w:ilvl="5" w:tentative="0">
      <w:start w:val="1"/>
      <w:numFmt w:val="lowerRoman"/>
      <w:lvlText w:val="%6."/>
      <w:lvlJc w:val="left"/>
      <w:pPr>
        <w:ind w:left="2448" w:hanging="288"/>
      </w:pPr>
      <w:rPr>
        <w:color w:val="3370FF"/>
        <w:sz w:val="22"/>
        <w:szCs w:val="22"/>
      </w:rPr>
    </w:lvl>
    <w:lvl w:ilvl="6" w:tentative="0">
      <w:start w:val="1"/>
      <w:numFmt w:val="decimal"/>
      <w:lvlText w:val="%7."/>
      <w:lvlJc w:val="left"/>
      <w:pPr>
        <w:ind w:left="2879" w:hanging="288"/>
      </w:pPr>
      <w:rPr>
        <w:color w:val="3370FF"/>
        <w:sz w:val="22"/>
        <w:szCs w:val="22"/>
      </w:rPr>
    </w:lvl>
    <w:lvl w:ilvl="7" w:tentative="0">
      <w:start w:val="1"/>
      <w:numFmt w:val="lowerLetter"/>
      <w:lvlText w:val="%8."/>
      <w:lvlJc w:val="left"/>
      <w:pPr>
        <w:ind w:left="3312" w:hanging="288"/>
      </w:pPr>
      <w:rPr>
        <w:color w:val="3370FF"/>
        <w:sz w:val="22"/>
        <w:szCs w:val="22"/>
      </w:rPr>
    </w:lvl>
    <w:lvl w:ilvl="8" w:tentative="0">
      <w:start w:val="1"/>
      <w:numFmt w:val="lowerRoman"/>
      <w:lvlText w:val="%9."/>
      <w:lvlJc w:val="left"/>
      <w:pPr>
        <w:ind w:left="3744" w:hanging="288"/>
      </w:pPr>
      <w:rPr>
        <w:color w:val="3370FF"/>
        <w:sz w:val="22"/>
        <w:szCs w:val="22"/>
      </w:rPr>
    </w:lvl>
  </w:abstractNum>
  <w:abstractNum w:abstractNumId="18">
    <w:nsid w:val="16D11D76"/>
    <w:multiLevelType w:val="multilevel"/>
    <w:tmpl w:val="16D11D76"/>
    <w:lvl w:ilvl="0" w:tentative="0">
      <w:start w:val="1"/>
      <w:numFmt w:val="decimal"/>
      <w:suff w:val="nothing"/>
      <w:lvlText w:val="%1."/>
      <w:lvlJc w:val="left"/>
      <w:pPr>
        <w:ind w:left="0" w:leftChars="0" w:firstLine="0" w:firstLineChars="0"/>
      </w:pPr>
      <w:rPr>
        <w:rFonts w:hint="default"/>
        <w:color w:val="auto"/>
        <w:sz w:val="28"/>
        <w:szCs w:val="28"/>
      </w:rPr>
    </w:lvl>
    <w:lvl w:ilvl="1" w:tentative="0">
      <w:start w:val="1"/>
      <w:numFmt w:val="lowerLetter"/>
      <w:lvlText w:val="%2."/>
      <w:lvlJc w:val="left"/>
      <w:pPr>
        <w:ind w:left="720" w:hanging="288"/>
      </w:pPr>
      <w:rPr>
        <w:color w:val="3370FF"/>
        <w:sz w:val="22"/>
        <w:szCs w:val="22"/>
      </w:rPr>
    </w:lvl>
    <w:lvl w:ilvl="2" w:tentative="0">
      <w:start w:val="1"/>
      <w:numFmt w:val="lowerRoman"/>
      <w:lvlText w:val="%3."/>
      <w:lvlJc w:val="left"/>
      <w:pPr>
        <w:ind w:left="1152" w:hanging="288"/>
      </w:pPr>
      <w:rPr>
        <w:color w:val="3370FF"/>
        <w:sz w:val="22"/>
        <w:szCs w:val="22"/>
      </w:rPr>
    </w:lvl>
    <w:lvl w:ilvl="3" w:tentative="0">
      <w:start w:val="1"/>
      <w:numFmt w:val="decimal"/>
      <w:lvlText w:val="%4."/>
      <w:lvlJc w:val="left"/>
      <w:pPr>
        <w:ind w:left="1583" w:hanging="288"/>
      </w:pPr>
      <w:rPr>
        <w:color w:val="3370FF"/>
        <w:sz w:val="22"/>
        <w:szCs w:val="22"/>
      </w:rPr>
    </w:lvl>
    <w:lvl w:ilvl="4" w:tentative="0">
      <w:start w:val="1"/>
      <w:numFmt w:val="lowerLetter"/>
      <w:lvlText w:val="%5."/>
      <w:lvlJc w:val="left"/>
      <w:pPr>
        <w:ind w:left="2015" w:hanging="288"/>
      </w:pPr>
      <w:rPr>
        <w:color w:val="3370FF"/>
        <w:sz w:val="22"/>
        <w:szCs w:val="22"/>
      </w:rPr>
    </w:lvl>
    <w:lvl w:ilvl="5" w:tentative="0">
      <w:start w:val="1"/>
      <w:numFmt w:val="lowerRoman"/>
      <w:lvlText w:val="%6."/>
      <w:lvlJc w:val="left"/>
      <w:pPr>
        <w:ind w:left="2448" w:hanging="288"/>
      </w:pPr>
      <w:rPr>
        <w:color w:val="3370FF"/>
        <w:sz w:val="22"/>
        <w:szCs w:val="22"/>
      </w:rPr>
    </w:lvl>
    <w:lvl w:ilvl="6" w:tentative="0">
      <w:start w:val="1"/>
      <w:numFmt w:val="decimal"/>
      <w:lvlText w:val="%7."/>
      <w:lvlJc w:val="left"/>
      <w:pPr>
        <w:ind w:left="2879" w:hanging="288"/>
      </w:pPr>
      <w:rPr>
        <w:color w:val="3370FF"/>
        <w:sz w:val="22"/>
        <w:szCs w:val="22"/>
      </w:rPr>
    </w:lvl>
    <w:lvl w:ilvl="7" w:tentative="0">
      <w:start w:val="1"/>
      <w:numFmt w:val="lowerLetter"/>
      <w:lvlText w:val="%8."/>
      <w:lvlJc w:val="left"/>
      <w:pPr>
        <w:ind w:left="3312" w:hanging="288"/>
      </w:pPr>
      <w:rPr>
        <w:color w:val="3370FF"/>
        <w:sz w:val="22"/>
        <w:szCs w:val="22"/>
      </w:rPr>
    </w:lvl>
    <w:lvl w:ilvl="8" w:tentative="0">
      <w:start w:val="1"/>
      <w:numFmt w:val="lowerRoman"/>
      <w:lvlText w:val="%9."/>
      <w:lvlJc w:val="left"/>
      <w:pPr>
        <w:ind w:left="3744" w:hanging="288"/>
      </w:pPr>
      <w:rPr>
        <w:color w:val="3370FF"/>
        <w:sz w:val="22"/>
        <w:szCs w:val="22"/>
      </w:rPr>
    </w:lvl>
  </w:abstractNum>
  <w:abstractNum w:abstractNumId="19">
    <w:nsid w:val="216904EF"/>
    <w:multiLevelType w:val="singleLevel"/>
    <w:tmpl w:val="216904EF"/>
    <w:lvl w:ilvl="0" w:tentative="0">
      <w:start w:val="1"/>
      <w:numFmt w:val="decimalEnclosedCircleChinese"/>
      <w:suff w:val="nothing"/>
      <w:lvlText w:val="%1　"/>
      <w:lvlJc w:val="left"/>
      <w:pPr>
        <w:ind w:left="0" w:firstLine="0"/>
      </w:pPr>
      <w:rPr>
        <w:rFonts w:hint="eastAsia"/>
        <w:b w:val="0"/>
        <w:bCs w:val="0"/>
      </w:rPr>
    </w:lvl>
  </w:abstractNum>
  <w:abstractNum w:abstractNumId="20">
    <w:nsid w:val="24366283"/>
    <w:multiLevelType w:val="multilevel"/>
    <w:tmpl w:val="24366283"/>
    <w:lvl w:ilvl="0" w:tentative="0">
      <w:start w:val="1"/>
      <w:numFmt w:val="decimal"/>
      <w:pStyle w:val="358"/>
      <w:lvlText w:val="%1"/>
      <w:lvlJc w:val="left"/>
      <w:pPr>
        <w:tabs>
          <w:tab w:val="left" w:pos="567"/>
        </w:tabs>
        <w:ind w:left="567" w:hanging="567"/>
      </w:pPr>
      <w:rPr>
        <w:rFonts w:hint="eastAsia" w:cs="Times New Roman"/>
      </w:rPr>
    </w:lvl>
    <w:lvl w:ilvl="1" w:tentative="0">
      <w:start w:val="1"/>
      <w:numFmt w:val="decimal"/>
      <w:pStyle w:val="355"/>
      <w:lvlText w:val="%1.%2"/>
      <w:lvlJc w:val="left"/>
      <w:pPr>
        <w:tabs>
          <w:tab w:val="left" w:pos="1004"/>
        </w:tabs>
        <w:ind w:left="567" w:hanging="283"/>
      </w:pPr>
      <w:rPr>
        <w:rFonts w:hint="eastAsia" w:cs="Times New Roman"/>
      </w:rPr>
    </w:lvl>
    <w:lvl w:ilvl="2" w:tentative="0">
      <w:start w:val="1"/>
      <w:numFmt w:val="decimal"/>
      <w:pStyle w:val="354"/>
      <w:lvlText w:val="%1.%2.%3"/>
      <w:lvlJc w:val="left"/>
      <w:pPr>
        <w:tabs>
          <w:tab w:val="left" w:pos="1647"/>
        </w:tabs>
        <w:ind w:left="1134" w:hanging="567"/>
      </w:pPr>
      <w:rPr>
        <w:rFonts w:hint="eastAsia" w:cs="Times New Roman"/>
      </w:rPr>
    </w:lvl>
    <w:lvl w:ilvl="3" w:tentative="0">
      <w:start w:val="1"/>
      <w:numFmt w:val="decimal"/>
      <w:lvlText w:val="%1.%2.%3.%4"/>
      <w:lvlJc w:val="left"/>
      <w:pPr>
        <w:tabs>
          <w:tab w:val="left" w:pos="3223"/>
        </w:tabs>
        <w:ind w:left="2851" w:hanging="708"/>
      </w:pPr>
      <w:rPr>
        <w:rFonts w:hint="eastAsia" w:cs="Times New Roman"/>
      </w:rPr>
    </w:lvl>
    <w:lvl w:ilvl="4" w:tentative="0">
      <w:start w:val="1"/>
      <w:numFmt w:val="decimal"/>
      <w:lvlText w:val="%1.%2.%3.%4.%5"/>
      <w:lvlJc w:val="left"/>
      <w:pPr>
        <w:tabs>
          <w:tab w:val="left" w:pos="3648"/>
        </w:tabs>
        <w:ind w:left="3418" w:hanging="850"/>
      </w:pPr>
      <w:rPr>
        <w:rFonts w:hint="eastAsia" w:cs="Times New Roman"/>
      </w:rPr>
    </w:lvl>
    <w:lvl w:ilvl="5" w:tentative="0">
      <w:start w:val="1"/>
      <w:numFmt w:val="decimal"/>
      <w:lvlText w:val="%1.%2.%3.%4.%5.%6"/>
      <w:lvlJc w:val="left"/>
      <w:pPr>
        <w:tabs>
          <w:tab w:val="left" w:pos="4433"/>
        </w:tabs>
        <w:ind w:left="4127" w:hanging="1134"/>
      </w:pPr>
      <w:rPr>
        <w:rFonts w:hint="eastAsia" w:cs="Times New Roman"/>
      </w:rPr>
    </w:lvl>
    <w:lvl w:ilvl="6" w:tentative="0">
      <w:start w:val="1"/>
      <w:numFmt w:val="decimal"/>
      <w:lvlText w:val="%1.%2.%3.%4.%5.%6.%7"/>
      <w:lvlJc w:val="left"/>
      <w:pPr>
        <w:tabs>
          <w:tab w:val="left" w:pos="4858"/>
        </w:tabs>
        <w:ind w:left="4694" w:hanging="1276"/>
      </w:pPr>
      <w:rPr>
        <w:rFonts w:hint="eastAsia" w:cs="Times New Roman"/>
      </w:rPr>
    </w:lvl>
    <w:lvl w:ilvl="7" w:tentative="0">
      <w:start w:val="1"/>
      <w:numFmt w:val="decimal"/>
      <w:lvlText w:val="%1.%2.%3.%4.%5.%6.%7.%8"/>
      <w:lvlJc w:val="left"/>
      <w:pPr>
        <w:tabs>
          <w:tab w:val="left" w:pos="5643"/>
        </w:tabs>
        <w:ind w:left="5261" w:hanging="1418"/>
      </w:pPr>
      <w:rPr>
        <w:rFonts w:hint="eastAsia" w:cs="Times New Roman"/>
      </w:rPr>
    </w:lvl>
    <w:lvl w:ilvl="8" w:tentative="0">
      <w:start w:val="1"/>
      <w:numFmt w:val="decimal"/>
      <w:lvlText w:val="%1.%2.%3.%4.%5.%6.%7.%8.%9"/>
      <w:lvlJc w:val="left"/>
      <w:pPr>
        <w:tabs>
          <w:tab w:val="left" w:pos="6429"/>
        </w:tabs>
        <w:ind w:left="5969" w:hanging="1700"/>
      </w:pPr>
      <w:rPr>
        <w:rFonts w:hint="eastAsia" w:cs="Times New Roman"/>
      </w:rPr>
    </w:lvl>
  </w:abstractNum>
  <w:abstractNum w:abstractNumId="21">
    <w:nsid w:val="3A8B5700"/>
    <w:multiLevelType w:val="singleLevel"/>
    <w:tmpl w:val="3A8B5700"/>
    <w:lvl w:ilvl="0" w:tentative="0">
      <w:start w:val="6"/>
      <w:numFmt w:val="chineseCounting"/>
      <w:suff w:val="nothing"/>
      <w:lvlText w:val="（%1）"/>
      <w:lvlJc w:val="left"/>
      <w:rPr>
        <w:rFonts w:hint="eastAsia"/>
      </w:rPr>
    </w:lvl>
  </w:abstractNum>
  <w:abstractNum w:abstractNumId="22">
    <w:nsid w:val="40CBCCFE"/>
    <w:multiLevelType w:val="singleLevel"/>
    <w:tmpl w:val="40CBCCFE"/>
    <w:lvl w:ilvl="0" w:tentative="0">
      <w:start w:val="1"/>
      <w:numFmt w:val="decimal"/>
      <w:suff w:val="nothing"/>
      <w:lvlText w:val="(%1)"/>
      <w:lvlJc w:val="left"/>
      <w:pPr>
        <w:ind w:left="0" w:leftChars="0" w:firstLine="0" w:firstLineChars="0"/>
      </w:pPr>
      <w:rPr>
        <w:rFonts w:hint="default"/>
        <w:b w:val="0"/>
        <w:bCs w:val="0"/>
      </w:rPr>
    </w:lvl>
  </w:abstractNum>
  <w:abstractNum w:abstractNumId="23">
    <w:nsid w:val="51065715"/>
    <w:multiLevelType w:val="multilevel"/>
    <w:tmpl w:val="51065715"/>
    <w:lvl w:ilvl="0" w:tentative="0">
      <w:start w:val="1"/>
      <w:numFmt w:val="decimal"/>
      <w:suff w:val="nothing"/>
      <w:lvlText w:val="%1."/>
      <w:lvlJc w:val="left"/>
      <w:pPr>
        <w:ind w:left="0" w:leftChars="0" w:firstLine="0" w:firstLineChars="0"/>
      </w:pPr>
      <w:rPr>
        <w:rFonts w:hint="default"/>
        <w:color w:val="auto"/>
        <w:sz w:val="28"/>
        <w:szCs w:val="28"/>
      </w:rPr>
    </w:lvl>
    <w:lvl w:ilvl="1" w:tentative="0">
      <w:start w:val="1"/>
      <w:numFmt w:val="lowerLetter"/>
      <w:lvlText w:val="%2."/>
      <w:lvlJc w:val="left"/>
      <w:pPr>
        <w:ind w:left="720" w:hanging="288"/>
      </w:pPr>
      <w:rPr>
        <w:color w:val="3370FF"/>
        <w:sz w:val="22"/>
        <w:szCs w:val="22"/>
      </w:rPr>
    </w:lvl>
    <w:lvl w:ilvl="2" w:tentative="0">
      <w:start w:val="1"/>
      <w:numFmt w:val="lowerRoman"/>
      <w:lvlText w:val="%3."/>
      <w:lvlJc w:val="left"/>
      <w:pPr>
        <w:ind w:left="1152" w:hanging="288"/>
      </w:pPr>
      <w:rPr>
        <w:color w:val="3370FF"/>
        <w:sz w:val="22"/>
        <w:szCs w:val="22"/>
      </w:rPr>
    </w:lvl>
    <w:lvl w:ilvl="3" w:tentative="0">
      <w:start w:val="1"/>
      <w:numFmt w:val="decimal"/>
      <w:lvlText w:val="%4."/>
      <w:lvlJc w:val="left"/>
      <w:pPr>
        <w:ind w:left="1583" w:hanging="288"/>
      </w:pPr>
      <w:rPr>
        <w:color w:val="3370FF"/>
        <w:sz w:val="22"/>
        <w:szCs w:val="22"/>
      </w:rPr>
    </w:lvl>
    <w:lvl w:ilvl="4" w:tentative="0">
      <w:start w:val="1"/>
      <w:numFmt w:val="lowerLetter"/>
      <w:lvlText w:val="%5."/>
      <w:lvlJc w:val="left"/>
      <w:pPr>
        <w:ind w:left="2015" w:hanging="288"/>
      </w:pPr>
      <w:rPr>
        <w:color w:val="3370FF"/>
        <w:sz w:val="22"/>
        <w:szCs w:val="22"/>
      </w:rPr>
    </w:lvl>
    <w:lvl w:ilvl="5" w:tentative="0">
      <w:start w:val="1"/>
      <w:numFmt w:val="lowerRoman"/>
      <w:lvlText w:val="%6."/>
      <w:lvlJc w:val="left"/>
      <w:pPr>
        <w:ind w:left="2448" w:hanging="288"/>
      </w:pPr>
      <w:rPr>
        <w:color w:val="3370FF"/>
        <w:sz w:val="22"/>
        <w:szCs w:val="22"/>
      </w:rPr>
    </w:lvl>
    <w:lvl w:ilvl="6" w:tentative="0">
      <w:start w:val="1"/>
      <w:numFmt w:val="decimal"/>
      <w:lvlText w:val="%7."/>
      <w:lvlJc w:val="left"/>
      <w:pPr>
        <w:ind w:left="2879" w:hanging="288"/>
      </w:pPr>
      <w:rPr>
        <w:color w:val="3370FF"/>
        <w:sz w:val="22"/>
        <w:szCs w:val="22"/>
      </w:rPr>
    </w:lvl>
    <w:lvl w:ilvl="7" w:tentative="0">
      <w:start w:val="1"/>
      <w:numFmt w:val="lowerLetter"/>
      <w:lvlText w:val="%8."/>
      <w:lvlJc w:val="left"/>
      <w:pPr>
        <w:ind w:left="3312" w:hanging="288"/>
      </w:pPr>
      <w:rPr>
        <w:color w:val="3370FF"/>
        <w:sz w:val="22"/>
        <w:szCs w:val="22"/>
      </w:rPr>
    </w:lvl>
    <w:lvl w:ilvl="8" w:tentative="0">
      <w:start w:val="1"/>
      <w:numFmt w:val="lowerRoman"/>
      <w:lvlText w:val="%9."/>
      <w:lvlJc w:val="left"/>
      <w:pPr>
        <w:ind w:left="3744" w:hanging="288"/>
      </w:pPr>
      <w:rPr>
        <w:color w:val="3370FF"/>
        <w:sz w:val="22"/>
        <w:szCs w:val="22"/>
      </w:rPr>
    </w:lvl>
  </w:abstractNum>
  <w:abstractNum w:abstractNumId="24">
    <w:nsid w:val="5D75A3FC"/>
    <w:multiLevelType w:val="multilevel"/>
    <w:tmpl w:val="5D75A3FC"/>
    <w:lvl w:ilvl="0" w:tentative="0">
      <w:start w:val="1"/>
      <w:numFmt w:val="decimal"/>
      <w:suff w:val="nothing"/>
      <w:lvlText w:val="%1."/>
      <w:lvlJc w:val="left"/>
      <w:pPr>
        <w:ind w:left="0" w:leftChars="0" w:firstLine="0" w:firstLineChars="0"/>
      </w:pPr>
      <w:rPr>
        <w:rFonts w:hint="default"/>
        <w:color w:val="auto"/>
        <w:sz w:val="28"/>
        <w:szCs w:val="28"/>
      </w:rPr>
    </w:lvl>
    <w:lvl w:ilvl="1" w:tentative="0">
      <w:start w:val="1"/>
      <w:numFmt w:val="lowerLetter"/>
      <w:lvlText w:val="%2."/>
      <w:lvlJc w:val="left"/>
      <w:pPr>
        <w:ind w:left="720" w:hanging="288"/>
      </w:pPr>
      <w:rPr>
        <w:color w:val="3370FF"/>
        <w:sz w:val="22"/>
        <w:szCs w:val="22"/>
      </w:rPr>
    </w:lvl>
    <w:lvl w:ilvl="2" w:tentative="0">
      <w:start w:val="1"/>
      <w:numFmt w:val="lowerRoman"/>
      <w:lvlText w:val="%3."/>
      <w:lvlJc w:val="left"/>
      <w:pPr>
        <w:ind w:left="1152" w:hanging="288"/>
      </w:pPr>
      <w:rPr>
        <w:color w:val="3370FF"/>
        <w:sz w:val="22"/>
        <w:szCs w:val="22"/>
      </w:rPr>
    </w:lvl>
    <w:lvl w:ilvl="3" w:tentative="0">
      <w:start w:val="1"/>
      <w:numFmt w:val="decimal"/>
      <w:lvlText w:val="%4."/>
      <w:lvlJc w:val="left"/>
      <w:pPr>
        <w:ind w:left="1583" w:hanging="288"/>
      </w:pPr>
      <w:rPr>
        <w:color w:val="3370FF"/>
        <w:sz w:val="22"/>
        <w:szCs w:val="22"/>
      </w:rPr>
    </w:lvl>
    <w:lvl w:ilvl="4" w:tentative="0">
      <w:start w:val="1"/>
      <w:numFmt w:val="lowerLetter"/>
      <w:lvlText w:val="%5."/>
      <w:lvlJc w:val="left"/>
      <w:pPr>
        <w:ind w:left="2015" w:hanging="288"/>
      </w:pPr>
      <w:rPr>
        <w:color w:val="3370FF"/>
        <w:sz w:val="22"/>
        <w:szCs w:val="22"/>
      </w:rPr>
    </w:lvl>
    <w:lvl w:ilvl="5" w:tentative="0">
      <w:start w:val="1"/>
      <w:numFmt w:val="lowerRoman"/>
      <w:lvlText w:val="%6."/>
      <w:lvlJc w:val="left"/>
      <w:pPr>
        <w:ind w:left="2448" w:hanging="288"/>
      </w:pPr>
      <w:rPr>
        <w:color w:val="3370FF"/>
        <w:sz w:val="22"/>
        <w:szCs w:val="22"/>
      </w:rPr>
    </w:lvl>
    <w:lvl w:ilvl="6" w:tentative="0">
      <w:start w:val="1"/>
      <w:numFmt w:val="decimal"/>
      <w:lvlText w:val="%7."/>
      <w:lvlJc w:val="left"/>
      <w:pPr>
        <w:ind w:left="2879" w:hanging="288"/>
      </w:pPr>
      <w:rPr>
        <w:color w:val="3370FF"/>
        <w:sz w:val="22"/>
        <w:szCs w:val="22"/>
      </w:rPr>
    </w:lvl>
    <w:lvl w:ilvl="7" w:tentative="0">
      <w:start w:val="1"/>
      <w:numFmt w:val="lowerLetter"/>
      <w:lvlText w:val="%8."/>
      <w:lvlJc w:val="left"/>
      <w:pPr>
        <w:ind w:left="3312" w:hanging="288"/>
      </w:pPr>
      <w:rPr>
        <w:color w:val="3370FF"/>
        <w:sz w:val="22"/>
        <w:szCs w:val="22"/>
      </w:rPr>
    </w:lvl>
    <w:lvl w:ilvl="8" w:tentative="0">
      <w:start w:val="1"/>
      <w:numFmt w:val="lowerRoman"/>
      <w:lvlText w:val="%9."/>
      <w:lvlJc w:val="left"/>
      <w:pPr>
        <w:ind w:left="3744" w:hanging="288"/>
      </w:pPr>
      <w:rPr>
        <w:color w:val="3370FF"/>
        <w:sz w:val="22"/>
        <w:szCs w:val="22"/>
      </w:rPr>
    </w:lvl>
  </w:abstractNum>
  <w:abstractNum w:abstractNumId="25">
    <w:nsid w:val="714A5195"/>
    <w:multiLevelType w:val="multilevel"/>
    <w:tmpl w:val="714A5195"/>
    <w:lvl w:ilvl="0" w:tentative="0">
      <w:start w:val="1"/>
      <w:numFmt w:val="decimal"/>
      <w:suff w:val="nothing"/>
      <w:lvlText w:val="%1."/>
      <w:lvlJc w:val="left"/>
      <w:pPr>
        <w:ind w:left="0" w:leftChars="0" w:firstLine="0" w:firstLineChars="0"/>
      </w:pPr>
      <w:rPr>
        <w:rFonts w:hint="default"/>
        <w:color w:val="auto"/>
        <w:sz w:val="28"/>
        <w:szCs w:val="28"/>
      </w:rPr>
    </w:lvl>
    <w:lvl w:ilvl="1" w:tentative="0">
      <w:start w:val="1"/>
      <w:numFmt w:val="lowerLetter"/>
      <w:lvlText w:val="%2."/>
      <w:lvlJc w:val="left"/>
      <w:pPr>
        <w:ind w:left="720" w:hanging="288"/>
      </w:pPr>
      <w:rPr>
        <w:color w:val="3370FF"/>
        <w:sz w:val="22"/>
        <w:szCs w:val="22"/>
      </w:rPr>
    </w:lvl>
    <w:lvl w:ilvl="2" w:tentative="0">
      <w:start w:val="1"/>
      <w:numFmt w:val="lowerRoman"/>
      <w:lvlText w:val="%3."/>
      <w:lvlJc w:val="left"/>
      <w:pPr>
        <w:ind w:left="1152" w:hanging="288"/>
      </w:pPr>
      <w:rPr>
        <w:color w:val="3370FF"/>
        <w:sz w:val="22"/>
        <w:szCs w:val="22"/>
      </w:rPr>
    </w:lvl>
    <w:lvl w:ilvl="3" w:tentative="0">
      <w:start w:val="1"/>
      <w:numFmt w:val="decimal"/>
      <w:lvlText w:val="%4."/>
      <w:lvlJc w:val="left"/>
      <w:pPr>
        <w:ind w:left="1583" w:hanging="288"/>
      </w:pPr>
      <w:rPr>
        <w:color w:val="3370FF"/>
        <w:sz w:val="22"/>
        <w:szCs w:val="22"/>
      </w:rPr>
    </w:lvl>
    <w:lvl w:ilvl="4" w:tentative="0">
      <w:start w:val="1"/>
      <w:numFmt w:val="lowerLetter"/>
      <w:lvlText w:val="%5."/>
      <w:lvlJc w:val="left"/>
      <w:pPr>
        <w:ind w:left="2015" w:hanging="288"/>
      </w:pPr>
      <w:rPr>
        <w:color w:val="3370FF"/>
        <w:sz w:val="22"/>
        <w:szCs w:val="22"/>
      </w:rPr>
    </w:lvl>
    <w:lvl w:ilvl="5" w:tentative="0">
      <w:start w:val="1"/>
      <w:numFmt w:val="lowerRoman"/>
      <w:lvlText w:val="%6."/>
      <w:lvlJc w:val="left"/>
      <w:pPr>
        <w:ind w:left="2448" w:hanging="288"/>
      </w:pPr>
      <w:rPr>
        <w:color w:val="3370FF"/>
        <w:sz w:val="22"/>
        <w:szCs w:val="22"/>
      </w:rPr>
    </w:lvl>
    <w:lvl w:ilvl="6" w:tentative="0">
      <w:start w:val="1"/>
      <w:numFmt w:val="decimal"/>
      <w:lvlText w:val="%7."/>
      <w:lvlJc w:val="left"/>
      <w:pPr>
        <w:ind w:left="2879" w:hanging="288"/>
      </w:pPr>
      <w:rPr>
        <w:color w:val="3370FF"/>
        <w:sz w:val="22"/>
        <w:szCs w:val="22"/>
      </w:rPr>
    </w:lvl>
    <w:lvl w:ilvl="7" w:tentative="0">
      <w:start w:val="1"/>
      <w:numFmt w:val="lowerLetter"/>
      <w:lvlText w:val="%8."/>
      <w:lvlJc w:val="left"/>
      <w:pPr>
        <w:ind w:left="3312" w:hanging="288"/>
      </w:pPr>
      <w:rPr>
        <w:color w:val="3370FF"/>
        <w:sz w:val="22"/>
        <w:szCs w:val="22"/>
      </w:rPr>
    </w:lvl>
    <w:lvl w:ilvl="8" w:tentative="0">
      <w:start w:val="1"/>
      <w:numFmt w:val="lowerRoman"/>
      <w:lvlText w:val="%9."/>
      <w:lvlJc w:val="left"/>
      <w:pPr>
        <w:ind w:left="3744" w:hanging="288"/>
      </w:pPr>
      <w:rPr>
        <w:color w:val="3370FF"/>
        <w:sz w:val="22"/>
        <w:szCs w:val="22"/>
      </w:rPr>
    </w:lvl>
  </w:abstractNum>
  <w:abstractNum w:abstractNumId="26">
    <w:nsid w:val="748480DF"/>
    <w:multiLevelType w:val="singleLevel"/>
    <w:tmpl w:val="748480DF"/>
    <w:lvl w:ilvl="0" w:tentative="0">
      <w:start w:val="1"/>
      <w:numFmt w:val="lowerLetter"/>
      <w:suff w:val="nothing"/>
      <w:lvlText w:val="%1."/>
      <w:lvlJc w:val="left"/>
      <w:pPr>
        <w:ind w:left="0" w:leftChars="0" w:firstLine="0" w:firstLineChars="0"/>
      </w:pPr>
      <w:rPr>
        <w:rFonts w:hint="default"/>
      </w:rPr>
    </w:lvl>
  </w:abstractNum>
  <w:abstractNum w:abstractNumId="27">
    <w:nsid w:val="74F2361C"/>
    <w:multiLevelType w:val="singleLevel"/>
    <w:tmpl w:val="74F2361C"/>
    <w:lvl w:ilvl="0" w:tentative="0">
      <w:start w:val="1"/>
      <w:numFmt w:val="decimal"/>
      <w:suff w:val="nothing"/>
      <w:lvlText w:val="%1、"/>
      <w:lvlJc w:val="left"/>
    </w:lvl>
  </w:abstractNum>
  <w:abstractNum w:abstractNumId="28">
    <w:nsid w:val="7778573B"/>
    <w:multiLevelType w:val="singleLevel"/>
    <w:tmpl w:val="7778573B"/>
    <w:lvl w:ilvl="0" w:tentative="0">
      <w:start w:val="1"/>
      <w:numFmt w:val="decimalEnclosedCircleChinese"/>
      <w:suff w:val="nothing"/>
      <w:lvlText w:val="%1　"/>
      <w:lvlJc w:val="left"/>
      <w:pPr>
        <w:ind w:left="0" w:firstLine="0"/>
      </w:pPr>
      <w:rPr>
        <w:rFonts w:hint="eastAsia"/>
      </w:rPr>
    </w:lvl>
  </w:abstractNum>
  <w:abstractNum w:abstractNumId="29">
    <w:nsid w:val="78819CE1"/>
    <w:multiLevelType w:val="singleLevel"/>
    <w:tmpl w:val="78819CE1"/>
    <w:lvl w:ilvl="0" w:tentative="0">
      <w:start w:val="1"/>
      <w:numFmt w:val="decimal"/>
      <w:suff w:val="nothing"/>
      <w:lvlText w:val="（%1）"/>
      <w:lvlJc w:val="left"/>
    </w:lvl>
  </w:abstractNum>
  <w:num w:numId="1">
    <w:abstractNumId w:val="9"/>
  </w:num>
  <w:num w:numId="2">
    <w:abstractNumId w:val="14"/>
  </w:num>
  <w:num w:numId="3">
    <w:abstractNumId w:val="16"/>
  </w:num>
  <w:num w:numId="4">
    <w:abstractNumId w:val="20"/>
  </w:num>
  <w:num w:numId="5">
    <w:abstractNumId w:val="15"/>
  </w:num>
  <w:num w:numId="6">
    <w:abstractNumId w:val="7"/>
  </w:num>
  <w:num w:numId="7">
    <w:abstractNumId w:val="3"/>
  </w:num>
  <w:num w:numId="8">
    <w:abstractNumId w:val="5"/>
  </w:num>
  <w:num w:numId="9">
    <w:abstractNumId w:val="6"/>
  </w:num>
  <w:num w:numId="10">
    <w:abstractNumId w:val="29"/>
  </w:num>
  <w:num w:numId="11">
    <w:abstractNumId w:val="8"/>
  </w:num>
  <w:num w:numId="12">
    <w:abstractNumId w:val="2"/>
  </w:num>
  <w:num w:numId="13">
    <w:abstractNumId w:val="21"/>
  </w:num>
  <w:num w:numId="14">
    <w:abstractNumId w:val="11"/>
  </w:num>
  <w:num w:numId="15">
    <w:abstractNumId w:val="12"/>
  </w:num>
  <w:num w:numId="16">
    <w:abstractNumId w:val="0"/>
  </w:num>
  <w:num w:numId="17">
    <w:abstractNumId w:val="28"/>
  </w:num>
  <w:num w:numId="18">
    <w:abstractNumId w:val="22"/>
  </w:num>
  <w:num w:numId="19">
    <w:abstractNumId w:val="19"/>
  </w:num>
  <w:num w:numId="20">
    <w:abstractNumId w:val="26"/>
  </w:num>
  <w:num w:numId="21">
    <w:abstractNumId w:val="4"/>
  </w:num>
  <w:num w:numId="22">
    <w:abstractNumId w:val="25"/>
  </w:num>
  <w:num w:numId="23">
    <w:abstractNumId w:val="24"/>
  </w:num>
  <w:num w:numId="24">
    <w:abstractNumId w:val="23"/>
  </w:num>
  <w:num w:numId="25">
    <w:abstractNumId w:val="1"/>
  </w:num>
  <w:num w:numId="26">
    <w:abstractNumId w:val="10"/>
  </w:num>
  <w:num w:numId="27">
    <w:abstractNumId w:val="18"/>
  </w:num>
  <w:num w:numId="28">
    <w:abstractNumId w:val="13"/>
  </w:num>
  <w:num w:numId="29">
    <w:abstractNumId w:val="17"/>
  </w:num>
  <w:num w:numId="3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AwYjZlMTE2MGVkOWY1ZjMwNDkxYTg1M2FlMWYzM2YifQ=="/>
    <w:docVar w:name="KSO_WPS_MARK_KEY" w:val="19f3d28c-ef09-4bf5-b005-15ecf7a0c683"/>
  </w:docVars>
  <w:rsids>
    <w:rsidRoot w:val="00172A27"/>
    <w:rsid w:val="00010694"/>
    <w:rsid w:val="00022F69"/>
    <w:rsid w:val="000235B5"/>
    <w:rsid w:val="0002413E"/>
    <w:rsid w:val="00024F9F"/>
    <w:rsid w:val="000370E3"/>
    <w:rsid w:val="000507E8"/>
    <w:rsid w:val="00054A66"/>
    <w:rsid w:val="00064474"/>
    <w:rsid w:val="00073044"/>
    <w:rsid w:val="0007476A"/>
    <w:rsid w:val="00087987"/>
    <w:rsid w:val="00093C41"/>
    <w:rsid w:val="000B6F75"/>
    <w:rsid w:val="000C1ABF"/>
    <w:rsid w:val="000D3ED7"/>
    <w:rsid w:val="001025CA"/>
    <w:rsid w:val="0011028C"/>
    <w:rsid w:val="001108AC"/>
    <w:rsid w:val="00116DDE"/>
    <w:rsid w:val="001173E7"/>
    <w:rsid w:val="001238B8"/>
    <w:rsid w:val="00125483"/>
    <w:rsid w:val="00126CB2"/>
    <w:rsid w:val="001277C9"/>
    <w:rsid w:val="0012783F"/>
    <w:rsid w:val="001347C2"/>
    <w:rsid w:val="001509DE"/>
    <w:rsid w:val="001523CE"/>
    <w:rsid w:val="00153D99"/>
    <w:rsid w:val="00157A32"/>
    <w:rsid w:val="00160F44"/>
    <w:rsid w:val="001647E5"/>
    <w:rsid w:val="0016586D"/>
    <w:rsid w:val="00171D5E"/>
    <w:rsid w:val="00172A27"/>
    <w:rsid w:val="00182B0C"/>
    <w:rsid w:val="001A2433"/>
    <w:rsid w:val="001A4127"/>
    <w:rsid w:val="001B1EF8"/>
    <w:rsid w:val="001B3868"/>
    <w:rsid w:val="001B6DBE"/>
    <w:rsid w:val="001C2583"/>
    <w:rsid w:val="001D7738"/>
    <w:rsid w:val="001E606E"/>
    <w:rsid w:val="001F1418"/>
    <w:rsid w:val="00225FE3"/>
    <w:rsid w:val="00232BD2"/>
    <w:rsid w:val="00247966"/>
    <w:rsid w:val="0025055D"/>
    <w:rsid w:val="00252D15"/>
    <w:rsid w:val="00257B90"/>
    <w:rsid w:val="00261B95"/>
    <w:rsid w:val="0026229B"/>
    <w:rsid w:val="002663B5"/>
    <w:rsid w:val="00270BD0"/>
    <w:rsid w:val="00294358"/>
    <w:rsid w:val="0029547B"/>
    <w:rsid w:val="002978A1"/>
    <w:rsid w:val="002C07F7"/>
    <w:rsid w:val="002C323B"/>
    <w:rsid w:val="002C758B"/>
    <w:rsid w:val="002D175B"/>
    <w:rsid w:val="002D42AE"/>
    <w:rsid w:val="002E771A"/>
    <w:rsid w:val="00304744"/>
    <w:rsid w:val="00305365"/>
    <w:rsid w:val="00311A8E"/>
    <w:rsid w:val="003220E6"/>
    <w:rsid w:val="00322B16"/>
    <w:rsid w:val="00331AEF"/>
    <w:rsid w:val="0033394A"/>
    <w:rsid w:val="00342549"/>
    <w:rsid w:val="00342C36"/>
    <w:rsid w:val="00345160"/>
    <w:rsid w:val="00350D0E"/>
    <w:rsid w:val="00357345"/>
    <w:rsid w:val="00362474"/>
    <w:rsid w:val="003631D1"/>
    <w:rsid w:val="003761AE"/>
    <w:rsid w:val="00386932"/>
    <w:rsid w:val="003A3866"/>
    <w:rsid w:val="003A575B"/>
    <w:rsid w:val="003A5835"/>
    <w:rsid w:val="003B16EE"/>
    <w:rsid w:val="003C1917"/>
    <w:rsid w:val="003C194F"/>
    <w:rsid w:val="003C2743"/>
    <w:rsid w:val="003C4132"/>
    <w:rsid w:val="003C5DB5"/>
    <w:rsid w:val="003D04EA"/>
    <w:rsid w:val="003E0FD3"/>
    <w:rsid w:val="003E5657"/>
    <w:rsid w:val="004004D2"/>
    <w:rsid w:val="004059EB"/>
    <w:rsid w:val="00406A40"/>
    <w:rsid w:val="004111AD"/>
    <w:rsid w:val="00432F86"/>
    <w:rsid w:val="004430CB"/>
    <w:rsid w:val="004439D2"/>
    <w:rsid w:val="004474A8"/>
    <w:rsid w:val="004477BC"/>
    <w:rsid w:val="00450D0D"/>
    <w:rsid w:val="004531A3"/>
    <w:rsid w:val="0047383D"/>
    <w:rsid w:val="00480FA5"/>
    <w:rsid w:val="00491D34"/>
    <w:rsid w:val="00492186"/>
    <w:rsid w:val="004957EB"/>
    <w:rsid w:val="004B3E89"/>
    <w:rsid w:val="004D6BFF"/>
    <w:rsid w:val="004E4177"/>
    <w:rsid w:val="004F32F5"/>
    <w:rsid w:val="00500BD1"/>
    <w:rsid w:val="00501CF9"/>
    <w:rsid w:val="00507C43"/>
    <w:rsid w:val="00521E3F"/>
    <w:rsid w:val="005238E3"/>
    <w:rsid w:val="00523A67"/>
    <w:rsid w:val="00527F43"/>
    <w:rsid w:val="00530541"/>
    <w:rsid w:val="00532C96"/>
    <w:rsid w:val="00534873"/>
    <w:rsid w:val="00536448"/>
    <w:rsid w:val="005376EB"/>
    <w:rsid w:val="00540A2A"/>
    <w:rsid w:val="005436D0"/>
    <w:rsid w:val="0054600D"/>
    <w:rsid w:val="0054794B"/>
    <w:rsid w:val="00551580"/>
    <w:rsid w:val="00554F65"/>
    <w:rsid w:val="00560BB4"/>
    <w:rsid w:val="005614A3"/>
    <w:rsid w:val="00567DA2"/>
    <w:rsid w:val="00570BA9"/>
    <w:rsid w:val="00577E0C"/>
    <w:rsid w:val="00585656"/>
    <w:rsid w:val="00587AAA"/>
    <w:rsid w:val="00593381"/>
    <w:rsid w:val="00596137"/>
    <w:rsid w:val="005A2494"/>
    <w:rsid w:val="005A440D"/>
    <w:rsid w:val="005A5824"/>
    <w:rsid w:val="005A7B77"/>
    <w:rsid w:val="005B05C6"/>
    <w:rsid w:val="005B1EB0"/>
    <w:rsid w:val="005B5D0C"/>
    <w:rsid w:val="005C793D"/>
    <w:rsid w:val="005D4A9A"/>
    <w:rsid w:val="005F078A"/>
    <w:rsid w:val="005F1476"/>
    <w:rsid w:val="005F2A9D"/>
    <w:rsid w:val="00602580"/>
    <w:rsid w:val="0060379D"/>
    <w:rsid w:val="00624C59"/>
    <w:rsid w:val="00625F94"/>
    <w:rsid w:val="00627215"/>
    <w:rsid w:val="00631E06"/>
    <w:rsid w:val="006443D9"/>
    <w:rsid w:val="00655CF6"/>
    <w:rsid w:val="00660ECC"/>
    <w:rsid w:val="006729F3"/>
    <w:rsid w:val="00693ACE"/>
    <w:rsid w:val="006A479F"/>
    <w:rsid w:val="006B1B74"/>
    <w:rsid w:val="006B3D08"/>
    <w:rsid w:val="006B43C0"/>
    <w:rsid w:val="006C09C6"/>
    <w:rsid w:val="006C6A6D"/>
    <w:rsid w:val="006D61A6"/>
    <w:rsid w:val="006E68C8"/>
    <w:rsid w:val="006F7843"/>
    <w:rsid w:val="007116B2"/>
    <w:rsid w:val="007218F9"/>
    <w:rsid w:val="00721FCA"/>
    <w:rsid w:val="007230C0"/>
    <w:rsid w:val="00723B64"/>
    <w:rsid w:val="00726AD2"/>
    <w:rsid w:val="0072738C"/>
    <w:rsid w:val="00730754"/>
    <w:rsid w:val="00730852"/>
    <w:rsid w:val="00741C13"/>
    <w:rsid w:val="007430F0"/>
    <w:rsid w:val="0075613D"/>
    <w:rsid w:val="00757D5F"/>
    <w:rsid w:val="00761462"/>
    <w:rsid w:val="00766385"/>
    <w:rsid w:val="007674B8"/>
    <w:rsid w:val="0078109C"/>
    <w:rsid w:val="00797C5C"/>
    <w:rsid w:val="007B0D02"/>
    <w:rsid w:val="007B3D3B"/>
    <w:rsid w:val="007B405E"/>
    <w:rsid w:val="007B515F"/>
    <w:rsid w:val="007C3B3D"/>
    <w:rsid w:val="007D6550"/>
    <w:rsid w:val="007E2B7D"/>
    <w:rsid w:val="007E3CD9"/>
    <w:rsid w:val="007F04FE"/>
    <w:rsid w:val="00800808"/>
    <w:rsid w:val="00800EA5"/>
    <w:rsid w:val="00803137"/>
    <w:rsid w:val="00805BCB"/>
    <w:rsid w:val="00815A2C"/>
    <w:rsid w:val="00822903"/>
    <w:rsid w:val="00826F6A"/>
    <w:rsid w:val="008432C7"/>
    <w:rsid w:val="00843B36"/>
    <w:rsid w:val="00845B49"/>
    <w:rsid w:val="00847D7D"/>
    <w:rsid w:val="00852759"/>
    <w:rsid w:val="00853220"/>
    <w:rsid w:val="00854035"/>
    <w:rsid w:val="00870FA7"/>
    <w:rsid w:val="0089181C"/>
    <w:rsid w:val="008A3516"/>
    <w:rsid w:val="008A4E65"/>
    <w:rsid w:val="008B0930"/>
    <w:rsid w:val="008C1956"/>
    <w:rsid w:val="008D5EF4"/>
    <w:rsid w:val="008E54CF"/>
    <w:rsid w:val="008E5BB6"/>
    <w:rsid w:val="008F4221"/>
    <w:rsid w:val="00904018"/>
    <w:rsid w:val="00912972"/>
    <w:rsid w:val="00915FF4"/>
    <w:rsid w:val="00924828"/>
    <w:rsid w:val="00933B4D"/>
    <w:rsid w:val="00936F7B"/>
    <w:rsid w:val="0093793B"/>
    <w:rsid w:val="00955923"/>
    <w:rsid w:val="00967E98"/>
    <w:rsid w:val="009717B8"/>
    <w:rsid w:val="00975C53"/>
    <w:rsid w:val="00990227"/>
    <w:rsid w:val="009B1E93"/>
    <w:rsid w:val="009B4A53"/>
    <w:rsid w:val="009B55BA"/>
    <w:rsid w:val="009C0244"/>
    <w:rsid w:val="009C39A7"/>
    <w:rsid w:val="009C55E8"/>
    <w:rsid w:val="009C63C3"/>
    <w:rsid w:val="009C75B2"/>
    <w:rsid w:val="009D0384"/>
    <w:rsid w:val="009D5B1B"/>
    <w:rsid w:val="009D6008"/>
    <w:rsid w:val="009E0093"/>
    <w:rsid w:val="009E2EEF"/>
    <w:rsid w:val="009E7CE7"/>
    <w:rsid w:val="009F2D95"/>
    <w:rsid w:val="009F3EDF"/>
    <w:rsid w:val="009F7FE2"/>
    <w:rsid w:val="00A01310"/>
    <w:rsid w:val="00A043BD"/>
    <w:rsid w:val="00A070F7"/>
    <w:rsid w:val="00A22C96"/>
    <w:rsid w:val="00A22DD7"/>
    <w:rsid w:val="00A237A5"/>
    <w:rsid w:val="00A31F68"/>
    <w:rsid w:val="00A40E26"/>
    <w:rsid w:val="00A479E1"/>
    <w:rsid w:val="00A56022"/>
    <w:rsid w:val="00A63F08"/>
    <w:rsid w:val="00A70A3D"/>
    <w:rsid w:val="00A8009F"/>
    <w:rsid w:val="00A828AE"/>
    <w:rsid w:val="00A86320"/>
    <w:rsid w:val="00AA4034"/>
    <w:rsid w:val="00AB0660"/>
    <w:rsid w:val="00AB26EF"/>
    <w:rsid w:val="00AB4713"/>
    <w:rsid w:val="00AB5EDD"/>
    <w:rsid w:val="00AE5910"/>
    <w:rsid w:val="00B03542"/>
    <w:rsid w:val="00B058E8"/>
    <w:rsid w:val="00B07DD3"/>
    <w:rsid w:val="00B10AF8"/>
    <w:rsid w:val="00B1159D"/>
    <w:rsid w:val="00B12DDB"/>
    <w:rsid w:val="00B20DA9"/>
    <w:rsid w:val="00B27A8E"/>
    <w:rsid w:val="00B30C14"/>
    <w:rsid w:val="00B425D7"/>
    <w:rsid w:val="00B45ABB"/>
    <w:rsid w:val="00B70CF3"/>
    <w:rsid w:val="00B71E7C"/>
    <w:rsid w:val="00B74E46"/>
    <w:rsid w:val="00B85725"/>
    <w:rsid w:val="00B903F4"/>
    <w:rsid w:val="00B91213"/>
    <w:rsid w:val="00B93271"/>
    <w:rsid w:val="00B93AE2"/>
    <w:rsid w:val="00B93CB1"/>
    <w:rsid w:val="00B96146"/>
    <w:rsid w:val="00B96409"/>
    <w:rsid w:val="00B96BED"/>
    <w:rsid w:val="00BA2710"/>
    <w:rsid w:val="00BA6247"/>
    <w:rsid w:val="00BA791D"/>
    <w:rsid w:val="00BC0B72"/>
    <w:rsid w:val="00BD7EBA"/>
    <w:rsid w:val="00BE0AB0"/>
    <w:rsid w:val="00BE43CC"/>
    <w:rsid w:val="00BF703C"/>
    <w:rsid w:val="00C00A93"/>
    <w:rsid w:val="00C04F27"/>
    <w:rsid w:val="00C16558"/>
    <w:rsid w:val="00C17674"/>
    <w:rsid w:val="00C213A0"/>
    <w:rsid w:val="00C26F7E"/>
    <w:rsid w:val="00C33561"/>
    <w:rsid w:val="00C34E1A"/>
    <w:rsid w:val="00C3720F"/>
    <w:rsid w:val="00C50391"/>
    <w:rsid w:val="00C52220"/>
    <w:rsid w:val="00C669A0"/>
    <w:rsid w:val="00C70C5B"/>
    <w:rsid w:val="00C80A64"/>
    <w:rsid w:val="00C82587"/>
    <w:rsid w:val="00CA1E14"/>
    <w:rsid w:val="00CA1E22"/>
    <w:rsid w:val="00CA5BBE"/>
    <w:rsid w:val="00CB1DDE"/>
    <w:rsid w:val="00CB3ADB"/>
    <w:rsid w:val="00CB3CCA"/>
    <w:rsid w:val="00CB4690"/>
    <w:rsid w:val="00CC165F"/>
    <w:rsid w:val="00CC1A8B"/>
    <w:rsid w:val="00CC27E5"/>
    <w:rsid w:val="00CC6D72"/>
    <w:rsid w:val="00CD3C1F"/>
    <w:rsid w:val="00CE2ABB"/>
    <w:rsid w:val="00D07D7D"/>
    <w:rsid w:val="00D248BB"/>
    <w:rsid w:val="00D25DBD"/>
    <w:rsid w:val="00D308B3"/>
    <w:rsid w:val="00D47E57"/>
    <w:rsid w:val="00D5782D"/>
    <w:rsid w:val="00D63918"/>
    <w:rsid w:val="00D94D5B"/>
    <w:rsid w:val="00D95AF3"/>
    <w:rsid w:val="00DB376D"/>
    <w:rsid w:val="00DB380C"/>
    <w:rsid w:val="00DB4D62"/>
    <w:rsid w:val="00DB4DB7"/>
    <w:rsid w:val="00DB61C7"/>
    <w:rsid w:val="00DB7A4F"/>
    <w:rsid w:val="00DC7698"/>
    <w:rsid w:val="00DD336F"/>
    <w:rsid w:val="00DD419A"/>
    <w:rsid w:val="00DF30F4"/>
    <w:rsid w:val="00DF3FD2"/>
    <w:rsid w:val="00DF4E36"/>
    <w:rsid w:val="00DF7284"/>
    <w:rsid w:val="00E10AEA"/>
    <w:rsid w:val="00E12D33"/>
    <w:rsid w:val="00E15E75"/>
    <w:rsid w:val="00E2639A"/>
    <w:rsid w:val="00E27F44"/>
    <w:rsid w:val="00E45139"/>
    <w:rsid w:val="00E476BB"/>
    <w:rsid w:val="00E51A63"/>
    <w:rsid w:val="00E60F28"/>
    <w:rsid w:val="00E6234E"/>
    <w:rsid w:val="00E70E5D"/>
    <w:rsid w:val="00E7469E"/>
    <w:rsid w:val="00E768D2"/>
    <w:rsid w:val="00E776E4"/>
    <w:rsid w:val="00E81C4E"/>
    <w:rsid w:val="00E86548"/>
    <w:rsid w:val="00E86C08"/>
    <w:rsid w:val="00E91570"/>
    <w:rsid w:val="00EA2046"/>
    <w:rsid w:val="00EA24FB"/>
    <w:rsid w:val="00EA50D0"/>
    <w:rsid w:val="00EA7642"/>
    <w:rsid w:val="00EB230D"/>
    <w:rsid w:val="00EB6CC4"/>
    <w:rsid w:val="00EC000B"/>
    <w:rsid w:val="00EC1E1E"/>
    <w:rsid w:val="00EC2DCD"/>
    <w:rsid w:val="00EC4D04"/>
    <w:rsid w:val="00ED22A1"/>
    <w:rsid w:val="00EE37CA"/>
    <w:rsid w:val="00EE5BB5"/>
    <w:rsid w:val="00EF16FF"/>
    <w:rsid w:val="00EF2567"/>
    <w:rsid w:val="00F04AD7"/>
    <w:rsid w:val="00F23563"/>
    <w:rsid w:val="00F2523A"/>
    <w:rsid w:val="00F350B4"/>
    <w:rsid w:val="00F4261A"/>
    <w:rsid w:val="00F46EA7"/>
    <w:rsid w:val="00F629E7"/>
    <w:rsid w:val="00F7647B"/>
    <w:rsid w:val="00F9508F"/>
    <w:rsid w:val="00FA728E"/>
    <w:rsid w:val="00FB57EE"/>
    <w:rsid w:val="00FB654E"/>
    <w:rsid w:val="00FC682E"/>
    <w:rsid w:val="00FD138A"/>
    <w:rsid w:val="00FD4BAF"/>
    <w:rsid w:val="00FD6E5D"/>
    <w:rsid w:val="00FE506C"/>
    <w:rsid w:val="00FF22A3"/>
    <w:rsid w:val="00FF323D"/>
    <w:rsid w:val="01022145"/>
    <w:rsid w:val="014C4DA3"/>
    <w:rsid w:val="01527EDF"/>
    <w:rsid w:val="01535EB9"/>
    <w:rsid w:val="0191681C"/>
    <w:rsid w:val="019E06E3"/>
    <w:rsid w:val="01F53EB3"/>
    <w:rsid w:val="01FD0DAF"/>
    <w:rsid w:val="02060261"/>
    <w:rsid w:val="022E6257"/>
    <w:rsid w:val="02555ED9"/>
    <w:rsid w:val="029545F8"/>
    <w:rsid w:val="02B14DC7"/>
    <w:rsid w:val="02F94AB6"/>
    <w:rsid w:val="0319408F"/>
    <w:rsid w:val="032717F3"/>
    <w:rsid w:val="037261AB"/>
    <w:rsid w:val="0383243B"/>
    <w:rsid w:val="0385459C"/>
    <w:rsid w:val="038F71C9"/>
    <w:rsid w:val="03935BFE"/>
    <w:rsid w:val="03B66504"/>
    <w:rsid w:val="03B70FA8"/>
    <w:rsid w:val="03B81543"/>
    <w:rsid w:val="03EF1A15"/>
    <w:rsid w:val="03EF27C8"/>
    <w:rsid w:val="03F1273F"/>
    <w:rsid w:val="04197674"/>
    <w:rsid w:val="041E3B9F"/>
    <w:rsid w:val="044D094D"/>
    <w:rsid w:val="046441B2"/>
    <w:rsid w:val="04753845"/>
    <w:rsid w:val="04E758B2"/>
    <w:rsid w:val="050913A9"/>
    <w:rsid w:val="050A31D6"/>
    <w:rsid w:val="051557B4"/>
    <w:rsid w:val="051F656E"/>
    <w:rsid w:val="05500A87"/>
    <w:rsid w:val="058101E9"/>
    <w:rsid w:val="05D610DF"/>
    <w:rsid w:val="05DD4740"/>
    <w:rsid w:val="064C5934"/>
    <w:rsid w:val="0684593C"/>
    <w:rsid w:val="06986394"/>
    <w:rsid w:val="06B833C2"/>
    <w:rsid w:val="06B84C89"/>
    <w:rsid w:val="06FF46EC"/>
    <w:rsid w:val="0753050D"/>
    <w:rsid w:val="075E2F4A"/>
    <w:rsid w:val="07AD3D40"/>
    <w:rsid w:val="07D9336F"/>
    <w:rsid w:val="080A0FED"/>
    <w:rsid w:val="080C0D0C"/>
    <w:rsid w:val="081D30B5"/>
    <w:rsid w:val="082A74C0"/>
    <w:rsid w:val="082C148A"/>
    <w:rsid w:val="08566507"/>
    <w:rsid w:val="087F7922"/>
    <w:rsid w:val="08DC2EE2"/>
    <w:rsid w:val="091F0FEF"/>
    <w:rsid w:val="093164D8"/>
    <w:rsid w:val="0934527C"/>
    <w:rsid w:val="09521B8C"/>
    <w:rsid w:val="095F36DA"/>
    <w:rsid w:val="0983332C"/>
    <w:rsid w:val="09A278BC"/>
    <w:rsid w:val="09AF4121"/>
    <w:rsid w:val="09E919F8"/>
    <w:rsid w:val="0A256191"/>
    <w:rsid w:val="0A762256"/>
    <w:rsid w:val="0A933E5C"/>
    <w:rsid w:val="0AB614DF"/>
    <w:rsid w:val="0ABD4E90"/>
    <w:rsid w:val="0AC91212"/>
    <w:rsid w:val="0AD53626"/>
    <w:rsid w:val="0AD96F7B"/>
    <w:rsid w:val="0AFC15E8"/>
    <w:rsid w:val="0B024FEC"/>
    <w:rsid w:val="0B1E73EC"/>
    <w:rsid w:val="0B244FB8"/>
    <w:rsid w:val="0B3023B0"/>
    <w:rsid w:val="0B656974"/>
    <w:rsid w:val="0BA92DF2"/>
    <w:rsid w:val="0BBA70A3"/>
    <w:rsid w:val="0C012487"/>
    <w:rsid w:val="0C210BDA"/>
    <w:rsid w:val="0C4E7E44"/>
    <w:rsid w:val="0C601702"/>
    <w:rsid w:val="0C665C1C"/>
    <w:rsid w:val="0D587134"/>
    <w:rsid w:val="0D844B1B"/>
    <w:rsid w:val="0DB02216"/>
    <w:rsid w:val="0E0E5A47"/>
    <w:rsid w:val="0E1A3B33"/>
    <w:rsid w:val="0E1C7020"/>
    <w:rsid w:val="0E513821"/>
    <w:rsid w:val="0E59465B"/>
    <w:rsid w:val="0E6574A4"/>
    <w:rsid w:val="0F051BB9"/>
    <w:rsid w:val="0F323C9D"/>
    <w:rsid w:val="0F8E2325"/>
    <w:rsid w:val="0FD35E8A"/>
    <w:rsid w:val="0FE95356"/>
    <w:rsid w:val="100D14DA"/>
    <w:rsid w:val="10745ABA"/>
    <w:rsid w:val="108005C5"/>
    <w:rsid w:val="10AB3F70"/>
    <w:rsid w:val="10C63759"/>
    <w:rsid w:val="10C90438"/>
    <w:rsid w:val="111B0252"/>
    <w:rsid w:val="114D7560"/>
    <w:rsid w:val="1161187F"/>
    <w:rsid w:val="11717F0E"/>
    <w:rsid w:val="11800D39"/>
    <w:rsid w:val="11A8682E"/>
    <w:rsid w:val="11B701C5"/>
    <w:rsid w:val="11F31DEC"/>
    <w:rsid w:val="120E23C1"/>
    <w:rsid w:val="12354F5A"/>
    <w:rsid w:val="12914286"/>
    <w:rsid w:val="129B5577"/>
    <w:rsid w:val="12B654AE"/>
    <w:rsid w:val="12BF6C3A"/>
    <w:rsid w:val="13057218"/>
    <w:rsid w:val="131F3FC3"/>
    <w:rsid w:val="132C1DDC"/>
    <w:rsid w:val="133236CD"/>
    <w:rsid w:val="133E598E"/>
    <w:rsid w:val="134912DD"/>
    <w:rsid w:val="13682AD5"/>
    <w:rsid w:val="137B5074"/>
    <w:rsid w:val="138959E3"/>
    <w:rsid w:val="13DC787E"/>
    <w:rsid w:val="13FC570D"/>
    <w:rsid w:val="140631C3"/>
    <w:rsid w:val="14135D3F"/>
    <w:rsid w:val="14211A7C"/>
    <w:rsid w:val="142D3EB0"/>
    <w:rsid w:val="143310E5"/>
    <w:rsid w:val="14747239"/>
    <w:rsid w:val="14764964"/>
    <w:rsid w:val="14771CDF"/>
    <w:rsid w:val="147C0B64"/>
    <w:rsid w:val="14964B92"/>
    <w:rsid w:val="14B80AD1"/>
    <w:rsid w:val="14C557AE"/>
    <w:rsid w:val="155362A8"/>
    <w:rsid w:val="15A34C73"/>
    <w:rsid w:val="15AE7982"/>
    <w:rsid w:val="15B31F59"/>
    <w:rsid w:val="15B34F99"/>
    <w:rsid w:val="15C745A0"/>
    <w:rsid w:val="15CD45BF"/>
    <w:rsid w:val="15E070C3"/>
    <w:rsid w:val="15E24861"/>
    <w:rsid w:val="15FF4448"/>
    <w:rsid w:val="16473933"/>
    <w:rsid w:val="16766FAA"/>
    <w:rsid w:val="168669B4"/>
    <w:rsid w:val="16A910FE"/>
    <w:rsid w:val="16BA21D7"/>
    <w:rsid w:val="16C32FBA"/>
    <w:rsid w:val="16D301F3"/>
    <w:rsid w:val="16EE5198"/>
    <w:rsid w:val="16EF55E3"/>
    <w:rsid w:val="16FF65AF"/>
    <w:rsid w:val="172907FA"/>
    <w:rsid w:val="175207E1"/>
    <w:rsid w:val="17653798"/>
    <w:rsid w:val="17A20397"/>
    <w:rsid w:val="17A54DB5"/>
    <w:rsid w:val="17B23653"/>
    <w:rsid w:val="17C52D61"/>
    <w:rsid w:val="17D11706"/>
    <w:rsid w:val="180A2E6A"/>
    <w:rsid w:val="180C1DB8"/>
    <w:rsid w:val="181D2AAB"/>
    <w:rsid w:val="183364E8"/>
    <w:rsid w:val="18590648"/>
    <w:rsid w:val="1867206B"/>
    <w:rsid w:val="18E67433"/>
    <w:rsid w:val="18FF04F5"/>
    <w:rsid w:val="19053D5D"/>
    <w:rsid w:val="191310CD"/>
    <w:rsid w:val="191D1EE7"/>
    <w:rsid w:val="19522AB9"/>
    <w:rsid w:val="19540444"/>
    <w:rsid w:val="19691EDC"/>
    <w:rsid w:val="19DB4ABE"/>
    <w:rsid w:val="19EF2A79"/>
    <w:rsid w:val="1A09403D"/>
    <w:rsid w:val="1A427337"/>
    <w:rsid w:val="1A475CB0"/>
    <w:rsid w:val="1A6159EB"/>
    <w:rsid w:val="1A774C9C"/>
    <w:rsid w:val="1A826A8E"/>
    <w:rsid w:val="1A8B7370"/>
    <w:rsid w:val="1AB31E5A"/>
    <w:rsid w:val="1ABA4CF6"/>
    <w:rsid w:val="1B1E62C5"/>
    <w:rsid w:val="1B324BB2"/>
    <w:rsid w:val="1B3E740A"/>
    <w:rsid w:val="1B522ECD"/>
    <w:rsid w:val="1B593EEC"/>
    <w:rsid w:val="1B8A679C"/>
    <w:rsid w:val="1B9708D8"/>
    <w:rsid w:val="1BA93D87"/>
    <w:rsid w:val="1BBB0703"/>
    <w:rsid w:val="1BC3580A"/>
    <w:rsid w:val="1BC80A07"/>
    <w:rsid w:val="1BEF4851"/>
    <w:rsid w:val="1BFF240F"/>
    <w:rsid w:val="1C1B6D10"/>
    <w:rsid w:val="1C6325C6"/>
    <w:rsid w:val="1C825622"/>
    <w:rsid w:val="1C861D86"/>
    <w:rsid w:val="1CC41839"/>
    <w:rsid w:val="1CED005C"/>
    <w:rsid w:val="1CF163A7"/>
    <w:rsid w:val="1D3A5FA0"/>
    <w:rsid w:val="1D6F5C49"/>
    <w:rsid w:val="1D772D50"/>
    <w:rsid w:val="1D835251"/>
    <w:rsid w:val="1DC57394"/>
    <w:rsid w:val="1E156B8A"/>
    <w:rsid w:val="1E1E0410"/>
    <w:rsid w:val="1E335D6C"/>
    <w:rsid w:val="1E494C39"/>
    <w:rsid w:val="1E550BE9"/>
    <w:rsid w:val="1E94348E"/>
    <w:rsid w:val="1EDA025B"/>
    <w:rsid w:val="1F016D75"/>
    <w:rsid w:val="1F0B25BC"/>
    <w:rsid w:val="1F1F71FB"/>
    <w:rsid w:val="1F220E88"/>
    <w:rsid w:val="1F63494D"/>
    <w:rsid w:val="1F927BDC"/>
    <w:rsid w:val="1FD020F8"/>
    <w:rsid w:val="1FD224BF"/>
    <w:rsid w:val="1FE20707"/>
    <w:rsid w:val="1FE64182"/>
    <w:rsid w:val="200C3C23"/>
    <w:rsid w:val="20281ADB"/>
    <w:rsid w:val="20325D43"/>
    <w:rsid w:val="203A2484"/>
    <w:rsid w:val="20CA3EEF"/>
    <w:rsid w:val="20E406FC"/>
    <w:rsid w:val="20EE3329"/>
    <w:rsid w:val="20F52170"/>
    <w:rsid w:val="213C22E6"/>
    <w:rsid w:val="213D2165"/>
    <w:rsid w:val="21612B3C"/>
    <w:rsid w:val="217C0935"/>
    <w:rsid w:val="21DC2891"/>
    <w:rsid w:val="21DE339D"/>
    <w:rsid w:val="21DE779E"/>
    <w:rsid w:val="21E07C0E"/>
    <w:rsid w:val="220F7F28"/>
    <w:rsid w:val="22276873"/>
    <w:rsid w:val="22851AFF"/>
    <w:rsid w:val="22943AF1"/>
    <w:rsid w:val="22C56F28"/>
    <w:rsid w:val="230961F8"/>
    <w:rsid w:val="230D47B1"/>
    <w:rsid w:val="23445819"/>
    <w:rsid w:val="234E00AF"/>
    <w:rsid w:val="234E4553"/>
    <w:rsid w:val="23545EC8"/>
    <w:rsid w:val="237D20DD"/>
    <w:rsid w:val="237F6C4B"/>
    <w:rsid w:val="238B5CC6"/>
    <w:rsid w:val="2399026C"/>
    <w:rsid w:val="23A948CF"/>
    <w:rsid w:val="23CD2AB0"/>
    <w:rsid w:val="23E2675E"/>
    <w:rsid w:val="23ED5B9A"/>
    <w:rsid w:val="242B66E0"/>
    <w:rsid w:val="24B46637"/>
    <w:rsid w:val="25276E09"/>
    <w:rsid w:val="252D4FEE"/>
    <w:rsid w:val="253B7530"/>
    <w:rsid w:val="254A62EC"/>
    <w:rsid w:val="255B6AB3"/>
    <w:rsid w:val="25B53949"/>
    <w:rsid w:val="2609783F"/>
    <w:rsid w:val="26103D41"/>
    <w:rsid w:val="26182BBE"/>
    <w:rsid w:val="2623548B"/>
    <w:rsid w:val="262461E3"/>
    <w:rsid w:val="26513FE9"/>
    <w:rsid w:val="267A330E"/>
    <w:rsid w:val="26CB1A16"/>
    <w:rsid w:val="26CF7759"/>
    <w:rsid w:val="26FA0C40"/>
    <w:rsid w:val="270C3BDB"/>
    <w:rsid w:val="2719399B"/>
    <w:rsid w:val="273977AC"/>
    <w:rsid w:val="27854579"/>
    <w:rsid w:val="27C76EF3"/>
    <w:rsid w:val="27CE1D61"/>
    <w:rsid w:val="27E70E9B"/>
    <w:rsid w:val="282F4953"/>
    <w:rsid w:val="28332399"/>
    <w:rsid w:val="284877C3"/>
    <w:rsid w:val="285A0BC7"/>
    <w:rsid w:val="286A0B60"/>
    <w:rsid w:val="28BD335E"/>
    <w:rsid w:val="293B4D0E"/>
    <w:rsid w:val="294C32E2"/>
    <w:rsid w:val="29657F00"/>
    <w:rsid w:val="29AE7D3A"/>
    <w:rsid w:val="29D0219D"/>
    <w:rsid w:val="29D77EF3"/>
    <w:rsid w:val="29E51041"/>
    <w:rsid w:val="29F20600"/>
    <w:rsid w:val="2A0277C5"/>
    <w:rsid w:val="2A391286"/>
    <w:rsid w:val="2A494281"/>
    <w:rsid w:val="2A4F4886"/>
    <w:rsid w:val="2A7F5505"/>
    <w:rsid w:val="2A9A0875"/>
    <w:rsid w:val="2ABA427C"/>
    <w:rsid w:val="2B0A2EA3"/>
    <w:rsid w:val="2B143B98"/>
    <w:rsid w:val="2B3F2753"/>
    <w:rsid w:val="2B406EFF"/>
    <w:rsid w:val="2B6F7BD4"/>
    <w:rsid w:val="2B720822"/>
    <w:rsid w:val="2BAE19C7"/>
    <w:rsid w:val="2BB87E35"/>
    <w:rsid w:val="2BCE32E3"/>
    <w:rsid w:val="2C067B37"/>
    <w:rsid w:val="2C5379A3"/>
    <w:rsid w:val="2C974875"/>
    <w:rsid w:val="2CAD335C"/>
    <w:rsid w:val="2CCB4009"/>
    <w:rsid w:val="2CF33FC6"/>
    <w:rsid w:val="2CFD4778"/>
    <w:rsid w:val="2D0B6185"/>
    <w:rsid w:val="2D216834"/>
    <w:rsid w:val="2D4F1E09"/>
    <w:rsid w:val="2D6D14C1"/>
    <w:rsid w:val="2D7D4451"/>
    <w:rsid w:val="2DC42A84"/>
    <w:rsid w:val="2DE60E0D"/>
    <w:rsid w:val="2DF751F3"/>
    <w:rsid w:val="2E033B56"/>
    <w:rsid w:val="2E285A0C"/>
    <w:rsid w:val="2E891740"/>
    <w:rsid w:val="2E9C5A6A"/>
    <w:rsid w:val="2EA953B6"/>
    <w:rsid w:val="2EB07040"/>
    <w:rsid w:val="2EC27624"/>
    <w:rsid w:val="2ED75A9F"/>
    <w:rsid w:val="2EFC4E63"/>
    <w:rsid w:val="2F4D56BE"/>
    <w:rsid w:val="2F5842D0"/>
    <w:rsid w:val="2F5A7523"/>
    <w:rsid w:val="2F7F5907"/>
    <w:rsid w:val="2FA13062"/>
    <w:rsid w:val="2FB641FC"/>
    <w:rsid w:val="2FC7536F"/>
    <w:rsid w:val="2FE36FA0"/>
    <w:rsid w:val="30055F99"/>
    <w:rsid w:val="30280E73"/>
    <w:rsid w:val="302E56FD"/>
    <w:rsid w:val="303D02A2"/>
    <w:rsid w:val="30882C93"/>
    <w:rsid w:val="30F81925"/>
    <w:rsid w:val="314B586D"/>
    <w:rsid w:val="317C0BC3"/>
    <w:rsid w:val="31913E8E"/>
    <w:rsid w:val="31CB3665"/>
    <w:rsid w:val="31CE0296"/>
    <w:rsid w:val="31DA771B"/>
    <w:rsid w:val="32034DFD"/>
    <w:rsid w:val="3203562A"/>
    <w:rsid w:val="320D5A10"/>
    <w:rsid w:val="322079C5"/>
    <w:rsid w:val="3240150B"/>
    <w:rsid w:val="325D52F8"/>
    <w:rsid w:val="32902492"/>
    <w:rsid w:val="32A45F3D"/>
    <w:rsid w:val="32A82827"/>
    <w:rsid w:val="32B53456"/>
    <w:rsid w:val="33111653"/>
    <w:rsid w:val="332B21BB"/>
    <w:rsid w:val="334A479D"/>
    <w:rsid w:val="33641B20"/>
    <w:rsid w:val="33751688"/>
    <w:rsid w:val="33CF29A4"/>
    <w:rsid w:val="33EE79F7"/>
    <w:rsid w:val="34193CA8"/>
    <w:rsid w:val="34196205"/>
    <w:rsid w:val="34425A0E"/>
    <w:rsid w:val="344D5DD6"/>
    <w:rsid w:val="344F2ED9"/>
    <w:rsid w:val="34711E4F"/>
    <w:rsid w:val="34733E19"/>
    <w:rsid w:val="34A93377"/>
    <w:rsid w:val="34F26786"/>
    <w:rsid w:val="34FC56F2"/>
    <w:rsid w:val="35026F4B"/>
    <w:rsid w:val="35102324"/>
    <w:rsid w:val="355C665B"/>
    <w:rsid w:val="356E638F"/>
    <w:rsid w:val="358C2142"/>
    <w:rsid w:val="35A65B28"/>
    <w:rsid w:val="35BD418B"/>
    <w:rsid w:val="35D2375F"/>
    <w:rsid w:val="35E52AF5"/>
    <w:rsid w:val="35F8221C"/>
    <w:rsid w:val="3600792F"/>
    <w:rsid w:val="360702B8"/>
    <w:rsid w:val="360F36CE"/>
    <w:rsid w:val="3623361D"/>
    <w:rsid w:val="363C15BE"/>
    <w:rsid w:val="364F21A6"/>
    <w:rsid w:val="365D365D"/>
    <w:rsid w:val="36633A19"/>
    <w:rsid w:val="37236989"/>
    <w:rsid w:val="37256F21"/>
    <w:rsid w:val="375743B3"/>
    <w:rsid w:val="3772660A"/>
    <w:rsid w:val="37A5537B"/>
    <w:rsid w:val="37D474A6"/>
    <w:rsid w:val="37D7646D"/>
    <w:rsid w:val="37E2358C"/>
    <w:rsid w:val="37F17C4E"/>
    <w:rsid w:val="37FE4100"/>
    <w:rsid w:val="383271E4"/>
    <w:rsid w:val="384A62FD"/>
    <w:rsid w:val="385F4816"/>
    <w:rsid w:val="3870241E"/>
    <w:rsid w:val="38DD7AB3"/>
    <w:rsid w:val="38EE00C1"/>
    <w:rsid w:val="39035FE4"/>
    <w:rsid w:val="39553EE3"/>
    <w:rsid w:val="395F20A0"/>
    <w:rsid w:val="396310BC"/>
    <w:rsid w:val="39657E94"/>
    <w:rsid w:val="39721A80"/>
    <w:rsid w:val="39817C51"/>
    <w:rsid w:val="39A405D1"/>
    <w:rsid w:val="39A93CBE"/>
    <w:rsid w:val="39A9723F"/>
    <w:rsid w:val="39E474A4"/>
    <w:rsid w:val="39F234CA"/>
    <w:rsid w:val="39F32DB4"/>
    <w:rsid w:val="3A357430"/>
    <w:rsid w:val="3A5A447A"/>
    <w:rsid w:val="3A5C2DAD"/>
    <w:rsid w:val="3A6B503D"/>
    <w:rsid w:val="3A747630"/>
    <w:rsid w:val="3AE01E17"/>
    <w:rsid w:val="3AE710BD"/>
    <w:rsid w:val="3AF31761"/>
    <w:rsid w:val="3AF37A62"/>
    <w:rsid w:val="3AF63950"/>
    <w:rsid w:val="3B143534"/>
    <w:rsid w:val="3B1E43B3"/>
    <w:rsid w:val="3B2B3384"/>
    <w:rsid w:val="3B454DA1"/>
    <w:rsid w:val="3B505571"/>
    <w:rsid w:val="3B5B1163"/>
    <w:rsid w:val="3B9113BF"/>
    <w:rsid w:val="3BAE5737"/>
    <w:rsid w:val="3BC278C2"/>
    <w:rsid w:val="3BEB7484"/>
    <w:rsid w:val="3C2526F2"/>
    <w:rsid w:val="3C8D359E"/>
    <w:rsid w:val="3CAA1E4C"/>
    <w:rsid w:val="3CAB2861"/>
    <w:rsid w:val="3CE543D4"/>
    <w:rsid w:val="3CE57675"/>
    <w:rsid w:val="3D156C40"/>
    <w:rsid w:val="3D3108F0"/>
    <w:rsid w:val="3D743AA7"/>
    <w:rsid w:val="3D92643C"/>
    <w:rsid w:val="3DBE69D1"/>
    <w:rsid w:val="3E016A21"/>
    <w:rsid w:val="3E0A76B4"/>
    <w:rsid w:val="3E0E6961"/>
    <w:rsid w:val="3E4F3DC9"/>
    <w:rsid w:val="3E6108DC"/>
    <w:rsid w:val="3EA971BA"/>
    <w:rsid w:val="3ECD05CA"/>
    <w:rsid w:val="3ED03C16"/>
    <w:rsid w:val="3EF773F5"/>
    <w:rsid w:val="3F035D9A"/>
    <w:rsid w:val="3F1C5008"/>
    <w:rsid w:val="3F2F6B8F"/>
    <w:rsid w:val="3F4D4E3D"/>
    <w:rsid w:val="3F542383"/>
    <w:rsid w:val="3F835F13"/>
    <w:rsid w:val="3F9D520F"/>
    <w:rsid w:val="3FA96891"/>
    <w:rsid w:val="3FAC01DF"/>
    <w:rsid w:val="3FDE3B17"/>
    <w:rsid w:val="3FE12CBD"/>
    <w:rsid w:val="3FF73B50"/>
    <w:rsid w:val="409A021C"/>
    <w:rsid w:val="40C32F32"/>
    <w:rsid w:val="40CB0356"/>
    <w:rsid w:val="41194293"/>
    <w:rsid w:val="413744B8"/>
    <w:rsid w:val="416A0352"/>
    <w:rsid w:val="41747D82"/>
    <w:rsid w:val="4258398A"/>
    <w:rsid w:val="42586A54"/>
    <w:rsid w:val="429628AA"/>
    <w:rsid w:val="42B26B5F"/>
    <w:rsid w:val="42B4172C"/>
    <w:rsid w:val="42C37256"/>
    <w:rsid w:val="42ED4D97"/>
    <w:rsid w:val="42F51E9D"/>
    <w:rsid w:val="431412A9"/>
    <w:rsid w:val="43210EE4"/>
    <w:rsid w:val="436274D2"/>
    <w:rsid w:val="439B3F94"/>
    <w:rsid w:val="43C63BD6"/>
    <w:rsid w:val="43CE47B2"/>
    <w:rsid w:val="441E71D2"/>
    <w:rsid w:val="445241CE"/>
    <w:rsid w:val="44774400"/>
    <w:rsid w:val="44A83362"/>
    <w:rsid w:val="44C9432E"/>
    <w:rsid w:val="44FD397C"/>
    <w:rsid w:val="45064D78"/>
    <w:rsid w:val="452913FC"/>
    <w:rsid w:val="455920A4"/>
    <w:rsid w:val="45AD6A5F"/>
    <w:rsid w:val="45F75F2C"/>
    <w:rsid w:val="45F85A36"/>
    <w:rsid w:val="4618037D"/>
    <w:rsid w:val="46212B20"/>
    <w:rsid w:val="464C6002"/>
    <w:rsid w:val="465E6206"/>
    <w:rsid w:val="46944856"/>
    <w:rsid w:val="46BC2BD8"/>
    <w:rsid w:val="46D36999"/>
    <w:rsid w:val="472E158C"/>
    <w:rsid w:val="473954E9"/>
    <w:rsid w:val="473D1787"/>
    <w:rsid w:val="477A116A"/>
    <w:rsid w:val="478B2DD0"/>
    <w:rsid w:val="479C6D8B"/>
    <w:rsid w:val="47C50090"/>
    <w:rsid w:val="47DB5B06"/>
    <w:rsid w:val="47E80223"/>
    <w:rsid w:val="47EE4E56"/>
    <w:rsid w:val="47EF638A"/>
    <w:rsid w:val="47F97336"/>
    <w:rsid w:val="480706A9"/>
    <w:rsid w:val="48160B49"/>
    <w:rsid w:val="482173AE"/>
    <w:rsid w:val="4860600B"/>
    <w:rsid w:val="48636034"/>
    <w:rsid w:val="488B4B77"/>
    <w:rsid w:val="48B7790B"/>
    <w:rsid w:val="48E549E9"/>
    <w:rsid w:val="49033566"/>
    <w:rsid w:val="492E2E2E"/>
    <w:rsid w:val="492E43F8"/>
    <w:rsid w:val="49394063"/>
    <w:rsid w:val="4A0977B8"/>
    <w:rsid w:val="4A1D0657"/>
    <w:rsid w:val="4A317C5F"/>
    <w:rsid w:val="4A464AE8"/>
    <w:rsid w:val="4A560B18"/>
    <w:rsid w:val="4A7933B4"/>
    <w:rsid w:val="4AD36F68"/>
    <w:rsid w:val="4ADB4211"/>
    <w:rsid w:val="4ADD7DE7"/>
    <w:rsid w:val="4AEF7951"/>
    <w:rsid w:val="4AFD5D93"/>
    <w:rsid w:val="4B367F93"/>
    <w:rsid w:val="4B6E3924"/>
    <w:rsid w:val="4BA12BC2"/>
    <w:rsid w:val="4BBE0575"/>
    <w:rsid w:val="4BC211D2"/>
    <w:rsid w:val="4BE5149F"/>
    <w:rsid w:val="4BFC24EE"/>
    <w:rsid w:val="4BFE5973"/>
    <w:rsid w:val="4C205671"/>
    <w:rsid w:val="4C224242"/>
    <w:rsid w:val="4C3D1913"/>
    <w:rsid w:val="4C40385D"/>
    <w:rsid w:val="4C485734"/>
    <w:rsid w:val="4CCD64F4"/>
    <w:rsid w:val="4CE92A73"/>
    <w:rsid w:val="4D092279"/>
    <w:rsid w:val="4D1A0E7E"/>
    <w:rsid w:val="4D317F76"/>
    <w:rsid w:val="4D331F40"/>
    <w:rsid w:val="4D3B084B"/>
    <w:rsid w:val="4D530AA8"/>
    <w:rsid w:val="4D7E572D"/>
    <w:rsid w:val="4DA27269"/>
    <w:rsid w:val="4DEF6893"/>
    <w:rsid w:val="4E0C71FC"/>
    <w:rsid w:val="4E402B66"/>
    <w:rsid w:val="4EA1353B"/>
    <w:rsid w:val="4EAA7FE0"/>
    <w:rsid w:val="4EB3122E"/>
    <w:rsid w:val="4EB909E9"/>
    <w:rsid w:val="4ECE13CB"/>
    <w:rsid w:val="4F0A4DE8"/>
    <w:rsid w:val="4F534AF8"/>
    <w:rsid w:val="4F5F4C64"/>
    <w:rsid w:val="4F714FA1"/>
    <w:rsid w:val="4F763D0A"/>
    <w:rsid w:val="4F9A0D90"/>
    <w:rsid w:val="4FC26BC9"/>
    <w:rsid w:val="4FE53EE9"/>
    <w:rsid w:val="50123D29"/>
    <w:rsid w:val="502C0328"/>
    <w:rsid w:val="505059C1"/>
    <w:rsid w:val="507111E9"/>
    <w:rsid w:val="50744D49"/>
    <w:rsid w:val="50827466"/>
    <w:rsid w:val="508302FA"/>
    <w:rsid w:val="50A10CF0"/>
    <w:rsid w:val="50D73662"/>
    <w:rsid w:val="50F25458"/>
    <w:rsid w:val="50F73284"/>
    <w:rsid w:val="50F97086"/>
    <w:rsid w:val="512B026F"/>
    <w:rsid w:val="51542485"/>
    <w:rsid w:val="51A34050"/>
    <w:rsid w:val="51AB5F03"/>
    <w:rsid w:val="51B352C4"/>
    <w:rsid w:val="51BA2F76"/>
    <w:rsid w:val="52220DD4"/>
    <w:rsid w:val="522C1839"/>
    <w:rsid w:val="52320A18"/>
    <w:rsid w:val="523A4FCE"/>
    <w:rsid w:val="529A036B"/>
    <w:rsid w:val="53063385"/>
    <w:rsid w:val="53412BBB"/>
    <w:rsid w:val="53500FF5"/>
    <w:rsid w:val="53530C46"/>
    <w:rsid w:val="53864FA0"/>
    <w:rsid w:val="53B611D5"/>
    <w:rsid w:val="53CB255A"/>
    <w:rsid w:val="53EB29D5"/>
    <w:rsid w:val="5418171E"/>
    <w:rsid w:val="54240A2E"/>
    <w:rsid w:val="543A0953"/>
    <w:rsid w:val="544C2288"/>
    <w:rsid w:val="54627897"/>
    <w:rsid w:val="54635240"/>
    <w:rsid w:val="5510685A"/>
    <w:rsid w:val="551D56FC"/>
    <w:rsid w:val="554671C6"/>
    <w:rsid w:val="5552584C"/>
    <w:rsid w:val="555A4FC6"/>
    <w:rsid w:val="556D1D67"/>
    <w:rsid w:val="55FE7A11"/>
    <w:rsid w:val="561D553B"/>
    <w:rsid w:val="562D6C09"/>
    <w:rsid w:val="56321E1B"/>
    <w:rsid w:val="568D3428"/>
    <w:rsid w:val="56982E14"/>
    <w:rsid w:val="56A774E2"/>
    <w:rsid w:val="56B05C18"/>
    <w:rsid w:val="571F6489"/>
    <w:rsid w:val="57213788"/>
    <w:rsid w:val="57366542"/>
    <w:rsid w:val="575D5514"/>
    <w:rsid w:val="57793128"/>
    <w:rsid w:val="57831D16"/>
    <w:rsid w:val="579F706F"/>
    <w:rsid w:val="57D528CD"/>
    <w:rsid w:val="57E227D2"/>
    <w:rsid w:val="57EE22E8"/>
    <w:rsid w:val="57FA3D86"/>
    <w:rsid w:val="58015C98"/>
    <w:rsid w:val="581F559B"/>
    <w:rsid w:val="58236478"/>
    <w:rsid w:val="585B5276"/>
    <w:rsid w:val="588E54CA"/>
    <w:rsid w:val="58922210"/>
    <w:rsid w:val="58A9755A"/>
    <w:rsid w:val="58AE5938"/>
    <w:rsid w:val="590C3FF5"/>
    <w:rsid w:val="59407F54"/>
    <w:rsid w:val="596A2319"/>
    <w:rsid w:val="597E1677"/>
    <w:rsid w:val="59823E17"/>
    <w:rsid w:val="59851D75"/>
    <w:rsid w:val="59937919"/>
    <w:rsid w:val="59FF543B"/>
    <w:rsid w:val="5A317655"/>
    <w:rsid w:val="5A3572F7"/>
    <w:rsid w:val="5A386DE8"/>
    <w:rsid w:val="5A3C6C73"/>
    <w:rsid w:val="5A635C5A"/>
    <w:rsid w:val="5A8D012D"/>
    <w:rsid w:val="5AD81D9A"/>
    <w:rsid w:val="5ADC209B"/>
    <w:rsid w:val="5B1355A3"/>
    <w:rsid w:val="5B3C6463"/>
    <w:rsid w:val="5B5E28C5"/>
    <w:rsid w:val="5B6D2AE6"/>
    <w:rsid w:val="5B745BFD"/>
    <w:rsid w:val="5B7B595E"/>
    <w:rsid w:val="5B9900F2"/>
    <w:rsid w:val="5BA34735"/>
    <w:rsid w:val="5BF467EC"/>
    <w:rsid w:val="5C043425"/>
    <w:rsid w:val="5C11169E"/>
    <w:rsid w:val="5C25339C"/>
    <w:rsid w:val="5C323CC9"/>
    <w:rsid w:val="5C34538D"/>
    <w:rsid w:val="5C441A74"/>
    <w:rsid w:val="5C447DD1"/>
    <w:rsid w:val="5C574268"/>
    <w:rsid w:val="5C6B5BC5"/>
    <w:rsid w:val="5CA66E29"/>
    <w:rsid w:val="5CB86213"/>
    <w:rsid w:val="5CBF2962"/>
    <w:rsid w:val="5D530D5F"/>
    <w:rsid w:val="5D89747D"/>
    <w:rsid w:val="5D9D79EF"/>
    <w:rsid w:val="5DA707E9"/>
    <w:rsid w:val="5DA95387"/>
    <w:rsid w:val="5DB70229"/>
    <w:rsid w:val="5DE11544"/>
    <w:rsid w:val="5DEE3CCB"/>
    <w:rsid w:val="5DF21B98"/>
    <w:rsid w:val="5E1216FE"/>
    <w:rsid w:val="5E3308A2"/>
    <w:rsid w:val="5E575A76"/>
    <w:rsid w:val="5E60690D"/>
    <w:rsid w:val="5E68756F"/>
    <w:rsid w:val="5E7F77FB"/>
    <w:rsid w:val="5EAE4DD9"/>
    <w:rsid w:val="5EB804F7"/>
    <w:rsid w:val="5F2B6984"/>
    <w:rsid w:val="5F6150CD"/>
    <w:rsid w:val="5F6D7533"/>
    <w:rsid w:val="5F987E63"/>
    <w:rsid w:val="5FCB28E4"/>
    <w:rsid w:val="5FCF7853"/>
    <w:rsid w:val="5FD52766"/>
    <w:rsid w:val="5FE5531C"/>
    <w:rsid w:val="5FF46D11"/>
    <w:rsid w:val="6008706E"/>
    <w:rsid w:val="60384AA2"/>
    <w:rsid w:val="6093514A"/>
    <w:rsid w:val="60BA6EBD"/>
    <w:rsid w:val="60D2322C"/>
    <w:rsid w:val="610417D1"/>
    <w:rsid w:val="610B7004"/>
    <w:rsid w:val="614F7E1C"/>
    <w:rsid w:val="61667A1D"/>
    <w:rsid w:val="61706E67"/>
    <w:rsid w:val="617B022B"/>
    <w:rsid w:val="61B42238"/>
    <w:rsid w:val="61ED3995"/>
    <w:rsid w:val="62233ED9"/>
    <w:rsid w:val="62247EF5"/>
    <w:rsid w:val="62CF4061"/>
    <w:rsid w:val="631430B3"/>
    <w:rsid w:val="637C5F97"/>
    <w:rsid w:val="638A11D4"/>
    <w:rsid w:val="63F41F58"/>
    <w:rsid w:val="63F76584"/>
    <w:rsid w:val="644C3BBB"/>
    <w:rsid w:val="64B04A7C"/>
    <w:rsid w:val="64F32289"/>
    <w:rsid w:val="651D27D7"/>
    <w:rsid w:val="654752D4"/>
    <w:rsid w:val="65822F09"/>
    <w:rsid w:val="65965996"/>
    <w:rsid w:val="659730E5"/>
    <w:rsid w:val="65C82F60"/>
    <w:rsid w:val="65CE0D2C"/>
    <w:rsid w:val="65DF280D"/>
    <w:rsid w:val="663E0D58"/>
    <w:rsid w:val="66846410"/>
    <w:rsid w:val="66A24F5B"/>
    <w:rsid w:val="66A6332B"/>
    <w:rsid w:val="66D7432B"/>
    <w:rsid w:val="671F6E1E"/>
    <w:rsid w:val="672F0A3C"/>
    <w:rsid w:val="67453492"/>
    <w:rsid w:val="67A02C6C"/>
    <w:rsid w:val="67E71B6D"/>
    <w:rsid w:val="67EF6CEE"/>
    <w:rsid w:val="67FF20E2"/>
    <w:rsid w:val="68306BC4"/>
    <w:rsid w:val="688073EB"/>
    <w:rsid w:val="68842FD3"/>
    <w:rsid w:val="689C2C37"/>
    <w:rsid w:val="68A2014F"/>
    <w:rsid w:val="68BF6DF6"/>
    <w:rsid w:val="68C43E52"/>
    <w:rsid w:val="68F55EA4"/>
    <w:rsid w:val="690B1A91"/>
    <w:rsid w:val="691E324E"/>
    <w:rsid w:val="69201173"/>
    <w:rsid w:val="69242318"/>
    <w:rsid w:val="692B215E"/>
    <w:rsid w:val="698C3515"/>
    <w:rsid w:val="698E432E"/>
    <w:rsid w:val="69992B92"/>
    <w:rsid w:val="69D41F5D"/>
    <w:rsid w:val="69DE70C1"/>
    <w:rsid w:val="69E9103A"/>
    <w:rsid w:val="6A5454AE"/>
    <w:rsid w:val="6A9040D6"/>
    <w:rsid w:val="6AC50223"/>
    <w:rsid w:val="6AD26CD2"/>
    <w:rsid w:val="6B016D82"/>
    <w:rsid w:val="6B2D6EEB"/>
    <w:rsid w:val="6B5F5D4D"/>
    <w:rsid w:val="6B685053"/>
    <w:rsid w:val="6BAF4A30"/>
    <w:rsid w:val="6BB93969"/>
    <w:rsid w:val="6BC06C3D"/>
    <w:rsid w:val="6BCB6B69"/>
    <w:rsid w:val="6C0D4AD4"/>
    <w:rsid w:val="6C3D5F2F"/>
    <w:rsid w:val="6C575222"/>
    <w:rsid w:val="6C6770B8"/>
    <w:rsid w:val="6C71768C"/>
    <w:rsid w:val="6CA125CA"/>
    <w:rsid w:val="6CB22DA1"/>
    <w:rsid w:val="6CB46566"/>
    <w:rsid w:val="6CC03E6D"/>
    <w:rsid w:val="6CD363C3"/>
    <w:rsid w:val="6CD526FE"/>
    <w:rsid w:val="6D3451EC"/>
    <w:rsid w:val="6D8855DB"/>
    <w:rsid w:val="6DE360A7"/>
    <w:rsid w:val="6DEE5CE3"/>
    <w:rsid w:val="6E245261"/>
    <w:rsid w:val="6E2D3C69"/>
    <w:rsid w:val="6EA57E47"/>
    <w:rsid w:val="6EB736CD"/>
    <w:rsid w:val="6EC936B0"/>
    <w:rsid w:val="6ECE2BD2"/>
    <w:rsid w:val="6ED468F0"/>
    <w:rsid w:val="6EFF182A"/>
    <w:rsid w:val="6F011A46"/>
    <w:rsid w:val="6F33171B"/>
    <w:rsid w:val="6F7044D6"/>
    <w:rsid w:val="6F965673"/>
    <w:rsid w:val="6F9E54E7"/>
    <w:rsid w:val="6FBB10C2"/>
    <w:rsid w:val="6FDB730A"/>
    <w:rsid w:val="6FDD7DBD"/>
    <w:rsid w:val="700A4B8C"/>
    <w:rsid w:val="70227CFD"/>
    <w:rsid w:val="70334E10"/>
    <w:rsid w:val="70756248"/>
    <w:rsid w:val="707A11F3"/>
    <w:rsid w:val="707C0410"/>
    <w:rsid w:val="707F2C23"/>
    <w:rsid w:val="709C6F93"/>
    <w:rsid w:val="71031D5F"/>
    <w:rsid w:val="71056959"/>
    <w:rsid w:val="713C0F09"/>
    <w:rsid w:val="71756B0D"/>
    <w:rsid w:val="717F5B7A"/>
    <w:rsid w:val="71866233"/>
    <w:rsid w:val="719721EE"/>
    <w:rsid w:val="71D12840"/>
    <w:rsid w:val="71DA1240"/>
    <w:rsid w:val="71EF48DF"/>
    <w:rsid w:val="724C6A42"/>
    <w:rsid w:val="725400DF"/>
    <w:rsid w:val="7270363A"/>
    <w:rsid w:val="72955F39"/>
    <w:rsid w:val="72BC3722"/>
    <w:rsid w:val="72CE4767"/>
    <w:rsid w:val="72D20B62"/>
    <w:rsid w:val="731E506B"/>
    <w:rsid w:val="73372E32"/>
    <w:rsid w:val="73400CFB"/>
    <w:rsid w:val="734A2124"/>
    <w:rsid w:val="73A017A5"/>
    <w:rsid w:val="73CE48E4"/>
    <w:rsid w:val="73E37359"/>
    <w:rsid w:val="73E55A30"/>
    <w:rsid w:val="73E86D31"/>
    <w:rsid w:val="73F25C64"/>
    <w:rsid w:val="745771EB"/>
    <w:rsid w:val="74675EA7"/>
    <w:rsid w:val="7474601E"/>
    <w:rsid w:val="747603D5"/>
    <w:rsid w:val="747D01F0"/>
    <w:rsid w:val="74934EEE"/>
    <w:rsid w:val="74A34E73"/>
    <w:rsid w:val="74B97E59"/>
    <w:rsid w:val="74C40EAA"/>
    <w:rsid w:val="750F36C6"/>
    <w:rsid w:val="755778E6"/>
    <w:rsid w:val="758F7D6B"/>
    <w:rsid w:val="75A153E9"/>
    <w:rsid w:val="75A44ED9"/>
    <w:rsid w:val="75B31F1D"/>
    <w:rsid w:val="75C16B30"/>
    <w:rsid w:val="75DC08C0"/>
    <w:rsid w:val="75F565F2"/>
    <w:rsid w:val="75FA6B3E"/>
    <w:rsid w:val="760B6D06"/>
    <w:rsid w:val="764F12E9"/>
    <w:rsid w:val="76530DD9"/>
    <w:rsid w:val="7658375B"/>
    <w:rsid w:val="7672338B"/>
    <w:rsid w:val="767D7F65"/>
    <w:rsid w:val="76856640"/>
    <w:rsid w:val="76A809F9"/>
    <w:rsid w:val="76C31579"/>
    <w:rsid w:val="77197752"/>
    <w:rsid w:val="774150D6"/>
    <w:rsid w:val="77494B12"/>
    <w:rsid w:val="776E39F1"/>
    <w:rsid w:val="77A70D03"/>
    <w:rsid w:val="77C35511"/>
    <w:rsid w:val="77C67389"/>
    <w:rsid w:val="77CE573C"/>
    <w:rsid w:val="77DA51F2"/>
    <w:rsid w:val="78127750"/>
    <w:rsid w:val="782E0F03"/>
    <w:rsid w:val="7850236B"/>
    <w:rsid w:val="78593AF3"/>
    <w:rsid w:val="78742588"/>
    <w:rsid w:val="787A3E9B"/>
    <w:rsid w:val="787B5781"/>
    <w:rsid w:val="78B76110"/>
    <w:rsid w:val="78C733B9"/>
    <w:rsid w:val="78F4540A"/>
    <w:rsid w:val="79250FDE"/>
    <w:rsid w:val="792B6F2B"/>
    <w:rsid w:val="79AB2884"/>
    <w:rsid w:val="79B7167F"/>
    <w:rsid w:val="79C124FE"/>
    <w:rsid w:val="79D7619B"/>
    <w:rsid w:val="79E1494E"/>
    <w:rsid w:val="79E14EC0"/>
    <w:rsid w:val="79FA7343"/>
    <w:rsid w:val="79FC26F3"/>
    <w:rsid w:val="7A08406B"/>
    <w:rsid w:val="7A173293"/>
    <w:rsid w:val="7A382CBF"/>
    <w:rsid w:val="7A643FFA"/>
    <w:rsid w:val="7A6D1D3E"/>
    <w:rsid w:val="7A811750"/>
    <w:rsid w:val="7A831561"/>
    <w:rsid w:val="7AB160CE"/>
    <w:rsid w:val="7AB8722A"/>
    <w:rsid w:val="7AD040D4"/>
    <w:rsid w:val="7AD972A3"/>
    <w:rsid w:val="7AFD4FEE"/>
    <w:rsid w:val="7B17441B"/>
    <w:rsid w:val="7B1E128A"/>
    <w:rsid w:val="7B206841"/>
    <w:rsid w:val="7B292109"/>
    <w:rsid w:val="7B2A11CE"/>
    <w:rsid w:val="7BBB0959"/>
    <w:rsid w:val="7BCE0366"/>
    <w:rsid w:val="7BDA3403"/>
    <w:rsid w:val="7BEB0B45"/>
    <w:rsid w:val="7BF02C26"/>
    <w:rsid w:val="7C030BAC"/>
    <w:rsid w:val="7C493790"/>
    <w:rsid w:val="7C556F2D"/>
    <w:rsid w:val="7CB579CC"/>
    <w:rsid w:val="7D1868D9"/>
    <w:rsid w:val="7D24527D"/>
    <w:rsid w:val="7D27773C"/>
    <w:rsid w:val="7D3356C7"/>
    <w:rsid w:val="7D422172"/>
    <w:rsid w:val="7D4713B5"/>
    <w:rsid w:val="7D5976B6"/>
    <w:rsid w:val="7D6A3904"/>
    <w:rsid w:val="7D92368A"/>
    <w:rsid w:val="7DA07E94"/>
    <w:rsid w:val="7DA16F04"/>
    <w:rsid w:val="7DB1382D"/>
    <w:rsid w:val="7DB36601"/>
    <w:rsid w:val="7E2D0162"/>
    <w:rsid w:val="7E321CD4"/>
    <w:rsid w:val="7E550EEB"/>
    <w:rsid w:val="7E646068"/>
    <w:rsid w:val="7EA3546E"/>
    <w:rsid w:val="7EB33EA8"/>
    <w:rsid w:val="7ED6280D"/>
    <w:rsid w:val="7F06620E"/>
    <w:rsid w:val="7F1C70BC"/>
    <w:rsid w:val="7F4406D0"/>
    <w:rsid w:val="7FC93EBA"/>
    <w:rsid w:val="7FE90EB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0"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iPriority="35" w:name="caption"/>
    <w:lsdException w:qFormat="1" w:unhideWhenUsed="0" w:uiPriority="0" w:semiHidden="0" w:name="table of figures"/>
    <w:lsdException w:uiPriority="99" w:name="envelope address"/>
    <w:lsdException w:qFormat="1" w:uiPriority="99" w:semiHidden="0" w:name="envelope return"/>
    <w:lsdException w:qFormat="1"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uiPriority="99" w:name="List 2"/>
    <w:lsdException w:qFormat="1" w:unhideWhenUsed="0" w:uiPriority="0" w:semiHidden="0" w:name="List 3"/>
    <w:lsdException w:uiPriority="99" w:name="List 4"/>
    <w:lsdException w:uiPriority="99" w:name="List 5"/>
    <w:lsdException w:qFormat="1" w:uiPriority="99" w:name="List Bullet 2"/>
    <w:lsdException w:uiPriority="99" w:name="List Bullet 3"/>
    <w:lsdException w:uiPriority="99"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199"/>
    <w:autoRedefine/>
    <w:qFormat/>
    <w:uiPriority w:val="0"/>
    <w:pPr>
      <w:keepNext/>
      <w:tabs>
        <w:tab w:val="left" w:pos="1440"/>
        <w:tab w:val="left" w:pos="5670"/>
      </w:tabs>
      <w:spacing w:beforeLines="100" w:afterLines="100"/>
      <w:ind w:firstLine="2890" w:firstLineChars="1203"/>
      <w:outlineLvl w:val="0"/>
    </w:pPr>
    <w:rPr>
      <w:rFonts w:ascii="黑体" w:eastAsia="黑体"/>
      <w:b/>
      <w:kern w:val="44"/>
      <w:sz w:val="28"/>
      <w:szCs w:val="28"/>
    </w:rPr>
  </w:style>
  <w:style w:type="paragraph" w:styleId="3">
    <w:name w:val="heading 2"/>
    <w:basedOn w:val="1"/>
    <w:next w:val="4"/>
    <w:link w:val="168"/>
    <w:autoRedefine/>
    <w:qFormat/>
    <w:uiPriority w:val="0"/>
    <w:pPr>
      <w:keepNext/>
      <w:keepLines/>
      <w:spacing w:before="120" w:after="120" w:line="360" w:lineRule="exact"/>
      <w:jc w:val="center"/>
      <w:outlineLvl w:val="1"/>
    </w:pPr>
    <w:rPr>
      <w:rFonts w:ascii="宋体" w:hAnsi="宋体"/>
      <w:b/>
      <w:sz w:val="24"/>
      <w:szCs w:val="24"/>
    </w:rPr>
  </w:style>
  <w:style w:type="paragraph" w:styleId="8">
    <w:name w:val="heading 3"/>
    <w:basedOn w:val="1"/>
    <w:next w:val="1"/>
    <w:link w:val="212"/>
    <w:autoRedefine/>
    <w:qFormat/>
    <w:uiPriority w:val="0"/>
    <w:pPr>
      <w:keepNext/>
      <w:keepLines/>
      <w:shd w:val="clear" w:color="auto" w:fill="FFFFFF"/>
      <w:tabs>
        <w:tab w:val="left" w:pos="2730"/>
      </w:tabs>
      <w:wordWrap w:val="0"/>
      <w:spacing w:line="360" w:lineRule="exact"/>
      <w:outlineLvl w:val="2"/>
    </w:pPr>
    <w:rPr>
      <w:rFonts w:ascii="宋体" w:hAnsi="宋体"/>
      <w:b/>
      <w:shd w:val="clear" w:color="auto" w:fill="FFFFFF"/>
    </w:rPr>
  </w:style>
  <w:style w:type="paragraph" w:styleId="9">
    <w:name w:val="heading 4"/>
    <w:basedOn w:val="1"/>
    <w:next w:val="1"/>
    <w:link w:val="97"/>
    <w:autoRedefine/>
    <w:qFormat/>
    <w:uiPriority w:val="0"/>
    <w:pPr>
      <w:keepNext/>
      <w:keepLines/>
      <w:spacing w:before="120" w:after="120"/>
      <w:outlineLvl w:val="3"/>
    </w:pPr>
    <w:rPr>
      <w:rFonts w:ascii="Arial" w:hAnsi="Arial" w:eastAsia="黑体"/>
      <w:b/>
      <w:sz w:val="20"/>
    </w:rPr>
  </w:style>
  <w:style w:type="paragraph" w:styleId="10">
    <w:name w:val="heading 5"/>
    <w:basedOn w:val="1"/>
    <w:next w:val="4"/>
    <w:link w:val="87"/>
    <w:autoRedefine/>
    <w:qFormat/>
    <w:uiPriority w:val="0"/>
    <w:pPr>
      <w:keepNext/>
      <w:autoSpaceDE w:val="0"/>
      <w:autoSpaceDN w:val="0"/>
      <w:adjustRightInd w:val="0"/>
      <w:spacing w:beforeLines="50" w:afterLines="50"/>
      <w:outlineLvl w:val="4"/>
    </w:pPr>
    <w:rPr>
      <w:rFonts w:ascii="黑体" w:eastAsia="黑体"/>
      <w:b/>
      <w:color w:val="000000"/>
      <w:kern w:val="0"/>
      <w:sz w:val="20"/>
    </w:rPr>
  </w:style>
  <w:style w:type="paragraph" w:styleId="11">
    <w:name w:val="heading 6"/>
    <w:basedOn w:val="1"/>
    <w:next w:val="1"/>
    <w:link w:val="131"/>
    <w:autoRedefine/>
    <w:qFormat/>
    <w:uiPriority w:val="0"/>
    <w:pPr>
      <w:keepNext/>
      <w:keepLines/>
      <w:spacing w:before="240" w:after="64" w:line="319" w:lineRule="auto"/>
      <w:outlineLvl w:val="5"/>
    </w:pPr>
    <w:rPr>
      <w:rFonts w:ascii="Arial" w:hAnsi="Arial" w:eastAsia="黑体"/>
      <w:b/>
      <w:bCs/>
      <w:sz w:val="24"/>
      <w:szCs w:val="24"/>
    </w:rPr>
  </w:style>
  <w:style w:type="paragraph" w:styleId="12">
    <w:name w:val="heading 7"/>
    <w:basedOn w:val="1"/>
    <w:next w:val="1"/>
    <w:link w:val="146"/>
    <w:autoRedefine/>
    <w:qFormat/>
    <w:uiPriority w:val="0"/>
    <w:pPr>
      <w:keepNext/>
      <w:keepLines/>
      <w:spacing w:before="240" w:after="64" w:line="319" w:lineRule="auto"/>
      <w:outlineLvl w:val="6"/>
    </w:pPr>
    <w:rPr>
      <w:b/>
      <w:bCs/>
      <w:sz w:val="24"/>
      <w:szCs w:val="24"/>
    </w:rPr>
  </w:style>
  <w:style w:type="paragraph" w:styleId="13">
    <w:name w:val="heading 8"/>
    <w:basedOn w:val="1"/>
    <w:next w:val="1"/>
    <w:link w:val="160"/>
    <w:autoRedefine/>
    <w:qFormat/>
    <w:uiPriority w:val="0"/>
    <w:pPr>
      <w:keepNext/>
      <w:keepLines/>
      <w:spacing w:before="240" w:after="64" w:line="319" w:lineRule="auto"/>
      <w:outlineLvl w:val="7"/>
    </w:pPr>
    <w:rPr>
      <w:rFonts w:ascii="Arial" w:hAnsi="Arial" w:eastAsia="黑体"/>
      <w:sz w:val="24"/>
      <w:szCs w:val="24"/>
    </w:rPr>
  </w:style>
  <w:style w:type="paragraph" w:styleId="14">
    <w:name w:val="heading 9"/>
    <w:basedOn w:val="1"/>
    <w:next w:val="1"/>
    <w:link w:val="166"/>
    <w:autoRedefine/>
    <w:qFormat/>
    <w:uiPriority w:val="0"/>
    <w:pPr>
      <w:keepNext/>
      <w:keepLines/>
      <w:spacing w:before="240" w:after="64" w:line="319" w:lineRule="auto"/>
      <w:outlineLvl w:val="8"/>
    </w:pPr>
    <w:rPr>
      <w:rFonts w:ascii="Arial" w:hAnsi="Arial" w:eastAsia="黑体"/>
      <w:szCs w:val="21"/>
    </w:rPr>
  </w:style>
  <w:style w:type="character" w:default="1" w:styleId="63">
    <w:name w:val="Default Paragraph Font"/>
    <w:autoRedefine/>
    <w:semiHidden/>
    <w:unhideWhenUsed/>
    <w:qFormat/>
    <w:uiPriority w:val="1"/>
  </w:style>
  <w:style w:type="table" w:default="1" w:styleId="61">
    <w:name w:val="Normal Table"/>
    <w:autoRedefin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4">
    <w:name w:val="Normal Indent"/>
    <w:basedOn w:val="1"/>
    <w:next w:val="5"/>
    <w:autoRedefine/>
    <w:qFormat/>
    <w:uiPriority w:val="0"/>
    <w:pPr>
      <w:ind w:firstLine="420"/>
    </w:pPr>
  </w:style>
  <w:style w:type="paragraph" w:styleId="5">
    <w:name w:val="Body Text First Indent 2"/>
    <w:basedOn w:val="6"/>
    <w:autoRedefine/>
    <w:unhideWhenUsed/>
    <w:qFormat/>
    <w:uiPriority w:val="99"/>
    <w:pPr>
      <w:spacing w:after="120"/>
      <w:ind w:left="420" w:leftChars="200" w:firstLine="420"/>
    </w:pPr>
    <w:rPr>
      <w:sz w:val="21"/>
      <w:szCs w:val="24"/>
    </w:rPr>
  </w:style>
  <w:style w:type="paragraph" w:styleId="6">
    <w:name w:val="Body Text Indent"/>
    <w:basedOn w:val="1"/>
    <w:next w:val="7"/>
    <w:link w:val="178"/>
    <w:autoRedefine/>
    <w:qFormat/>
    <w:uiPriority w:val="0"/>
    <w:pPr>
      <w:ind w:firstLine="645"/>
    </w:pPr>
    <w:rPr>
      <w:sz w:val="20"/>
    </w:rPr>
  </w:style>
  <w:style w:type="paragraph" w:styleId="7">
    <w:name w:val="envelope return"/>
    <w:basedOn w:val="1"/>
    <w:autoRedefine/>
    <w:unhideWhenUsed/>
    <w:qFormat/>
    <w:uiPriority w:val="99"/>
    <w:pPr>
      <w:snapToGrid w:val="0"/>
    </w:pPr>
    <w:rPr>
      <w:rFonts w:hint="eastAsia" w:ascii="Arial" w:hAnsi="Arial"/>
    </w:rPr>
  </w:style>
  <w:style w:type="paragraph" w:styleId="15">
    <w:name w:val="List 3"/>
    <w:basedOn w:val="1"/>
    <w:autoRedefine/>
    <w:qFormat/>
    <w:uiPriority w:val="0"/>
    <w:pPr>
      <w:ind w:left="1260" w:hanging="420"/>
    </w:pPr>
  </w:style>
  <w:style w:type="paragraph" w:styleId="16">
    <w:name w:val="toc 7"/>
    <w:basedOn w:val="1"/>
    <w:next w:val="1"/>
    <w:autoRedefine/>
    <w:qFormat/>
    <w:uiPriority w:val="0"/>
    <w:pPr>
      <w:ind w:left="1260"/>
      <w:jc w:val="left"/>
    </w:pPr>
    <w:rPr>
      <w:sz w:val="18"/>
    </w:rPr>
  </w:style>
  <w:style w:type="paragraph" w:styleId="17">
    <w:name w:val="List Number 2"/>
    <w:basedOn w:val="1"/>
    <w:autoRedefine/>
    <w:qFormat/>
    <w:uiPriority w:val="0"/>
    <w:pPr>
      <w:tabs>
        <w:tab w:val="left" w:pos="1440"/>
      </w:tabs>
      <w:spacing w:line="360" w:lineRule="auto"/>
      <w:ind w:left="1440" w:hanging="1440"/>
    </w:pPr>
    <w:rPr>
      <w:sz w:val="24"/>
      <w:szCs w:val="24"/>
    </w:rPr>
  </w:style>
  <w:style w:type="paragraph" w:styleId="18">
    <w:name w:val="index 8"/>
    <w:basedOn w:val="1"/>
    <w:next w:val="1"/>
    <w:autoRedefine/>
    <w:qFormat/>
    <w:uiPriority w:val="0"/>
    <w:pPr>
      <w:ind w:left="2940"/>
    </w:pPr>
  </w:style>
  <w:style w:type="paragraph" w:styleId="19">
    <w:name w:val="List Number"/>
    <w:basedOn w:val="1"/>
    <w:autoRedefine/>
    <w:qFormat/>
    <w:uiPriority w:val="0"/>
    <w:pPr>
      <w:tabs>
        <w:tab w:val="left" w:pos="2952"/>
      </w:tabs>
      <w:ind w:left="2952" w:hanging="432"/>
    </w:pPr>
    <w:rPr>
      <w:szCs w:val="24"/>
    </w:rPr>
  </w:style>
  <w:style w:type="paragraph" w:styleId="20">
    <w:name w:val="index 5"/>
    <w:basedOn w:val="1"/>
    <w:next w:val="1"/>
    <w:autoRedefine/>
    <w:qFormat/>
    <w:uiPriority w:val="0"/>
    <w:pPr>
      <w:ind w:left="1680"/>
    </w:pPr>
  </w:style>
  <w:style w:type="paragraph" w:styleId="21">
    <w:name w:val="Document Map"/>
    <w:basedOn w:val="1"/>
    <w:link w:val="205"/>
    <w:autoRedefine/>
    <w:qFormat/>
    <w:uiPriority w:val="0"/>
    <w:pPr>
      <w:shd w:val="clear" w:color="auto" w:fill="000080"/>
    </w:pPr>
    <w:rPr>
      <w:rFonts w:ascii="宋体"/>
      <w:sz w:val="18"/>
      <w:szCs w:val="18"/>
    </w:rPr>
  </w:style>
  <w:style w:type="paragraph" w:styleId="22">
    <w:name w:val="annotation text"/>
    <w:basedOn w:val="1"/>
    <w:link w:val="137"/>
    <w:autoRedefine/>
    <w:qFormat/>
    <w:uiPriority w:val="99"/>
    <w:pPr>
      <w:jc w:val="left"/>
    </w:pPr>
    <w:rPr>
      <w:sz w:val="20"/>
    </w:rPr>
  </w:style>
  <w:style w:type="paragraph" w:styleId="23">
    <w:name w:val="index 6"/>
    <w:basedOn w:val="1"/>
    <w:next w:val="1"/>
    <w:autoRedefine/>
    <w:qFormat/>
    <w:uiPriority w:val="0"/>
    <w:pPr>
      <w:ind w:left="2100"/>
    </w:pPr>
  </w:style>
  <w:style w:type="paragraph" w:styleId="24">
    <w:name w:val="Salutation"/>
    <w:basedOn w:val="1"/>
    <w:next w:val="1"/>
    <w:link w:val="201"/>
    <w:autoRedefine/>
    <w:qFormat/>
    <w:uiPriority w:val="0"/>
    <w:rPr>
      <w:rFonts w:ascii="仿宋_GB2312" w:eastAsia="仿宋_GB2312"/>
      <w:sz w:val="20"/>
    </w:rPr>
  </w:style>
  <w:style w:type="paragraph" w:styleId="25">
    <w:name w:val="Body Text 3"/>
    <w:basedOn w:val="1"/>
    <w:link w:val="98"/>
    <w:autoRedefine/>
    <w:qFormat/>
    <w:uiPriority w:val="0"/>
    <w:rPr>
      <w:rFonts w:ascii="仿宋_GB2312" w:hAnsi="Arial" w:eastAsia="仿宋_GB2312"/>
      <w:sz w:val="20"/>
    </w:rPr>
  </w:style>
  <w:style w:type="paragraph" w:styleId="26">
    <w:name w:val="Body Text"/>
    <w:basedOn w:val="1"/>
    <w:next w:val="1"/>
    <w:link w:val="85"/>
    <w:autoRedefine/>
    <w:qFormat/>
    <w:uiPriority w:val="0"/>
    <w:rPr>
      <w:rFonts w:ascii="楷体_GB2312" w:hAnsi="Arial" w:eastAsia="楷体_GB2312"/>
      <w:sz w:val="20"/>
    </w:rPr>
  </w:style>
  <w:style w:type="paragraph" w:styleId="27">
    <w:name w:val="List Bullet 2"/>
    <w:basedOn w:val="1"/>
    <w:autoRedefine/>
    <w:semiHidden/>
    <w:unhideWhenUsed/>
    <w:qFormat/>
    <w:uiPriority w:val="99"/>
    <w:pPr>
      <w:numPr>
        <w:ilvl w:val="0"/>
        <w:numId w:val="1"/>
      </w:numPr>
    </w:pPr>
  </w:style>
  <w:style w:type="paragraph" w:styleId="28">
    <w:name w:val="index 4"/>
    <w:basedOn w:val="1"/>
    <w:next w:val="1"/>
    <w:autoRedefine/>
    <w:qFormat/>
    <w:uiPriority w:val="0"/>
    <w:pPr>
      <w:ind w:left="1260"/>
    </w:pPr>
  </w:style>
  <w:style w:type="paragraph" w:styleId="29">
    <w:name w:val="toc 5"/>
    <w:basedOn w:val="1"/>
    <w:next w:val="1"/>
    <w:autoRedefine/>
    <w:qFormat/>
    <w:uiPriority w:val="0"/>
    <w:pPr>
      <w:ind w:left="840"/>
      <w:jc w:val="left"/>
    </w:pPr>
    <w:rPr>
      <w:sz w:val="18"/>
    </w:rPr>
  </w:style>
  <w:style w:type="paragraph" w:styleId="30">
    <w:name w:val="toc 3"/>
    <w:basedOn w:val="1"/>
    <w:next w:val="1"/>
    <w:autoRedefine/>
    <w:qFormat/>
    <w:uiPriority w:val="39"/>
    <w:pPr>
      <w:ind w:left="420"/>
      <w:jc w:val="left"/>
    </w:pPr>
    <w:rPr>
      <w:i/>
      <w:sz w:val="20"/>
    </w:rPr>
  </w:style>
  <w:style w:type="paragraph" w:styleId="31">
    <w:name w:val="Plain Text"/>
    <w:basedOn w:val="1"/>
    <w:link w:val="130"/>
    <w:autoRedefine/>
    <w:qFormat/>
    <w:uiPriority w:val="99"/>
    <w:rPr>
      <w:rFonts w:ascii="宋体" w:hAnsi="Courier New" w:cs="Courier New"/>
      <w:szCs w:val="21"/>
    </w:rPr>
  </w:style>
  <w:style w:type="paragraph" w:styleId="32">
    <w:name w:val="toc 8"/>
    <w:basedOn w:val="1"/>
    <w:next w:val="1"/>
    <w:autoRedefine/>
    <w:qFormat/>
    <w:uiPriority w:val="0"/>
    <w:pPr>
      <w:ind w:left="1470"/>
      <w:jc w:val="left"/>
    </w:pPr>
    <w:rPr>
      <w:sz w:val="18"/>
    </w:rPr>
  </w:style>
  <w:style w:type="paragraph" w:styleId="33">
    <w:name w:val="index 3"/>
    <w:basedOn w:val="1"/>
    <w:next w:val="1"/>
    <w:autoRedefine/>
    <w:qFormat/>
    <w:uiPriority w:val="0"/>
    <w:pPr>
      <w:ind w:left="840"/>
    </w:pPr>
  </w:style>
  <w:style w:type="paragraph" w:styleId="34">
    <w:name w:val="Date"/>
    <w:basedOn w:val="1"/>
    <w:next w:val="1"/>
    <w:link w:val="149"/>
    <w:autoRedefine/>
    <w:qFormat/>
    <w:uiPriority w:val="0"/>
    <w:pPr>
      <w:ind w:left="100" w:leftChars="2500"/>
    </w:pPr>
    <w:rPr>
      <w:sz w:val="20"/>
    </w:rPr>
  </w:style>
  <w:style w:type="paragraph" w:styleId="35">
    <w:name w:val="Body Text Indent 2"/>
    <w:basedOn w:val="1"/>
    <w:link w:val="172"/>
    <w:autoRedefine/>
    <w:qFormat/>
    <w:uiPriority w:val="0"/>
    <w:pPr>
      <w:ind w:left="630" w:firstLine="645"/>
    </w:pPr>
    <w:rPr>
      <w:sz w:val="20"/>
    </w:rPr>
  </w:style>
  <w:style w:type="paragraph" w:styleId="36">
    <w:name w:val="endnote text"/>
    <w:basedOn w:val="1"/>
    <w:link w:val="215"/>
    <w:autoRedefine/>
    <w:qFormat/>
    <w:uiPriority w:val="0"/>
    <w:pPr>
      <w:snapToGrid w:val="0"/>
      <w:jc w:val="left"/>
    </w:pPr>
    <w:rPr>
      <w:kern w:val="0"/>
      <w:sz w:val="24"/>
      <w:szCs w:val="24"/>
    </w:rPr>
  </w:style>
  <w:style w:type="paragraph" w:styleId="37">
    <w:name w:val="Balloon Text"/>
    <w:basedOn w:val="1"/>
    <w:link w:val="214"/>
    <w:autoRedefine/>
    <w:qFormat/>
    <w:uiPriority w:val="0"/>
    <w:rPr>
      <w:sz w:val="18"/>
      <w:szCs w:val="18"/>
    </w:rPr>
  </w:style>
  <w:style w:type="paragraph" w:styleId="38">
    <w:name w:val="footer"/>
    <w:basedOn w:val="1"/>
    <w:link w:val="207"/>
    <w:autoRedefine/>
    <w:qFormat/>
    <w:uiPriority w:val="99"/>
    <w:pPr>
      <w:tabs>
        <w:tab w:val="center" w:pos="4153"/>
        <w:tab w:val="right" w:pos="8306"/>
      </w:tabs>
      <w:snapToGrid w:val="0"/>
      <w:jc w:val="left"/>
    </w:pPr>
    <w:rPr>
      <w:sz w:val="18"/>
      <w:szCs w:val="18"/>
    </w:rPr>
  </w:style>
  <w:style w:type="paragraph" w:styleId="39">
    <w:name w:val="header"/>
    <w:basedOn w:val="1"/>
    <w:link w:val="143"/>
    <w:autoRedefine/>
    <w:qFormat/>
    <w:uiPriority w:val="99"/>
    <w:pPr>
      <w:pBdr>
        <w:bottom w:val="single" w:color="auto" w:sz="6" w:space="1"/>
      </w:pBdr>
      <w:tabs>
        <w:tab w:val="center" w:pos="4153"/>
        <w:tab w:val="right" w:pos="8306"/>
      </w:tabs>
      <w:snapToGrid w:val="0"/>
      <w:jc w:val="center"/>
    </w:pPr>
    <w:rPr>
      <w:sz w:val="18"/>
      <w:szCs w:val="18"/>
    </w:rPr>
  </w:style>
  <w:style w:type="paragraph" w:styleId="40">
    <w:name w:val="Signature"/>
    <w:basedOn w:val="1"/>
    <w:link w:val="140"/>
    <w:autoRedefine/>
    <w:qFormat/>
    <w:uiPriority w:val="0"/>
    <w:pPr>
      <w:adjustRightInd w:val="0"/>
      <w:spacing w:after="600" w:line="312" w:lineRule="atLeast"/>
      <w:jc w:val="center"/>
      <w:textAlignment w:val="baseline"/>
    </w:pPr>
    <w:rPr>
      <w:rFonts w:eastAsia="仿宋_GB2312"/>
      <w:kern w:val="0"/>
      <w:sz w:val="20"/>
    </w:rPr>
  </w:style>
  <w:style w:type="paragraph" w:styleId="41">
    <w:name w:val="toc 1"/>
    <w:basedOn w:val="1"/>
    <w:next w:val="1"/>
    <w:autoRedefine/>
    <w:qFormat/>
    <w:uiPriority w:val="39"/>
    <w:pPr>
      <w:spacing w:before="120" w:after="120"/>
      <w:jc w:val="left"/>
    </w:pPr>
    <w:rPr>
      <w:b/>
      <w:caps/>
      <w:sz w:val="20"/>
    </w:rPr>
  </w:style>
  <w:style w:type="paragraph" w:styleId="42">
    <w:name w:val="toc 4"/>
    <w:basedOn w:val="1"/>
    <w:next w:val="1"/>
    <w:autoRedefine/>
    <w:qFormat/>
    <w:uiPriority w:val="0"/>
    <w:pPr>
      <w:ind w:left="630"/>
      <w:jc w:val="left"/>
    </w:pPr>
    <w:rPr>
      <w:sz w:val="18"/>
    </w:rPr>
  </w:style>
  <w:style w:type="paragraph" w:styleId="43">
    <w:name w:val="index heading"/>
    <w:basedOn w:val="1"/>
    <w:next w:val="44"/>
    <w:autoRedefine/>
    <w:qFormat/>
    <w:uiPriority w:val="0"/>
  </w:style>
  <w:style w:type="paragraph" w:styleId="44">
    <w:name w:val="index 1"/>
    <w:basedOn w:val="1"/>
    <w:next w:val="1"/>
    <w:autoRedefine/>
    <w:qFormat/>
    <w:uiPriority w:val="0"/>
    <w:rPr>
      <w:rFonts w:ascii="仿宋_GB2312" w:hAnsi="宋体" w:eastAsia="仿宋_GB2312"/>
      <w:sz w:val="30"/>
      <w:szCs w:val="24"/>
    </w:rPr>
  </w:style>
  <w:style w:type="paragraph" w:styleId="45">
    <w:name w:val="Subtitle"/>
    <w:basedOn w:val="1"/>
    <w:next w:val="1"/>
    <w:link w:val="89"/>
    <w:autoRedefine/>
    <w:qFormat/>
    <w:uiPriority w:val="0"/>
    <w:pPr>
      <w:widowControl/>
      <w:spacing w:after="600" w:line="276" w:lineRule="auto"/>
      <w:jc w:val="left"/>
    </w:pPr>
    <w:rPr>
      <w:rFonts w:ascii="Cambria" w:hAnsi="Cambria"/>
      <w:i/>
      <w:iCs/>
      <w:spacing w:val="13"/>
      <w:kern w:val="0"/>
      <w:sz w:val="24"/>
      <w:szCs w:val="24"/>
      <w:lang w:eastAsia="en-US"/>
    </w:rPr>
  </w:style>
  <w:style w:type="paragraph" w:styleId="46">
    <w:name w:val="footnote text"/>
    <w:basedOn w:val="1"/>
    <w:link w:val="142"/>
    <w:autoRedefine/>
    <w:qFormat/>
    <w:uiPriority w:val="0"/>
    <w:pPr>
      <w:snapToGrid w:val="0"/>
      <w:jc w:val="left"/>
    </w:pPr>
    <w:rPr>
      <w:sz w:val="18"/>
      <w:szCs w:val="18"/>
    </w:rPr>
  </w:style>
  <w:style w:type="paragraph" w:styleId="47">
    <w:name w:val="toc 6"/>
    <w:basedOn w:val="1"/>
    <w:next w:val="1"/>
    <w:autoRedefine/>
    <w:qFormat/>
    <w:uiPriority w:val="0"/>
    <w:pPr>
      <w:ind w:left="1050"/>
      <w:jc w:val="left"/>
    </w:pPr>
    <w:rPr>
      <w:sz w:val="18"/>
    </w:rPr>
  </w:style>
  <w:style w:type="paragraph" w:styleId="48">
    <w:name w:val="Body Text Indent 3"/>
    <w:basedOn w:val="1"/>
    <w:link w:val="122"/>
    <w:autoRedefine/>
    <w:qFormat/>
    <w:uiPriority w:val="0"/>
    <w:pPr>
      <w:ind w:left="645" w:firstLine="645"/>
    </w:pPr>
    <w:rPr>
      <w:sz w:val="16"/>
      <w:szCs w:val="16"/>
    </w:rPr>
  </w:style>
  <w:style w:type="paragraph" w:styleId="49">
    <w:name w:val="index 7"/>
    <w:basedOn w:val="1"/>
    <w:next w:val="1"/>
    <w:autoRedefine/>
    <w:qFormat/>
    <w:uiPriority w:val="0"/>
    <w:pPr>
      <w:ind w:left="2520"/>
    </w:pPr>
  </w:style>
  <w:style w:type="paragraph" w:styleId="50">
    <w:name w:val="index 9"/>
    <w:basedOn w:val="1"/>
    <w:next w:val="1"/>
    <w:autoRedefine/>
    <w:qFormat/>
    <w:uiPriority w:val="0"/>
    <w:pPr>
      <w:ind w:left="3360"/>
    </w:pPr>
  </w:style>
  <w:style w:type="paragraph" w:styleId="51">
    <w:name w:val="table of figures"/>
    <w:basedOn w:val="1"/>
    <w:next w:val="1"/>
    <w:autoRedefine/>
    <w:qFormat/>
    <w:uiPriority w:val="0"/>
    <w:pPr>
      <w:ind w:left="840" w:hanging="420"/>
    </w:pPr>
  </w:style>
  <w:style w:type="paragraph" w:styleId="52">
    <w:name w:val="toc 2"/>
    <w:basedOn w:val="1"/>
    <w:next w:val="1"/>
    <w:autoRedefine/>
    <w:qFormat/>
    <w:uiPriority w:val="0"/>
    <w:pPr>
      <w:ind w:left="210"/>
      <w:jc w:val="left"/>
    </w:pPr>
    <w:rPr>
      <w:smallCaps/>
      <w:sz w:val="20"/>
    </w:rPr>
  </w:style>
  <w:style w:type="paragraph" w:styleId="53">
    <w:name w:val="toc 9"/>
    <w:basedOn w:val="1"/>
    <w:next w:val="1"/>
    <w:autoRedefine/>
    <w:qFormat/>
    <w:uiPriority w:val="0"/>
    <w:pPr>
      <w:ind w:left="1680"/>
      <w:jc w:val="left"/>
    </w:pPr>
    <w:rPr>
      <w:sz w:val="18"/>
    </w:rPr>
  </w:style>
  <w:style w:type="paragraph" w:styleId="54">
    <w:name w:val="Body Text 2"/>
    <w:basedOn w:val="1"/>
    <w:link w:val="182"/>
    <w:autoRedefine/>
    <w:qFormat/>
    <w:uiPriority w:val="0"/>
    <w:pPr>
      <w:widowControl/>
      <w:jc w:val="center"/>
    </w:pPr>
    <w:rPr>
      <w:rFonts w:ascii="楷体_GB2312" w:eastAsia="楷体_GB2312"/>
      <w:sz w:val="20"/>
    </w:rPr>
  </w:style>
  <w:style w:type="paragraph" w:styleId="55">
    <w:name w:val="HTML Preformatted"/>
    <w:basedOn w:val="1"/>
    <w:link w:val="176"/>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paragraph" w:styleId="56">
    <w:name w:val="Normal (Web)"/>
    <w:basedOn w:val="1"/>
    <w:autoRedefine/>
    <w:qFormat/>
    <w:uiPriority w:val="0"/>
    <w:pPr>
      <w:widowControl/>
      <w:spacing w:before="100" w:beforeAutospacing="1" w:after="100" w:afterAutospacing="1"/>
      <w:jc w:val="left"/>
    </w:pPr>
    <w:rPr>
      <w:rFonts w:ascii="Arial" w:hAnsi="Arial" w:eastAsia="Arial Unicode MS" w:cs="Arial"/>
      <w:kern w:val="0"/>
      <w:sz w:val="24"/>
      <w:szCs w:val="24"/>
    </w:rPr>
  </w:style>
  <w:style w:type="paragraph" w:styleId="57">
    <w:name w:val="index 2"/>
    <w:basedOn w:val="1"/>
    <w:next w:val="1"/>
    <w:autoRedefine/>
    <w:qFormat/>
    <w:uiPriority w:val="0"/>
    <w:pPr>
      <w:ind w:left="420"/>
    </w:pPr>
  </w:style>
  <w:style w:type="paragraph" w:styleId="58">
    <w:name w:val="Title"/>
    <w:basedOn w:val="1"/>
    <w:next w:val="1"/>
    <w:link w:val="179"/>
    <w:autoRedefine/>
    <w:qFormat/>
    <w:uiPriority w:val="0"/>
    <w:pPr>
      <w:widowControl/>
      <w:overflowPunct w:val="0"/>
      <w:autoSpaceDE w:val="0"/>
      <w:autoSpaceDN w:val="0"/>
      <w:adjustRightInd w:val="0"/>
      <w:spacing w:line="420" w:lineRule="exact"/>
      <w:jc w:val="center"/>
      <w:textAlignment w:val="baseline"/>
    </w:pPr>
    <w:rPr>
      <w:rFonts w:ascii="Cambria" w:hAnsi="Cambria"/>
      <w:b/>
      <w:bCs/>
      <w:sz w:val="32"/>
      <w:szCs w:val="32"/>
    </w:rPr>
  </w:style>
  <w:style w:type="paragraph" w:styleId="59">
    <w:name w:val="annotation subject"/>
    <w:basedOn w:val="22"/>
    <w:next w:val="22"/>
    <w:link w:val="153"/>
    <w:autoRedefine/>
    <w:qFormat/>
    <w:uiPriority w:val="0"/>
    <w:rPr>
      <w:b/>
      <w:bCs/>
    </w:rPr>
  </w:style>
  <w:style w:type="paragraph" w:styleId="60">
    <w:name w:val="Body Text First Indent"/>
    <w:basedOn w:val="26"/>
    <w:link w:val="114"/>
    <w:autoRedefine/>
    <w:qFormat/>
    <w:uiPriority w:val="0"/>
    <w:pPr>
      <w:spacing w:after="120"/>
      <w:ind w:firstLine="420" w:firstLineChars="100"/>
    </w:pPr>
    <w:rPr>
      <w:rFonts w:ascii="Times New Roman" w:hAnsi="Times New Roman" w:eastAsia="宋体"/>
      <w:sz w:val="24"/>
      <w:szCs w:val="24"/>
    </w:rPr>
  </w:style>
  <w:style w:type="table" w:styleId="62">
    <w:name w:val="Table Grid"/>
    <w:basedOn w:val="61"/>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4">
    <w:name w:val="Strong"/>
    <w:basedOn w:val="63"/>
    <w:autoRedefine/>
    <w:qFormat/>
    <w:uiPriority w:val="0"/>
    <w:rPr>
      <w:b/>
      <w:bCs/>
    </w:rPr>
  </w:style>
  <w:style w:type="character" w:styleId="65">
    <w:name w:val="endnote reference"/>
    <w:basedOn w:val="63"/>
    <w:autoRedefine/>
    <w:qFormat/>
    <w:uiPriority w:val="0"/>
    <w:rPr>
      <w:vertAlign w:val="superscript"/>
    </w:rPr>
  </w:style>
  <w:style w:type="character" w:styleId="66">
    <w:name w:val="page number"/>
    <w:basedOn w:val="63"/>
    <w:autoRedefine/>
    <w:qFormat/>
    <w:uiPriority w:val="0"/>
    <w:rPr>
      <w:rFonts w:cs="Times New Roman"/>
    </w:rPr>
  </w:style>
  <w:style w:type="character" w:styleId="67">
    <w:name w:val="FollowedHyperlink"/>
    <w:basedOn w:val="63"/>
    <w:autoRedefine/>
    <w:qFormat/>
    <w:uiPriority w:val="0"/>
    <w:rPr>
      <w:color w:val="800080"/>
      <w:u w:val="single"/>
    </w:rPr>
  </w:style>
  <w:style w:type="character" w:styleId="68">
    <w:name w:val="Emphasis"/>
    <w:basedOn w:val="63"/>
    <w:autoRedefine/>
    <w:qFormat/>
    <w:uiPriority w:val="0"/>
    <w:rPr>
      <w:b/>
      <w:i/>
      <w:spacing w:val="10"/>
      <w:shd w:val="clear" w:color="auto" w:fill="auto"/>
    </w:rPr>
  </w:style>
  <w:style w:type="character" w:styleId="69">
    <w:name w:val="line number"/>
    <w:basedOn w:val="63"/>
    <w:autoRedefine/>
    <w:qFormat/>
    <w:uiPriority w:val="0"/>
    <w:rPr>
      <w:rFonts w:cs="Times New Roman"/>
    </w:rPr>
  </w:style>
  <w:style w:type="character" w:styleId="70">
    <w:name w:val="HTML Definition"/>
    <w:basedOn w:val="63"/>
    <w:autoRedefine/>
    <w:semiHidden/>
    <w:unhideWhenUsed/>
    <w:qFormat/>
    <w:uiPriority w:val="99"/>
    <w:rPr>
      <w:i/>
      <w:iCs/>
    </w:rPr>
  </w:style>
  <w:style w:type="character" w:styleId="71">
    <w:name w:val="HTML Typewriter"/>
    <w:basedOn w:val="63"/>
    <w:autoRedefine/>
    <w:qFormat/>
    <w:uiPriority w:val="0"/>
    <w:rPr>
      <w:rFonts w:ascii="宋体" w:hAnsi="宋体" w:eastAsia="宋体"/>
      <w:sz w:val="24"/>
    </w:rPr>
  </w:style>
  <w:style w:type="character" w:styleId="72">
    <w:name w:val="HTML Acronym"/>
    <w:basedOn w:val="63"/>
    <w:autoRedefine/>
    <w:semiHidden/>
    <w:unhideWhenUsed/>
    <w:qFormat/>
    <w:uiPriority w:val="99"/>
  </w:style>
  <w:style w:type="character" w:styleId="73">
    <w:name w:val="HTML Variable"/>
    <w:basedOn w:val="63"/>
    <w:autoRedefine/>
    <w:semiHidden/>
    <w:unhideWhenUsed/>
    <w:qFormat/>
    <w:uiPriority w:val="99"/>
  </w:style>
  <w:style w:type="character" w:styleId="74">
    <w:name w:val="Hyperlink"/>
    <w:basedOn w:val="63"/>
    <w:autoRedefine/>
    <w:qFormat/>
    <w:uiPriority w:val="99"/>
    <w:rPr>
      <w:color w:val="0000FF"/>
      <w:u w:val="single"/>
    </w:rPr>
  </w:style>
  <w:style w:type="character" w:styleId="75">
    <w:name w:val="HTML Code"/>
    <w:basedOn w:val="63"/>
    <w:autoRedefine/>
    <w:semiHidden/>
    <w:unhideWhenUsed/>
    <w:qFormat/>
    <w:uiPriority w:val="99"/>
    <w:rPr>
      <w:rFonts w:hint="default" w:ascii="monospace" w:hAnsi="monospace" w:eastAsia="monospace" w:cs="monospace"/>
      <w:sz w:val="21"/>
      <w:szCs w:val="21"/>
    </w:rPr>
  </w:style>
  <w:style w:type="character" w:styleId="76">
    <w:name w:val="annotation reference"/>
    <w:basedOn w:val="63"/>
    <w:autoRedefine/>
    <w:qFormat/>
    <w:uiPriority w:val="99"/>
    <w:rPr>
      <w:sz w:val="21"/>
    </w:rPr>
  </w:style>
  <w:style w:type="character" w:styleId="77">
    <w:name w:val="HTML Cite"/>
    <w:basedOn w:val="63"/>
    <w:autoRedefine/>
    <w:semiHidden/>
    <w:unhideWhenUsed/>
    <w:qFormat/>
    <w:uiPriority w:val="99"/>
  </w:style>
  <w:style w:type="character" w:styleId="78">
    <w:name w:val="footnote reference"/>
    <w:basedOn w:val="63"/>
    <w:autoRedefine/>
    <w:qFormat/>
    <w:uiPriority w:val="0"/>
    <w:rPr>
      <w:vertAlign w:val="superscript"/>
    </w:rPr>
  </w:style>
  <w:style w:type="character" w:styleId="79">
    <w:name w:val="HTML Keyboard"/>
    <w:basedOn w:val="63"/>
    <w:autoRedefine/>
    <w:semiHidden/>
    <w:unhideWhenUsed/>
    <w:qFormat/>
    <w:uiPriority w:val="99"/>
    <w:rPr>
      <w:rFonts w:hint="default" w:ascii="monospace" w:hAnsi="monospace" w:eastAsia="monospace" w:cs="monospace"/>
      <w:sz w:val="21"/>
      <w:szCs w:val="21"/>
    </w:rPr>
  </w:style>
  <w:style w:type="character" w:styleId="80">
    <w:name w:val="HTML Sample"/>
    <w:basedOn w:val="63"/>
    <w:autoRedefine/>
    <w:qFormat/>
    <w:uiPriority w:val="0"/>
    <w:rPr>
      <w:rFonts w:ascii="Courier New" w:hAnsi="宋体" w:eastAsia="宋体"/>
    </w:rPr>
  </w:style>
  <w:style w:type="paragraph" w:customStyle="1" w:styleId="81">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82">
    <w:name w:val="模板普通正文"/>
    <w:basedOn w:val="6"/>
    <w:autoRedefine/>
    <w:qFormat/>
    <w:uiPriority w:val="0"/>
    <w:pPr>
      <w:spacing w:beforeLines="50" w:after="10"/>
      <w:ind w:firstLine="490" w:firstLineChars="175"/>
      <w:jc w:val="left"/>
    </w:pPr>
  </w:style>
  <w:style w:type="paragraph" w:customStyle="1" w:styleId="83">
    <w:name w:val="正文 New"/>
    <w:basedOn w:val="1"/>
    <w:autoRedefine/>
    <w:qFormat/>
    <w:uiPriority w:val="0"/>
    <w:pPr>
      <w:spacing w:before="100" w:beforeAutospacing="1" w:after="100" w:afterAutospacing="1" w:line="440" w:lineRule="exact"/>
      <w:ind w:left="357" w:hanging="357"/>
    </w:pPr>
    <w:rPr>
      <w:szCs w:val="21"/>
    </w:rPr>
  </w:style>
  <w:style w:type="character" w:customStyle="1" w:styleId="84">
    <w:name w:val="页脚 Char1"/>
    <w:basedOn w:val="63"/>
    <w:autoRedefine/>
    <w:qFormat/>
    <w:uiPriority w:val="0"/>
    <w:rPr>
      <w:rFonts w:cs="Times New Roman"/>
      <w:kern w:val="2"/>
      <w:sz w:val="18"/>
      <w:szCs w:val="18"/>
    </w:rPr>
  </w:style>
  <w:style w:type="character" w:customStyle="1" w:styleId="85">
    <w:name w:val="正文文本 字符"/>
    <w:basedOn w:val="63"/>
    <w:link w:val="26"/>
    <w:autoRedefine/>
    <w:qFormat/>
    <w:uiPriority w:val="0"/>
    <w:rPr>
      <w:rFonts w:ascii="楷体_GB2312" w:hAnsi="Arial" w:eastAsia="楷体_GB2312" w:cs="Times New Roman"/>
      <w:sz w:val="20"/>
      <w:szCs w:val="20"/>
    </w:rPr>
  </w:style>
  <w:style w:type="character" w:customStyle="1" w:styleId="86">
    <w:name w:val="Body Text Indent 2 Char"/>
    <w:autoRedefine/>
    <w:qFormat/>
    <w:uiPriority w:val="0"/>
    <w:rPr>
      <w:rFonts w:ascii="Arial" w:hAnsi="Arial" w:eastAsia="仿宋_GB2312"/>
      <w:sz w:val="32"/>
    </w:rPr>
  </w:style>
  <w:style w:type="character" w:customStyle="1" w:styleId="87">
    <w:name w:val="标题 5 字符"/>
    <w:basedOn w:val="63"/>
    <w:link w:val="10"/>
    <w:autoRedefine/>
    <w:qFormat/>
    <w:uiPriority w:val="0"/>
    <w:rPr>
      <w:rFonts w:ascii="黑体" w:hAnsi="Times New Roman" w:eastAsia="黑体" w:cs="Times New Roman"/>
      <w:b/>
      <w:color w:val="000000"/>
      <w:kern w:val="0"/>
      <w:sz w:val="20"/>
      <w:szCs w:val="20"/>
    </w:rPr>
  </w:style>
  <w:style w:type="character" w:customStyle="1" w:styleId="88">
    <w:name w:val="Body Text Indent 3 Char1"/>
    <w:basedOn w:val="63"/>
    <w:autoRedefine/>
    <w:qFormat/>
    <w:uiPriority w:val="0"/>
    <w:rPr>
      <w:rFonts w:ascii="Times New Roman" w:hAnsi="Times New Roman"/>
      <w:kern w:val="2"/>
      <w:sz w:val="16"/>
      <w:szCs w:val="16"/>
    </w:rPr>
  </w:style>
  <w:style w:type="character" w:customStyle="1" w:styleId="89">
    <w:name w:val="副标题 字符"/>
    <w:basedOn w:val="63"/>
    <w:link w:val="45"/>
    <w:autoRedefine/>
    <w:qFormat/>
    <w:uiPriority w:val="0"/>
    <w:rPr>
      <w:rFonts w:ascii="Cambria" w:hAnsi="Cambria" w:eastAsia="宋体" w:cs="Times New Roman"/>
      <w:i/>
      <w:iCs/>
      <w:spacing w:val="13"/>
      <w:kern w:val="0"/>
      <w:sz w:val="24"/>
      <w:szCs w:val="24"/>
      <w:lang w:eastAsia="en-US"/>
    </w:rPr>
  </w:style>
  <w:style w:type="character" w:customStyle="1" w:styleId="90">
    <w:name w:val="listbenefit"/>
    <w:autoRedefine/>
    <w:qFormat/>
    <w:uiPriority w:val="0"/>
  </w:style>
  <w:style w:type="character" w:customStyle="1" w:styleId="91">
    <w:name w:val="Char Char27"/>
    <w:autoRedefine/>
    <w:qFormat/>
    <w:uiPriority w:val="0"/>
    <w:rPr>
      <w:b/>
      <w:kern w:val="44"/>
      <w:sz w:val="44"/>
    </w:rPr>
  </w:style>
  <w:style w:type="character" w:customStyle="1" w:styleId="92">
    <w:name w:val="param-value"/>
    <w:basedOn w:val="63"/>
    <w:autoRedefine/>
    <w:qFormat/>
    <w:uiPriority w:val="0"/>
    <w:rPr>
      <w:rFonts w:cs="Times New Roman"/>
    </w:rPr>
  </w:style>
  <w:style w:type="character" w:customStyle="1" w:styleId="93">
    <w:name w:val="纯文本 Char Char Char1"/>
    <w:autoRedefine/>
    <w:qFormat/>
    <w:uiPriority w:val="0"/>
    <w:rPr>
      <w:rFonts w:ascii="宋体" w:hAnsi="Courier New" w:eastAsia="宋体"/>
      <w:kern w:val="2"/>
      <w:sz w:val="21"/>
      <w:lang w:val="en-US" w:eastAsia="zh-CN"/>
    </w:rPr>
  </w:style>
  <w:style w:type="character" w:customStyle="1" w:styleId="94">
    <w:name w:val="apple-converted-space"/>
    <w:basedOn w:val="63"/>
    <w:autoRedefine/>
    <w:qFormat/>
    <w:uiPriority w:val="0"/>
    <w:rPr>
      <w:rFonts w:cs="Times New Roman"/>
    </w:rPr>
  </w:style>
  <w:style w:type="character" w:customStyle="1" w:styleId="95">
    <w:name w:val="Char Char29"/>
    <w:autoRedefine/>
    <w:qFormat/>
    <w:uiPriority w:val="0"/>
    <w:rPr>
      <w:rFonts w:ascii="Times New Roman" w:hAnsi="Times New Roman" w:eastAsia="宋体"/>
      <w:b/>
      <w:kern w:val="44"/>
      <w:sz w:val="44"/>
    </w:rPr>
  </w:style>
  <w:style w:type="character" w:customStyle="1" w:styleId="96">
    <w:name w:val="标题 3 Char"/>
    <w:basedOn w:val="63"/>
    <w:autoRedefine/>
    <w:qFormat/>
    <w:uiPriority w:val="0"/>
    <w:rPr>
      <w:rFonts w:ascii="Times New Roman" w:hAnsi="Times New Roman" w:eastAsia="宋体" w:cs="Times New Roman"/>
      <w:b/>
      <w:bCs/>
      <w:sz w:val="32"/>
      <w:szCs w:val="32"/>
    </w:rPr>
  </w:style>
  <w:style w:type="character" w:customStyle="1" w:styleId="97">
    <w:name w:val="标题 4 字符"/>
    <w:basedOn w:val="63"/>
    <w:link w:val="9"/>
    <w:autoRedefine/>
    <w:qFormat/>
    <w:uiPriority w:val="0"/>
    <w:rPr>
      <w:rFonts w:ascii="Arial" w:hAnsi="Arial" w:eastAsia="黑体" w:cs="Times New Roman"/>
      <w:b/>
      <w:sz w:val="20"/>
      <w:szCs w:val="20"/>
    </w:rPr>
  </w:style>
  <w:style w:type="character" w:customStyle="1" w:styleId="98">
    <w:name w:val="正文文本 3 字符"/>
    <w:basedOn w:val="63"/>
    <w:link w:val="25"/>
    <w:autoRedefine/>
    <w:qFormat/>
    <w:uiPriority w:val="0"/>
    <w:rPr>
      <w:rFonts w:ascii="仿宋_GB2312" w:hAnsi="Arial" w:eastAsia="仿宋_GB2312" w:cs="Times New Roman"/>
      <w:sz w:val="20"/>
      <w:szCs w:val="20"/>
    </w:rPr>
  </w:style>
  <w:style w:type="character" w:customStyle="1" w:styleId="99">
    <w:name w:val="正文文本缩进 Char"/>
    <w:basedOn w:val="63"/>
    <w:autoRedefine/>
    <w:qFormat/>
    <w:uiPriority w:val="0"/>
    <w:rPr>
      <w:rFonts w:ascii="Times New Roman" w:hAnsi="Times New Roman" w:eastAsia="宋体" w:cs="Times New Roman"/>
      <w:sz w:val="20"/>
      <w:szCs w:val="20"/>
    </w:rPr>
  </w:style>
  <w:style w:type="character" w:customStyle="1" w:styleId="100">
    <w:name w:val="Plain Text Char"/>
    <w:autoRedefine/>
    <w:qFormat/>
    <w:uiPriority w:val="0"/>
    <w:rPr>
      <w:rFonts w:ascii="宋体" w:hAnsi="Courier New"/>
    </w:rPr>
  </w:style>
  <w:style w:type="character" w:customStyle="1" w:styleId="101">
    <w:name w:val="HTML 预设格式 Char"/>
    <w:basedOn w:val="63"/>
    <w:autoRedefine/>
    <w:qFormat/>
    <w:uiPriority w:val="0"/>
    <w:rPr>
      <w:rFonts w:ascii="Courier New" w:hAnsi="Courier New" w:eastAsia="宋体" w:cs="Courier New"/>
      <w:sz w:val="20"/>
      <w:szCs w:val="20"/>
    </w:rPr>
  </w:style>
  <w:style w:type="character" w:customStyle="1" w:styleId="102">
    <w:name w:val="批注文字 Char Char"/>
    <w:autoRedefine/>
    <w:qFormat/>
    <w:uiPriority w:val="0"/>
    <w:rPr>
      <w:rFonts w:eastAsia="宋体"/>
      <w:kern w:val="2"/>
      <w:sz w:val="21"/>
      <w:lang w:val="en-US" w:eastAsia="zh-CN"/>
    </w:rPr>
  </w:style>
  <w:style w:type="character" w:customStyle="1" w:styleId="103">
    <w:name w:val="Body Text Indent Char"/>
    <w:autoRedefine/>
    <w:qFormat/>
    <w:uiPriority w:val="0"/>
    <w:rPr>
      <w:rFonts w:ascii="楷体_GB2312" w:eastAsia="楷体_GB2312"/>
      <w:sz w:val="32"/>
    </w:rPr>
  </w:style>
  <w:style w:type="character" w:customStyle="1" w:styleId="104">
    <w:name w:val="已访问的超链接1"/>
    <w:autoRedefine/>
    <w:qFormat/>
    <w:uiPriority w:val="0"/>
    <w:rPr>
      <w:color w:val="auto"/>
      <w:u w:val="none"/>
    </w:rPr>
  </w:style>
  <w:style w:type="character" w:customStyle="1" w:styleId="105">
    <w:name w:val="纯文本 Char Char Char"/>
    <w:autoRedefine/>
    <w:qFormat/>
    <w:uiPriority w:val="0"/>
    <w:rPr>
      <w:rFonts w:ascii="宋体" w:hAnsi="Courier New" w:eastAsia="宋体"/>
      <w:kern w:val="2"/>
      <w:sz w:val="21"/>
      <w:lang w:val="en-US" w:eastAsia="zh-CN"/>
    </w:rPr>
  </w:style>
  <w:style w:type="character" w:customStyle="1" w:styleId="106">
    <w:name w:val="普通文字1 Char"/>
    <w:autoRedefine/>
    <w:qFormat/>
    <w:uiPriority w:val="0"/>
    <w:rPr>
      <w:rFonts w:ascii="宋体" w:eastAsia="宋体"/>
      <w:kern w:val="2"/>
      <w:sz w:val="21"/>
      <w:lang w:val="en-US" w:eastAsia="zh-CN"/>
    </w:rPr>
  </w:style>
  <w:style w:type="character" w:customStyle="1" w:styleId="107">
    <w:name w:val="Comment Subject Char"/>
    <w:autoRedefine/>
    <w:qFormat/>
    <w:uiPriority w:val="0"/>
    <w:rPr>
      <w:b/>
    </w:rPr>
  </w:style>
  <w:style w:type="character" w:customStyle="1" w:styleId="108">
    <w:name w:val="Char Char28"/>
    <w:autoRedefine/>
    <w:qFormat/>
    <w:uiPriority w:val="0"/>
    <w:rPr>
      <w:rFonts w:ascii="Arial" w:hAnsi="Arial" w:eastAsia="黑体"/>
      <w:b/>
      <w:sz w:val="32"/>
    </w:rPr>
  </w:style>
  <w:style w:type="character" w:customStyle="1" w:styleId="109">
    <w:name w:val="Char Char23"/>
    <w:autoRedefine/>
    <w:qFormat/>
    <w:uiPriority w:val="0"/>
    <w:rPr>
      <w:rFonts w:ascii="Arial" w:hAnsi="Arial" w:eastAsia="黑体"/>
      <w:b/>
      <w:kern w:val="2"/>
      <w:sz w:val="24"/>
    </w:rPr>
  </w:style>
  <w:style w:type="character" w:customStyle="1" w:styleId="110">
    <w:name w:val="Char Char21"/>
    <w:autoRedefine/>
    <w:qFormat/>
    <w:uiPriority w:val="0"/>
    <w:rPr>
      <w:rFonts w:ascii="Arial" w:hAnsi="Arial" w:eastAsia="黑体"/>
      <w:kern w:val="2"/>
      <w:sz w:val="24"/>
    </w:rPr>
  </w:style>
  <w:style w:type="character" w:customStyle="1" w:styleId="111">
    <w:name w:val="Char Char2"/>
    <w:autoRedefine/>
    <w:qFormat/>
    <w:uiPriority w:val="0"/>
    <w:rPr>
      <w:rFonts w:ascii="宋体" w:hAnsi="Courier New" w:eastAsia="宋体"/>
      <w:kern w:val="2"/>
      <w:sz w:val="21"/>
      <w:lang w:val="en-US" w:eastAsia="zh-CN"/>
    </w:rPr>
  </w:style>
  <w:style w:type="character" w:customStyle="1" w:styleId="112">
    <w:name w:val="t1"/>
    <w:autoRedefine/>
    <w:qFormat/>
    <w:uiPriority w:val="0"/>
  </w:style>
  <w:style w:type="character" w:customStyle="1" w:styleId="113">
    <w:name w:val="华宇段落1 Char Char Char"/>
    <w:autoRedefine/>
    <w:qFormat/>
    <w:uiPriority w:val="0"/>
    <w:rPr>
      <w:rFonts w:eastAsia="宋体"/>
      <w:kern w:val="2"/>
      <w:sz w:val="24"/>
      <w:lang w:val="en-US" w:eastAsia="zh-CN"/>
    </w:rPr>
  </w:style>
  <w:style w:type="character" w:customStyle="1" w:styleId="114">
    <w:name w:val="正文文本首行缩进 字符"/>
    <w:basedOn w:val="85"/>
    <w:link w:val="60"/>
    <w:autoRedefine/>
    <w:qFormat/>
    <w:uiPriority w:val="0"/>
    <w:rPr>
      <w:rFonts w:ascii="Times New Roman" w:hAnsi="Times New Roman" w:eastAsia="宋体" w:cs="Times New Roman"/>
      <w:sz w:val="24"/>
      <w:szCs w:val="24"/>
    </w:rPr>
  </w:style>
  <w:style w:type="character" w:customStyle="1" w:styleId="115">
    <w:name w:val="纯文本 Char1"/>
    <w:autoRedefine/>
    <w:qFormat/>
    <w:uiPriority w:val="0"/>
    <w:rPr>
      <w:rFonts w:ascii="宋体" w:hAnsi="Courier New"/>
      <w:kern w:val="2"/>
      <w:sz w:val="21"/>
    </w:rPr>
  </w:style>
  <w:style w:type="character" w:customStyle="1" w:styleId="116">
    <w:name w:val="textcontents"/>
    <w:basedOn w:val="63"/>
    <w:autoRedefine/>
    <w:qFormat/>
    <w:uiPriority w:val="0"/>
    <w:rPr>
      <w:rFonts w:cs="Times New Roman"/>
    </w:rPr>
  </w:style>
  <w:style w:type="character" w:customStyle="1" w:styleId="117">
    <w:name w:val="Intense Quote Char2"/>
    <w:basedOn w:val="63"/>
    <w:autoRedefine/>
    <w:qFormat/>
    <w:uiPriority w:val="0"/>
    <w:rPr>
      <w:rFonts w:ascii="Times New Roman" w:hAnsi="Times New Roman" w:eastAsia="宋体" w:cs="Times New Roman"/>
      <w:b/>
      <w:bCs/>
      <w:i/>
      <w:iCs/>
      <w:color w:val="4F81BD"/>
      <w:sz w:val="20"/>
      <w:szCs w:val="20"/>
    </w:rPr>
  </w:style>
  <w:style w:type="character" w:customStyle="1" w:styleId="118">
    <w:name w:val="纯文本 Char"/>
    <w:basedOn w:val="63"/>
    <w:autoRedefine/>
    <w:qFormat/>
    <w:uiPriority w:val="0"/>
    <w:rPr>
      <w:rFonts w:ascii="宋体" w:hAnsi="Courier New" w:eastAsia="宋体" w:cs="Courier New"/>
      <w:sz w:val="21"/>
      <w:szCs w:val="21"/>
    </w:rPr>
  </w:style>
  <w:style w:type="character" w:customStyle="1" w:styleId="119">
    <w:name w:val="我的正文 Char Char"/>
    <w:link w:val="120"/>
    <w:autoRedefine/>
    <w:qFormat/>
    <w:uiPriority w:val="0"/>
    <w:rPr>
      <w:rFonts w:ascii="宋体" w:eastAsia="宋体"/>
      <w:sz w:val="21"/>
    </w:rPr>
  </w:style>
  <w:style w:type="paragraph" w:customStyle="1" w:styleId="120">
    <w:name w:val="我的正文"/>
    <w:basedOn w:val="1"/>
    <w:link w:val="119"/>
    <w:autoRedefine/>
    <w:qFormat/>
    <w:uiPriority w:val="0"/>
    <w:pPr>
      <w:widowControl/>
      <w:spacing w:line="360" w:lineRule="auto"/>
      <w:ind w:firstLine="420"/>
      <w:jc w:val="left"/>
    </w:pPr>
    <w:rPr>
      <w:rFonts w:ascii="宋体" w:hAnsi="Calibri"/>
      <w:kern w:val="0"/>
    </w:rPr>
  </w:style>
  <w:style w:type="character" w:customStyle="1" w:styleId="121">
    <w:name w:val="Title Char"/>
    <w:autoRedefine/>
    <w:qFormat/>
    <w:uiPriority w:val="0"/>
    <w:rPr>
      <w:rFonts w:eastAsia="黑体"/>
      <w:b/>
      <w:sz w:val="28"/>
      <w:lang w:val="en-GB"/>
    </w:rPr>
  </w:style>
  <w:style w:type="character" w:customStyle="1" w:styleId="122">
    <w:name w:val="正文文本缩进 3 字符"/>
    <w:basedOn w:val="63"/>
    <w:link w:val="48"/>
    <w:autoRedefine/>
    <w:qFormat/>
    <w:uiPriority w:val="0"/>
    <w:rPr>
      <w:rFonts w:ascii="Times New Roman" w:hAnsi="Times New Roman" w:eastAsia="宋体" w:cs="Times New Roman"/>
      <w:sz w:val="16"/>
      <w:szCs w:val="16"/>
    </w:rPr>
  </w:style>
  <w:style w:type="character" w:customStyle="1" w:styleId="123">
    <w:name w:val="Title1 Char"/>
    <w:autoRedefine/>
    <w:qFormat/>
    <w:uiPriority w:val="0"/>
    <w:rPr>
      <w:rFonts w:eastAsia="宋体"/>
      <w:b/>
      <w:kern w:val="44"/>
      <w:sz w:val="44"/>
      <w:lang w:val="en-US" w:eastAsia="zh-CN"/>
    </w:rPr>
  </w:style>
  <w:style w:type="character" w:customStyle="1" w:styleId="124">
    <w:name w:val="content"/>
    <w:basedOn w:val="63"/>
    <w:autoRedefine/>
    <w:qFormat/>
    <w:uiPriority w:val="0"/>
    <w:rPr>
      <w:rFonts w:cs="Times New Roman"/>
    </w:rPr>
  </w:style>
  <w:style w:type="character" w:customStyle="1" w:styleId="125">
    <w:name w:val="Char Char17"/>
    <w:autoRedefine/>
    <w:qFormat/>
    <w:uiPriority w:val="0"/>
    <w:rPr>
      <w:rFonts w:ascii="宋体" w:hAnsi="Courier New"/>
      <w:kern w:val="2"/>
      <w:sz w:val="21"/>
    </w:rPr>
  </w:style>
  <w:style w:type="character" w:customStyle="1" w:styleId="126">
    <w:name w:val="标准小四 Char Char"/>
    <w:autoRedefine/>
    <w:qFormat/>
    <w:uiPriority w:val="0"/>
    <w:rPr>
      <w:rFonts w:ascii="Arial" w:hAnsi="Arial" w:eastAsia="宋体"/>
      <w:kern w:val="2"/>
      <w:sz w:val="21"/>
      <w:lang w:val="en-US" w:eastAsia="zh-CN"/>
    </w:rPr>
  </w:style>
  <w:style w:type="character" w:customStyle="1" w:styleId="127">
    <w:name w:val="样式 宋体 小四"/>
    <w:autoRedefine/>
    <w:qFormat/>
    <w:uiPriority w:val="0"/>
    <w:rPr>
      <w:rFonts w:ascii="宋体" w:eastAsia="宋体"/>
      <w:sz w:val="24"/>
    </w:rPr>
  </w:style>
  <w:style w:type="character" w:customStyle="1" w:styleId="128">
    <w:name w:val="ih151"/>
    <w:autoRedefine/>
    <w:qFormat/>
    <w:uiPriority w:val="0"/>
    <w:rPr>
      <w:color w:val="666666"/>
      <w:sz w:val="18"/>
      <w:u w:val="none"/>
    </w:rPr>
  </w:style>
  <w:style w:type="character" w:customStyle="1" w:styleId="129">
    <w:name w:val="style13"/>
    <w:autoRedefine/>
    <w:qFormat/>
    <w:uiPriority w:val="0"/>
    <w:rPr>
      <w:sz w:val="18"/>
    </w:rPr>
  </w:style>
  <w:style w:type="character" w:customStyle="1" w:styleId="130">
    <w:name w:val="纯文本 字符"/>
    <w:basedOn w:val="63"/>
    <w:link w:val="31"/>
    <w:autoRedefine/>
    <w:qFormat/>
    <w:uiPriority w:val="99"/>
    <w:rPr>
      <w:rFonts w:ascii="宋体" w:hAnsi="Courier New" w:cs="Courier New"/>
      <w:kern w:val="2"/>
      <w:sz w:val="21"/>
      <w:szCs w:val="21"/>
    </w:rPr>
  </w:style>
  <w:style w:type="character" w:customStyle="1" w:styleId="131">
    <w:name w:val="标题 6 字符"/>
    <w:basedOn w:val="63"/>
    <w:link w:val="11"/>
    <w:autoRedefine/>
    <w:qFormat/>
    <w:uiPriority w:val="0"/>
    <w:rPr>
      <w:rFonts w:ascii="Arial" w:hAnsi="Arial" w:eastAsia="黑体" w:cs="Times New Roman"/>
      <w:b/>
      <w:bCs/>
      <w:sz w:val="24"/>
      <w:szCs w:val="24"/>
    </w:rPr>
  </w:style>
  <w:style w:type="character" w:customStyle="1" w:styleId="132">
    <w:name w:val="style131"/>
    <w:autoRedefine/>
    <w:qFormat/>
    <w:uiPriority w:val="0"/>
    <w:rPr>
      <w:sz w:val="18"/>
    </w:rPr>
  </w:style>
  <w:style w:type="character" w:customStyle="1" w:styleId="133">
    <w:name w:val="Char Char25"/>
    <w:autoRedefine/>
    <w:qFormat/>
    <w:uiPriority w:val="0"/>
    <w:rPr>
      <w:rFonts w:ascii="Arial" w:hAnsi="Arial" w:eastAsia="黑体"/>
      <w:b/>
      <w:kern w:val="2"/>
      <w:sz w:val="28"/>
    </w:rPr>
  </w:style>
  <w:style w:type="character" w:customStyle="1" w:styleId="134">
    <w:name w:val="不明显强调1"/>
    <w:basedOn w:val="63"/>
    <w:autoRedefine/>
    <w:qFormat/>
    <w:uiPriority w:val="0"/>
    <w:rPr>
      <w:i/>
    </w:rPr>
  </w:style>
  <w:style w:type="character" w:customStyle="1" w:styleId="135">
    <w:name w:val="标准文本 Char Char"/>
    <w:autoRedefine/>
    <w:qFormat/>
    <w:uiPriority w:val="0"/>
    <w:rPr>
      <w:rFonts w:eastAsia="宋体"/>
      <w:kern w:val="2"/>
      <w:sz w:val="24"/>
      <w:lang w:val="en-US" w:eastAsia="zh-CN"/>
    </w:rPr>
  </w:style>
  <w:style w:type="character" w:customStyle="1" w:styleId="136">
    <w:name w:val="Comment Subject Char1"/>
    <w:basedOn w:val="137"/>
    <w:autoRedefine/>
    <w:qFormat/>
    <w:uiPriority w:val="0"/>
    <w:rPr>
      <w:rFonts w:ascii="Times New Roman" w:hAnsi="Times New Roman" w:eastAsia="宋体" w:cs="Times New Roman"/>
      <w:b/>
      <w:bCs/>
      <w:kern w:val="2"/>
      <w:sz w:val="21"/>
      <w:szCs w:val="20"/>
    </w:rPr>
  </w:style>
  <w:style w:type="character" w:customStyle="1" w:styleId="137">
    <w:name w:val="批注文字 字符"/>
    <w:basedOn w:val="63"/>
    <w:link w:val="22"/>
    <w:autoRedefine/>
    <w:qFormat/>
    <w:uiPriority w:val="99"/>
    <w:rPr>
      <w:rFonts w:ascii="Times New Roman" w:hAnsi="Times New Roman" w:eastAsia="宋体" w:cs="Times New Roman"/>
      <w:sz w:val="20"/>
      <w:szCs w:val="20"/>
    </w:rPr>
  </w:style>
  <w:style w:type="character" w:customStyle="1" w:styleId="138">
    <w:name w:val="normalfont1"/>
    <w:autoRedefine/>
    <w:qFormat/>
    <w:uiPriority w:val="0"/>
    <w:rPr>
      <w:rFonts w:ascii="??" w:hAnsi="??"/>
      <w:sz w:val="18"/>
      <w:u w:val="none"/>
    </w:rPr>
  </w:style>
  <w:style w:type="character" w:customStyle="1" w:styleId="139">
    <w:name w:val="小四 段落 宋体 Char Char Char Char Char Char Char Char"/>
    <w:autoRedefine/>
    <w:qFormat/>
    <w:uiPriority w:val="0"/>
    <w:rPr>
      <w:rFonts w:eastAsia="宋体"/>
      <w:kern w:val="2"/>
      <w:sz w:val="24"/>
      <w:lang w:val="en-US" w:eastAsia="zh-CN"/>
    </w:rPr>
  </w:style>
  <w:style w:type="character" w:customStyle="1" w:styleId="140">
    <w:name w:val="签名 字符"/>
    <w:basedOn w:val="63"/>
    <w:link w:val="40"/>
    <w:autoRedefine/>
    <w:qFormat/>
    <w:uiPriority w:val="0"/>
    <w:rPr>
      <w:rFonts w:ascii="Times New Roman" w:hAnsi="Times New Roman" w:eastAsia="仿宋_GB2312" w:cs="Times New Roman"/>
      <w:kern w:val="0"/>
      <w:sz w:val="20"/>
      <w:szCs w:val="20"/>
    </w:rPr>
  </w:style>
  <w:style w:type="character" w:customStyle="1" w:styleId="141">
    <w:name w:val="标题 Char1"/>
    <w:autoRedefine/>
    <w:qFormat/>
    <w:uiPriority w:val="0"/>
    <w:rPr>
      <w:rFonts w:ascii="Cambria" w:eastAsia="宋体"/>
      <w:b/>
      <w:sz w:val="32"/>
    </w:rPr>
  </w:style>
  <w:style w:type="character" w:customStyle="1" w:styleId="142">
    <w:name w:val="脚注文本 字符"/>
    <w:basedOn w:val="63"/>
    <w:link w:val="46"/>
    <w:autoRedefine/>
    <w:qFormat/>
    <w:uiPriority w:val="0"/>
    <w:rPr>
      <w:rFonts w:ascii="Times New Roman" w:hAnsi="Times New Roman" w:eastAsia="宋体" w:cs="Times New Roman"/>
      <w:sz w:val="18"/>
      <w:szCs w:val="18"/>
    </w:rPr>
  </w:style>
  <w:style w:type="character" w:customStyle="1" w:styleId="143">
    <w:name w:val="页眉 字符"/>
    <w:basedOn w:val="63"/>
    <w:link w:val="39"/>
    <w:autoRedefine/>
    <w:qFormat/>
    <w:uiPriority w:val="99"/>
    <w:rPr>
      <w:rFonts w:cs="Times New Roman"/>
      <w:sz w:val="18"/>
      <w:szCs w:val="18"/>
    </w:rPr>
  </w:style>
  <w:style w:type="character" w:customStyle="1" w:styleId="144">
    <w:name w:val="Quote Char Char"/>
    <w:autoRedefine/>
    <w:qFormat/>
    <w:uiPriority w:val="0"/>
    <w:rPr>
      <w:rFonts w:ascii="Calibri" w:hAnsi="Calibri"/>
      <w:i/>
      <w:sz w:val="22"/>
      <w:lang w:eastAsia="en-US"/>
    </w:rPr>
  </w:style>
  <w:style w:type="character" w:customStyle="1" w:styleId="145">
    <w:name w:val="content_lineheight1"/>
    <w:basedOn w:val="63"/>
    <w:autoRedefine/>
    <w:qFormat/>
    <w:uiPriority w:val="0"/>
    <w:rPr>
      <w:rFonts w:cs="Times New Roman"/>
    </w:rPr>
  </w:style>
  <w:style w:type="character" w:customStyle="1" w:styleId="146">
    <w:name w:val="标题 7 字符"/>
    <w:basedOn w:val="63"/>
    <w:link w:val="12"/>
    <w:autoRedefine/>
    <w:qFormat/>
    <w:uiPriority w:val="0"/>
    <w:rPr>
      <w:rFonts w:ascii="Times New Roman" w:hAnsi="Times New Roman" w:eastAsia="宋体" w:cs="Times New Roman"/>
      <w:b/>
      <w:bCs/>
      <w:sz w:val="24"/>
      <w:szCs w:val="24"/>
    </w:rPr>
  </w:style>
  <w:style w:type="character" w:customStyle="1" w:styleId="147">
    <w:name w:val="Title Char1"/>
    <w:basedOn w:val="63"/>
    <w:autoRedefine/>
    <w:qFormat/>
    <w:uiPriority w:val="0"/>
    <w:rPr>
      <w:rFonts w:ascii="Cambria" w:hAnsi="Cambria" w:cs="Times New Roman"/>
      <w:b/>
      <w:bCs/>
      <w:kern w:val="2"/>
      <w:sz w:val="32"/>
      <w:szCs w:val="32"/>
    </w:rPr>
  </w:style>
  <w:style w:type="character" w:customStyle="1" w:styleId="148">
    <w:name w:val="正文 + 宋体 Char"/>
    <w:autoRedefine/>
    <w:qFormat/>
    <w:uiPriority w:val="0"/>
    <w:rPr>
      <w:rFonts w:eastAsia="宋体"/>
      <w:kern w:val="2"/>
      <w:sz w:val="24"/>
      <w:lang w:val="en-US" w:eastAsia="zh-CN"/>
    </w:rPr>
  </w:style>
  <w:style w:type="character" w:customStyle="1" w:styleId="149">
    <w:name w:val="日期 字符"/>
    <w:basedOn w:val="63"/>
    <w:link w:val="34"/>
    <w:autoRedefine/>
    <w:qFormat/>
    <w:uiPriority w:val="0"/>
    <w:rPr>
      <w:rFonts w:ascii="Times New Roman" w:hAnsi="Times New Roman" w:eastAsia="宋体" w:cs="Times New Roman"/>
      <w:sz w:val="20"/>
      <w:szCs w:val="20"/>
    </w:rPr>
  </w:style>
  <w:style w:type="character" w:customStyle="1" w:styleId="150">
    <w:name w:val="特点 Char1"/>
    <w:autoRedefine/>
    <w:qFormat/>
    <w:uiPriority w:val="0"/>
    <w:rPr>
      <w:rFonts w:eastAsia="宋体"/>
      <w:kern w:val="2"/>
      <w:sz w:val="21"/>
      <w:lang w:val="en-US" w:eastAsia="zh-CN"/>
    </w:rPr>
  </w:style>
  <w:style w:type="character" w:customStyle="1" w:styleId="151">
    <w:name w:val="表格抬头 Char Char"/>
    <w:link w:val="152"/>
    <w:autoRedefine/>
    <w:qFormat/>
    <w:uiPriority w:val="0"/>
    <w:rPr>
      <w:rFonts w:ascii="黑体" w:eastAsia="黑体"/>
      <w:b/>
    </w:rPr>
  </w:style>
  <w:style w:type="paragraph" w:customStyle="1" w:styleId="152">
    <w:name w:val="表格抬头"/>
    <w:basedOn w:val="1"/>
    <w:link w:val="151"/>
    <w:autoRedefine/>
    <w:qFormat/>
    <w:uiPriority w:val="0"/>
    <w:pPr>
      <w:jc w:val="center"/>
    </w:pPr>
    <w:rPr>
      <w:rFonts w:ascii="黑体" w:hAnsi="Calibri" w:eastAsia="黑体"/>
      <w:b/>
      <w:kern w:val="0"/>
      <w:sz w:val="20"/>
    </w:rPr>
  </w:style>
  <w:style w:type="character" w:customStyle="1" w:styleId="153">
    <w:name w:val="批注主题 字符"/>
    <w:basedOn w:val="137"/>
    <w:link w:val="59"/>
    <w:autoRedefine/>
    <w:qFormat/>
    <w:uiPriority w:val="0"/>
    <w:rPr>
      <w:rFonts w:ascii="Times New Roman" w:hAnsi="Times New Roman" w:eastAsia="宋体" w:cs="Times New Roman"/>
      <w:b/>
      <w:bCs/>
      <w:sz w:val="20"/>
      <w:szCs w:val="20"/>
    </w:rPr>
  </w:style>
  <w:style w:type="character" w:customStyle="1" w:styleId="154">
    <w:name w:val="HTML Preformatted Char"/>
    <w:autoRedefine/>
    <w:qFormat/>
    <w:uiPriority w:val="0"/>
    <w:rPr>
      <w:rFonts w:ascii="黑体" w:hAnsi="Courier New" w:eastAsia="黑体"/>
    </w:rPr>
  </w:style>
  <w:style w:type="character" w:customStyle="1" w:styleId="155">
    <w:name w:val="h Char Char"/>
    <w:autoRedefine/>
    <w:qFormat/>
    <w:uiPriority w:val="0"/>
    <w:rPr>
      <w:rFonts w:eastAsia="宋体"/>
      <w:kern w:val="2"/>
      <w:sz w:val="18"/>
      <w:lang w:val="en-US" w:eastAsia="zh-CN"/>
    </w:rPr>
  </w:style>
  <w:style w:type="character" w:customStyle="1" w:styleId="156">
    <w:name w:val="subtitle1"/>
    <w:autoRedefine/>
    <w:qFormat/>
    <w:uiPriority w:val="0"/>
    <w:rPr>
      <w:rFonts w:ascii="Georgia" w:hAnsi="Georgia"/>
      <w:b/>
      <w:color w:val="666666"/>
      <w:sz w:val="18"/>
    </w:rPr>
  </w:style>
  <w:style w:type="character" w:customStyle="1" w:styleId="157">
    <w:name w:val="样式 非加粗"/>
    <w:autoRedefine/>
    <w:qFormat/>
    <w:uiPriority w:val="0"/>
    <w:rPr>
      <w:rFonts w:eastAsia="宋体"/>
      <w:sz w:val="28"/>
    </w:rPr>
  </w:style>
  <w:style w:type="character" w:customStyle="1" w:styleId="158">
    <w:name w:val="小四 段落 宋体 Char Char Char Char Char"/>
    <w:link w:val="159"/>
    <w:autoRedefine/>
    <w:qFormat/>
    <w:uiPriority w:val="0"/>
    <w:rPr>
      <w:rFonts w:eastAsia="宋体"/>
      <w:kern w:val="2"/>
      <w:sz w:val="24"/>
      <w:lang w:val="en-US" w:eastAsia="zh-CN"/>
    </w:rPr>
  </w:style>
  <w:style w:type="paragraph" w:customStyle="1" w:styleId="159">
    <w:name w:val="小四 段落 宋体"/>
    <w:basedOn w:val="19"/>
    <w:link w:val="158"/>
    <w:autoRedefine/>
    <w:qFormat/>
    <w:uiPriority w:val="0"/>
    <w:pPr>
      <w:tabs>
        <w:tab w:val="clear" w:pos="2952"/>
      </w:tabs>
      <w:spacing w:line="360" w:lineRule="auto"/>
      <w:ind w:left="113" w:right="113" w:firstLine="425"/>
      <w:jc w:val="left"/>
    </w:pPr>
    <w:rPr>
      <w:rFonts w:ascii="Calibri" w:hAnsi="Calibri"/>
      <w:sz w:val="24"/>
      <w:szCs w:val="20"/>
    </w:rPr>
  </w:style>
  <w:style w:type="character" w:customStyle="1" w:styleId="160">
    <w:name w:val="标题 8 字符"/>
    <w:basedOn w:val="63"/>
    <w:link w:val="13"/>
    <w:autoRedefine/>
    <w:qFormat/>
    <w:uiPriority w:val="0"/>
    <w:rPr>
      <w:rFonts w:ascii="Arial" w:hAnsi="Arial" w:eastAsia="黑体" w:cs="Times New Roman"/>
      <w:sz w:val="24"/>
      <w:szCs w:val="24"/>
    </w:rPr>
  </w:style>
  <w:style w:type="character" w:customStyle="1" w:styleId="161">
    <w:name w:val="Document Map Char"/>
    <w:autoRedefine/>
    <w:qFormat/>
    <w:uiPriority w:val="0"/>
    <w:rPr>
      <w:shd w:val="clear" w:color="auto" w:fill="000080"/>
    </w:rPr>
  </w:style>
  <w:style w:type="character" w:customStyle="1" w:styleId="162">
    <w:name w:val="para_small"/>
    <w:basedOn w:val="63"/>
    <w:autoRedefine/>
    <w:qFormat/>
    <w:uiPriority w:val="0"/>
    <w:rPr>
      <w:rFonts w:cs="Times New Roman"/>
    </w:rPr>
  </w:style>
  <w:style w:type="character" w:customStyle="1" w:styleId="163">
    <w:name w:val="2nd level Char"/>
    <w:autoRedefine/>
    <w:qFormat/>
    <w:uiPriority w:val="0"/>
    <w:rPr>
      <w:rFonts w:ascii="Arial" w:hAnsi="Arial" w:eastAsia="黑体"/>
      <w:b/>
      <w:kern w:val="2"/>
      <w:sz w:val="32"/>
      <w:lang w:val="en-US" w:eastAsia="zh-CN"/>
    </w:rPr>
  </w:style>
  <w:style w:type="character" w:customStyle="1" w:styleId="164">
    <w:name w:val="小四 段落 宋体 Char Char Char Char1"/>
    <w:autoRedefine/>
    <w:qFormat/>
    <w:uiPriority w:val="0"/>
    <w:rPr>
      <w:rFonts w:eastAsia="宋体"/>
      <w:kern w:val="2"/>
      <w:sz w:val="24"/>
      <w:lang w:val="en-US" w:eastAsia="zh-CN"/>
    </w:rPr>
  </w:style>
  <w:style w:type="character" w:customStyle="1" w:styleId="165">
    <w:name w:val="Body Text Indent 2 Char1"/>
    <w:basedOn w:val="63"/>
    <w:autoRedefine/>
    <w:qFormat/>
    <w:uiPriority w:val="0"/>
    <w:rPr>
      <w:rFonts w:ascii="Times New Roman" w:hAnsi="Times New Roman"/>
      <w:kern w:val="2"/>
      <w:sz w:val="21"/>
    </w:rPr>
  </w:style>
  <w:style w:type="character" w:customStyle="1" w:styleId="166">
    <w:name w:val="标题 9 字符"/>
    <w:basedOn w:val="63"/>
    <w:link w:val="14"/>
    <w:autoRedefine/>
    <w:qFormat/>
    <w:uiPriority w:val="0"/>
    <w:rPr>
      <w:rFonts w:ascii="Arial" w:hAnsi="Arial" w:eastAsia="黑体" w:cs="Times New Roman"/>
      <w:sz w:val="21"/>
      <w:szCs w:val="21"/>
    </w:rPr>
  </w:style>
  <w:style w:type="character" w:customStyle="1" w:styleId="167">
    <w:name w:val="明显强调1"/>
    <w:basedOn w:val="63"/>
    <w:autoRedefine/>
    <w:qFormat/>
    <w:uiPriority w:val="0"/>
    <w:rPr>
      <w:b/>
    </w:rPr>
  </w:style>
  <w:style w:type="character" w:customStyle="1" w:styleId="168">
    <w:name w:val="标题 2 字符"/>
    <w:basedOn w:val="63"/>
    <w:link w:val="3"/>
    <w:autoRedefine/>
    <w:qFormat/>
    <w:uiPriority w:val="0"/>
    <w:rPr>
      <w:rFonts w:ascii="宋体" w:hAnsi="宋体" w:eastAsia="宋体" w:cs="Times New Roman"/>
      <w:b/>
      <w:sz w:val="24"/>
      <w:szCs w:val="24"/>
    </w:rPr>
  </w:style>
  <w:style w:type="character" w:customStyle="1" w:styleId="169">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uiPriority w:val="0"/>
    <w:rPr>
      <w:rFonts w:eastAsia="宋体"/>
      <w:b/>
      <w:kern w:val="2"/>
      <w:sz w:val="32"/>
      <w:lang w:val="en-US" w:eastAsia="zh-CN"/>
    </w:rPr>
  </w:style>
  <w:style w:type="character" w:customStyle="1" w:styleId="170">
    <w:name w:val="Quote Char2"/>
    <w:basedOn w:val="63"/>
    <w:autoRedefine/>
    <w:qFormat/>
    <w:uiPriority w:val="0"/>
    <w:rPr>
      <w:rFonts w:ascii="Times New Roman" w:hAnsi="Times New Roman" w:eastAsia="宋体" w:cs="Times New Roman"/>
      <w:i/>
      <w:iCs/>
      <w:color w:val="000000"/>
      <w:sz w:val="20"/>
      <w:szCs w:val="20"/>
    </w:rPr>
  </w:style>
  <w:style w:type="character" w:customStyle="1" w:styleId="171">
    <w:name w:val="小四 段落 宋体 Char Char Char1"/>
    <w:autoRedefine/>
    <w:qFormat/>
    <w:uiPriority w:val="0"/>
    <w:rPr>
      <w:rFonts w:ascii="宋体" w:hAnsi="宋体" w:eastAsia="宋体"/>
      <w:kern w:val="2"/>
      <w:sz w:val="24"/>
      <w:lang w:val="en-US" w:eastAsia="zh-CN"/>
    </w:rPr>
  </w:style>
  <w:style w:type="character" w:customStyle="1" w:styleId="172">
    <w:name w:val="正文文本缩进 2 字符"/>
    <w:basedOn w:val="63"/>
    <w:link w:val="35"/>
    <w:autoRedefine/>
    <w:qFormat/>
    <w:uiPriority w:val="0"/>
    <w:rPr>
      <w:rFonts w:ascii="Times New Roman" w:hAnsi="Times New Roman" w:eastAsia="宋体" w:cs="Times New Roman"/>
      <w:sz w:val="20"/>
      <w:szCs w:val="20"/>
    </w:rPr>
  </w:style>
  <w:style w:type="character" w:customStyle="1" w:styleId="173">
    <w:name w:val="Quote Char1"/>
    <w:basedOn w:val="63"/>
    <w:link w:val="174"/>
    <w:autoRedefine/>
    <w:qFormat/>
    <w:uiPriority w:val="0"/>
    <w:rPr>
      <w:rFonts w:ascii="Times New Roman" w:hAnsi="Times New Roman"/>
      <w:i/>
      <w:iCs/>
      <w:color w:val="000000"/>
      <w:kern w:val="2"/>
      <w:sz w:val="21"/>
    </w:rPr>
  </w:style>
  <w:style w:type="paragraph" w:customStyle="1" w:styleId="174">
    <w:name w:val="引用1"/>
    <w:basedOn w:val="1"/>
    <w:next w:val="1"/>
    <w:link w:val="173"/>
    <w:autoRedefine/>
    <w:qFormat/>
    <w:uiPriority w:val="0"/>
    <w:pPr>
      <w:widowControl/>
      <w:spacing w:before="200" w:line="276" w:lineRule="auto"/>
      <w:ind w:left="360" w:right="360"/>
      <w:jc w:val="left"/>
    </w:pPr>
    <w:rPr>
      <w:i/>
      <w:iCs/>
      <w:color w:val="000000"/>
      <w:sz w:val="20"/>
    </w:rPr>
  </w:style>
  <w:style w:type="character" w:customStyle="1" w:styleId="175">
    <w:name w:val="文档结构图 Char"/>
    <w:basedOn w:val="63"/>
    <w:autoRedefine/>
    <w:qFormat/>
    <w:uiPriority w:val="0"/>
    <w:rPr>
      <w:rFonts w:ascii="宋体" w:hAnsi="Times New Roman" w:eastAsia="宋体" w:cs="Times New Roman"/>
      <w:sz w:val="18"/>
      <w:szCs w:val="18"/>
    </w:rPr>
  </w:style>
  <w:style w:type="character" w:customStyle="1" w:styleId="176">
    <w:name w:val="HTML 预设格式 字符"/>
    <w:basedOn w:val="63"/>
    <w:link w:val="55"/>
    <w:autoRedefine/>
    <w:qFormat/>
    <w:uiPriority w:val="0"/>
    <w:rPr>
      <w:rFonts w:ascii="Courier New" w:hAnsi="Courier New" w:cs="Courier New"/>
      <w:kern w:val="2"/>
    </w:rPr>
  </w:style>
  <w:style w:type="character" w:customStyle="1" w:styleId="177">
    <w:name w:val="标准文本 Char Char Char"/>
    <w:autoRedefine/>
    <w:qFormat/>
    <w:uiPriority w:val="0"/>
    <w:rPr>
      <w:rFonts w:eastAsia="宋体"/>
      <w:kern w:val="2"/>
      <w:sz w:val="24"/>
      <w:lang w:val="en-US" w:eastAsia="zh-CN"/>
    </w:rPr>
  </w:style>
  <w:style w:type="character" w:customStyle="1" w:styleId="178">
    <w:name w:val="正文文本缩进 字符"/>
    <w:basedOn w:val="63"/>
    <w:link w:val="6"/>
    <w:autoRedefine/>
    <w:qFormat/>
    <w:uiPriority w:val="0"/>
    <w:rPr>
      <w:rFonts w:ascii="Times New Roman" w:hAnsi="Times New Roman"/>
      <w:kern w:val="2"/>
      <w:sz w:val="21"/>
    </w:rPr>
  </w:style>
  <w:style w:type="character" w:customStyle="1" w:styleId="179">
    <w:name w:val="标题 字符"/>
    <w:basedOn w:val="63"/>
    <w:link w:val="58"/>
    <w:autoRedefine/>
    <w:qFormat/>
    <w:uiPriority w:val="0"/>
    <w:rPr>
      <w:rFonts w:ascii="Cambria" w:hAnsi="Cambria" w:eastAsia="宋体" w:cs="Times New Roman"/>
      <w:b/>
      <w:bCs/>
      <w:sz w:val="32"/>
      <w:szCs w:val="32"/>
    </w:rPr>
  </w:style>
  <w:style w:type="character" w:customStyle="1" w:styleId="180">
    <w:name w:val="纯文本 Char Char"/>
    <w:autoRedefine/>
    <w:qFormat/>
    <w:uiPriority w:val="0"/>
    <w:rPr>
      <w:rFonts w:ascii="宋体" w:hAnsi="Courier New" w:eastAsia="宋体"/>
      <w:kern w:val="2"/>
      <w:sz w:val="21"/>
      <w:lang w:val="en-US" w:eastAsia="zh-CN"/>
    </w:rPr>
  </w:style>
  <w:style w:type="character" w:customStyle="1" w:styleId="181">
    <w:name w:val="case31"/>
    <w:autoRedefine/>
    <w:qFormat/>
    <w:uiPriority w:val="0"/>
    <w:rPr>
      <w:sz w:val="21"/>
    </w:rPr>
  </w:style>
  <w:style w:type="character" w:customStyle="1" w:styleId="182">
    <w:name w:val="正文文本 2 字符"/>
    <w:basedOn w:val="63"/>
    <w:link w:val="54"/>
    <w:autoRedefine/>
    <w:qFormat/>
    <w:uiPriority w:val="0"/>
    <w:rPr>
      <w:rFonts w:ascii="楷体_GB2312" w:hAnsi="Times New Roman" w:eastAsia="楷体_GB2312" w:cs="Times New Roman"/>
      <w:sz w:val="20"/>
      <w:szCs w:val="20"/>
    </w:rPr>
  </w:style>
  <w:style w:type="character" w:customStyle="1" w:styleId="183">
    <w:name w:val="标题 3 Char Char"/>
    <w:autoRedefine/>
    <w:qFormat/>
    <w:uiPriority w:val="0"/>
    <w:rPr>
      <w:rFonts w:eastAsia="仿宋_GB2312"/>
      <w:b/>
      <w:kern w:val="2"/>
      <w:sz w:val="32"/>
      <w:lang w:val="en-US" w:eastAsia="zh-CN"/>
    </w:rPr>
  </w:style>
  <w:style w:type="character" w:customStyle="1" w:styleId="184">
    <w:name w:val="正文缩进 Char1"/>
    <w:link w:val="185"/>
    <w:autoRedefine/>
    <w:qFormat/>
    <w:uiPriority w:val="0"/>
    <w:rPr>
      <w:rFonts w:ascii="Times New Roman" w:hAnsi="Times New Roman" w:eastAsia="宋体"/>
      <w:kern w:val="0"/>
      <w:sz w:val="20"/>
    </w:rPr>
  </w:style>
  <w:style w:type="paragraph" w:customStyle="1" w:styleId="185">
    <w:name w:val="正文缩进1"/>
    <w:basedOn w:val="1"/>
    <w:link w:val="184"/>
    <w:autoRedefine/>
    <w:qFormat/>
    <w:uiPriority w:val="0"/>
    <w:pPr>
      <w:ind w:firstLine="420"/>
    </w:pPr>
    <w:rPr>
      <w:kern w:val="0"/>
      <w:sz w:val="20"/>
    </w:rPr>
  </w:style>
  <w:style w:type="character" w:customStyle="1" w:styleId="186">
    <w:name w:val="新图表正文 Char Char"/>
    <w:link w:val="187"/>
    <w:autoRedefine/>
    <w:qFormat/>
    <w:uiPriority w:val="0"/>
    <w:rPr>
      <w:rFonts w:ascii="宋体" w:hAnsi="宋体"/>
      <w:kern w:val="2"/>
      <w:sz w:val="18"/>
      <w:szCs w:val="21"/>
      <w:lang w:val="en-US" w:eastAsia="zh-CN" w:bidi="ar-SA"/>
    </w:rPr>
  </w:style>
  <w:style w:type="paragraph" w:customStyle="1" w:styleId="187">
    <w:name w:val="新图表正文"/>
    <w:link w:val="186"/>
    <w:autoRedefine/>
    <w:qFormat/>
    <w:uiPriority w:val="0"/>
    <w:pPr>
      <w:jc w:val="both"/>
    </w:pPr>
    <w:rPr>
      <w:rFonts w:ascii="宋体" w:hAnsi="宋体" w:eastAsia="宋体" w:cs="Times New Roman"/>
      <w:kern w:val="2"/>
      <w:sz w:val="18"/>
      <w:szCs w:val="21"/>
      <w:lang w:val="en-US" w:eastAsia="zh-CN" w:bidi="ar-SA"/>
    </w:rPr>
  </w:style>
  <w:style w:type="character" w:customStyle="1" w:styleId="188">
    <w:name w:val="样式 首行缩进:  2 字符 Char Char Char"/>
    <w:autoRedefine/>
    <w:qFormat/>
    <w:uiPriority w:val="0"/>
    <w:rPr>
      <w:rFonts w:eastAsia="宋体"/>
      <w:kern w:val="2"/>
      <w:sz w:val="24"/>
      <w:lang w:val="en-US" w:eastAsia="zh-CN"/>
    </w:rPr>
  </w:style>
  <w:style w:type="character" w:customStyle="1" w:styleId="189">
    <w:name w:val="Intense Quote Char1"/>
    <w:basedOn w:val="63"/>
    <w:link w:val="190"/>
    <w:autoRedefine/>
    <w:qFormat/>
    <w:uiPriority w:val="0"/>
    <w:rPr>
      <w:rFonts w:ascii="Times New Roman" w:hAnsi="Times New Roman"/>
      <w:b/>
      <w:bCs/>
      <w:i/>
      <w:iCs/>
      <w:color w:val="4F81BD"/>
      <w:kern w:val="2"/>
      <w:sz w:val="21"/>
    </w:rPr>
  </w:style>
  <w:style w:type="paragraph" w:customStyle="1" w:styleId="190">
    <w:name w:val="明显引用1"/>
    <w:basedOn w:val="1"/>
    <w:next w:val="1"/>
    <w:link w:val="189"/>
    <w:autoRedefine/>
    <w:qFormat/>
    <w:uiPriority w:val="0"/>
    <w:pPr>
      <w:widowControl/>
      <w:pBdr>
        <w:bottom w:val="single" w:color="auto" w:sz="4" w:space="1"/>
      </w:pBdr>
      <w:spacing w:before="200" w:after="280" w:line="276" w:lineRule="auto"/>
      <w:ind w:left="1008" w:right="1152"/>
    </w:pPr>
    <w:rPr>
      <w:b/>
      <w:bCs/>
      <w:i/>
      <w:iCs/>
      <w:color w:val="4F81BD"/>
      <w:sz w:val="20"/>
    </w:rPr>
  </w:style>
  <w:style w:type="character" w:customStyle="1" w:styleId="191">
    <w:name w:val="Char Char20"/>
    <w:autoRedefine/>
    <w:qFormat/>
    <w:uiPriority w:val="0"/>
    <w:rPr>
      <w:rFonts w:ascii="Arial" w:hAnsi="Arial" w:eastAsia="黑体"/>
      <w:kern w:val="2"/>
      <w:sz w:val="21"/>
    </w:rPr>
  </w:style>
  <w:style w:type="character" w:customStyle="1" w:styleId="192">
    <w:name w:val="No Spacing Char Char"/>
    <w:link w:val="193"/>
    <w:autoRedefine/>
    <w:qFormat/>
    <w:uiPriority w:val="0"/>
    <w:rPr>
      <w:rFonts w:eastAsia="微软雅黑"/>
      <w:kern w:val="2"/>
      <w:sz w:val="24"/>
      <w:szCs w:val="22"/>
      <w:lang w:val="en-US" w:eastAsia="zh-CN" w:bidi="ar-SA"/>
    </w:rPr>
  </w:style>
  <w:style w:type="paragraph" w:customStyle="1" w:styleId="193">
    <w:name w:val="无间隔2"/>
    <w:link w:val="192"/>
    <w:autoRedefine/>
    <w:qFormat/>
    <w:uiPriority w:val="0"/>
    <w:pPr>
      <w:widowControl w:val="0"/>
      <w:jc w:val="both"/>
    </w:pPr>
    <w:rPr>
      <w:rFonts w:ascii="Calibri" w:hAnsi="Calibri" w:eastAsia="微软雅黑" w:cs="Times New Roman"/>
      <w:kern w:val="2"/>
      <w:sz w:val="24"/>
      <w:szCs w:val="22"/>
      <w:lang w:val="en-US" w:eastAsia="zh-CN" w:bidi="ar-SA"/>
    </w:rPr>
  </w:style>
  <w:style w:type="character" w:customStyle="1" w:styleId="194">
    <w:name w:val="小四 段落 宋体 Char Char Char Char Char Char"/>
    <w:autoRedefine/>
    <w:qFormat/>
    <w:uiPriority w:val="0"/>
    <w:rPr>
      <w:rFonts w:eastAsia="宋体"/>
      <w:kern w:val="2"/>
      <w:sz w:val="24"/>
      <w:lang w:val="en-US" w:eastAsia="zh-CN"/>
    </w:rPr>
  </w:style>
  <w:style w:type="character" w:customStyle="1" w:styleId="195">
    <w:name w:val="3zw"/>
    <w:basedOn w:val="63"/>
    <w:autoRedefine/>
    <w:qFormat/>
    <w:uiPriority w:val="0"/>
    <w:rPr>
      <w:rFonts w:cs="Times New Roman"/>
    </w:rPr>
  </w:style>
  <w:style w:type="character" w:customStyle="1" w:styleId="196">
    <w:name w:val="Intense Quote Char Char"/>
    <w:autoRedefine/>
    <w:qFormat/>
    <w:uiPriority w:val="0"/>
    <w:rPr>
      <w:rFonts w:ascii="Calibri" w:hAnsi="Calibri"/>
      <w:b/>
      <w:i/>
      <w:sz w:val="22"/>
      <w:lang w:eastAsia="en-US"/>
    </w:rPr>
  </w:style>
  <w:style w:type="character" w:customStyle="1" w:styleId="197">
    <w:name w:val="Body Text Indent 3 Char"/>
    <w:autoRedefine/>
    <w:qFormat/>
    <w:uiPriority w:val="0"/>
    <w:rPr>
      <w:rFonts w:ascii="Arial" w:hAnsi="Arial" w:eastAsia="仿宋_GB2312"/>
      <w:color w:val="FFFF00"/>
      <w:sz w:val="32"/>
    </w:rPr>
  </w:style>
  <w:style w:type="character" w:customStyle="1" w:styleId="198">
    <w:name w:val="A2"/>
    <w:autoRedefine/>
    <w:qFormat/>
    <w:uiPriority w:val="0"/>
    <w:rPr>
      <w:color w:val="000000"/>
      <w:sz w:val="18"/>
    </w:rPr>
  </w:style>
  <w:style w:type="character" w:customStyle="1" w:styleId="199">
    <w:name w:val="标题 1 字符"/>
    <w:basedOn w:val="63"/>
    <w:link w:val="2"/>
    <w:autoRedefine/>
    <w:qFormat/>
    <w:uiPriority w:val="0"/>
    <w:rPr>
      <w:rFonts w:ascii="黑体" w:hAnsi="Times New Roman" w:eastAsia="黑体" w:cs="Times New Roman"/>
      <w:b/>
      <w:kern w:val="44"/>
      <w:sz w:val="28"/>
      <w:szCs w:val="28"/>
    </w:rPr>
  </w:style>
  <w:style w:type="character" w:customStyle="1" w:styleId="200">
    <w:name w:val="明显参考1"/>
    <w:basedOn w:val="63"/>
    <w:autoRedefine/>
    <w:qFormat/>
    <w:uiPriority w:val="0"/>
    <w:rPr>
      <w:smallCaps/>
      <w:spacing w:val="5"/>
      <w:u w:val="single"/>
    </w:rPr>
  </w:style>
  <w:style w:type="character" w:customStyle="1" w:styleId="201">
    <w:name w:val="称呼 字符"/>
    <w:basedOn w:val="63"/>
    <w:link w:val="24"/>
    <w:autoRedefine/>
    <w:qFormat/>
    <w:uiPriority w:val="0"/>
    <w:rPr>
      <w:rFonts w:ascii="仿宋_GB2312" w:hAnsi="Times New Roman" w:eastAsia="仿宋_GB2312" w:cs="Times New Roman"/>
      <w:sz w:val="20"/>
      <w:szCs w:val="20"/>
    </w:rPr>
  </w:style>
  <w:style w:type="character" w:customStyle="1" w:styleId="202">
    <w:name w:val="111111 Char Char"/>
    <w:link w:val="203"/>
    <w:autoRedefine/>
    <w:qFormat/>
    <w:uiPriority w:val="0"/>
    <w:rPr>
      <w:rFonts w:ascii="宋体" w:hAnsi="宋体" w:eastAsia="黑体"/>
      <w:b/>
      <w:sz w:val="21"/>
    </w:rPr>
  </w:style>
  <w:style w:type="paragraph" w:customStyle="1" w:styleId="203">
    <w:name w:val="111111"/>
    <w:basedOn w:val="1"/>
    <w:link w:val="202"/>
    <w:autoRedefine/>
    <w:qFormat/>
    <w:uiPriority w:val="0"/>
    <w:pPr>
      <w:spacing w:before="120" w:after="120"/>
      <w:jc w:val="center"/>
    </w:pPr>
    <w:rPr>
      <w:rFonts w:ascii="宋体" w:hAnsi="宋体" w:eastAsia="黑体"/>
      <w:b/>
      <w:kern w:val="0"/>
    </w:rPr>
  </w:style>
  <w:style w:type="character" w:customStyle="1" w:styleId="204">
    <w:name w:val="小四 段落 宋体 Char1"/>
    <w:autoRedefine/>
    <w:qFormat/>
    <w:uiPriority w:val="0"/>
    <w:rPr>
      <w:rFonts w:eastAsia="宋体"/>
      <w:kern w:val="2"/>
      <w:sz w:val="24"/>
      <w:lang w:val="en-US" w:eastAsia="zh-CN"/>
    </w:rPr>
  </w:style>
  <w:style w:type="character" w:customStyle="1" w:styleId="205">
    <w:name w:val="文档结构图 字符"/>
    <w:basedOn w:val="63"/>
    <w:link w:val="21"/>
    <w:autoRedefine/>
    <w:qFormat/>
    <w:uiPriority w:val="0"/>
    <w:rPr>
      <w:rFonts w:ascii="Times New Roman" w:hAnsi="Times New Roman"/>
      <w:kern w:val="2"/>
      <w:sz w:val="16"/>
      <w:szCs w:val="0"/>
    </w:rPr>
  </w:style>
  <w:style w:type="character" w:customStyle="1" w:styleId="206">
    <w:name w:val="title_emph1"/>
    <w:autoRedefine/>
    <w:qFormat/>
    <w:uiPriority w:val="0"/>
    <w:rPr>
      <w:rFonts w:ascii="Arial"/>
      <w:b/>
      <w:sz w:val="18"/>
    </w:rPr>
  </w:style>
  <w:style w:type="character" w:customStyle="1" w:styleId="207">
    <w:name w:val="页脚 字符"/>
    <w:basedOn w:val="63"/>
    <w:link w:val="38"/>
    <w:autoRedefine/>
    <w:qFormat/>
    <w:uiPriority w:val="99"/>
    <w:rPr>
      <w:rFonts w:cs="Times New Roman"/>
      <w:sz w:val="18"/>
      <w:szCs w:val="18"/>
    </w:rPr>
  </w:style>
  <w:style w:type="character" w:customStyle="1" w:styleId="208">
    <w:name w:val="书籍标题1"/>
    <w:basedOn w:val="63"/>
    <w:autoRedefine/>
    <w:qFormat/>
    <w:uiPriority w:val="0"/>
    <w:rPr>
      <w:i/>
      <w:smallCaps/>
      <w:spacing w:val="5"/>
    </w:rPr>
  </w:style>
  <w:style w:type="character" w:customStyle="1" w:styleId="209">
    <w:name w:val="不明显参考1"/>
    <w:basedOn w:val="63"/>
    <w:autoRedefine/>
    <w:qFormat/>
    <w:uiPriority w:val="0"/>
    <w:rPr>
      <w:smallCaps/>
    </w:rPr>
  </w:style>
  <w:style w:type="character" w:customStyle="1" w:styleId="210">
    <w:name w:val="样式 首行缩进:  2 字符 Char Char"/>
    <w:link w:val="211"/>
    <w:autoRedefine/>
    <w:qFormat/>
    <w:uiPriority w:val="0"/>
    <w:rPr>
      <w:sz w:val="24"/>
    </w:rPr>
  </w:style>
  <w:style w:type="paragraph" w:customStyle="1" w:styleId="211">
    <w:name w:val="样式 首行缩进:  2 字符"/>
    <w:basedOn w:val="1"/>
    <w:link w:val="210"/>
    <w:autoRedefine/>
    <w:qFormat/>
    <w:uiPriority w:val="0"/>
    <w:pPr>
      <w:spacing w:line="360" w:lineRule="auto"/>
      <w:ind w:firstLine="480" w:firstLineChars="200"/>
    </w:pPr>
    <w:rPr>
      <w:rFonts w:ascii="Calibri" w:hAnsi="Calibri"/>
      <w:kern w:val="0"/>
      <w:sz w:val="24"/>
    </w:rPr>
  </w:style>
  <w:style w:type="character" w:customStyle="1" w:styleId="212">
    <w:name w:val="标题 3 字符"/>
    <w:basedOn w:val="63"/>
    <w:link w:val="8"/>
    <w:autoRedefine/>
    <w:qFormat/>
    <w:uiPriority w:val="0"/>
    <w:rPr>
      <w:rFonts w:ascii="宋体" w:hAnsi="宋体" w:eastAsia="宋体"/>
      <w:b/>
      <w:sz w:val="21"/>
      <w:shd w:val="clear" w:color="auto" w:fill="FFFFFF"/>
    </w:rPr>
  </w:style>
  <w:style w:type="character" w:customStyle="1" w:styleId="213">
    <w:name w:val="Char Char22"/>
    <w:autoRedefine/>
    <w:qFormat/>
    <w:uiPriority w:val="0"/>
    <w:rPr>
      <w:b/>
      <w:kern w:val="2"/>
      <w:sz w:val="24"/>
    </w:rPr>
  </w:style>
  <w:style w:type="character" w:customStyle="1" w:styleId="214">
    <w:name w:val="批注框文本 字符"/>
    <w:basedOn w:val="63"/>
    <w:link w:val="37"/>
    <w:autoRedefine/>
    <w:qFormat/>
    <w:uiPriority w:val="0"/>
    <w:rPr>
      <w:rFonts w:ascii="Times New Roman" w:hAnsi="Times New Roman" w:eastAsia="宋体" w:cs="Times New Roman"/>
      <w:sz w:val="18"/>
      <w:szCs w:val="18"/>
    </w:rPr>
  </w:style>
  <w:style w:type="character" w:customStyle="1" w:styleId="215">
    <w:name w:val="尾注文本 字符"/>
    <w:basedOn w:val="63"/>
    <w:link w:val="36"/>
    <w:autoRedefine/>
    <w:qFormat/>
    <w:uiPriority w:val="0"/>
    <w:rPr>
      <w:rFonts w:ascii="Times New Roman" w:hAnsi="Times New Roman" w:eastAsia="宋体" w:cs="Times New Roman"/>
      <w:kern w:val="0"/>
      <w:sz w:val="24"/>
      <w:szCs w:val="24"/>
    </w:rPr>
  </w:style>
  <w:style w:type="character" w:customStyle="1" w:styleId="216">
    <w:name w:val="point_normal1"/>
    <w:autoRedefine/>
    <w:qFormat/>
    <w:uiPriority w:val="0"/>
    <w:rPr>
      <w:rFonts w:ascii="Arial" w:hAnsi="Arial"/>
      <w:sz w:val="18"/>
    </w:rPr>
  </w:style>
  <w:style w:type="character" w:customStyle="1" w:styleId="217">
    <w:name w:val="Char Char26"/>
    <w:autoRedefine/>
    <w:qFormat/>
    <w:uiPriority w:val="0"/>
    <w:rPr>
      <w:b/>
      <w:kern w:val="2"/>
      <w:sz w:val="32"/>
    </w:rPr>
  </w:style>
  <w:style w:type="character" w:customStyle="1" w:styleId="218">
    <w:name w:val="Char Char24"/>
    <w:autoRedefine/>
    <w:qFormat/>
    <w:uiPriority w:val="0"/>
    <w:rPr>
      <w:b/>
      <w:kern w:val="2"/>
      <w:sz w:val="28"/>
    </w:rPr>
  </w:style>
  <w:style w:type="character" w:customStyle="1" w:styleId="219">
    <w:name w:val="concon"/>
    <w:autoRedefine/>
    <w:qFormat/>
    <w:uiPriority w:val="0"/>
  </w:style>
  <w:style w:type="paragraph" w:customStyle="1" w:styleId="220">
    <w:name w:val="标准文本"/>
    <w:basedOn w:val="1"/>
    <w:autoRedefine/>
    <w:qFormat/>
    <w:uiPriority w:val="0"/>
    <w:pPr>
      <w:spacing w:line="360" w:lineRule="auto"/>
      <w:ind w:firstLine="480" w:firstLineChars="200"/>
    </w:pPr>
    <w:rPr>
      <w:rFonts w:cs="宋体"/>
      <w:sz w:val="24"/>
      <w:szCs w:val="24"/>
    </w:rPr>
  </w:style>
  <w:style w:type="paragraph" w:customStyle="1" w:styleId="221">
    <w:name w:val="Char Char Char Char Char Char Char Char Char Char Char Char Char1"/>
    <w:basedOn w:val="1"/>
    <w:autoRedefine/>
    <w:qFormat/>
    <w:uiPriority w:val="0"/>
    <w:pPr>
      <w:widowControl/>
      <w:spacing w:after="160" w:line="240" w:lineRule="exact"/>
      <w:jc w:val="left"/>
    </w:pPr>
    <w:rPr>
      <w:szCs w:val="24"/>
    </w:rPr>
  </w:style>
  <w:style w:type="paragraph" w:customStyle="1" w:styleId="222">
    <w:name w:val="列出段落2"/>
    <w:basedOn w:val="1"/>
    <w:autoRedefine/>
    <w:qFormat/>
    <w:uiPriority w:val="0"/>
    <w:pPr>
      <w:widowControl/>
      <w:ind w:left="720"/>
      <w:jc w:val="left"/>
    </w:pPr>
    <w:rPr>
      <w:rFonts w:ascii="Arial" w:hAnsi="Arial" w:eastAsia="黑体" w:cs="Arial"/>
      <w:kern w:val="0"/>
      <w:sz w:val="24"/>
      <w:szCs w:val="24"/>
      <w:lang w:eastAsia="en-US"/>
    </w:rPr>
  </w:style>
  <w:style w:type="paragraph" w:customStyle="1" w:styleId="223">
    <w:name w:val="flType"/>
    <w:basedOn w:val="224"/>
    <w:autoRedefine/>
    <w:qFormat/>
    <w:uiPriority w:val="0"/>
    <w:pPr>
      <w:spacing w:after="284"/>
    </w:pPr>
    <w:rPr>
      <w:rFonts w:eastAsia="宋体"/>
      <w:b w:val="0"/>
    </w:rPr>
  </w:style>
  <w:style w:type="paragraph" w:customStyle="1" w:styleId="224">
    <w:name w:val="flName"/>
    <w:basedOn w:val="225"/>
    <w:autoRedefine/>
    <w:qFormat/>
    <w:uiPriority w:val="0"/>
    <w:pPr>
      <w:spacing w:before="0" w:line="113" w:lineRule="atLeast"/>
    </w:pPr>
  </w:style>
  <w:style w:type="paragraph" w:customStyle="1" w:styleId="225">
    <w:name w:val="flNote"/>
    <w:basedOn w:val="1"/>
    <w:autoRedefine/>
    <w:qFormat/>
    <w:uiPriority w:val="0"/>
    <w:pPr>
      <w:adjustRightInd w:val="0"/>
      <w:spacing w:before="567" w:line="360" w:lineRule="atLeast"/>
      <w:jc w:val="center"/>
      <w:textAlignment w:val="baseline"/>
    </w:pPr>
    <w:rPr>
      <w:rFonts w:eastAsia="黑体"/>
      <w:b/>
      <w:kern w:val="0"/>
      <w:sz w:val="24"/>
    </w:rPr>
  </w:style>
  <w:style w:type="paragraph" w:customStyle="1" w:styleId="226">
    <w:name w:val="华宇段落1 Char"/>
    <w:basedOn w:val="1"/>
    <w:autoRedefine/>
    <w:qFormat/>
    <w:uiPriority w:val="0"/>
    <w:pPr>
      <w:spacing w:line="360" w:lineRule="auto"/>
      <w:ind w:firstLine="200" w:firstLineChars="200"/>
    </w:pPr>
    <w:rPr>
      <w:bCs/>
      <w:sz w:val="24"/>
      <w:szCs w:val="24"/>
    </w:rPr>
  </w:style>
  <w:style w:type="paragraph" w:customStyle="1" w:styleId="227">
    <w:name w:val="正文缩进2字符"/>
    <w:basedOn w:val="1"/>
    <w:autoRedefine/>
    <w:qFormat/>
    <w:uiPriority w:val="0"/>
    <w:pPr>
      <w:adjustRightInd w:val="0"/>
      <w:snapToGrid w:val="0"/>
      <w:spacing w:line="300" w:lineRule="auto"/>
      <w:ind w:firstLine="200" w:firstLineChars="200"/>
    </w:pPr>
    <w:rPr>
      <w:rFonts w:ascii="仿宋_GB2312" w:eastAsia="仿宋_GB2312"/>
      <w:sz w:val="32"/>
      <w:szCs w:val="32"/>
    </w:rPr>
  </w:style>
  <w:style w:type="paragraph" w:customStyle="1" w:styleId="228">
    <w:name w:val="Char Char Char Char Char Char Char Char Char"/>
    <w:basedOn w:val="1"/>
    <w:autoRedefine/>
    <w:qFormat/>
    <w:uiPriority w:val="0"/>
    <w:pPr>
      <w:tabs>
        <w:tab w:val="left" w:pos="360"/>
      </w:tabs>
      <w:ind w:left="200" w:hanging="200" w:hangingChars="200"/>
    </w:pPr>
    <w:rPr>
      <w:sz w:val="24"/>
      <w:szCs w:val="24"/>
    </w:rPr>
  </w:style>
  <w:style w:type="paragraph" w:customStyle="1" w:styleId="229">
    <w:name w:val="greytypebeni"/>
    <w:basedOn w:val="1"/>
    <w:autoRedefine/>
    <w:qFormat/>
    <w:uiPriority w:val="0"/>
    <w:pPr>
      <w:widowControl/>
      <w:jc w:val="left"/>
    </w:pPr>
    <w:rPr>
      <w:rFonts w:ascii="宋体" w:hAnsi="宋体" w:cs="宋体"/>
      <w:kern w:val="0"/>
      <w:sz w:val="24"/>
      <w:szCs w:val="24"/>
    </w:rPr>
  </w:style>
  <w:style w:type="paragraph" w:customStyle="1" w:styleId="230">
    <w:name w:val="Char Char1 Char Char Char Char1 Char Char Char Char Char Char"/>
    <w:basedOn w:val="1"/>
    <w:autoRedefine/>
    <w:qFormat/>
    <w:uiPriority w:val="0"/>
    <w:rPr>
      <w:rFonts w:ascii="Tahoma" w:hAnsi="Tahoma"/>
      <w:sz w:val="24"/>
    </w:rPr>
  </w:style>
  <w:style w:type="paragraph" w:customStyle="1" w:styleId="231">
    <w:name w:val="样式 样式 标题 3H3sect1.2.3BOD 0Heading 3 - oldh3l3CTLevel 3 Head... +..."/>
    <w:basedOn w:val="1"/>
    <w:autoRedefine/>
    <w:qFormat/>
    <w:uiPriority w:val="0"/>
    <w:pPr>
      <w:keepNext/>
      <w:keepLines/>
      <w:spacing w:beforeLines="50" w:afterLines="50"/>
      <w:jc w:val="left"/>
      <w:outlineLvl w:val="2"/>
    </w:pPr>
    <w:rPr>
      <w:rFonts w:cs="宋体"/>
      <w:b/>
      <w:bCs/>
      <w:sz w:val="24"/>
    </w:rPr>
  </w:style>
  <w:style w:type="paragraph" w:customStyle="1" w:styleId="232">
    <w:name w:val="Char Char1"/>
    <w:basedOn w:val="1"/>
    <w:autoRedefine/>
    <w:qFormat/>
    <w:uiPriority w:val="0"/>
    <w:rPr>
      <w:rFonts w:ascii="Tahoma" w:hAnsi="Tahoma" w:cs="Tahoma"/>
      <w:sz w:val="24"/>
    </w:rPr>
  </w:style>
  <w:style w:type="paragraph" w:customStyle="1" w:styleId="233">
    <w:name w:val="小四 段落 宋体 Char Char Char"/>
    <w:basedOn w:val="19"/>
    <w:autoRedefine/>
    <w:qFormat/>
    <w:uiPriority w:val="0"/>
    <w:pPr>
      <w:tabs>
        <w:tab w:val="clear" w:pos="2952"/>
      </w:tabs>
      <w:spacing w:line="360" w:lineRule="auto"/>
      <w:ind w:left="0" w:right="-33" w:firstLine="545" w:firstLineChars="227"/>
      <w:jc w:val="left"/>
    </w:pPr>
    <w:rPr>
      <w:sz w:val="24"/>
    </w:rPr>
  </w:style>
  <w:style w:type="paragraph" w:customStyle="1" w:styleId="234">
    <w:name w:val="xl56"/>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235">
    <w:name w:val="font13"/>
    <w:basedOn w:val="1"/>
    <w:autoRedefine/>
    <w:qFormat/>
    <w:uiPriority w:val="0"/>
    <w:pPr>
      <w:widowControl/>
      <w:spacing w:before="100" w:beforeAutospacing="1" w:after="100" w:afterAutospacing="1"/>
      <w:jc w:val="left"/>
    </w:pPr>
    <w:rPr>
      <w:i/>
      <w:iCs/>
      <w:kern w:val="0"/>
      <w:sz w:val="36"/>
      <w:szCs w:val="36"/>
    </w:rPr>
  </w:style>
  <w:style w:type="paragraph" w:customStyle="1" w:styleId="236">
    <w:name w:val="中等深浅网格 1 - 强调文字颜色 21"/>
    <w:basedOn w:val="1"/>
    <w:autoRedefine/>
    <w:qFormat/>
    <w:uiPriority w:val="0"/>
    <w:pPr>
      <w:ind w:firstLine="420" w:firstLineChars="200"/>
    </w:pPr>
    <w:rPr>
      <w:rFonts w:ascii="Calibri" w:hAnsi="Calibri"/>
      <w:szCs w:val="22"/>
    </w:rPr>
  </w:style>
  <w:style w:type="paragraph" w:customStyle="1" w:styleId="237">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paragraph" w:customStyle="1" w:styleId="238">
    <w:name w:val="xl4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239">
    <w:name w:val="默认段落字体 Para Char Char Char Char Char Char Char Char Char1 Char Char Char Char Char Char Char"/>
    <w:basedOn w:val="21"/>
    <w:autoRedefine/>
    <w:qFormat/>
    <w:uiPriority w:val="0"/>
  </w:style>
  <w:style w:type="paragraph" w:customStyle="1" w:styleId="240">
    <w:name w:val="样式 样式 首行缩进:  2 字符 + 行距: 1.5 倍行距"/>
    <w:basedOn w:val="1"/>
    <w:autoRedefine/>
    <w:qFormat/>
    <w:uiPriority w:val="0"/>
    <w:pPr>
      <w:spacing w:line="360" w:lineRule="auto"/>
      <w:ind w:firstLine="470" w:firstLineChars="196"/>
    </w:pPr>
    <w:rPr>
      <w:sz w:val="24"/>
    </w:rPr>
  </w:style>
  <w:style w:type="paragraph" w:customStyle="1" w:styleId="241">
    <w:name w:val="正文11"/>
    <w:basedOn w:val="1"/>
    <w:next w:val="1"/>
    <w:autoRedefine/>
    <w:qFormat/>
    <w:uiPriority w:val="0"/>
    <w:pPr>
      <w:spacing w:before="156" w:line="360" w:lineRule="auto"/>
      <w:ind w:firstLine="510" w:firstLineChars="200"/>
    </w:pPr>
    <w:rPr>
      <w:sz w:val="24"/>
    </w:rPr>
  </w:style>
  <w:style w:type="paragraph" w:customStyle="1" w:styleId="242">
    <w:name w:val="Pa5"/>
    <w:basedOn w:val="1"/>
    <w:next w:val="1"/>
    <w:autoRedefine/>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243">
    <w:name w:val="Char Char11"/>
    <w:basedOn w:val="1"/>
    <w:autoRedefine/>
    <w:qFormat/>
    <w:uiPriority w:val="0"/>
    <w:rPr>
      <w:rFonts w:ascii="Tahoma" w:hAnsi="Tahoma"/>
      <w:sz w:val="24"/>
    </w:rPr>
  </w:style>
  <w:style w:type="paragraph" w:customStyle="1" w:styleId="244">
    <w:name w:val="丁华正文"/>
    <w:basedOn w:val="48"/>
    <w:autoRedefine/>
    <w:qFormat/>
    <w:uiPriority w:val="0"/>
    <w:pPr>
      <w:adjustRightInd w:val="0"/>
      <w:snapToGrid w:val="0"/>
      <w:spacing w:line="360" w:lineRule="auto"/>
      <w:ind w:left="0" w:firstLine="510"/>
    </w:pPr>
    <w:rPr>
      <w:sz w:val="24"/>
    </w:rPr>
  </w:style>
  <w:style w:type="paragraph" w:customStyle="1" w:styleId="245">
    <w:name w:val="正文 居中"/>
    <w:basedOn w:val="1"/>
    <w:autoRedefine/>
    <w:qFormat/>
    <w:uiPriority w:val="0"/>
    <w:pPr>
      <w:spacing w:line="360" w:lineRule="auto"/>
      <w:jc w:val="center"/>
    </w:pPr>
    <w:rPr>
      <w:sz w:val="24"/>
    </w:rPr>
  </w:style>
  <w:style w:type="paragraph" w:customStyle="1" w:styleId="246">
    <w:name w:val="Char Char3"/>
    <w:basedOn w:val="1"/>
    <w:autoRedefine/>
    <w:qFormat/>
    <w:uiPriority w:val="0"/>
    <w:rPr>
      <w:rFonts w:ascii="Tahoma" w:hAnsi="Tahoma" w:cs="Tahoma"/>
      <w:sz w:val="24"/>
    </w:rPr>
  </w:style>
  <w:style w:type="paragraph" w:customStyle="1" w:styleId="247">
    <w:name w:val="Char Char Char Char Char"/>
    <w:basedOn w:val="1"/>
    <w:autoRedefine/>
    <w:qFormat/>
    <w:uiPriority w:val="0"/>
    <w:rPr>
      <w:rFonts w:ascii="Tahoma" w:hAnsi="Tahoma"/>
      <w:sz w:val="24"/>
    </w:rPr>
  </w:style>
  <w:style w:type="paragraph" w:customStyle="1" w:styleId="248">
    <w:name w:val="Char2 Char Char Char Char Char Char1"/>
    <w:basedOn w:val="1"/>
    <w:autoRedefine/>
    <w:qFormat/>
    <w:uiPriority w:val="0"/>
    <w:pPr>
      <w:keepNext/>
      <w:widowControl/>
      <w:tabs>
        <w:tab w:val="left" w:pos="425"/>
      </w:tabs>
      <w:autoSpaceDE w:val="0"/>
      <w:autoSpaceDN w:val="0"/>
      <w:adjustRightInd w:val="0"/>
      <w:spacing w:before="80" w:after="80"/>
      <w:ind w:hanging="425"/>
    </w:pPr>
    <w:rPr>
      <w:rFonts w:ascii="Arial" w:hAnsi="Arial" w:cs="Arial"/>
      <w:sz w:val="20"/>
    </w:rPr>
  </w:style>
  <w:style w:type="paragraph" w:customStyle="1" w:styleId="249">
    <w:name w:val="Char Char1 Char Char Char Char Char Char Char"/>
    <w:basedOn w:val="1"/>
    <w:autoRedefine/>
    <w:qFormat/>
    <w:uiPriority w:val="0"/>
    <w:rPr>
      <w:rFonts w:ascii="Tahoma" w:hAnsi="Tahoma" w:cs="Tahoma"/>
      <w:sz w:val="24"/>
    </w:rPr>
  </w:style>
  <w:style w:type="paragraph" w:customStyle="1" w:styleId="250">
    <w:name w:val="样式"/>
    <w:basedOn w:val="1"/>
    <w:autoRedefine/>
    <w:qFormat/>
    <w:uiPriority w:val="0"/>
    <w:pPr>
      <w:autoSpaceDE w:val="0"/>
      <w:autoSpaceDN w:val="0"/>
      <w:snapToGrid w:val="0"/>
      <w:spacing w:before="120" w:after="120" w:line="360" w:lineRule="auto"/>
    </w:pPr>
    <w:rPr>
      <w:rFonts w:ascii="宋体"/>
      <w:sz w:val="24"/>
    </w:rPr>
  </w:style>
  <w:style w:type="paragraph" w:customStyle="1" w:styleId="251">
    <w:name w:val="xl57"/>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52">
    <w:name w:val="Char Char1 Char Char Char Char"/>
    <w:basedOn w:val="21"/>
    <w:autoRedefine/>
    <w:qFormat/>
    <w:uiPriority w:val="0"/>
    <w:pPr>
      <w:adjustRightInd w:val="0"/>
      <w:spacing w:line="436" w:lineRule="exact"/>
      <w:ind w:left="357"/>
      <w:jc w:val="left"/>
      <w:outlineLvl w:val="3"/>
    </w:pPr>
    <w:rPr>
      <w:rFonts w:ascii="Tahoma" w:hAnsi="Tahoma" w:cs="Tahoma"/>
      <w:b/>
      <w:sz w:val="24"/>
      <w:szCs w:val="24"/>
    </w:rPr>
  </w:style>
  <w:style w:type="paragraph" w:customStyle="1" w:styleId="253">
    <w:name w:val="标准小四"/>
    <w:basedOn w:val="1"/>
    <w:autoRedefine/>
    <w:qFormat/>
    <w:uiPriority w:val="0"/>
    <w:pPr>
      <w:spacing w:line="360" w:lineRule="auto"/>
      <w:ind w:firstLine="480" w:firstLineChars="200"/>
    </w:pPr>
    <w:rPr>
      <w:rFonts w:ascii="Arial" w:hAnsi="Arial"/>
      <w:sz w:val="24"/>
      <w:szCs w:val="21"/>
    </w:rPr>
  </w:style>
  <w:style w:type="paragraph" w:customStyle="1" w:styleId="254">
    <w:name w:val="xl4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255">
    <w:name w:val="Char Char Char Char Char Char Char1"/>
    <w:basedOn w:val="1"/>
    <w:autoRedefine/>
    <w:qFormat/>
    <w:uiPriority w:val="0"/>
    <w:rPr>
      <w:rFonts w:ascii="Tahoma" w:hAnsi="Tahoma"/>
      <w:sz w:val="24"/>
    </w:rPr>
  </w:style>
  <w:style w:type="paragraph" w:customStyle="1" w:styleId="256">
    <w:name w:val="xl4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b/>
      <w:bCs/>
      <w:kern w:val="0"/>
      <w:sz w:val="20"/>
    </w:rPr>
  </w:style>
  <w:style w:type="paragraph" w:customStyle="1" w:styleId="257">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58">
    <w:name w:val="xl52"/>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259">
    <w:name w:val="默认段落字体 Para Char"/>
    <w:basedOn w:val="1"/>
    <w:autoRedefine/>
    <w:qFormat/>
    <w:uiPriority w:val="0"/>
    <w:rPr>
      <w:sz w:val="24"/>
      <w:szCs w:val="24"/>
    </w:rPr>
  </w:style>
  <w:style w:type="paragraph" w:customStyle="1" w:styleId="260">
    <w:name w:val="列出段落11"/>
    <w:basedOn w:val="1"/>
    <w:autoRedefine/>
    <w:qFormat/>
    <w:uiPriority w:val="0"/>
    <w:pPr>
      <w:widowControl/>
      <w:ind w:left="720"/>
      <w:contextualSpacing/>
      <w:jc w:val="left"/>
    </w:pPr>
    <w:rPr>
      <w:rFonts w:ascii="Arial" w:hAnsi="Arial" w:eastAsia="黑体"/>
      <w:kern w:val="0"/>
      <w:sz w:val="24"/>
      <w:szCs w:val="24"/>
      <w:lang w:eastAsia="en-US"/>
    </w:rPr>
  </w:style>
  <w:style w:type="paragraph" w:customStyle="1" w:styleId="261">
    <w:name w:val="xl58"/>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62">
    <w:name w:val="标题1，章节第一层"/>
    <w:basedOn w:val="263"/>
    <w:next w:val="263"/>
    <w:autoRedefine/>
    <w:qFormat/>
    <w:uiPriority w:val="0"/>
    <w:pPr>
      <w:tabs>
        <w:tab w:val="left" w:pos="693"/>
      </w:tabs>
      <w:ind w:left="482"/>
      <w:outlineLvl w:val="0"/>
    </w:pPr>
    <w:rPr>
      <w:color w:val="000000"/>
      <w:sz w:val="24"/>
      <w:szCs w:val="24"/>
    </w:rPr>
  </w:style>
  <w:style w:type="paragraph" w:customStyle="1" w:styleId="263">
    <w:name w:val="正文格式"/>
    <w:basedOn w:val="1"/>
    <w:autoRedefine/>
    <w:qFormat/>
    <w:uiPriority w:val="0"/>
    <w:pPr>
      <w:widowControl/>
      <w:adjustRightInd w:val="0"/>
      <w:snapToGrid w:val="0"/>
      <w:spacing w:beforeLines="25" w:line="360" w:lineRule="auto"/>
      <w:ind w:left="178" w:right="44" w:rightChars="21" w:hanging="178" w:hangingChars="85"/>
      <w:jc w:val="left"/>
      <w:textAlignment w:val="baseline"/>
    </w:pPr>
    <w:rPr>
      <w:rFonts w:ascii="宋体" w:hAnsi="宋体"/>
      <w:bCs/>
      <w:kern w:val="0"/>
      <w:szCs w:val="21"/>
    </w:rPr>
  </w:style>
  <w:style w:type="paragraph" w:customStyle="1" w:styleId="264">
    <w:name w:val="Char Char Char Char Char Char Char Char Char Char Char Char Char Char Char Char Char Char Char Char Char Char Char1"/>
    <w:basedOn w:val="1"/>
    <w:autoRedefine/>
    <w:qFormat/>
    <w:uiPriority w:val="0"/>
    <w:rPr>
      <w:rFonts w:ascii="Tahoma" w:hAnsi="Tahoma" w:cs="Tahoma"/>
      <w:sz w:val="24"/>
    </w:rPr>
  </w:style>
  <w:style w:type="paragraph" w:customStyle="1" w:styleId="265">
    <w:name w:val="正文表标题"/>
    <w:next w:val="257"/>
    <w:autoRedefine/>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6">
    <w:name w:val="默认段落字体 Para Char Char Char Char Char Char Char"/>
    <w:basedOn w:val="1"/>
    <w:autoRedefine/>
    <w:qFormat/>
    <w:uiPriority w:val="0"/>
  </w:style>
  <w:style w:type="paragraph" w:customStyle="1" w:styleId="267">
    <w:name w:val="Char Char Char1"/>
    <w:basedOn w:val="21"/>
    <w:autoRedefine/>
    <w:qFormat/>
    <w:uiPriority w:val="0"/>
    <w:pPr>
      <w:spacing w:line="436" w:lineRule="exact"/>
    </w:pPr>
    <w:rPr>
      <w:szCs w:val="24"/>
    </w:rPr>
  </w:style>
  <w:style w:type="paragraph" w:customStyle="1" w:styleId="268">
    <w:name w:val="表格1"/>
    <w:basedOn w:val="1"/>
    <w:autoRedefine/>
    <w:qFormat/>
    <w:uiPriority w:val="0"/>
    <w:pPr>
      <w:adjustRightInd w:val="0"/>
      <w:textAlignment w:val="baseline"/>
    </w:pPr>
    <w:rPr>
      <w:rFonts w:ascii="宋体"/>
      <w:kern w:val="24"/>
      <w:szCs w:val="21"/>
    </w:rPr>
  </w:style>
  <w:style w:type="paragraph" w:customStyle="1" w:styleId="269">
    <w:name w:val="项目符号：一级"/>
    <w:basedOn w:val="263"/>
    <w:next w:val="263"/>
    <w:autoRedefine/>
    <w:qFormat/>
    <w:uiPriority w:val="0"/>
    <w:pPr>
      <w:ind w:right="-134" w:rightChars="-64"/>
    </w:pPr>
    <w:rPr>
      <w:bCs w:val="0"/>
    </w:rPr>
  </w:style>
  <w:style w:type="paragraph" w:customStyle="1" w:styleId="270">
    <w:name w:val="xl3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271">
    <w:name w:val="Char1 Char Char Char1"/>
    <w:basedOn w:val="1"/>
    <w:autoRedefine/>
    <w:qFormat/>
    <w:uiPriority w:val="0"/>
    <w:rPr>
      <w:rFonts w:ascii="Tahoma" w:hAnsi="Tahoma" w:cs="Tahoma"/>
      <w:sz w:val="24"/>
    </w:rPr>
  </w:style>
  <w:style w:type="paragraph" w:customStyle="1" w:styleId="272">
    <w:name w:val="样式 标题 2第一章 标题 2Heading 2 HiddenHeading 2 CCBSheading 2H2h2..."/>
    <w:basedOn w:val="3"/>
    <w:autoRedefine/>
    <w:qFormat/>
    <w:uiPriority w:val="0"/>
    <w:pPr>
      <w:keepLines w:val="0"/>
      <w:tabs>
        <w:tab w:val="left" w:pos="360"/>
      </w:tabs>
      <w:adjustRightInd w:val="0"/>
      <w:spacing w:beforeLines="50" w:afterLines="50"/>
      <w:ind w:left="360" w:hanging="360"/>
      <w:textAlignment w:val="baseline"/>
    </w:pPr>
    <w:rPr>
      <w:rFonts w:ascii="黑体" w:hAnsi="Times New Roman" w:eastAsia="黑体" w:cs="宋体"/>
      <w:b w:val="0"/>
      <w:kern w:val="0"/>
      <w:sz w:val="32"/>
      <w:szCs w:val="20"/>
    </w:rPr>
  </w:style>
  <w:style w:type="paragraph" w:customStyle="1" w:styleId="273">
    <w:name w:val="正文文本缩进1"/>
    <w:basedOn w:val="1"/>
    <w:autoRedefine/>
    <w:qFormat/>
    <w:uiPriority w:val="0"/>
    <w:pPr>
      <w:spacing w:after="120"/>
      <w:ind w:left="420" w:leftChars="200"/>
    </w:pPr>
    <w:rPr>
      <w:szCs w:val="24"/>
    </w:rPr>
  </w:style>
  <w:style w:type="paragraph" w:customStyle="1" w:styleId="274">
    <w:name w:val="xl5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75">
    <w:name w:val="表格"/>
    <w:basedOn w:val="1"/>
    <w:autoRedefine/>
    <w:qFormat/>
    <w:uiPriority w:val="0"/>
    <w:pPr>
      <w:snapToGrid w:val="0"/>
      <w:ind w:firstLine="21" w:firstLineChars="21"/>
    </w:pPr>
    <w:rPr>
      <w:rFonts w:ascii="宋体" w:hAnsi="宋体" w:cs="宋体"/>
      <w:kern w:val="0"/>
      <w:sz w:val="20"/>
    </w:rPr>
  </w:style>
  <w:style w:type="paragraph" w:customStyle="1" w:styleId="276">
    <w:name w:val="Char Char Char Char Char Char Char"/>
    <w:basedOn w:val="1"/>
    <w:autoRedefine/>
    <w:qFormat/>
    <w:uiPriority w:val="0"/>
    <w:pPr>
      <w:jc w:val="left"/>
    </w:pPr>
    <w:rPr>
      <w:rFonts w:ascii="Tahoma" w:hAnsi="Tahoma"/>
      <w:sz w:val="24"/>
    </w:rPr>
  </w:style>
  <w:style w:type="paragraph" w:customStyle="1" w:styleId="277">
    <w:name w:val="xl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78">
    <w:name w:val="表格内文字"/>
    <w:basedOn w:val="1"/>
    <w:autoRedefine/>
    <w:qFormat/>
    <w:uiPriority w:val="0"/>
    <w:pPr>
      <w:spacing w:line="300" w:lineRule="atLeast"/>
    </w:pPr>
    <w:rPr>
      <w:sz w:val="18"/>
      <w:szCs w:val="24"/>
    </w:rPr>
  </w:style>
  <w:style w:type="paragraph" w:customStyle="1" w:styleId="279">
    <w:name w:val="样式3"/>
    <w:basedOn w:val="1"/>
    <w:next w:val="1"/>
    <w:autoRedefine/>
    <w:qFormat/>
    <w:uiPriority w:val="0"/>
    <w:pPr>
      <w:spacing w:line="360" w:lineRule="auto"/>
    </w:pPr>
  </w:style>
  <w:style w:type="paragraph" w:customStyle="1" w:styleId="280">
    <w:name w:val="无间隔1"/>
    <w:autoRedefine/>
    <w:qFormat/>
    <w:uiPriority w:val="0"/>
    <w:pPr>
      <w:widowControl w:val="0"/>
      <w:jc w:val="both"/>
    </w:pPr>
    <w:rPr>
      <w:rFonts w:ascii="Calibri" w:hAnsi="Calibri" w:eastAsia="微软雅黑" w:cs="Times New Roman"/>
      <w:kern w:val="2"/>
      <w:sz w:val="24"/>
      <w:szCs w:val="22"/>
      <w:lang w:val="en-US" w:eastAsia="zh-CN" w:bidi="ar-SA"/>
    </w:rPr>
  </w:style>
  <w:style w:type="paragraph" w:customStyle="1" w:styleId="281">
    <w:name w:val="xl45"/>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282">
    <w:name w:val="标题5，章节第五层"/>
    <w:basedOn w:val="1"/>
    <w:next w:val="1"/>
    <w:autoRedefine/>
    <w:qFormat/>
    <w:uiPriority w:val="0"/>
    <w:pPr>
      <w:tabs>
        <w:tab w:val="left" w:pos="1050"/>
        <w:tab w:val="left" w:pos="2100"/>
      </w:tabs>
      <w:spacing w:before="78"/>
      <w:ind w:left="2100" w:hanging="420"/>
      <w:outlineLvl w:val="4"/>
    </w:pPr>
    <w:rPr>
      <w:rFonts w:ascii="Arial" w:hAnsi="Arial" w:eastAsia="华文细黑"/>
      <w:sz w:val="30"/>
      <w:szCs w:val="24"/>
    </w:rPr>
  </w:style>
  <w:style w:type="paragraph" w:customStyle="1" w:styleId="283">
    <w:name w:val="符号与编号 Char"/>
    <w:basedOn w:val="1"/>
    <w:autoRedefine/>
    <w:qFormat/>
    <w:uiPriority w:val="0"/>
    <w:pPr>
      <w:tabs>
        <w:tab w:val="left" w:pos="720"/>
      </w:tabs>
      <w:spacing w:afterLines="50" w:line="400" w:lineRule="atLeast"/>
      <w:ind w:left="720"/>
    </w:pPr>
    <w:rPr>
      <w:sz w:val="24"/>
      <w:szCs w:val="24"/>
    </w:rPr>
  </w:style>
  <w:style w:type="paragraph" w:customStyle="1" w:styleId="284">
    <w:name w:val="正文2"/>
    <w:basedOn w:val="1"/>
    <w:autoRedefine/>
    <w:qFormat/>
    <w:uiPriority w:val="0"/>
    <w:pPr>
      <w:spacing w:before="156" w:line="360" w:lineRule="auto"/>
      <w:ind w:firstLine="510" w:firstLineChars="200"/>
    </w:pPr>
    <w:rPr>
      <w:sz w:val="24"/>
    </w:rPr>
  </w:style>
  <w:style w:type="paragraph" w:customStyle="1" w:styleId="285">
    <w:name w:val="content_lineheight"/>
    <w:basedOn w:val="1"/>
    <w:autoRedefine/>
    <w:qFormat/>
    <w:uiPriority w:val="0"/>
    <w:pPr>
      <w:widowControl/>
      <w:spacing w:before="100" w:beforeAutospacing="1" w:after="100" w:afterAutospacing="1"/>
      <w:jc w:val="left"/>
    </w:pPr>
    <w:rPr>
      <w:rFonts w:ascii="宋体" w:hAnsi="宋体"/>
      <w:kern w:val="0"/>
      <w:sz w:val="24"/>
      <w:szCs w:val="24"/>
    </w:rPr>
  </w:style>
  <w:style w:type="paragraph" w:customStyle="1" w:styleId="286">
    <w:name w:val="章标题"/>
    <w:next w:val="257"/>
    <w:autoRedefine/>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customStyle="1" w:styleId="287">
    <w:name w:val="样式4 Char"/>
    <w:basedOn w:val="1"/>
    <w:autoRedefine/>
    <w:qFormat/>
    <w:uiPriority w:val="0"/>
    <w:pPr>
      <w:widowControl/>
      <w:spacing w:line="360" w:lineRule="auto"/>
      <w:ind w:firstLine="480"/>
      <w:jc w:val="left"/>
    </w:pPr>
    <w:rPr>
      <w:rFonts w:cs="宋体"/>
      <w:color w:val="000000"/>
      <w:kern w:val="0"/>
      <w:sz w:val="24"/>
      <w:szCs w:val="24"/>
    </w:rPr>
  </w:style>
  <w:style w:type="paragraph" w:customStyle="1" w:styleId="288">
    <w:name w:val="Char1"/>
    <w:basedOn w:val="1"/>
    <w:autoRedefine/>
    <w:qFormat/>
    <w:uiPriority w:val="0"/>
    <w:rPr>
      <w:rFonts w:ascii="仿宋_GB2312" w:hAnsi="宋体" w:eastAsia="仿宋_GB2312" w:cs="宋体"/>
      <w:b/>
      <w:sz w:val="32"/>
      <w:szCs w:val="32"/>
    </w:rPr>
  </w:style>
  <w:style w:type="paragraph" w:customStyle="1" w:styleId="289">
    <w:name w:val="Char Char Char Char Char Char Char Char Char Char Char1 Char Char Char1"/>
    <w:basedOn w:val="1"/>
    <w:autoRedefine/>
    <w:qFormat/>
    <w:uiPriority w:val="0"/>
    <w:pPr>
      <w:ind w:firstLine="200" w:firstLineChars="200"/>
      <w:jc w:val="left"/>
    </w:pPr>
    <w:rPr>
      <w:rFonts w:ascii="Tahoma" w:hAnsi="Tahoma"/>
      <w:sz w:val="24"/>
      <w:szCs w:val="24"/>
    </w:rPr>
  </w:style>
  <w:style w:type="paragraph" w:customStyle="1" w:styleId="290">
    <w:name w:val="xl3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cs="宋体"/>
      <w:b/>
      <w:bCs/>
      <w:kern w:val="0"/>
      <w:sz w:val="24"/>
      <w:szCs w:val="24"/>
    </w:rPr>
  </w:style>
  <w:style w:type="paragraph" w:customStyle="1" w:styleId="291">
    <w:name w:val="Char Char Char Char Char Char Char Char Char1"/>
    <w:basedOn w:val="1"/>
    <w:autoRedefine/>
    <w:qFormat/>
    <w:uiPriority w:val="0"/>
    <w:pPr>
      <w:tabs>
        <w:tab w:val="left" w:pos="360"/>
      </w:tabs>
      <w:ind w:left="360" w:hanging="360" w:hangingChars="200"/>
    </w:pPr>
    <w:rPr>
      <w:sz w:val="24"/>
      <w:szCs w:val="24"/>
    </w:rPr>
  </w:style>
  <w:style w:type="paragraph" w:customStyle="1" w:styleId="292">
    <w:name w:val="xl61"/>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93">
    <w:name w:val="xl62"/>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94">
    <w:name w:val="标题3，章节第三层"/>
    <w:basedOn w:val="1"/>
    <w:next w:val="263"/>
    <w:autoRedefine/>
    <w:qFormat/>
    <w:uiPriority w:val="0"/>
    <w:pPr>
      <w:adjustRightInd w:val="0"/>
      <w:snapToGrid w:val="0"/>
      <w:spacing w:before="78" w:line="300" w:lineRule="auto"/>
      <w:outlineLvl w:val="2"/>
    </w:pPr>
    <w:rPr>
      <w:rFonts w:ascii="Arial" w:hAnsi="Arial" w:eastAsia="华文细黑"/>
      <w:sz w:val="30"/>
      <w:szCs w:val="24"/>
    </w:rPr>
  </w:style>
  <w:style w:type="paragraph" w:customStyle="1" w:styleId="295">
    <w:name w:val="Char Char1 Char1"/>
    <w:basedOn w:val="1"/>
    <w:autoRedefine/>
    <w:qFormat/>
    <w:uiPriority w:val="0"/>
    <w:pPr>
      <w:widowControl/>
      <w:spacing w:after="160" w:line="240" w:lineRule="exact"/>
      <w:jc w:val="left"/>
    </w:pPr>
    <w:rPr>
      <w:rFonts w:ascii="Verdana" w:hAnsi="Verdana"/>
      <w:kern w:val="0"/>
      <w:sz w:val="20"/>
      <w:lang w:eastAsia="en-US"/>
    </w:rPr>
  </w:style>
  <w:style w:type="paragraph" w:customStyle="1" w:styleId="296">
    <w:name w:val="一级标题"/>
    <w:basedOn w:val="1"/>
    <w:autoRedefine/>
    <w:qFormat/>
    <w:uiPriority w:val="0"/>
    <w:pPr>
      <w:tabs>
        <w:tab w:val="left" w:pos="903"/>
      </w:tabs>
      <w:spacing w:line="360" w:lineRule="auto"/>
      <w:ind w:left="900" w:hanging="420"/>
    </w:pPr>
    <w:rPr>
      <w:rFonts w:ascii="Arial" w:hAnsi="Arial" w:cs="Arial"/>
      <w:sz w:val="24"/>
    </w:rPr>
  </w:style>
  <w:style w:type="paragraph" w:customStyle="1" w:styleId="297">
    <w:name w:val="xl63"/>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rPr>
  </w:style>
  <w:style w:type="paragraph" w:customStyle="1" w:styleId="298">
    <w:name w:val="Char Char Char Char Char Char Char Char Char Char Char Char Char Char Char Char Char Char Char Char Char1"/>
    <w:basedOn w:val="1"/>
    <w:autoRedefine/>
    <w:qFormat/>
    <w:uiPriority w:val="0"/>
    <w:rPr>
      <w:rFonts w:ascii="Tahoma" w:hAnsi="Tahoma" w:cs="Tahoma"/>
      <w:sz w:val="24"/>
    </w:rPr>
  </w:style>
  <w:style w:type="paragraph" w:customStyle="1" w:styleId="299">
    <w:name w:val="xl47"/>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00">
    <w:name w:val="font11"/>
    <w:basedOn w:val="1"/>
    <w:autoRedefine/>
    <w:qFormat/>
    <w:uiPriority w:val="0"/>
    <w:pPr>
      <w:widowControl/>
      <w:spacing w:before="100" w:beforeAutospacing="1" w:after="100" w:afterAutospacing="1"/>
      <w:jc w:val="left"/>
    </w:pPr>
    <w:rPr>
      <w:b/>
      <w:bCs/>
      <w:kern w:val="0"/>
      <w:sz w:val="18"/>
      <w:szCs w:val="18"/>
    </w:rPr>
  </w:style>
  <w:style w:type="paragraph" w:customStyle="1" w:styleId="301">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02">
    <w:name w:val="标题 4宋体"/>
    <w:basedOn w:val="9"/>
    <w:autoRedefine/>
    <w:qFormat/>
    <w:uiPriority w:val="0"/>
    <w:pPr>
      <w:keepLines w:val="0"/>
      <w:autoSpaceDE w:val="0"/>
      <w:autoSpaceDN w:val="0"/>
      <w:adjustRightInd w:val="0"/>
      <w:spacing w:before="0" w:after="0" w:line="360" w:lineRule="auto"/>
      <w:jc w:val="left"/>
    </w:pPr>
    <w:rPr>
      <w:rFonts w:ascii="宋体" w:hAnsi="宋体" w:eastAsia="宋体"/>
      <w:bCs/>
      <w:color w:val="000000"/>
      <w:kern w:val="0"/>
      <w:sz w:val="24"/>
    </w:rPr>
  </w:style>
  <w:style w:type="paragraph" w:customStyle="1" w:styleId="303">
    <w:name w:val="xl3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04">
    <w:name w:val="方案正文"/>
    <w:basedOn w:val="1"/>
    <w:autoRedefine/>
    <w:qFormat/>
    <w:uiPriority w:val="0"/>
    <w:pPr>
      <w:spacing w:before="156" w:line="360" w:lineRule="auto"/>
      <w:ind w:firstLine="359" w:firstLineChars="171"/>
      <w:jc w:val="left"/>
    </w:pPr>
    <w:rPr>
      <w:rFonts w:ascii="Arial" w:hAnsi="Arial" w:cs="宋体"/>
      <w:sz w:val="24"/>
      <w:szCs w:val="21"/>
    </w:rPr>
  </w:style>
  <w:style w:type="paragraph" w:customStyle="1" w:styleId="305">
    <w:name w:val="xl3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i/>
      <w:iCs/>
      <w:kern w:val="0"/>
      <w:sz w:val="20"/>
    </w:rPr>
  </w:style>
  <w:style w:type="paragraph" w:customStyle="1" w:styleId="306">
    <w:name w:val="普通文字"/>
    <w:basedOn w:val="1"/>
    <w:next w:val="1"/>
    <w:autoRedefine/>
    <w:qFormat/>
    <w:uiPriority w:val="0"/>
    <w:rPr>
      <w:rFonts w:ascii="宋体" w:hAnsi="宋体" w:cs="宋体"/>
      <w:kern w:val="0"/>
      <w:sz w:val="24"/>
      <w:u w:color="000000"/>
    </w:rPr>
  </w:style>
  <w:style w:type="paragraph" w:customStyle="1" w:styleId="307">
    <w:name w:val="xl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08">
    <w:name w:val="font7"/>
    <w:basedOn w:val="1"/>
    <w:autoRedefine/>
    <w:qFormat/>
    <w:uiPriority w:val="0"/>
    <w:pPr>
      <w:widowControl/>
      <w:spacing w:before="100" w:beforeAutospacing="1" w:after="100" w:afterAutospacing="1"/>
      <w:jc w:val="left"/>
    </w:pPr>
    <w:rPr>
      <w:rFonts w:ascii="宋体" w:hAnsi="宋体"/>
      <w:b/>
      <w:bCs/>
      <w:kern w:val="0"/>
      <w:sz w:val="24"/>
      <w:szCs w:val="24"/>
    </w:rPr>
  </w:style>
  <w:style w:type="paragraph" w:customStyle="1" w:styleId="309">
    <w:name w:val="标题3"/>
    <w:basedOn w:val="8"/>
    <w:autoRedefine/>
    <w:qFormat/>
    <w:uiPriority w:val="0"/>
    <w:pPr>
      <w:keepNext w:val="0"/>
      <w:keepLines w:val="0"/>
      <w:spacing w:line="360" w:lineRule="auto"/>
    </w:pPr>
    <w:rPr>
      <w:rFonts w:eastAsia="仿宋_GB2312"/>
      <w:b w:val="0"/>
      <w:bCs/>
      <w:sz w:val="30"/>
      <w:szCs w:val="32"/>
    </w:rPr>
  </w:style>
  <w:style w:type="paragraph" w:customStyle="1" w:styleId="310">
    <w:name w:val="retrait3"/>
    <w:basedOn w:val="1"/>
    <w:autoRedefine/>
    <w:qFormat/>
    <w:uiPriority w:val="0"/>
    <w:pPr>
      <w:widowControl/>
      <w:spacing w:before="20" w:after="20"/>
      <w:ind w:left="851"/>
      <w:jc w:val="left"/>
    </w:pPr>
    <w:rPr>
      <w:rFonts w:ascii="Arial" w:hAnsi="Arial"/>
      <w:kern w:val="0"/>
      <w:sz w:val="24"/>
      <w:lang w:val="en-GB"/>
    </w:rPr>
  </w:style>
  <w:style w:type="paragraph" w:customStyle="1" w:styleId="311">
    <w:name w:val="项目符号，一级"/>
    <w:basedOn w:val="263"/>
    <w:next w:val="263"/>
    <w:autoRedefine/>
    <w:qFormat/>
    <w:uiPriority w:val="0"/>
    <w:pPr>
      <w:tabs>
        <w:tab w:val="left" w:pos="1320"/>
      </w:tabs>
      <w:spacing w:line="240" w:lineRule="atLeast"/>
      <w:ind w:left="376" w:leftChars="179" w:firstLine="0"/>
    </w:pPr>
    <w:rPr>
      <w:bCs w:val="0"/>
      <w:color w:val="000000"/>
      <w:szCs w:val="24"/>
    </w:rPr>
  </w:style>
  <w:style w:type="paragraph" w:customStyle="1" w:styleId="312">
    <w:name w:val="xl4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13">
    <w:name w:val="正文文本 22"/>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14">
    <w:name w:val="xl4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15">
    <w:name w:val="表头_5"/>
    <w:basedOn w:val="1"/>
    <w:autoRedefine/>
    <w:qFormat/>
    <w:uiPriority w:val="0"/>
    <w:pPr>
      <w:adjustRightInd w:val="0"/>
      <w:spacing w:line="360" w:lineRule="auto"/>
      <w:textAlignment w:val="baseline"/>
    </w:pPr>
    <w:rPr>
      <w:b/>
      <w:bCs/>
      <w:sz w:val="28"/>
      <w:szCs w:val="21"/>
    </w:rPr>
  </w:style>
  <w:style w:type="paragraph" w:customStyle="1" w:styleId="316">
    <w:name w:val="xl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317">
    <w:name w:val="_Style 42"/>
    <w:basedOn w:val="1"/>
    <w:next w:val="26"/>
    <w:autoRedefine/>
    <w:qFormat/>
    <w:uiPriority w:val="0"/>
    <w:rPr>
      <w:rFonts w:ascii="楷体_GB2312" w:hAnsi="Arial" w:eastAsia="楷体_GB2312"/>
      <w:sz w:val="28"/>
    </w:rPr>
  </w:style>
  <w:style w:type="paragraph" w:customStyle="1" w:styleId="318">
    <w:name w:val="xl3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319">
    <w:name w:val="Item List Char Char"/>
    <w:autoRedefine/>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320">
    <w:name w:val="标题4，章节第四层"/>
    <w:basedOn w:val="1"/>
    <w:next w:val="1"/>
    <w:autoRedefine/>
    <w:qFormat/>
    <w:uiPriority w:val="0"/>
    <w:pPr>
      <w:tabs>
        <w:tab w:val="left" w:pos="0"/>
      </w:tabs>
      <w:spacing w:line="360" w:lineRule="auto"/>
      <w:outlineLvl w:val="3"/>
    </w:pPr>
    <w:rPr>
      <w:rFonts w:ascii="宋体" w:hAnsi="宋体"/>
      <w:b/>
      <w:sz w:val="24"/>
      <w:szCs w:val="24"/>
    </w:rPr>
  </w:style>
  <w:style w:type="paragraph" w:customStyle="1" w:styleId="321">
    <w:name w:val="p0"/>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322">
    <w:name w:val="qw"/>
    <w:autoRedefine/>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323">
    <w:name w:val="样式 段后: 0.25 行"/>
    <w:basedOn w:val="1"/>
    <w:autoRedefine/>
    <w:qFormat/>
    <w:uiPriority w:val="0"/>
    <w:pPr>
      <w:widowControl/>
      <w:spacing w:afterLines="25" w:line="300" w:lineRule="auto"/>
      <w:ind w:firstLine="420" w:firstLineChars="200"/>
      <w:jc w:val="left"/>
    </w:pPr>
    <w:rPr>
      <w:rFonts w:ascii="Arial" w:hAnsi="Arial" w:cs="宋体"/>
      <w:kern w:val="0"/>
      <w:sz w:val="22"/>
      <w:lang w:eastAsia="en-US"/>
    </w:rPr>
  </w:style>
  <w:style w:type="paragraph" w:customStyle="1" w:styleId="324">
    <w:name w:val="Char Char Char Char Char Char Char Char Char Char Char Char Char"/>
    <w:basedOn w:val="21"/>
    <w:autoRedefine/>
    <w:qFormat/>
    <w:uiPriority w:val="0"/>
    <w:rPr>
      <w:rFonts w:ascii="Tahoma" w:hAnsi="Tahoma"/>
      <w:sz w:val="24"/>
      <w:szCs w:val="24"/>
    </w:rPr>
  </w:style>
  <w:style w:type="paragraph" w:customStyle="1" w:styleId="325">
    <w:name w:val="xl3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i/>
      <w:iCs/>
      <w:kern w:val="0"/>
      <w:sz w:val="20"/>
    </w:rPr>
  </w:style>
  <w:style w:type="paragraph" w:customStyle="1" w:styleId="326">
    <w:name w:val="段落"/>
    <w:basedOn w:val="1"/>
    <w:autoRedefine/>
    <w:qFormat/>
    <w:uiPriority w:val="0"/>
    <w:pPr>
      <w:spacing w:line="460" w:lineRule="exact"/>
      <w:ind w:firstLine="480"/>
    </w:pPr>
    <w:rPr>
      <w:sz w:val="24"/>
    </w:rPr>
  </w:style>
  <w:style w:type="paragraph" w:customStyle="1" w:styleId="327">
    <w:name w:val="列出段落1"/>
    <w:basedOn w:val="1"/>
    <w:autoRedefine/>
    <w:qFormat/>
    <w:uiPriority w:val="0"/>
    <w:pPr>
      <w:widowControl/>
      <w:ind w:left="720"/>
      <w:contextualSpacing/>
      <w:jc w:val="left"/>
    </w:pPr>
    <w:rPr>
      <w:rFonts w:ascii="Arial" w:hAnsi="Arial" w:eastAsia="黑体"/>
      <w:kern w:val="0"/>
      <w:sz w:val="24"/>
      <w:szCs w:val="24"/>
      <w:lang w:eastAsia="en-US"/>
    </w:rPr>
  </w:style>
  <w:style w:type="paragraph" w:customStyle="1" w:styleId="328">
    <w:name w:val="xl51"/>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329">
    <w:name w:val="7"/>
    <w:basedOn w:val="1"/>
    <w:next w:val="56"/>
    <w:autoRedefine/>
    <w:qFormat/>
    <w:uiPriority w:val="0"/>
    <w:pPr>
      <w:widowControl/>
      <w:spacing w:before="100" w:beforeAutospacing="1" w:after="100" w:afterAutospacing="1"/>
      <w:jc w:val="left"/>
    </w:pPr>
    <w:rPr>
      <w:rFonts w:ascii="宋体" w:hAnsi="宋体"/>
      <w:kern w:val="0"/>
      <w:sz w:val="24"/>
    </w:rPr>
  </w:style>
  <w:style w:type="paragraph" w:customStyle="1" w:styleId="330">
    <w:name w:val="font9"/>
    <w:basedOn w:val="1"/>
    <w:autoRedefine/>
    <w:qFormat/>
    <w:uiPriority w:val="0"/>
    <w:pPr>
      <w:widowControl/>
      <w:spacing w:before="100" w:beforeAutospacing="1" w:after="100" w:afterAutospacing="1"/>
      <w:jc w:val="left"/>
    </w:pPr>
    <w:rPr>
      <w:b/>
      <w:bCs/>
      <w:kern w:val="0"/>
      <w:sz w:val="20"/>
    </w:rPr>
  </w:style>
  <w:style w:type="paragraph" w:customStyle="1" w:styleId="331">
    <w:name w:val="xl55"/>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332">
    <w:name w:val="Char1 Char Char Char"/>
    <w:basedOn w:val="1"/>
    <w:autoRedefine/>
    <w:qFormat/>
    <w:uiPriority w:val="0"/>
    <w:rPr>
      <w:rFonts w:ascii="Tahoma" w:hAnsi="Tahoma"/>
      <w:sz w:val="24"/>
    </w:rPr>
  </w:style>
  <w:style w:type="paragraph" w:customStyle="1" w:styleId="333">
    <w:name w:val="表蕊"/>
    <w:basedOn w:val="1"/>
    <w:autoRedefine/>
    <w:qFormat/>
    <w:uiPriority w:val="0"/>
    <w:pPr>
      <w:adjustRightInd w:val="0"/>
      <w:spacing w:line="320" w:lineRule="atLeast"/>
      <w:jc w:val="left"/>
      <w:textAlignment w:val="baseline"/>
    </w:pPr>
    <w:rPr>
      <w:rFonts w:eastAsia="楷体_GB2312"/>
      <w:spacing w:val="-10"/>
      <w:kern w:val="0"/>
    </w:rPr>
  </w:style>
  <w:style w:type="paragraph" w:customStyle="1" w:styleId="334">
    <w:name w:val="样式2"/>
    <w:basedOn w:val="1"/>
    <w:autoRedefine/>
    <w:qFormat/>
    <w:uiPriority w:val="0"/>
    <w:pPr>
      <w:spacing w:line="360" w:lineRule="auto"/>
      <w:ind w:left="200" w:leftChars="200"/>
    </w:pPr>
    <w:rPr>
      <w:rFonts w:ascii="宋体" w:hAnsi="宋体"/>
      <w:b/>
      <w:sz w:val="24"/>
      <w:szCs w:val="24"/>
    </w:rPr>
  </w:style>
  <w:style w:type="paragraph" w:customStyle="1" w:styleId="335">
    <w:name w:val="条1"/>
    <w:basedOn w:val="1"/>
    <w:autoRedefine/>
    <w:qFormat/>
    <w:uiPriority w:val="0"/>
    <w:pPr>
      <w:tabs>
        <w:tab w:val="left" w:pos="780"/>
      </w:tabs>
      <w:spacing w:before="156" w:line="360" w:lineRule="auto"/>
      <w:ind w:left="780" w:hanging="360"/>
    </w:pPr>
    <w:rPr>
      <w:rFonts w:eastAsia="黑体"/>
      <w:sz w:val="24"/>
    </w:rPr>
  </w:style>
  <w:style w:type="paragraph" w:customStyle="1" w:styleId="336">
    <w:name w:val="正文文本 21"/>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37">
    <w:name w:val="zw"/>
    <w:basedOn w:val="1"/>
    <w:autoRedefine/>
    <w:qFormat/>
    <w:uiPriority w:val="0"/>
    <w:pPr>
      <w:widowControl/>
      <w:spacing w:line="360" w:lineRule="auto"/>
      <w:ind w:firstLine="480" w:firstLineChars="200"/>
      <w:jc w:val="left"/>
    </w:pPr>
    <w:rPr>
      <w:rFonts w:ascii="宋体" w:hAnsi="宋体"/>
      <w:bCs/>
      <w:kern w:val="0"/>
      <w:sz w:val="24"/>
    </w:rPr>
  </w:style>
  <w:style w:type="paragraph" w:customStyle="1" w:styleId="338">
    <w:name w:val="样式 加点正文 + 段前: 0.5 行 段后: 0.5 行1"/>
    <w:basedOn w:val="1"/>
    <w:autoRedefine/>
    <w:qFormat/>
    <w:uiPriority w:val="0"/>
    <w:pPr>
      <w:numPr>
        <w:ilvl w:val="0"/>
        <w:numId w:val="2"/>
      </w:numPr>
      <w:tabs>
        <w:tab w:val="left" w:pos="1268"/>
      </w:tabs>
      <w:spacing w:beforeLines="50" w:afterLines="50" w:line="300" w:lineRule="auto"/>
      <w:ind w:left="1268"/>
    </w:pPr>
    <w:rPr>
      <w:sz w:val="24"/>
    </w:rPr>
  </w:style>
  <w:style w:type="paragraph" w:customStyle="1" w:styleId="339">
    <w:name w:val="xl60"/>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340">
    <w:name w:val="1"/>
    <w:basedOn w:val="1"/>
    <w:next w:val="54"/>
    <w:autoRedefine/>
    <w:qFormat/>
    <w:uiPriority w:val="0"/>
    <w:pPr>
      <w:spacing w:line="360" w:lineRule="auto"/>
    </w:pPr>
    <w:rPr>
      <w:rFonts w:eastAsia="仿宋_GB2312"/>
      <w:sz w:val="24"/>
      <w:szCs w:val="24"/>
    </w:rPr>
  </w:style>
  <w:style w:type="paragraph" w:customStyle="1" w:styleId="341">
    <w:name w:val="正文 New New New New New New New New New New New New New New"/>
    <w:autoRedefine/>
    <w:qFormat/>
    <w:uiPriority w:val="0"/>
    <w:pPr>
      <w:widowControl w:val="0"/>
      <w:jc w:val="both"/>
    </w:pPr>
    <w:rPr>
      <w:rFonts w:ascii="Calibri" w:hAnsi="Calibri" w:eastAsia="宋体" w:cs="Times New Roman"/>
      <w:kern w:val="2"/>
      <w:sz w:val="21"/>
      <w:lang w:val="en-US" w:eastAsia="zh-CN" w:bidi="ar-SA"/>
    </w:rPr>
  </w:style>
  <w:style w:type="paragraph" w:customStyle="1" w:styleId="342">
    <w:name w:val="a"/>
    <w:basedOn w:val="1"/>
    <w:autoRedefine/>
    <w:qFormat/>
    <w:uiPriority w:val="0"/>
    <w:pPr>
      <w:widowControl/>
      <w:spacing w:before="100" w:beforeAutospacing="1" w:after="100" w:afterAutospacing="1"/>
    </w:pPr>
    <w:rPr>
      <w:rFonts w:ascii="宋体" w:hAnsi="宋体" w:cs="宋体"/>
      <w:kern w:val="0"/>
      <w:sz w:val="24"/>
      <w:szCs w:val="24"/>
    </w:rPr>
  </w:style>
  <w:style w:type="paragraph" w:customStyle="1" w:styleId="343">
    <w:name w:val="font5"/>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344">
    <w:name w:val="小四 段落 宋体 Char"/>
    <w:basedOn w:val="19"/>
    <w:autoRedefine/>
    <w:qFormat/>
    <w:uiPriority w:val="0"/>
    <w:pPr>
      <w:tabs>
        <w:tab w:val="clear" w:pos="2952"/>
      </w:tabs>
      <w:ind w:left="0" w:right="-33" w:firstLine="600" w:firstLineChars="200"/>
      <w:jc w:val="left"/>
    </w:pPr>
    <w:rPr>
      <w:rFonts w:ascii="仿宋_GB2312" w:eastAsia="仿宋_GB2312"/>
      <w:sz w:val="30"/>
      <w:szCs w:val="30"/>
    </w:rPr>
  </w:style>
  <w:style w:type="paragraph" w:customStyle="1" w:styleId="345">
    <w:name w:val="xl49"/>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46">
    <w:name w:val="a0"/>
    <w:basedOn w:val="1"/>
    <w:autoRedefine/>
    <w:qFormat/>
    <w:uiPriority w:val="0"/>
    <w:pPr>
      <w:widowControl/>
      <w:spacing w:before="100" w:beforeAutospacing="1" w:after="100" w:afterAutospacing="1"/>
    </w:pPr>
    <w:rPr>
      <w:rFonts w:ascii="宋体" w:hAnsi="宋体" w:cs="宋体"/>
      <w:kern w:val="0"/>
      <w:sz w:val="24"/>
      <w:szCs w:val="24"/>
    </w:rPr>
  </w:style>
  <w:style w:type="paragraph" w:customStyle="1" w:styleId="347">
    <w:name w:val="公文正文"/>
    <w:basedOn w:val="6"/>
    <w:autoRedefine/>
    <w:qFormat/>
    <w:uiPriority w:val="0"/>
    <w:pPr>
      <w:ind w:firstLine="200" w:firstLineChars="200"/>
    </w:pPr>
    <w:rPr>
      <w:rFonts w:ascii="仿宋_GB2312" w:hAnsi="宋体" w:eastAsia="仿宋_GB2312"/>
      <w:kern w:val="28"/>
      <w:sz w:val="28"/>
      <w:szCs w:val="24"/>
    </w:rPr>
  </w:style>
  <w:style w:type="paragraph" w:customStyle="1" w:styleId="348">
    <w:name w:val="马刚标题4"/>
    <w:basedOn w:val="349"/>
    <w:next w:val="1"/>
    <w:autoRedefine/>
    <w:qFormat/>
    <w:uiPriority w:val="0"/>
    <w:pPr>
      <w:tabs>
        <w:tab w:val="left" w:pos="567"/>
        <w:tab w:val="left" w:pos="735"/>
        <w:tab w:val="left" w:pos="1050"/>
      </w:tabs>
      <w:spacing w:before="100" w:after="40"/>
      <w:outlineLvl w:val="3"/>
    </w:pPr>
    <w:rPr>
      <w:b w:val="0"/>
    </w:rPr>
  </w:style>
  <w:style w:type="paragraph" w:customStyle="1" w:styleId="349">
    <w:name w:val="马刚标题3"/>
    <w:basedOn w:val="1"/>
    <w:next w:val="1"/>
    <w:autoRedefine/>
    <w:qFormat/>
    <w:uiPriority w:val="0"/>
    <w:pPr>
      <w:keepNext/>
      <w:keepLines/>
      <w:tabs>
        <w:tab w:val="left" w:pos="567"/>
        <w:tab w:val="left" w:pos="735"/>
      </w:tabs>
      <w:spacing w:before="120" w:after="60" w:line="413" w:lineRule="auto"/>
      <w:ind w:left="567" w:hanging="567"/>
      <w:jc w:val="left"/>
      <w:outlineLvl w:val="2"/>
    </w:pPr>
    <w:rPr>
      <w:rFonts w:ascii="黑体" w:hAnsi="Arial" w:eastAsia="黑体"/>
      <w:b/>
      <w:bCs/>
      <w:sz w:val="24"/>
    </w:rPr>
  </w:style>
  <w:style w:type="paragraph" w:customStyle="1" w:styleId="350">
    <w:name w:val="xl46"/>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51">
    <w:name w:val="font10"/>
    <w:basedOn w:val="1"/>
    <w:autoRedefine/>
    <w:qFormat/>
    <w:uiPriority w:val="0"/>
    <w:pPr>
      <w:widowControl/>
      <w:spacing w:before="100" w:beforeAutospacing="1" w:after="100" w:afterAutospacing="1"/>
      <w:jc w:val="left"/>
    </w:pPr>
    <w:rPr>
      <w:rFonts w:ascii="楷体_GB2312" w:hAnsi="宋体" w:eastAsia="楷体_GB2312" w:cs="宋体"/>
      <w:b/>
      <w:bCs/>
      <w:kern w:val="0"/>
      <w:sz w:val="18"/>
      <w:szCs w:val="18"/>
    </w:rPr>
  </w:style>
  <w:style w:type="paragraph" w:customStyle="1" w:styleId="352">
    <w:name w:val="font12"/>
    <w:basedOn w:val="1"/>
    <w:autoRedefine/>
    <w:qFormat/>
    <w:uiPriority w:val="0"/>
    <w:pPr>
      <w:widowControl/>
      <w:spacing w:before="100" w:beforeAutospacing="1" w:after="100" w:afterAutospacing="1"/>
      <w:jc w:val="left"/>
    </w:pPr>
    <w:rPr>
      <w:rFonts w:ascii="宋体" w:hAnsi="宋体" w:cs="宋体"/>
      <w:kern w:val="0"/>
      <w:sz w:val="36"/>
      <w:szCs w:val="36"/>
    </w:rPr>
  </w:style>
  <w:style w:type="paragraph" w:customStyle="1" w:styleId="353">
    <w:name w:val="Item Step in Table"/>
    <w:autoRedefine/>
    <w:qFormat/>
    <w:uiPriority w:val="0"/>
    <w:pPr>
      <w:numPr>
        <w:ilvl w:val="0"/>
        <w:numId w:val="3"/>
      </w:numPr>
      <w:spacing w:before="40" w:after="40"/>
      <w:jc w:val="both"/>
    </w:pPr>
    <w:rPr>
      <w:rFonts w:ascii="Arial" w:hAnsi="Arial" w:eastAsia="宋体" w:cs="Arial"/>
      <w:sz w:val="18"/>
      <w:szCs w:val="18"/>
      <w:lang w:val="en-US" w:eastAsia="zh-CN" w:bidi="ar-SA"/>
    </w:rPr>
  </w:style>
  <w:style w:type="paragraph" w:customStyle="1" w:styleId="354">
    <w:name w:val="丁华标题3"/>
    <w:basedOn w:val="355"/>
    <w:next w:val="244"/>
    <w:autoRedefine/>
    <w:qFormat/>
    <w:uiPriority w:val="0"/>
    <w:pPr>
      <w:numPr>
        <w:ilvl w:val="2"/>
      </w:numPr>
      <w:tabs>
        <w:tab w:val="left" w:pos="1004"/>
        <w:tab w:val="left" w:pos="1470"/>
        <w:tab w:val="left" w:pos="1980"/>
      </w:tabs>
      <w:spacing w:after="0"/>
      <w:ind w:left="1980" w:hanging="420"/>
      <w:outlineLvl w:val="2"/>
    </w:pPr>
    <w:rPr>
      <w:sz w:val="24"/>
    </w:rPr>
  </w:style>
  <w:style w:type="paragraph" w:customStyle="1" w:styleId="355">
    <w:name w:val="丁华标题2"/>
    <w:basedOn w:val="3"/>
    <w:next w:val="244"/>
    <w:autoRedefine/>
    <w:qFormat/>
    <w:uiPriority w:val="0"/>
    <w:pPr>
      <w:numPr>
        <w:ilvl w:val="1"/>
        <w:numId w:val="4"/>
      </w:numPr>
      <w:spacing w:line="413" w:lineRule="auto"/>
    </w:pPr>
    <w:rPr>
      <w:rFonts w:ascii="Arial" w:hAnsi="Arial" w:eastAsia="黑体"/>
      <w:b w:val="0"/>
      <w:sz w:val="28"/>
      <w:szCs w:val="20"/>
    </w:rPr>
  </w:style>
  <w:style w:type="paragraph" w:customStyle="1" w:styleId="356">
    <w:name w:val="修订1"/>
    <w:autoRedefine/>
    <w:qFormat/>
    <w:uiPriority w:val="0"/>
    <w:rPr>
      <w:rFonts w:ascii="Times New Roman" w:hAnsi="Times New Roman" w:eastAsia="宋体" w:cs="Times New Roman"/>
      <w:kern w:val="2"/>
      <w:sz w:val="21"/>
      <w:szCs w:val="24"/>
      <w:lang w:val="en-US" w:eastAsia="zh-CN" w:bidi="ar-SA"/>
    </w:rPr>
  </w:style>
  <w:style w:type="paragraph" w:customStyle="1" w:styleId="357">
    <w:name w:val="Char"/>
    <w:basedOn w:val="1"/>
    <w:autoRedefine/>
    <w:qFormat/>
    <w:uiPriority w:val="0"/>
    <w:pPr>
      <w:spacing w:afterLines="50" w:line="360" w:lineRule="auto"/>
    </w:pPr>
    <w:rPr>
      <w:rFonts w:ascii="Tahoma" w:hAnsi="Tahoma"/>
      <w:sz w:val="24"/>
    </w:rPr>
  </w:style>
  <w:style w:type="paragraph" w:customStyle="1" w:styleId="358">
    <w:name w:val="项目符号，二级"/>
    <w:basedOn w:val="263"/>
    <w:next w:val="263"/>
    <w:autoRedefine/>
    <w:qFormat/>
    <w:uiPriority w:val="0"/>
    <w:pPr>
      <w:numPr>
        <w:ilvl w:val="0"/>
        <w:numId w:val="4"/>
      </w:numPr>
      <w:tabs>
        <w:tab w:val="left" w:pos="1211"/>
        <w:tab w:val="left" w:pos="1337"/>
      </w:tabs>
      <w:ind w:left="1337" w:right="-27" w:firstLine="480"/>
    </w:pPr>
    <w:rPr>
      <w:bCs w:val="0"/>
      <w:color w:val="000000"/>
      <w:sz w:val="24"/>
      <w:szCs w:val="24"/>
    </w:rPr>
  </w:style>
  <w:style w:type="paragraph" w:customStyle="1" w:styleId="359">
    <w:name w:val="_Style 1"/>
    <w:basedOn w:val="1"/>
    <w:autoRedefine/>
    <w:qFormat/>
    <w:uiPriority w:val="0"/>
    <w:pPr>
      <w:ind w:firstLine="420" w:firstLineChars="200"/>
    </w:pPr>
    <w:rPr>
      <w:rFonts w:ascii="Calibri" w:hAnsi="Calibri"/>
      <w:szCs w:val="22"/>
    </w:rPr>
  </w:style>
  <w:style w:type="paragraph" w:customStyle="1" w:styleId="360">
    <w:name w:val="Char Char Char Char Char Char Char Char Char Char Char Char Char Char1"/>
    <w:basedOn w:val="1"/>
    <w:autoRedefine/>
    <w:qFormat/>
    <w:uiPriority w:val="0"/>
    <w:rPr>
      <w:rFonts w:ascii="Tahoma" w:hAnsi="Tahoma" w:cs="Tahoma"/>
      <w:sz w:val="24"/>
    </w:rPr>
  </w:style>
  <w:style w:type="paragraph" w:customStyle="1" w:styleId="361">
    <w:name w:val="Char Char Char Char Char1"/>
    <w:basedOn w:val="1"/>
    <w:autoRedefine/>
    <w:qFormat/>
    <w:uiPriority w:val="0"/>
    <w:rPr>
      <w:rFonts w:ascii="Tahoma" w:hAnsi="Tahoma" w:cs="Tahoma"/>
      <w:sz w:val="24"/>
    </w:rPr>
  </w:style>
  <w:style w:type="paragraph" w:customStyle="1" w:styleId="362">
    <w:name w:val="xl3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rPr>
  </w:style>
  <w:style w:type="paragraph" w:customStyle="1" w:styleId="363">
    <w:name w:val="xl4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64">
    <w:name w:val="符号与编号"/>
    <w:basedOn w:val="1"/>
    <w:autoRedefine/>
    <w:qFormat/>
    <w:uiPriority w:val="0"/>
    <w:pPr>
      <w:tabs>
        <w:tab w:val="left" w:pos="900"/>
      </w:tabs>
      <w:spacing w:afterLines="50" w:line="400" w:lineRule="atLeast"/>
      <w:ind w:left="900" w:hanging="420"/>
    </w:pPr>
    <w:rPr>
      <w:sz w:val="24"/>
      <w:szCs w:val="24"/>
    </w:rPr>
  </w:style>
  <w:style w:type="paragraph" w:customStyle="1" w:styleId="365">
    <w:name w:val="样式1"/>
    <w:basedOn w:val="1"/>
    <w:autoRedefine/>
    <w:qFormat/>
    <w:uiPriority w:val="0"/>
    <w:pPr>
      <w:spacing w:line="300" w:lineRule="auto"/>
      <w:ind w:firstLine="480" w:firstLineChars="200"/>
    </w:pPr>
    <w:rPr>
      <w:sz w:val="24"/>
      <w:szCs w:val="24"/>
    </w:rPr>
  </w:style>
  <w:style w:type="paragraph" w:customStyle="1" w:styleId="366">
    <w:name w:val="Bullets L1"/>
    <w:basedOn w:val="1"/>
    <w:autoRedefine/>
    <w:qFormat/>
    <w:uiPriority w:val="0"/>
    <w:pPr>
      <w:widowControl/>
      <w:numPr>
        <w:ilvl w:val="0"/>
        <w:numId w:val="5"/>
      </w:numPr>
      <w:spacing w:before="60" w:after="60"/>
      <w:jc w:val="left"/>
    </w:pPr>
    <w:rPr>
      <w:rFonts w:ascii="Arial" w:hAnsi="Arial"/>
      <w:kern w:val="0"/>
      <w:sz w:val="20"/>
    </w:rPr>
  </w:style>
  <w:style w:type="paragraph" w:customStyle="1" w:styleId="367">
    <w:name w:val="xl53"/>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pPr>
    <w:rPr>
      <w:b/>
      <w:bCs/>
      <w:i/>
      <w:iCs/>
      <w:kern w:val="0"/>
      <w:sz w:val="20"/>
    </w:rPr>
  </w:style>
  <w:style w:type="paragraph" w:customStyle="1" w:styleId="368">
    <w:name w:val="xl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69">
    <w:name w:val="正文 首行缩进:  2 字符 Char"/>
    <w:basedOn w:val="1"/>
    <w:autoRedefine/>
    <w:qFormat/>
    <w:uiPriority w:val="0"/>
    <w:pPr>
      <w:spacing w:line="360" w:lineRule="auto"/>
      <w:ind w:firstLine="480"/>
    </w:pPr>
    <w:rPr>
      <w:rFonts w:cs="宋体"/>
      <w:sz w:val="24"/>
    </w:rPr>
  </w:style>
  <w:style w:type="paragraph" w:customStyle="1" w:styleId="370">
    <w:name w:val="Char2"/>
    <w:basedOn w:val="1"/>
    <w:autoRedefine/>
    <w:qFormat/>
    <w:uiPriority w:val="0"/>
    <w:rPr>
      <w:rFonts w:ascii="Tahoma" w:hAnsi="Tahoma" w:cs="仿宋_GB2312"/>
      <w:sz w:val="24"/>
      <w:szCs w:val="28"/>
    </w:rPr>
  </w:style>
  <w:style w:type="paragraph" w:customStyle="1" w:styleId="371">
    <w:name w:val="正文文本 New New"/>
    <w:basedOn w:val="1"/>
    <w:autoRedefine/>
    <w:qFormat/>
    <w:uiPriority w:val="0"/>
    <w:pPr>
      <w:widowControl/>
      <w:spacing w:before="60" w:after="60" w:line="360" w:lineRule="auto"/>
      <w:ind w:firstLine="200" w:firstLineChars="200"/>
    </w:pPr>
    <w:rPr>
      <w:rFonts w:eastAsia="华文楷体"/>
      <w:sz w:val="24"/>
      <w:szCs w:val="24"/>
    </w:rPr>
  </w:style>
  <w:style w:type="paragraph" w:customStyle="1" w:styleId="372">
    <w:name w:val="正文 + Arial Char"/>
    <w:basedOn w:val="1"/>
    <w:autoRedefine/>
    <w:qFormat/>
    <w:uiPriority w:val="0"/>
    <w:pPr>
      <w:widowControl/>
      <w:tabs>
        <w:tab w:val="left" w:pos="315"/>
      </w:tabs>
      <w:spacing w:line="300" w:lineRule="auto"/>
      <w:ind w:left="315" w:hanging="315"/>
    </w:pPr>
    <w:rPr>
      <w:rFonts w:ascii="Arial" w:hAnsi="Arial" w:cs="Arial"/>
      <w:b/>
      <w:color w:val="000000"/>
    </w:rPr>
  </w:style>
  <w:style w:type="paragraph" w:customStyle="1" w:styleId="373">
    <w:name w:val="正文 首行缩进:  2 字符 Char Char"/>
    <w:basedOn w:val="1"/>
    <w:autoRedefine/>
    <w:qFormat/>
    <w:uiPriority w:val="0"/>
    <w:pPr>
      <w:spacing w:line="360" w:lineRule="auto"/>
      <w:ind w:firstLine="480"/>
    </w:pPr>
    <w:rPr>
      <w:rFonts w:ascii="楷体_GB2312" w:eastAsia="楷体_GB2312"/>
      <w:bCs/>
      <w:sz w:val="24"/>
      <w:szCs w:val="24"/>
    </w:rPr>
  </w:style>
  <w:style w:type="paragraph" w:customStyle="1" w:styleId="374">
    <w:name w:val="论文正文"/>
    <w:basedOn w:val="35"/>
    <w:autoRedefine/>
    <w:qFormat/>
    <w:uiPriority w:val="0"/>
    <w:pPr>
      <w:spacing w:line="360" w:lineRule="auto"/>
      <w:ind w:left="0" w:firstLine="200" w:firstLineChars="200"/>
      <w:jc w:val="left"/>
    </w:pPr>
    <w:rPr>
      <w:sz w:val="28"/>
      <w:szCs w:val="24"/>
    </w:rPr>
  </w:style>
  <w:style w:type="paragraph" w:customStyle="1" w:styleId="375">
    <w:name w:val="列出段落3"/>
    <w:basedOn w:val="1"/>
    <w:autoRedefine/>
    <w:qFormat/>
    <w:uiPriority w:val="0"/>
    <w:pPr>
      <w:ind w:firstLine="420" w:firstLineChars="200"/>
    </w:pPr>
    <w:rPr>
      <w:szCs w:val="24"/>
    </w:rPr>
  </w:style>
  <w:style w:type="paragraph" w:customStyle="1" w:styleId="376">
    <w:name w:val="丁华标题1"/>
    <w:basedOn w:val="2"/>
    <w:next w:val="244"/>
    <w:autoRedefine/>
    <w:qFormat/>
    <w:uiPriority w:val="0"/>
    <w:pPr>
      <w:keepLines/>
      <w:tabs>
        <w:tab w:val="left" w:pos="567"/>
        <w:tab w:val="clear" w:pos="1440"/>
        <w:tab w:val="clear" w:pos="5670"/>
      </w:tabs>
      <w:spacing w:line="576" w:lineRule="auto"/>
      <w:ind w:left="567" w:firstLine="0" w:firstLineChars="0"/>
      <w:jc w:val="left"/>
    </w:pPr>
    <w:rPr>
      <w:rFonts w:ascii="Times New Roman"/>
      <w:b w:val="0"/>
      <w:sz w:val="32"/>
      <w:szCs w:val="20"/>
    </w:rPr>
  </w:style>
  <w:style w:type="paragraph" w:customStyle="1" w:styleId="377">
    <w:name w:val="插图"/>
    <w:basedOn w:val="1"/>
    <w:autoRedefine/>
    <w:qFormat/>
    <w:uiPriority w:val="0"/>
    <w:pPr>
      <w:tabs>
        <w:tab w:val="left" w:pos="1620"/>
      </w:tabs>
      <w:adjustRightInd w:val="0"/>
      <w:jc w:val="center"/>
    </w:pPr>
    <w:rPr>
      <w:bCs/>
      <w:color w:val="000000"/>
      <w:szCs w:val="22"/>
    </w:rPr>
  </w:style>
  <w:style w:type="paragraph" w:customStyle="1" w:styleId="378">
    <w:name w:val="Table Text Char"/>
    <w:autoRedefine/>
    <w:qFormat/>
    <w:uiPriority w:val="0"/>
    <w:pPr>
      <w:snapToGrid w:val="0"/>
      <w:spacing w:before="80" w:after="80"/>
    </w:pPr>
    <w:rPr>
      <w:rFonts w:ascii="Arial" w:hAnsi="Arial" w:eastAsia="宋体" w:cs="Arial"/>
      <w:sz w:val="18"/>
      <w:szCs w:val="28"/>
      <w:lang w:val="en-US" w:eastAsia="zh-CN" w:bidi="ar-SA"/>
    </w:rPr>
  </w:style>
  <w:style w:type="paragraph" w:customStyle="1" w:styleId="379">
    <w:name w:val="xl2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380">
    <w:name w:val="xl25"/>
    <w:basedOn w:val="1"/>
    <w:autoRedefine/>
    <w:qFormat/>
    <w:uiPriority w:val="0"/>
    <w:pPr>
      <w:widowControl/>
      <w:pBdr>
        <w:right w:val="single" w:color="auto" w:sz="4" w:space="0"/>
      </w:pBdr>
      <w:spacing w:before="100" w:beforeAutospacing="1" w:after="100" w:afterAutospacing="1"/>
      <w:jc w:val="center"/>
    </w:pPr>
    <w:rPr>
      <w:kern w:val="0"/>
      <w:szCs w:val="21"/>
    </w:rPr>
  </w:style>
  <w:style w:type="paragraph" w:customStyle="1" w:styleId="381">
    <w:name w:val="标题2，章节第二层"/>
    <w:basedOn w:val="1"/>
    <w:next w:val="263"/>
    <w:autoRedefine/>
    <w:qFormat/>
    <w:uiPriority w:val="0"/>
    <w:pPr>
      <w:numPr>
        <w:ilvl w:val="4"/>
        <w:numId w:val="3"/>
      </w:numPr>
      <w:tabs>
        <w:tab w:val="left" w:pos="630"/>
        <w:tab w:val="left" w:pos="992"/>
      </w:tabs>
      <w:adjustRightInd w:val="0"/>
      <w:snapToGrid w:val="0"/>
      <w:spacing w:beforeLines="100" w:afterLines="100" w:line="300" w:lineRule="auto"/>
      <w:ind w:left="992" w:hanging="567"/>
      <w:outlineLvl w:val="1"/>
    </w:pPr>
    <w:rPr>
      <w:rFonts w:ascii="Arial" w:hAnsi="Arial" w:eastAsia="黑体"/>
      <w:sz w:val="32"/>
      <w:szCs w:val="24"/>
    </w:rPr>
  </w:style>
  <w:style w:type="paragraph" w:customStyle="1" w:styleId="382">
    <w:name w:val="样式 标题 3H3sect1.2.3BOD 0Heading 3 - oldh3l3CTLevel 3 Head..."/>
    <w:basedOn w:val="8"/>
    <w:autoRedefine/>
    <w:qFormat/>
    <w:uiPriority w:val="0"/>
    <w:pPr>
      <w:spacing w:beforeLines="50" w:afterLines="50"/>
      <w:jc w:val="left"/>
    </w:pPr>
    <w:rPr>
      <w:rFonts w:cs="宋体"/>
      <w:bCs/>
      <w:sz w:val="30"/>
    </w:rPr>
  </w:style>
  <w:style w:type="paragraph" w:customStyle="1" w:styleId="383">
    <w:name w:val="Char Char Char Char Char Char Char Char Char Char Char1"/>
    <w:basedOn w:val="1"/>
    <w:autoRedefine/>
    <w:qFormat/>
    <w:uiPriority w:val="0"/>
    <w:rPr>
      <w:rFonts w:ascii="Tahoma" w:hAnsi="Tahoma"/>
      <w:sz w:val="24"/>
    </w:rPr>
  </w:style>
  <w:style w:type="paragraph" w:customStyle="1" w:styleId="384">
    <w:name w:val="tableau"/>
    <w:basedOn w:val="1"/>
    <w:autoRedefine/>
    <w:qFormat/>
    <w:uiPriority w:val="0"/>
    <w:pPr>
      <w:widowControl/>
      <w:spacing w:before="20" w:after="20"/>
      <w:jc w:val="center"/>
    </w:pPr>
    <w:rPr>
      <w:rFonts w:ascii="Arial" w:hAnsi="Arial"/>
      <w:kern w:val="0"/>
      <w:sz w:val="16"/>
      <w:lang w:val="en-GB" w:eastAsia="en-US"/>
    </w:rPr>
  </w:style>
  <w:style w:type="paragraph" w:customStyle="1" w:styleId="385">
    <w:name w:val="font14"/>
    <w:basedOn w:val="1"/>
    <w:autoRedefine/>
    <w:qFormat/>
    <w:uiPriority w:val="0"/>
    <w:pPr>
      <w:widowControl/>
      <w:spacing w:before="100" w:beforeAutospacing="1" w:after="100" w:afterAutospacing="1"/>
      <w:jc w:val="left"/>
    </w:pPr>
    <w:rPr>
      <w:kern w:val="0"/>
      <w:sz w:val="36"/>
      <w:szCs w:val="36"/>
    </w:rPr>
  </w:style>
  <w:style w:type="paragraph" w:customStyle="1" w:styleId="386">
    <w:name w:val="部分1"/>
    <w:basedOn w:val="1"/>
    <w:autoRedefine/>
    <w:qFormat/>
    <w:uiPriority w:val="0"/>
    <w:pPr>
      <w:keepNext/>
      <w:pageBreakBefore/>
      <w:tabs>
        <w:tab w:val="left" w:pos="360"/>
      </w:tabs>
      <w:spacing w:line="360" w:lineRule="auto"/>
      <w:jc w:val="center"/>
      <w:outlineLvl w:val="0"/>
    </w:pPr>
    <w:rPr>
      <w:rFonts w:eastAsia="黑体"/>
      <w:b/>
      <w:kern w:val="44"/>
      <w:sz w:val="36"/>
    </w:rPr>
  </w:style>
  <w:style w:type="paragraph" w:customStyle="1" w:styleId="387">
    <w:name w:val="样式 样式 首行缩进:  0.74 厘米 行距: 1.5 倍行距 + 段后: 0.5 行"/>
    <w:basedOn w:val="1"/>
    <w:autoRedefine/>
    <w:qFormat/>
    <w:uiPriority w:val="0"/>
    <w:pPr>
      <w:spacing w:line="360" w:lineRule="auto"/>
      <w:ind w:firstLine="420"/>
    </w:pPr>
    <w:rPr>
      <w:rFonts w:ascii="楷体_GB2312" w:eastAsia="楷体_GB2312"/>
      <w:bCs/>
      <w:sz w:val="24"/>
    </w:rPr>
  </w:style>
  <w:style w:type="paragraph" w:customStyle="1" w:styleId="388">
    <w:name w:val="Test2"/>
    <w:basedOn w:val="3"/>
    <w:autoRedefine/>
    <w:qFormat/>
    <w:uiPriority w:val="0"/>
    <w:pPr>
      <w:widowControl/>
      <w:adjustRightInd w:val="0"/>
      <w:snapToGrid w:val="0"/>
      <w:spacing w:beforeLines="50" w:afterLines="50" w:line="480" w:lineRule="exact"/>
    </w:pPr>
    <w:rPr>
      <w:rFonts w:ascii="黑体" w:hAnsi="Arial" w:eastAsia="黑体"/>
      <w:bCs/>
      <w:kern w:val="0"/>
    </w:rPr>
  </w:style>
  <w:style w:type="paragraph" w:customStyle="1" w:styleId="389">
    <w:name w:val="xl3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390">
    <w:name w:val="Body Text 21"/>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91">
    <w:name w:val="Char Char Char Char Char Char Char Char Char Char Char Char Char Char Char Char Char Char Char Char Char Char Char"/>
    <w:basedOn w:val="1"/>
    <w:autoRedefine/>
    <w:qFormat/>
    <w:uiPriority w:val="0"/>
    <w:rPr>
      <w:rFonts w:ascii="Tahoma" w:hAnsi="Tahoma"/>
      <w:sz w:val="24"/>
    </w:rPr>
  </w:style>
  <w:style w:type="paragraph" w:customStyle="1" w:styleId="392">
    <w:name w:val="Default Text"/>
    <w:basedOn w:val="1"/>
    <w:autoRedefine/>
    <w:qFormat/>
    <w:uiPriority w:val="0"/>
    <w:pPr>
      <w:widowControl/>
      <w:jc w:val="left"/>
    </w:pPr>
    <w:rPr>
      <w:kern w:val="0"/>
      <w:sz w:val="24"/>
      <w:lang w:eastAsia="en-US"/>
    </w:rPr>
  </w:style>
  <w:style w:type="paragraph" w:customStyle="1" w:styleId="393">
    <w:name w:val="xl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0"/>
    </w:rPr>
  </w:style>
  <w:style w:type="paragraph" w:customStyle="1" w:styleId="394">
    <w:name w:val="马刚标题1"/>
    <w:basedOn w:val="2"/>
    <w:next w:val="1"/>
    <w:autoRedefine/>
    <w:qFormat/>
    <w:uiPriority w:val="0"/>
    <w:pPr>
      <w:keepLines/>
      <w:tabs>
        <w:tab w:val="left" w:pos="315"/>
        <w:tab w:val="left" w:pos="567"/>
        <w:tab w:val="clear" w:pos="1440"/>
        <w:tab w:val="clear" w:pos="5670"/>
      </w:tabs>
      <w:spacing w:line="576" w:lineRule="auto"/>
      <w:ind w:left="567" w:hanging="567" w:firstLineChars="0"/>
      <w:jc w:val="left"/>
    </w:pPr>
    <w:rPr>
      <w:rFonts w:ascii="Times New Roman"/>
      <w:b w:val="0"/>
      <w:sz w:val="32"/>
      <w:szCs w:val="20"/>
    </w:rPr>
  </w:style>
  <w:style w:type="paragraph" w:customStyle="1" w:styleId="395">
    <w:name w:val="Char11"/>
    <w:basedOn w:val="1"/>
    <w:autoRedefine/>
    <w:qFormat/>
    <w:uiPriority w:val="0"/>
    <w:pPr>
      <w:widowControl/>
      <w:spacing w:after="160" w:line="240" w:lineRule="exact"/>
      <w:jc w:val="left"/>
    </w:pPr>
    <w:rPr>
      <w:rFonts w:ascii="Verdana" w:hAnsi="Verdana" w:eastAsia="仿宋_GB2312"/>
      <w:kern w:val="0"/>
      <w:sz w:val="24"/>
      <w:lang w:eastAsia="en-US"/>
    </w:rPr>
  </w:style>
  <w:style w:type="paragraph" w:customStyle="1" w:styleId="396">
    <w:name w:val="af17cgridlangnp1033langf"/>
    <w:autoRedefine/>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97">
    <w:name w:val="二级条标题"/>
    <w:basedOn w:val="1"/>
    <w:next w:val="257"/>
    <w:autoRedefine/>
    <w:qFormat/>
    <w:uiPriority w:val="0"/>
    <w:pPr>
      <w:widowControl/>
      <w:tabs>
        <w:tab w:val="left" w:pos="2240"/>
      </w:tabs>
      <w:ind w:hanging="420"/>
      <w:outlineLvl w:val="3"/>
    </w:pPr>
    <w:rPr>
      <w:rFonts w:eastAsia="黑体"/>
      <w:kern w:val="0"/>
    </w:rPr>
  </w:style>
  <w:style w:type="paragraph" w:customStyle="1" w:styleId="398">
    <w:name w:val="font8"/>
    <w:basedOn w:val="1"/>
    <w:autoRedefine/>
    <w:qFormat/>
    <w:uiPriority w:val="0"/>
    <w:pPr>
      <w:widowControl/>
      <w:spacing w:before="100" w:beforeAutospacing="1" w:after="100" w:afterAutospacing="1"/>
      <w:jc w:val="left"/>
    </w:pPr>
    <w:rPr>
      <w:rFonts w:ascii="宋体" w:hAnsi="宋体" w:cs="宋体"/>
      <w:b/>
      <w:bCs/>
      <w:i/>
      <w:iCs/>
      <w:kern w:val="0"/>
      <w:sz w:val="20"/>
    </w:rPr>
  </w:style>
  <w:style w:type="paragraph" w:customStyle="1" w:styleId="399">
    <w:name w:val="Pa6"/>
    <w:basedOn w:val="1"/>
    <w:next w:val="1"/>
    <w:autoRedefine/>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400">
    <w:name w:val="TOC 标题1"/>
    <w:basedOn w:val="2"/>
    <w:next w:val="1"/>
    <w:autoRedefine/>
    <w:qFormat/>
    <w:uiPriority w:val="0"/>
    <w:pPr>
      <w:keepLines/>
      <w:widowControl/>
      <w:tabs>
        <w:tab w:val="clear" w:pos="1440"/>
        <w:tab w:val="clear" w:pos="5670"/>
      </w:tabs>
      <w:spacing w:line="276" w:lineRule="auto"/>
      <w:ind w:firstLine="0" w:firstLineChars="0"/>
      <w:jc w:val="left"/>
      <w:outlineLvl w:val="9"/>
    </w:pPr>
    <w:rPr>
      <w:rFonts w:ascii="Cambria" w:hAnsi="Cambria" w:eastAsia="宋体"/>
      <w:bCs/>
      <w:color w:val="365F91"/>
      <w:kern w:val="0"/>
    </w:rPr>
  </w:style>
  <w:style w:type="paragraph" w:customStyle="1" w:styleId="401">
    <w:name w:val="正文 + 宋体"/>
    <w:basedOn w:val="1"/>
    <w:autoRedefine/>
    <w:qFormat/>
    <w:uiPriority w:val="0"/>
    <w:pPr>
      <w:spacing w:line="360" w:lineRule="auto"/>
      <w:ind w:firstLine="420" w:firstLineChars="200"/>
    </w:pPr>
    <w:rPr>
      <w:szCs w:val="24"/>
    </w:rPr>
  </w:style>
  <w:style w:type="paragraph" w:customStyle="1" w:styleId="402">
    <w:name w:val="Char Char Char Char Char Char Char Char1"/>
    <w:basedOn w:val="1"/>
    <w:autoRedefine/>
    <w:qFormat/>
    <w:uiPriority w:val="0"/>
    <w:rPr>
      <w:rFonts w:ascii="Tahoma" w:hAnsi="Tahoma" w:cs="Tahoma"/>
      <w:sz w:val="24"/>
    </w:rPr>
  </w:style>
  <w:style w:type="paragraph" w:customStyle="1" w:styleId="403">
    <w:name w:val="Char Char Char Char1"/>
    <w:basedOn w:val="21"/>
    <w:autoRedefine/>
    <w:qFormat/>
    <w:uiPriority w:val="0"/>
    <w:pPr>
      <w:adjustRightInd w:val="0"/>
      <w:snapToGrid w:val="0"/>
      <w:spacing w:line="360" w:lineRule="auto"/>
    </w:pPr>
    <w:rPr>
      <w:rFonts w:ascii="Tahoma" w:hAnsi="Tahoma"/>
      <w:sz w:val="24"/>
      <w:szCs w:val="24"/>
    </w:rPr>
  </w:style>
  <w:style w:type="paragraph" w:customStyle="1" w:styleId="404">
    <w:name w:val="正文1"/>
    <w:basedOn w:val="1"/>
    <w:autoRedefine/>
    <w:qFormat/>
    <w:uiPriority w:val="0"/>
    <w:rPr>
      <w:rFonts w:ascii="Calibri" w:hAnsi="Calibri" w:eastAsia="Times New Roman" w:cs="宋体"/>
      <w:kern w:val="0"/>
      <w:lang w:val="zh-CN"/>
    </w:rPr>
  </w:style>
  <w:style w:type="paragraph" w:customStyle="1" w:styleId="405">
    <w:name w:val="font6"/>
    <w:basedOn w:val="1"/>
    <w:autoRedefine/>
    <w:qFormat/>
    <w:uiPriority w:val="0"/>
    <w:pPr>
      <w:widowControl/>
      <w:spacing w:before="100" w:beforeAutospacing="1" w:after="100" w:afterAutospacing="1"/>
      <w:jc w:val="left"/>
    </w:pPr>
    <w:rPr>
      <w:rFonts w:ascii="宋体" w:hAnsi="宋体" w:cs="宋体"/>
      <w:b/>
      <w:bCs/>
      <w:kern w:val="0"/>
      <w:sz w:val="20"/>
    </w:rPr>
  </w:style>
  <w:style w:type="paragraph" w:customStyle="1" w:styleId="406">
    <w:name w:val="表格内容"/>
    <w:basedOn w:val="1"/>
    <w:autoRedefine/>
    <w:qFormat/>
    <w:uiPriority w:val="0"/>
    <w:pPr>
      <w:widowControl/>
      <w:autoSpaceDE w:val="0"/>
      <w:autoSpaceDN w:val="0"/>
      <w:adjustRightInd w:val="0"/>
      <w:spacing w:before="60" w:line="300" w:lineRule="auto"/>
      <w:jc w:val="center"/>
      <w:textAlignment w:val="bottom"/>
    </w:pPr>
    <w:rPr>
      <w:kern w:val="0"/>
    </w:rPr>
  </w:style>
  <w:style w:type="paragraph" w:customStyle="1" w:styleId="407">
    <w:name w:val="Normal1"/>
    <w:basedOn w:val="1"/>
    <w:autoRedefine/>
    <w:qFormat/>
    <w:uiPriority w:val="0"/>
    <w:rPr>
      <w:rFonts w:ascii="Calibri" w:hAnsi="Calibri" w:eastAsia="Times New Roman" w:cs="宋体"/>
      <w:kern w:val="0"/>
      <w:lang w:val="zh-CN"/>
    </w:rPr>
  </w:style>
  <w:style w:type="paragraph" w:customStyle="1" w:styleId="408">
    <w:name w:val="纯文本1"/>
    <w:basedOn w:val="1"/>
    <w:autoRedefine/>
    <w:qFormat/>
    <w:uiPriority w:val="0"/>
    <w:pPr>
      <w:adjustRightInd w:val="0"/>
      <w:textAlignment w:val="baseline"/>
    </w:pPr>
    <w:rPr>
      <w:rFonts w:ascii="宋体" w:hAnsi="宋体" w:eastAsia="楷体_GB2312" w:cs="宋体"/>
      <w:sz w:val="28"/>
    </w:rPr>
  </w:style>
  <w:style w:type="paragraph" w:customStyle="1" w:styleId="409">
    <w:name w:val="正文lzq"/>
    <w:basedOn w:val="1"/>
    <w:autoRedefine/>
    <w:qFormat/>
    <w:uiPriority w:val="0"/>
    <w:pPr>
      <w:adjustRightInd w:val="0"/>
      <w:spacing w:line="360" w:lineRule="auto"/>
      <w:ind w:firstLine="480"/>
      <w:textAlignment w:val="baseline"/>
    </w:pPr>
    <w:rPr>
      <w:kern w:val="0"/>
      <w:sz w:val="24"/>
    </w:rPr>
  </w:style>
  <w:style w:type="paragraph" w:customStyle="1" w:styleId="410">
    <w:name w:val="列表内容"/>
    <w:basedOn w:val="1"/>
    <w:next w:val="1"/>
    <w:autoRedefine/>
    <w:qFormat/>
    <w:uiPriority w:val="0"/>
    <w:pPr>
      <w:widowControl/>
      <w:tabs>
        <w:tab w:val="left" w:pos="840"/>
      </w:tabs>
      <w:ind w:left="840" w:hanging="420"/>
      <w:jc w:val="left"/>
    </w:pPr>
    <w:rPr>
      <w:kern w:val="0"/>
      <w:sz w:val="18"/>
      <w:szCs w:val="24"/>
    </w:rPr>
  </w:style>
  <w:style w:type="paragraph" w:customStyle="1" w:styleId="411">
    <w:name w:val="Char Char Char Char Char Char Char Char Char Char Char Char Char Char Char Char Char Char Char Char Char"/>
    <w:basedOn w:val="1"/>
    <w:autoRedefine/>
    <w:qFormat/>
    <w:uiPriority w:val="0"/>
    <w:rPr>
      <w:rFonts w:ascii="Tahoma" w:hAnsi="Tahoma"/>
      <w:sz w:val="24"/>
    </w:rPr>
  </w:style>
  <w:style w:type="paragraph" w:customStyle="1" w:styleId="412">
    <w:name w:val="Char Char Char"/>
    <w:basedOn w:val="1"/>
    <w:autoRedefine/>
    <w:qFormat/>
    <w:uiPriority w:val="0"/>
    <w:rPr>
      <w:rFonts w:ascii="Tahoma" w:hAnsi="Tahoma"/>
      <w:sz w:val="24"/>
    </w:rPr>
  </w:style>
  <w:style w:type="paragraph" w:customStyle="1" w:styleId="413">
    <w:name w:val="xl50"/>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414">
    <w:name w:val="正文--表格内正文"/>
    <w:basedOn w:val="1"/>
    <w:autoRedefine/>
    <w:qFormat/>
    <w:uiPriority w:val="0"/>
    <w:pPr>
      <w:spacing w:beforeLines="50" w:line="240" w:lineRule="atLeast"/>
      <w:jc w:val="center"/>
    </w:pPr>
    <w:rPr>
      <w:rFonts w:ascii="宋体" w:hAnsi="宋体"/>
      <w:color w:val="000000"/>
      <w:sz w:val="24"/>
      <w:szCs w:val="24"/>
    </w:rPr>
  </w:style>
  <w:style w:type="paragraph" w:customStyle="1" w:styleId="415">
    <w:name w:val="大标题"/>
    <w:basedOn w:val="1"/>
    <w:next w:val="1"/>
    <w:autoRedefine/>
    <w:qFormat/>
    <w:uiPriority w:val="0"/>
    <w:pPr>
      <w:pageBreakBefore/>
      <w:tabs>
        <w:tab w:val="left" w:pos="420"/>
      </w:tabs>
      <w:spacing w:line="360" w:lineRule="auto"/>
      <w:ind w:hanging="420" w:firstLineChars="200"/>
      <w:outlineLvl w:val="0"/>
    </w:pPr>
    <w:rPr>
      <w:b/>
      <w:iCs/>
      <w:sz w:val="44"/>
      <w:szCs w:val="24"/>
    </w:rPr>
  </w:style>
  <w:style w:type="paragraph" w:customStyle="1" w:styleId="416">
    <w:name w:val="公文标题 2"/>
    <w:basedOn w:val="1"/>
    <w:next w:val="347"/>
    <w:autoRedefine/>
    <w:qFormat/>
    <w:uiPriority w:val="0"/>
    <w:pPr>
      <w:outlineLvl w:val="1"/>
    </w:pPr>
    <w:rPr>
      <w:rFonts w:ascii="仿宋_GB2312" w:hAnsi="宋体" w:eastAsia="仿宋_GB2312"/>
      <w:kern w:val="28"/>
      <w:sz w:val="28"/>
      <w:szCs w:val="24"/>
    </w:rPr>
  </w:style>
  <w:style w:type="paragraph" w:customStyle="1" w:styleId="417">
    <w:name w:val="文档正文"/>
    <w:basedOn w:val="1"/>
    <w:autoRedefine/>
    <w:qFormat/>
    <w:uiPriority w:val="0"/>
    <w:pPr>
      <w:spacing w:line="360" w:lineRule="auto"/>
    </w:pPr>
    <w:rPr>
      <w:rFonts w:ascii="宋体" w:hAnsi="宋体"/>
      <w:b/>
      <w:bCs/>
      <w:szCs w:val="24"/>
    </w:rPr>
  </w:style>
  <w:style w:type="paragraph" w:customStyle="1" w:styleId="418">
    <w:name w:val="Char Char Char Char Char Char Char Char Char Char Char"/>
    <w:basedOn w:val="1"/>
    <w:autoRedefine/>
    <w:qFormat/>
    <w:uiPriority w:val="0"/>
    <w:rPr>
      <w:rFonts w:ascii="Tahoma" w:hAnsi="Tahoma" w:cs="Tahoma"/>
      <w:sz w:val="24"/>
    </w:rPr>
  </w:style>
  <w:style w:type="paragraph" w:customStyle="1" w:styleId="419">
    <w:name w:val="xl54"/>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宋体" w:hAnsi="宋体" w:cs="宋体"/>
      <w:b/>
      <w:bCs/>
      <w:kern w:val="0"/>
      <w:sz w:val="20"/>
    </w:rPr>
  </w:style>
  <w:style w:type="paragraph" w:customStyle="1" w:styleId="420">
    <w:name w:val="标题6"/>
    <w:basedOn w:val="10"/>
    <w:autoRedefine/>
    <w:qFormat/>
    <w:uiPriority w:val="0"/>
    <w:pPr>
      <w:keepLines/>
      <w:tabs>
        <w:tab w:val="left" w:pos="420"/>
      </w:tabs>
      <w:autoSpaceDE/>
      <w:autoSpaceDN/>
      <w:adjustRightInd/>
      <w:ind w:left="420" w:hanging="420"/>
    </w:pPr>
    <w:rPr>
      <w:rFonts w:ascii="Times New Roman"/>
      <w:b w:val="0"/>
      <w:bCs/>
      <w:color w:val="auto"/>
      <w:kern w:val="2"/>
      <w:sz w:val="24"/>
      <w:szCs w:val="28"/>
    </w:rPr>
  </w:style>
  <w:style w:type="paragraph" w:customStyle="1" w:styleId="421">
    <w:name w:val="样式 段后: 0.5 行 左  0.75 字符"/>
    <w:basedOn w:val="1"/>
    <w:autoRedefine/>
    <w:qFormat/>
    <w:uiPriority w:val="0"/>
    <w:pPr>
      <w:widowControl/>
      <w:spacing w:line="360" w:lineRule="auto"/>
      <w:ind w:firstLine="420" w:firstLineChars="200"/>
    </w:pPr>
    <w:rPr>
      <w:rFonts w:hAnsi="Arial" w:cs="Arial"/>
      <w:kern w:val="0"/>
      <w:szCs w:val="21"/>
    </w:rPr>
  </w:style>
  <w:style w:type="character" w:customStyle="1" w:styleId="422">
    <w:name w:val="批注文字 Char1"/>
    <w:basedOn w:val="63"/>
    <w:autoRedefine/>
    <w:semiHidden/>
    <w:qFormat/>
    <w:uiPriority w:val="99"/>
    <w:rPr>
      <w:rFonts w:ascii="Times New Roman" w:hAnsi="Times New Roman" w:eastAsia="宋体" w:cs="Times New Roman"/>
      <w:szCs w:val="24"/>
    </w:rPr>
  </w:style>
  <w:style w:type="paragraph" w:styleId="423">
    <w:name w:val="List Paragraph"/>
    <w:basedOn w:val="1"/>
    <w:autoRedefine/>
    <w:qFormat/>
    <w:uiPriority w:val="99"/>
    <w:pPr>
      <w:ind w:firstLine="420" w:firstLineChars="200"/>
    </w:pPr>
    <w:rPr>
      <w:szCs w:val="24"/>
    </w:rPr>
  </w:style>
  <w:style w:type="paragraph" w:customStyle="1" w:styleId="424">
    <w:name w:val="二级无"/>
    <w:basedOn w:val="1"/>
    <w:autoRedefine/>
    <w:qFormat/>
    <w:uiPriority w:val="0"/>
    <w:pPr>
      <w:widowControl/>
      <w:tabs>
        <w:tab w:val="left" w:pos="2502"/>
        <w:tab w:val="left" w:pos="2790"/>
      </w:tabs>
      <w:ind w:left="2790" w:hanging="720"/>
      <w:jc w:val="left"/>
      <w:outlineLvl w:val="3"/>
    </w:pPr>
    <w:rPr>
      <w:rFonts w:ascii="宋体" w:hAnsi="Calibri"/>
      <w:kern w:val="0"/>
      <w:szCs w:val="21"/>
    </w:rPr>
  </w:style>
  <w:style w:type="character" w:customStyle="1" w:styleId="425">
    <w:name w:val="font21"/>
    <w:basedOn w:val="63"/>
    <w:autoRedefine/>
    <w:qFormat/>
    <w:uiPriority w:val="0"/>
    <w:rPr>
      <w:rFonts w:hint="eastAsia" w:ascii="宋体" w:hAnsi="宋体" w:eastAsia="宋体" w:cs="宋体"/>
      <w:color w:val="000000"/>
      <w:sz w:val="24"/>
      <w:szCs w:val="24"/>
      <w:u w:val="none"/>
    </w:rPr>
  </w:style>
  <w:style w:type="character" w:customStyle="1" w:styleId="426">
    <w:name w:val="font31"/>
    <w:basedOn w:val="63"/>
    <w:autoRedefine/>
    <w:qFormat/>
    <w:uiPriority w:val="0"/>
    <w:rPr>
      <w:rFonts w:hint="default" w:ascii="楷体_GB2312" w:eastAsia="楷体_GB2312" w:cs="楷体_GB2312"/>
      <w:color w:val="000000"/>
      <w:sz w:val="24"/>
      <w:szCs w:val="24"/>
      <w:u w:val="none"/>
    </w:rPr>
  </w:style>
  <w:style w:type="character" w:customStyle="1" w:styleId="427">
    <w:name w:val="tit"/>
    <w:basedOn w:val="63"/>
    <w:autoRedefine/>
    <w:qFormat/>
    <w:uiPriority w:val="0"/>
    <w:rPr>
      <w:color w:val="333333"/>
      <w:sz w:val="24"/>
      <w:szCs w:val="24"/>
    </w:rPr>
  </w:style>
  <w:style w:type="character" w:customStyle="1" w:styleId="428">
    <w:name w:val="img_title18"/>
    <w:basedOn w:val="63"/>
    <w:autoRedefine/>
    <w:qFormat/>
    <w:uiPriority w:val="0"/>
    <w:rPr>
      <w:vanish/>
    </w:rPr>
  </w:style>
  <w:style w:type="character" w:customStyle="1" w:styleId="429">
    <w:name w:val="nostart"/>
    <w:basedOn w:val="63"/>
    <w:autoRedefine/>
    <w:qFormat/>
    <w:uiPriority w:val="0"/>
    <w:rPr>
      <w:rFonts w:ascii="Arial" w:hAnsi="Arial" w:cs="Arial"/>
      <w:color w:val="DD0000"/>
      <w:sz w:val="19"/>
      <w:szCs w:val="19"/>
    </w:rPr>
  </w:style>
  <w:style w:type="character" w:customStyle="1" w:styleId="430">
    <w:name w:val="starting"/>
    <w:basedOn w:val="63"/>
    <w:autoRedefine/>
    <w:qFormat/>
    <w:uiPriority w:val="0"/>
    <w:rPr>
      <w:color w:val="13844D"/>
    </w:rPr>
  </w:style>
  <w:style w:type="character" w:customStyle="1" w:styleId="431">
    <w:name w:val="hit"/>
    <w:basedOn w:val="63"/>
    <w:autoRedefine/>
    <w:qFormat/>
    <w:uiPriority w:val="0"/>
  </w:style>
  <w:style w:type="character" w:customStyle="1" w:styleId="432">
    <w:name w:val="c3"/>
    <w:basedOn w:val="63"/>
    <w:autoRedefine/>
    <w:qFormat/>
    <w:uiPriority w:val="0"/>
  </w:style>
  <w:style w:type="character" w:customStyle="1" w:styleId="433">
    <w:name w:val="over8"/>
    <w:basedOn w:val="63"/>
    <w:autoRedefine/>
    <w:qFormat/>
    <w:uiPriority w:val="0"/>
    <w:rPr>
      <w:color w:val="999999"/>
      <w:sz w:val="19"/>
      <w:szCs w:val="19"/>
    </w:rPr>
  </w:style>
  <w:style w:type="character" w:customStyle="1" w:styleId="434">
    <w:name w:val="right4"/>
    <w:basedOn w:val="63"/>
    <w:autoRedefine/>
    <w:qFormat/>
    <w:uiPriority w:val="0"/>
    <w:rPr>
      <w:color w:val="A1A1A1"/>
    </w:rPr>
  </w:style>
  <w:style w:type="character" w:customStyle="1" w:styleId="435">
    <w:name w:val="msg-box8"/>
    <w:basedOn w:val="63"/>
    <w:autoRedefine/>
    <w:qFormat/>
    <w:uiPriority w:val="0"/>
  </w:style>
  <w:style w:type="character" w:customStyle="1" w:styleId="436">
    <w:name w:val="c2"/>
    <w:basedOn w:val="63"/>
    <w:autoRedefine/>
    <w:qFormat/>
    <w:uiPriority w:val="0"/>
  </w:style>
  <w:style w:type="character" w:customStyle="1" w:styleId="437">
    <w:name w:val="c1"/>
    <w:basedOn w:val="63"/>
    <w:autoRedefine/>
    <w:qFormat/>
    <w:uiPriority w:val="0"/>
  </w:style>
  <w:style w:type="character" w:customStyle="1" w:styleId="438">
    <w:name w:val="tit4"/>
    <w:basedOn w:val="63"/>
    <w:autoRedefine/>
    <w:qFormat/>
    <w:uiPriority w:val="0"/>
    <w:rPr>
      <w:color w:val="333333"/>
      <w:sz w:val="24"/>
      <w:szCs w:val="24"/>
    </w:rPr>
  </w:style>
  <w:style w:type="character" w:customStyle="1" w:styleId="439">
    <w:name w:val="starting8"/>
    <w:basedOn w:val="63"/>
    <w:autoRedefine/>
    <w:qFormat/>
    <w:uiPriority w:val="0"/>
    <w:rPr>
      <w:color w:val="13844D"/>
    </w:rPr>
  </w:style>
  <w:style w:type="character" w:customStyle="1" w:styleId="440">
    <w:name w:val="nostart8"/>
    <w:basedOn w:val="63"/>
    <w:autoRedefine/>
    <w:qFormat/>
    <w:uiPriority w:val="0"/>
    <w:rPr>
      <w:color w:val="DD0000"/>
    </w:rPr>
  </w:style>
  <w:style w:type="character" w:customStyle="1" w:styleId="441">
    <w:name w:val="over"/>
    <w:basedOn w:val="63"/>
    <w:autoRedefine/>
    <w:qFormat/>
    <w:uiPriority w:val="0"/>
    <w:rPr>
      <w:color w:val="999999"/>
      <w:sz w:val="19"/>
      <w:szCs w:val="19"/>
    </w:rPr>
  </w:style>
  <w:style w:type="character" w:customStyle="1" w:styleId="442">
    <w:name w:val="msg-box"/>
    <w:basedOn w:val="63"/>
    <w:autoRedefine/>
    <w:qFormat/>
    <w:uiPriority w:val="0"/>
  </w:style>
  <w:style w:type="character" w:customStyle="1" w:styleId="443">
    <w:name w:val="img_title"/>
    <w:basedOn w:val="63"/>
    <w:autoRedefine/>
    <w:qFormat/>
    <w:uiPriority w:val="0"/>
    <w:rPr>
      <w:vanish/>
    </w:rPr>
  </w:style>
  <w:style w:type="character" w:customStyle="1" w:styleId="444">
    <w:name w:val="right3"/>
    <w:basedOn w:val="63"/>
    <w:autoRedefine/>
    <w:qFormat/>
    <w:uiPriority w:val="0"/>
    <w:rPr>
      <w:color w:val="A1A1A1"/>
    </w:rPr>
  </w:style>
  <w:style w:type="character" w:customStyle="1" w:styleId="445">
    <w:name w:val="right"/>
    <w:basedOn w:val="63"/>
    <w:autoRedefine/>
    <w:qFormat/>
    <w:uiPriority w:val="0"/>
    <w:rPr>
      <w:color w:val="A1A1A1"/>
    </w:rPr>
  </w:style>
  <w:style w:type="character" w:customStyle="1" w:styleId="446">
    <w:name w:val="starting7"/>
    <w:basedOn w:val="63"/>
    <w:autoRedefine/>
    <w:qFormat/>
    <w:uiPriority w:val="0"/>
    <w:rPr>
      <w:color w:val="13844D"/>
    </w:rPr>
  </w:style>
  <w:style w:type="character" w:customStyle="1" w:styleId="447">
    <w:name w:val="tit3"/>
    <w:basedOn w:val="63"/>
    <w:autoRedefine/>
    <w:qFormat/>
    <w:uiPriority w:val="0"/>
    <w:rPr>
      <w:color w:val="333333"/>
      <w:sz w:val="24"/>
      <w:szCs w:val="24"/>
    </w:rPr>
  </w:style>
  <w:style w:type="character" w:customStyle="1" w:styleId="448">
    <w:name w:val="nostart5"/>
    <w:basedOn w:val="63"/>
    <w:autoRedefine/>
    <w:qFormat/>
    <w:uiPriority w:val="0"/>
    <w:rPr>
      <w:color w:val="DD0000"/>
    </w:rPr>
  </w:style>
  <w:style w:type="character" w:customStyle="1" w:styleId="449">
    <w:name w:val="starting5"/>
    <w:basedOn w:val="63"/>
    <w:autoRedefine/>
    <w:qFormat/>
    <w:uiPriority w:val="0"/>
    <w:rPr>
      <w:color w:val="13844D"/>
    </w:rPr>
  </w:style>
  <w:style w:type="paragraph" w:customStyle="1" w:styleId="450">
    <w:name w:val="Body Text First Indent 21"/>
    <w:basedOn w:val="451"/>
    <w:autoRedefine/>
    <w:qFormat/>
    <w:uiPriority w:val="0"/>
    <w:pPr>
      <w:spacing w:after="120" w:line="360" w:lineRule="auto"/>
      <w:ind w:left="420" w:leftChars="200" w:firstLine="420" w:firstLineChars="200"/>
    </w:pPr>
    <w:rPr>
      <w:rFonts w:ascii="Times New Roman" w:eastAsia="Times New Roman"/>
      <w:sz w:val="21"/>
      <w:szCs w:val="22"/>
    </w:rPr>
  </w:style>
  <w:style w:type="paragraph" w:customStyle="1" w:styleId="451">
    <w:name w:val="Body Text Indent1"/>
    <w:next w:val="452"/>
    <w:autoRedefine/>
    <w:qFormat/>
    <w:uiPriority w:val="0"/>
    <w:pPr>
      <w:widowControl w:val="0"/>
      <w:ind w:firstLine="645"/>
      <w:jc w:val="both"/>
    </w:pPr>
    <w:rPr>
      <w:rFonts w:ascii="楷体_GB2312" w:hAnsi="@仿宋_GB2312" w:eastAsia="楷体_GB2312" w:cs="@仿宋_GB2312"/>
      <w:kern w:val="2"/>
      <w:sz w:val="32"/>
      <w:lang w:val="en-US" w:eastAsia="zh-CN" w:bidi="ar-SA"/>
    </w:rPr>
  </w:style>
  <w:style w:type="paragraph" w:customStyle="1" w:styleId="452">
    <w:name w:val="寄信人地址1"/>
    <w:autoRedefine/>
    <w:qFormat/>
    <w:uiPriority w:val="0"/>
    <w:pPr>
      <w:widowControl w:val="0"/>
      <w:snapToGrid w:val="0"/>
      <w:jc w:val="both"/>
    </w:pPr>
    <w:rPr>
      <w:rFonts w:ascii="Arial" w:hAnsi="Arial" w:eastAsia="@仿宋_GB2312" w:cs="@仿宋_GB2312"/>
      <w:kern w:val="2"/>
      <w:sz w:val="21"/>
      <w:lang w:val="en-US" w:eastAsia="zh-CN" w:bidi="ar-SA"/>
    </w:rPr>
  </w:style>
  <w:style w:type="character" w:customStyle="1" w:styleId="453">
    <w:name w:val="first-child"/>
    <w:basedOn w:val="63"/>
    <w:autoRedefine/>
    <w:qFormat/>
    <w:uiPriority w:val="0"/>
  </w:style>
  <w:style w:type="character" w:customStyle="1" w:styleId="454">
    <w:name w:val="layui-layer-tabnow"/>
    <w:basedOn w:val="63"/>
    <w:autoRedefine/>
    <w:qFormat/>
    <w:uiPriority w:val="0"/>
    <w:rPr>
      <w:bdr w:val="single" w:color="CCCCCC" w:sz="6" w:space="0"/>
      <w:shd w:val="clear" w:color="auto" w:fill="FFFFFF"/>
    </w:rPr>
  </w:style>
  <w:style w:type="character" w:customStyle="1" w:styleId="455">
    <w:name w:val="font41"/>
    <w:basedOn w:val="63"/>
    <w:autoRedefine/>
    <w:qFormat/>
    <w:uiPriority w:val="0"/>
    <w:rPr>
      <w:rFonts w:hint="eastAsia" w:ascii="宋体" w:hAnsi="宋体" w:eastAsia="宋体" w:cs="宋体"/>
      <w:color w:val="000000"/>
      <w:sz w:val="22"/>
      <w:szCs w:val="22"/>
      <w:u w:val="none"/>
    </w:rPr>
  </w:style>
  <w:style w:type="character" w:customStyle="1" w:styleId="456">
    <w:name w:val="font51"/>
    <w:basedOn w:val="63"/>
    <w:autoRedefine/>
    <w:qFormat/>
    <w:uiPriority w:val="0"/>
    <w:rPr>
      <w:rFonts w:hint="eastAsia" w:ascii="宋体" w:hAnsi="宋体" w:eastAsia="宋体" w:cs="宋体"/>
      <w:color w:val="000000"/>
      <w:sz w:val="24"/>
      <w:szCs w:val="24"/>
      <w:u w:val="none"/>
    </w:rPr>
  </w:style>
  <w:style w:type="character" w:customStyle="1" w:styleId="457">
    <w:name w:val="font112"/>
    <w:basedOn w:val="63"/>
    <w:qFormat/>
    <w:uiPriority w:val="0"/>
    <w:rPr>
      <w:rFonts w:hint="eastAsia" w:ascii="宋体" w:hAnsi="宋体" w:eastAsia="宋体" w:cs="宋体"/>
      <w:color w:val="000000"/>
      <w:sz w:val="22"/>
      <w:szCs w:val="22"/>
      <w:u w:val="none"/>
    </w:rPr>
  </w:style>
  <w:style w:type="character" w:customStyle="1" w:styleId="458">
    <w:name w:val="font141"/>
    <w:basedOn w:val="63"/>
    <w:qFormat/>
    <w:uiPriority w:val="0"/>
    <w:rPr>
      <w:rFonts w:hint="eastAsia" w:ascii="宋体" w:hAnsi="宋体" w:eastAsia="宋体" w:cs="宋体"/>
      <w:color w:val="FF0000"/>
      <w:sz w:val="22"/>
      <w:szCs w:val="22"/>
      <w:u w:val="none"/>
    </w:rPr>
  </w:style>
  <w:style w:type="paragraph" w:customStyle="1" w:styleId="459">
    <w:name w:val="_Style 13"/>
    <w:qFormat/>
    <w:uiPriority w:val="0"/>
    <w:pPr>
      <w:spacing w:before="120" w:after="120" w:line="288" w:lineRule="auto"/>
      <w:ind w:left="0"/>
      <w:jc w:val="left"/>
    </w:pPr>
    <w:rPr>
      <w:rFonts w:ascii="Arial" w:hAnsi="Arial" w:eastAsia="等线" w:cs="Arial"/>
      <w:sz w:val="22"/>
      <w:szCs w:val="22"/>
    </w:rPr>
  </w:style>
  <w:style w:type="character" w:customStyle="1" w:styleId="460">
    <w:name w:val="NormalCharacter"/>
    <w:link w:val="461"/>
    <w:qFormat/>
    <w:uiPriority w:val="0"/>
  </w:style>
  <w:style w:type="paragraph" w:customStyle="1" w:styleId="461">
    <w:name w:val="UserStyle_0"/>
    <w:basedOn w:val="1"/>
    <w:link w:val="460"/>
    <w:qFormat/>
    <w:uiPriority w:val="0"/>
    <w:pPr>
      <w:spacing w:line="600" w:lineRule="exact"/>
      <w:jc w:val="both"/>
      <w:textAlignment w:val="baseline"/>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45</Pages>
  <Words>18108</Words>
  <Characters>18975</Characters>
  <Lines>69</Lines>
  <Paragraphs>19</Paragraphs>
  <TotalTime>8</TotalTime>
  <ScaleCrop>false</ScaleCrop>
  <LinksUpToDate>false</LinksUpToDate>
  <CharactersWithSpaces>20405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2022-10-31T08:50:00Z</dcterms:created>
  <dc:creator>Windows 用户</dc:creator>
  <cp:lastModifiedBy>w'w</cp:lastModifiedBy>
  <cp:lastPrinted>2023-12-14T01:03:00Z</cp:lastPrinted>
  <dcterms:modified xsi:type="dcterms:W3CDTF">2026-09-15T08:40:50Z</dcterms:modified>
  <cp:revision>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DD15EEEB328E49CCBCBCCD0E7AD63FD3_13</vt:lpwstr>
  </property>
  <property fmtid="{D5CDD505-2E9C-101B-9397-08002B2CF9AE}" pid="4" name="KSOTemplateDocerSaveRecord">
    <vt:lpwstr>eyJoZGlkIjoiYTVmZDRhYjViM2UzMjA2ZDliOTFkYTE2OTJjMTg3MGMiLCJ1c2VySWQiOiI1MDM3OTU2NDYifQ==</vt:lpwstr>
  </property>
</Properties>
</file>