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1E1380">
      <w:pPr>
        <w:spacing w:line="480" w:lineRule="exact"/>
        <w:rPr>
          <w:rFonts w:hint="eastAsia" w:ascii="宋体" w:eastAsia="宋体"/>
          <w:color w:val="auto"/>
          <w:sz w:val="44"/>
          <w:szCs w:val="44"/>
          <w:highlight w:val="none"/>
          <w:lang w:eastAsia="zh-CN"/>
        </w:rPr>
      </w:pPr>
    </w:p>
    <w:p w14:paraId="21C1E569">
      <w:pPr>
        <w:pStyle w:val="82"/>
        <w:ind w:left="0" w:leftChars="0" w:firstLine="0" w:firstLineChars="0"/>
        <w:jc w:val="center"/>
        <w:rPr>
          <w:rFonts w:hint="default" w:ascii="仿宋_GB2312" w:hAnsi="宋体" w:eastAsia="仿宋_GB2312"/>
          <w:b/>
          <w:color w:val="auto"/>
          <w:sz w:val="48"/>
          <w:szCs w:val="48"/>
          <w:highlight w:val="none"/>
          <w:lang w:val="en-US" w:eastAsia="zh-CN"/>
        </w:rPr>
      </w:pPr>
      <w:r>
        <w:rPr>
          <w:rFonts w:hint="eastAsia" w:ascii="仿宋_GB2312" w:hAnsi="宋体" w:eastAsia="仿宋_GB2312"/>
          <w:b/>
          <w:color w:val="auto"/>
          <w:sz w:val="48"/>
          <w:szCs w:val="48"/>
          <w:highlight w:val="none"/>
          <w:lang w:val="en-US" w:eastAsia="zh-CN"/>
        </w:rPr>
        <w:t>安庆交投物流公司诉湖南众旭公司及张培军合同纠纷执行案件代理服务</w:t>
      </w:r>
    </w:p>
    <w:p w14:paraId="22E13E14">
      <w:pPr>
        <w:pStyle w:val="82"/>
        <w:ind w:left="0" w:leftChars="0" w:firstLine="0" w:firstLineChars="0"/>
        <w:rPr>
          <w:color w:val="auto"/>
          <w:highlight w:val="none"/>
        </w:rPr>
      </w:pPr>
    </w:p>
    <w:p w14:paraId="166112D3">
      <w:pPr>
        <w:pStyle w:val="82"/>
        <w:rPr>
          <w:color w:val="auto"/>
          <w:highlight w:val="none"/>
        </w:rPr>
      </w:pPr>
    </w:p>
    <w:p w14:paraId="2AF2A3DA">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7343547">
      <w:pPr>
        <w:pStyle w:val="82"/>
        <w:spacing w:before="120"/>
        <w:ind w:firstLine="350"/>
        <w:rPr>
          <w:color w:val="auto"/>
          <w:highlight w:val="none"/>
        </w:rPr>
      </w:pPr>
    </w:p>
    <w:p w14:paraId="351B47E7">
      <w:pPr>
        <w:spacing w:line="480" w:lineRule="exact"/>
        <w:jc w:val="center"/>
        <w:rPr>
          <w:rFonts w:ascii="宋体" w:cs="宋体"/>
          <w:b/>
          <w:bCs/>
          <w:color w:val="auto"/>
          <w:sz w:val="48"/>
          <w:szCs w:val="48"/>
          <w:highlight w:val="none"/>
        </w:rPr>
      </w:pPr>
    </w:p>
    <w:p w14:paraId="682B95F9">
      <w:pPr>
        <w:pStyle w:val="82"/>
        <w:rPr>
          <w:color w:val="auto"/>
          <w:highlight w:val="none"/>
        </w:rPr>
      </w:pPr>
    </w:p>
    <w:p w14:paraId="42206FC8">
      <w:pPr>
        <w:spacing w:line="480" w:lineRule="exact"/>
        <w:jc w:val="center"/>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AQJK-CG-2026-096</w:t>
      </w:r>
    </w:p>
    <w:p w14:paraId="2F0EEB41">
      <w:pPr>
        <w:pStyle w:val="82"/>
        <w:spacing w:before="120"/>
        <w:ind w:left="0" w:leftChars="0" w:firstLine="0" w:firstLineChars="0"/>
        <w:rPr>
          <w:color w:val="auto"/>
          <w:highlight w:val="none"/>
        </w:rPr>
      </w:pPr>
    </w:p>
    <w:p w14:paraId="4E5A5848">
      <w:pPr>
        <w:pStyle w:val="82"/>
        <w:spacing w:before="120"/>
        <w:ind w:left="0" w:leftChars="0" w:firstLine="0" w:firstLineChars="0"/>
        <w:rPr>
          <w:color w:val="auto"/>
          <w:highlight w:val="none"/>
        </w:rPr>
      </w:pPr>
    </w:p>
    <w:p w14:paraId="2EB8AC39">
      <w:pPr>
        <w:spacing w:line="480" w:lineRule="exact"/>
        <w:rPr>
          <w:rFonts w:ascii="宋体" w:hAnsi="宋体" w:cs="仿宋_GB2312"/>
          <w:color w:val="auto"/>
          <w:szCs w:val="21"/>
          <w:highlight w:val="none"/>
        </w:rPr>
      </w:pPr>
    </w:p>
    <w:p w14:paraId="2CF0AD88">
      <w:pPr>
        <w:pStyle w:val="3"/>
        <w:rPr>
          <w:rFonts w:ascii="宋体" w:hAnsi="宋体" w:cs="仿宋_GB2312"/>
          <w:color w:val="auto"/>
          <w:szCs w:val="21"/>
          <w:highlight w:val="none"/>
        </w:rPr>
      </w:pPr>
    </w:p>
    <w:p w14:paraId="017E76BD">
      <w:pPr>
        <w:pStyle w:val="3"/>
        <w:rPr>
          <w:rFonts w:ascii="宋体" w:hAnsi="宋体" w:cs="仿宋_GB2312"/>
          <w:color w:val="auto"/>
          <w:szCs w:val="21"/>
          <w:highlight w:val="none"/>
        </w:rPr>
      </w:pPr>
    </w:p>
    <w:p w14:paraId="1AE2474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仿宋_GB2312"/>
          <w:b/>
          <w:color w:val="auto"/>
          <w:sz w:val="30"/>
          <w:szCs w:val="30"/>
          <w:highlight w:val="none"/>
          <w:u w:val="single"/>
          <w:lang w:val="en-US" w:eastAsia="zh-CN"/>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安庆交投物流产业发展有限公司</w:t>
      </w:r>
      <w:r>
        <w:rPr>
          <w:rFonts w:hint="eastAsia" w:ascii="宋体" w:hAnsi="宋体" w:cs="仿宋_GB2312"/>
          <w:b/>
          <w:color w:val="auto"/>
          <w:sz w:val="30"/>
          <w:szCs w:val="30"/>
          <w:highlight w:val="none"/>
          <w:u w:val="single"/>
          <w:lang w:val="en-US" w:eastAsia="zh-CN"/>
        </w:rPr>
        <w:t xml:space="preserve"> </w:t>
      </w:r>
    </w:p>
    <w:p w14:paraId="13C898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仿宋_GB2312"/>
          <w:b/>
          <w:color w:val="auto"/>
          <w:sz w:val="30"/>
          <w:szCs w:val="30"/>
          <w:highlight w:val="none"/>
          <w:u w:val="single"/>
        </w:rPr>
      </w:pPr>
    </w:p>
    <w:p w14:paraId="68B35081">
      <w:pPr>
        <w:pStyle w:val="82"/>
        <w:rPr>
          <w:color w:val="auto"/>
          <w:highlight w:val="none"/>
        </w:rPr>
      </w:pPr>
    </w:p>
    <w:p w14:paraId="5A81F5FD">
      <w:pPr>
        <w:pStyle w:val="82"/>
        <w:ind w:left="0" w:leftChars="0" w:firstLine="0" w:firstLineChars="0"/>
        <w:rPr>
          <w:color w:val="auto"/>
          <w:highlight w:val="none"/>
        </w:rPr>
      </w:pPr>
    </w:p>
    <w:p w14:paraId="7F323A9D">
      <w:pPr>
        <w:spacing w:line="360" w:lineRule="auto"/>
        <w:rPr>
          <w:rFonts w:ascii="宋体" w:hAnsi="宋体" w:cs="仿宋_GB2312"/>
          <w:b/>
          <w:color w:val="auto"/>
          <w:sz w:val="24"/>
          <w:highlight w:val="none"/>
        </w:rPr>
      </w:pPr>
    </w:p>
    <w:p w14:paraId="6367D6EB">
      <w:pPr>
        <w:spacing w:line="480" w:lineRule="exact"/>
        <w:jc w:val="center"/>
        <w:rPr>
          <w:rFonts w:ascii="宋体" w:hAnsi="宋体" w:cs="仿宋_GB2312"/>
          <w:color w:val="auto"/>
          <w:szCs w:val="21"/>
          <w:highlight w:val="none"/>
        </w:rPr>
      </w:pPr>
      <w:r>
        <w:rPr>
          <w:rFonts w:hint="eastAsia" w:ascii="宋体" w:hAnsi="宋体" w:cs="仿宋_GB2312"/>
          <w:b/>
          <w:color w:val="auto"/>
          <w:sz w:val="30"/>
          <w:szCs w:val="30"/>
          <w:highlight w:val="none"/>
          <w:lang w:eastAsia="zh-CN"/>
        </w:rPr>
        <w:t>安庆市交通控股集团有限公司集采中心</w:t>
      </w:r>
    </w:p>
    <w:p w14:paraId="1A4841D3">
      <w:pPr>
        <w:spacing w:line="480" w:lineRule="exact"/>
        <w:jc w:val="center"/>
        <w:rPr>
          <w:rFonts w:hint="eastAsia" w:ascii="宋体" w:hAnsi="宋体" w:cs="仿宋_GB2312"/>
          <w:color w:val="auto"/>
          <w:sz w:val="32"/>
          <w:szCs w:val="32"/>
          <w:highlight w:val="none"/>
        </w:rPr>
      </w:pPr>
    </w:p>
    <w:p w14:paraId="1E140E55">
      <w:pPr>
        <w:spacing w:line="480" w:lineRule="exact"/>
        <w:jc w:val="center"/>
        <w:rPr>
          <w:rFonts w:hint="eastAsia" w:ascii="宋体" w:hAnsi="宋体" w:cs="仿宋_GB2312"/>
          <w:color w:val="auto"/>
          <w:sz w:val="32"/>
          <w:szCs w:val="32"/>
          <w:highlight w:val="none"/>
        </w:rPr>
      </w:pPr>
    </w:p>
    <w:p w14:paraId="71A1488B">
      <w:pPr>
        <w:spacing w:line="480" w:lineRule="exact"/>
        <w:ind w:firstLine="2240" w:firstLineChars="700"/>
        <w:jc w:val="both"/>
        <w:rPr>
          <w:rFonts w:hint="eastAsia" w:ascii="宋体" w:hAnsi="宋体" w:cs="仿宋_GB2312"/>
          <w:color w:val="auto"/>
          <w:sz w:val="32"/>
          <w:szCs w:val="32"/>
          <w:highlight w:val="none"/>
        </w:rPr>
      </w:pPr>
    </w:p>
    <w:p w14:paraId="624ABBCD">
      <w:pPr>
        <w:spacing w:line="480" w:lineRule="exact"/>
        <w:ind w:firstLine="2880" w:firstLineChars="900"/>
        <w:jc w:val="both"/>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九</w:t>
      </w:r>
      <w:r>
        <w:rPr>
          <w:rFonts w:hint="eastAsia" w:ascii="宋体" w:hAnsi="宋体" w:cs="仿宋_GB2312"/>
          <w:color w:val="auto"/>
          <w:sz w:val="32"/>
          <w:szCs w:val="32"/>
          <w:highlight w:val="none"/>
        </w:rPr>
        <w:t>月</w:t>
      </w:r>
    </w:p>
    <w:p w14:paraId="18F07D54">
      <w:pPr>
        <w:pStyle w:val="3"/>
        <w:rPr>
          <w:color w:val="auto"/>
          <w:highlight w:val="none"/>
        </w:rPr>
        <w:sectPr>
          <w:headerReference r:id="rId4" w:type="first"/>
          <w:headerReference r:id="rId3"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titlePg/>
          <w:docGrid w:type="lines" w:linePitch="312" w:charSpace="0"/>
        </w:sectPr>
      </w:pPr>
    </w:p>
    <w:p w14:paraId="4B14E407">
      <w:pPr>
        <w:pStyle w:val="3"/>
        <w:rPr>
          <w:color w:val="auto"/>
          <w:highlight w:val="none"/>
        </w:rPr>
      </w:pPr>
    </w:p>
    <w:p w14:paraId="7DCB51AF">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lang w:val="zh-CN"/>
        </w:rPr>
        <w:t>录</w:t>
      </w:r>
    </w:p>
    <w:p w14:paraId="3D8BD52D">
      <w:pPr>
        <w:pStyle w:val="41"/>
        <w:tabs>
          <w:tab w:val="right" w:leader="dot" w:pos="9070"/>
        </w:tabs>
        <w:spacing w:line="480" w:lineRule="auto"/>
        <w:rPr>
          <w:color w:val="auto"/>
          <w:sz w:val="28"/>
          <w:szCs w:val="28"/>
          <w:highlight w:val="none"/>
        </w:rPr>
      </w:pPr>
      <w:bookmarkStart w:id="0" w:name="_Toc23467"/>
      <w:bookmarkStart w:id="1" w:name="_Toc54941328"/>
      <w:bookmarkStart w:id="2" w:name="_Toc21464"/>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1</w:t>
      </w:r>
    </w:p>
    <w:p w14:paraId="51698EBE">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rFonts w:hint="eastAsia"/>
          <w:color w:val="auto"/>
          <w:sz w:val="28"/>
          <w:szCs w:val="28"/>
          <w:highlight w:val="none"/>
          <w:lang w:val="en-US" w:eastAsia="zh-CN"/>
        </w:rPr>
        <w:t>6</w:t>
      </w:r>
      <w:r>
        <w:rPr>
          <w:color w:val="auto"/>
          <w:sz w:val="28"/>
          <w:szCs w:val="28"/>
          <w:highlight w:val="none"/>
        </w:rPr>
        <w:fldChar w:fldCharType="end"/>
      </w:r>
    </w:p>
    <w:p w14:paraId="35922FCE">
      <w:pPr>
        <w:pStyle w:val="41"/>
        <w:tabs>
          <w:tab w:val="right" w:leader="dot" w:pos="9070"/>
        </w:tabs>
        <w:spacing w:line="48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lang w:val="en-US" w:eastAsia="zh-CN"/>
        </w:rPr>
        <w:t>1</w:t>
      </w:r>
      <w:r>
        <w:rPr>
          <w:rFonts w:hint="eastAsia"/>
          <w:color w:val="auto"/>
          <w:sz w:val="28"/>
          <w:szCs w:val="28"/>
          <w:highlight w:val="none"/>
        </w:rPr>
        <w:fldChar w:fldCharType="end"/>
      </w:r>
      <w:r>
        <w:rPr>
          <w:rFonts w:hint="eastAsia"/>
          <w:color w:val="auto"/>
          <w:sz w:val="28"/>
          <w:szCs w:val="28"/>
          <w:highlight w:val="none"/>
          <w:lang w:val="en-US" w:eastAsia="zh-CN"/>
        </w:rPr>
        <w:t>7</w:t>
      </w:r>
    </w:p>
    <w:p w14:paraId="03F48B5D">
      <w:pPr>
        <w:pStyle w:val="41"/>
        <w:tabs>
          <w:tab w:val="right" w:leader="dot" w:pos="9070"/>
        </w:tabs>
        <w:spacing w:line="480" w:lineRule="auto"/>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lang w:val="en-US" w:eastAsia="zh-CN"/>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1484603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lang w:val="en-US" w:eastAsia="zh-CN"/>
        </w:rPr>
        <w:t>2</w:t>
      </w:r>
      <w:r>
        <w:rPr>
          <w:rFonts w:hint="eastAsia"/>
          <w:color w:val="auto"/>
          <w:sz w:val="28"/>
          <w:szCs w:val="28"/>
          <w:highlight w:val="none"/>
        </w:rPr>
        <w:fldChar w:fldCharType="end"/>
      </w:r>
      <w:r>
        <w:rPr>
          <w:rFonts w:hint="eastAsia"/>
          <w:color w:val="auto"/>
          <w:sz w:val="28"/>
          <w:szCs w:val="28"/>
          <w:highlight w:val="none"/>
          <w:lang w:val="en-US" w:eastAsia="zh-CN"/>
        </w:rPr>
        <w:t>7</w:t>
      </w:r>
      <w:r>
        <w:rPr>
          <w:color w:val="auto"/>
          <w:sz w:val="28"/>
          <w:szCs w:val="28"/>
          <w:highlight w:val="none"/>
        </w:rPr>
        <w:fldChar w:fldCharType="end"/>
      </w:r>
      <w:bookmarkEnd w:id="0"/>
      <w:bookmarkEnd w:id="1"/>
      <w:bookmarkEnd w:id="2"/>
    </w:p>
    <w:p w14:paraId="1A4728B8">
      <w:pPr>
        <w:pStyle w:val="41"/>
        <w:numPr>
          <w:ilvl w:val="0"/>
          <w:numId w:val="6"/>
        </w:numPr>
        <w:tabs>
          <w:tab w:val="right" w:leader="dot" w:pos="9070"/>
        </w:tabs>
        <w:spacing w:line="480" w:lineRule="auto"/>
        <w:jc w:val="center"/>
        <w:rPr>
          <w:rFonts w:hint="eastAsia" w:ascii="Arial" w:hAnsi="Arial" w:eastAsia="黑体"/>
          <w:b/>
          <w:i w:val="0"/>
          <w:color w:val="auto"/>
          <w:sz w:val="32"/>
          <w:szCs w:val="32"/>
          <w:highlight w:val="none"/>
          <w:lang w:eastAsia="zh-CN"/>
        </w:rPr>
        <w:sectPr>
          <w:footerReference r:id="rId6" w:type="first"/>
          <w:footerReference r:id="rId5"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77D98324">
      <w:pPr>
        <w:pStyle w:val="41"/>
        <w:numPr>
          <w:ilvl w:val="0"/>
          <w:numId w:val="6"/>
        </w:numPr>
        <w:tabs>
          <w:tab w:val="right" w:leader="dot" w:pos="9070"/>
        </w:tabs>
        <w:spacing w:line="480" w:lineRule="auto"/>
        <w:jc w:val="center"/>
        <w:rPr>
          <w:rFonts w:ascii="Arial" w:hAnsi="Arial" w:eastAsia="黑体"/>
          <w:b/>
          <w:i w:val="0"/>
          <w:color w:val="auto"/>
          <w:sz w:val="32"/>
          <w:szCs w:val="32"/>
          <w:highlight w:val="none"/>
        </w:rPr>
      </w:pPr>
      <w:r>
        <w:rPr>
          <w:rFonts w:hint="eastAsia" w:ascii="Arial" w:hAnsi="Arial" w:eastAsia="黑体"/>
          <w:b/>
          <w:i w:val="0"/>
          <w:color w:val="auto"/>
          <w:sz w:val="32"/>
          <w:szCs w:val="32"/>
          <w:highlight w:val="none"/>
          <w:lang w:eastAsia="zh-CN"/>
        </w:rPr>
        <w:t>安庆交投物流公司诉湖南众旭公司及张培军合同纠纷执行案件代理服务</w:t>
      </w:r>
      <w:r>
        <w:rPr>
          <w:rFonts w:hint="eastAsia" w:ascii="Arial" w:hAnsi="Arial" w:eastAsia="黑体"/>
          <w:b/>
          <w:i w:val="0"/>
          <w:color w:val="auto"/>
          <w:sz w:val="30"/>
          <w:szCs w:val="30"/>
          <w:highlight w:val="none"/>
        </w:rPr>
        <w:t>比选公告</w:t>
      </w:r>
    </w:p>
    <w:p w14:paraId="75BCEEC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
          <w:bCs/>
          <w:color w:val="auto"/>
          <w:sz w:val="32"/>
          <w:szCs w:val="32"/>
          <w:highlight w:val="none"/>
        </w:rPr>
      </w:pPr>
      <w:bookmarkStart w:id="4" w:name="_Toc28359012"/>
      <w:bookmarkStart w:id="5" w:name="_Toc35393629"/>
      <w:bookmarkStart w:id="6" w:name="_Toc28359089"/>
      <w:bookmarkStart w:id="7" w:name="_Toc35393798"/>
      <w:r>
        <w:rPr>
          <w:rFonts w:hint="eastAsia" w:ascii="仿宋" w:hAnsi="仿宋" w:eastAsia="仿宋" w:cs="仿宋"/>
          <w:color w:val="auto"/>
          <w:sz w:val="30"/>
          <w:szCs w:val="30"/>
          <w:highlight w:val="none"/>
          <w:lang w:eastAsia="zh-CN"/>
        </w:rPr>
        <w:t>安庆市交通控股集团有限公司集采中心</w:t>
      </w:r>
      <w:r>
        <w:rPr>
          <w:rFonts w:hint="eastAsia" w:ascii="仿宋" w:hAnsi="仿宋" w:eastAsia="仿宋" w:cs="仿宋"/>
          <w:color w:val="auto"/>
          <w:sz w:val="30"/>
          <w:szCs w:val="30"/>
          <w:highlight w:val="none"/>
        </w:rPr>
        <w:t>受安庆交投物流产业发展有限公司委托，现对</w:t>
      </w:r>
      <w:r>
        <w:rPr>
          <w:rFonts w:hint="eastAsia" w:ascii="仿宋" w:hAnsi="仿宋" w:eastAsia="仿宋" w:cs="仿宋"/>
          <w:color w:val="auto"/>
          <w:sz w:val="30"/>
          <w:szCs w:val="30"/>
          <w:highlight w:val="none"/>
          <w:u w:val="single"/>
          <w:lang w:eastAsia="zh-CN"/>
        </w:rPr>
        <w:t>安庆交投物流公司诉湖南众旭公司及张培军合同纠纷执行案件代理服务</w:t>
      </w: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AQJK-CG-2026-096</w:t>
      </w:r>
      <w:r>
        <w:rPr>
          <w:rFonts w:hint="eastAsia" w:ascii="仿宋" w:hAnsi="仿宋" w:eastAsia="仿宋" w:cs="仿宋"/>
          <w:color w:val="auto"/>
          <w:sz w:val="30"/>
          <w:szCs w:val="30"/>
          <w:highlight w:val="none"/>
        </w:rPr>
        <w:t>）进行比选。</w:t>
      </w:r>
    </w:p>
    <w:p w14:paraId="077FE8F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一、项目基本情况：</w:t>
      </w:r>
    </w:p>
    <w:p w14:paraId="4541B70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eastAsia="zh-CN"/>
        </w:rPr>
      </w:pPr>
      <w:r>
        <w:rPr>
          <w:rFonts w:hint="default" w:ascii="仿宋" w:hAnsi="仿宋" w:eastAsia="仿宋" w:cs="仿宋"/>
          <w:color w:val="auto"/>
          <w:kern w:val="2"/>
          <w:sz w:val="30"/>
          <w:szCs w:val="30"/>
          <w:highlight w:val="none"/>
          <w:lang w:val="en-US" w:eastAsia="zh-CN" w:bidi="ar-SA"/>
        </w:rPr>
        <w:t>1.</w:t>
      </w:r>
      <w:r>
        <w:rPr>
          <w:rFonts w:hint="eastAsia" w:ascii="仿宋" w:hAnsi="仿宋" w:eastAsia="仿宋" w:cs="仿宋"/>
          <w:color w:val="auto"/>
          <w:sz w:val="30"/>
          <w:szCs w:val="30"/>
          <w:highlight w:val="none"/>
          <w:u w:val="none"/>
        </w:rPr>
        <w:t>项目名称：</w:t>
      </w:r>
      <w:r>
        <w:rPr>
          <w:rFonts w:hint="eastAsia" w:ascii="仿宋" w:hAnsi="仿宋" w:eastAsia="仿宋" w:cs="仿宋"/>
          <w:color w:val="auto"/>
          <w:sz w:val="30"/>
          <w:szCs w:val="30"/>
          <w:highlight w:val="none"/>
          <w:u w:val="none"/>
          <w:lang w:eastAsia="zh-CN"/>
        </w:rPr>
        <w:t>安庆交投物流公司诉湖南众旭公司及张培军合同纠纷执行案件代理服务。</w:t>
      </w:r>
      <w:r>
        <w:rPr>
          <w:rFonts w:hint="eastAsia" w:ascii="仿宋" w:hAnsi="仿宋" w:eastAsia="仿宋" w:cs="仿宋"/>
          <w:color w:val="auto"/>
          <w:sz w:val="30"/>
          <w:szCs w:val="30"/>
          <w:highlight w:val="none"/>
          <w:u w:val="none"/>
          <w:lang w:val="en-US" w:eastAsia="zh-CN"/>
        </w:rPr>
        <w:t>根据</w:t>
      </w:r>
      <w:r>
        <w:rPr>
          <w:rFonts w:hint="eastAsia" w:ascii="仿宋" w:hAnsi="仿宋" w:eastAsia="仿宋" w:cs="仿宋"/>
          <w:color w:val="auto"/>
          <w:sz w:val="30"/>
          <w:szCs w:val="30"/>
          <w:highlight w:val="none"/>
          <w:u w:val="none"/>
          <w:lang w:eastAsia="zh-CN"/>
        </w:rPr>
        <w:t>安庆市交通控股集团有限公司法律顾问咨询服务商采购项目比选</w:t>
      </w:r>
      <w:r>
        <w:rPr>
          <w:rFonts w:hint="eastAsia" w:ascii="仿宋" w:hAnsi="仿宋" w:eastAsia="仿宋" w:cs="仿宋"/>
          <w:color w:val="auto"/>
          <w:sz w:val="30"/>
          <w:szCs w:val="30"/>
          <w:highlight w:val="none"/>
          <w:u w:val="none"/>
          <w:lang w:val="en-US" w:eastAsia="zh-CN"/>
        </w:rPr>
        <w:t>文件约定，成交人服务期内，涉诉争议标的额1000万元以上的案件，由采购人组织入选的5家供应商比选报价，根据比价结果另行签订合同。</w:t>
      </w:r>
    </w:p>
    <w:p w14:paraId="1D1A71C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default" w:ascii="仿宋" w:hAnsi="仿宋" w:eastAsia="仿宋" w:cs="仿宋"/>
          <w:color w:val="auto"/>
          <w:kern w:val="2"/>
          <w:sz w:val="30"/>
          <w:szCs w:val="30"/>
          <w:highlight w:val="none"/>
          <w:lang w:val="en-US" w:eastAsia="zh-CN" w:bidi="ar-SA"/>
        </w:rPr>
        <w:t>2.</w:t>
      </w:r>
      <w:r>
        <w:rPr>
          <w:rFonts w:hint="eastAsia" w:ascii="仿宋" w:hAnsi="仿宋" w:eastAsia="仿宋" w:cs="仿宋"/>
          <w:color w:val="auto"/>
          <w:sz w:val="30"/>
          <w:szCs w:val="30"/>
          <w:highlight w:val="none"/>
          <w:u w:val="none"/>
          <w:lang w:val="en-US" w:eastAsia="zh-CN"/>
        </w:rPr>
        <w:t>案件概况</w:t>
      </w:r>
      <w:r>
        <w:rPr>
          <w:rFonts w:hint="eastAsia" w:ascii="仿宋" w:hAnsi="仿宋" w:eastAsia="仿宋" w:cs="仿宋"/>
          <w:color w:val="auto"/>
          <w:sz w:val="30"/>
          <w:szCs w:val="30"/>
          <w:highlight w:val="none"/>
          <w:u w:val="none"/>
          <w:lang w:eastAsia="zh-CN"/>
        </w:rPr>
        <w:t>：</w:t>
      </w:r>
    </w:p>
    <w:p w14:paraId="4EF86BFF">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原告：安庆交投物流产业发展有限公司；</w:t>
      </w:r>
    </w:p>
    <w:p w14:paraId="61AB2933">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被告：①被告一:湖南众旭物流有限公司；②被告二:湖南众旭供应链管理有限公司；③被告三：张培军；</w:t>
      </w:r>
    </w:p>
    <w:p w14:paraId="6883533C">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诉讼标的额：23347858.97元；</w:t>
      </w:r>
    </w:p>
    <w:p w14:paraId="12B80C7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default" w:ascii="仿宋" w:hAnsi="仿宋" w:eastAsia="仿宋" w:cs="仿宋"/>
          <w:color w:val="auto"/>
          <w:kern w:val="2"/>
          <w:sz w:val="30"/>
          <w:szCs w:val="30"/>
          <w:highlight w:val="none"/>
          <w:lang w:val="en-US" w:eastAsia="zh-CN" w:bidi="ar-SA"/>
        </w:rPr>
        <w:t>3.</w:t>
      </w:r>
      <w:r>
        <w:rPr>
          <w:rFonts w:hint="eastAsia" w:ascii="仿宋" w:hAnsi="仿宋" w:eastAsia="仿宋" w:cs="仿宋"/>
          <w:color w:val="auto"/>
          <w:sz w:val="30"/>
          <w:szCs w:val="30"/>
          <w:highlight w:val="none"/>
          <w:u w:val="none"/>
          <w:lang w:val="en-US" w:eastAsia="zh-CN"/>
        </w:rPr>
        <w:t>最高限价</w:t>
      </w:r>
      <w:r>
        <w:rPr>
          <w:rFonts w:hint="eastAsia" w:ascii="仿宋" w:hAnsi="仿宋" w:eastAsia="仿宋" w:cs="仿宋"/>
          <w:color w:val="auto"/>
          <w:sz w:val="30"/>
          <w:szCs w:val="30"/>
          <w:highlight w:val="none"/>
          <w:u w:val="none"/>
        </w:rPr>
        <w:t>：</w:t>
      </w:r>
      <w:r>
        <w:rPr>
          <w:rFonts w:hint="eastAsia" w:ascii="仿宋" w:hAnsi="仿宋" w:eastAsia="仿宋" w:cs="仿宋"/>
          <w:color w:val="auto"/>
          <w:sz w:val="30"/>
          <w:szCs w:val="30"/>
          <w:highlight w:val="none"/>
          <w:u w:val="none"/>
          <w:lang w:val="en-US" w:eastAsia="zh-CN"/>
        </w:rPr>
        <w:t>以根据安徽省物价局2016年2月10日发布的《安徽律师收费标准》{皖价服[2016]13号}文件得出的计算结果（以下限为准）*50%，结合前期摸排报价，</w:t>
      </w:r>
      <w:r>
        <w:rPr>
          <w:rFonts w:hint="eastAsia" w:ascii="仿宋" w:hAnsi="仿宋" w:eastAsia="仿宋" w:cs="仿宋"/>
          <w:b/>
          <w:bCs/>
          <w:color w:val="auto"/>
          <w:sz w:val="30"/>
          <w:szCs w:val="30"/>
          <w:highlight w:val="none"/>
          <w:u w:val="none"/>
          <w:lang w:val="en-US" w:eastAsia="zh-CN"/>
        </w:rPr>
        <w:t>比选的最高限价195000元</w:t>
      </w:r>
      <w:r>
        <w:rPr>
          <w:rFonts w:hint="eastAsia" w:ascii="仿宋" w:hAnsi="仿宋" w:eastAsia="仿宋" w:cs="仿宋"/>
          <w:color w:val="auto"/>
          <w:sz w:val="30"/>
          <w:szCs w:val="30"/>
          <w:highlight w:val="none"/>
          <w:u w:val="none"/>
          <w:lang w:val="en-US" w:eastAsia="zh-CN"/>
        </w:rPr>
        <w:t>。</w:t>
      </w:r>
    </w:p>
    <w:p w14:paraId="40C201E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default" w:ascii="仿宋" w:hAnsi="仿宋" w:eastAsia="仿宋" w:cs="仿宋"/>
          <w:color w:val="auto"/>
          <w:kern w:val="2"/>
          <w:sz w:val="30"/>
          <w:szCs w:val="30"/>
          <w:highlight w:val="none"/>
          <w:lang w:val="en-US" w:eastAsia="zh-CN" w:bidi="ar-SA"/>
        </w:rPr>
        <w:t>4.</w:t>
      </w:r>
      <w:r>
        <w:rPr>
          <w:rFonts w:hint="eastAsia" w:ascii="仿宋" w:hAnsi="仿宋" w:eastAsia="仿宋" w:cs="仿宋"/>
          <w:color w:val="auto"/>
          <w:sz w:val="30"/>
          <w:szCs w:val="30"/>
          <w:highlight w:val="none"/>
          <w:u w:val="none"/>
          <w:lang w:val="en-US" w:eastAsia="zh-CN"/>
        </w:rPr>
        <w:t>付款方式：自接受采购人委托通知，双方签订合同后，预付定金3万，剩余费用根据执行到账的回款金额按比例支付；</w:t>
      </w:r>
    </w:p>
    <w:p w14:paraId="2A6A9F0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default" w:ascii="仿宋" w:hAnsi="仿宋" w:eastAsia="仿宋" w:cs="仿宋"/>
          <w:color w:val="auto"/>
          <w:kern w:val="2"/>
          <w:sz w:val="30"/>
          <w:szCs w:val="30"/>
          <w:highlight w:val="none"/>
          <w:lang w:val="en-US" w:eastAsia="zh-CN" w:bidi="ar-SA"/>
        </w:rPr>
        <w:t>5.</w:t>
      </w:r>
      <w:r>
        <w:rPr>
          <w:rFonts w:hint="eastAsia" w:ascii="仿宋" w:hAnsi="仿宋" w:eastAsia="仿宋" w:cs="仿宋"/>
          <w:color w:val="auto"/>
          <w:sz w:val="30"/>
          <w:szCs w:val="30"/>
          <w:highlight w:val="none"/>
          <w:u w:val="none"/>
          <w:lang w:val="en-US" w:eastAsia="zh-CN"/>
        </w:rPr>
        <w:t>服务期限：自接受采购人委托通知之日起至案件执行终结</w:t>
      </w:r>
      <w:r>
        <w:rPr>
          <w:rFonts w:hint="eastAsia" w:ascii="仿宋" w:hAnsi="仿宋" w:eastAsia="仿宋" w:cs="仿宋"/>
          <w:color w:val="auto"/>
          <w:sz w:val="30"/>
          <w:szCs w:val="30"/>
          <w:highlight w:val="none"/>
          <w:u w:val="none"/>
          <w:lang w:eastAsia="zh-CN"/>
        </w:rPr>
        <w:t>。</w:t>
      </w:r>
    </w:p>
    <w:p w14:paraId="4B2A4E9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default" w:ascii="仿宋" w:hAnsi="仿宋" w:eastAsia="仿宋" w:cs="仿宋"/>
          <w:color w:val="auto"/>
          <w:kern w:val="2"/>
          <w:sz w:val="30"/>
          <w:szCs w:val="30"/>
          <w:highlight w:val="none"/>
          <w:lang w:val="en-US" w:eastAsia="zh-CN" w:bidi="ar-SA"/>
        </w:rPr>
        <w:t>6.</w:t>
      </w:r>
      <w:r>
        <w:rPr>
          <w:rFonts w:hint="eastAsia" w:ascii="仿宋" w:hAnsi="仿宋" w:eastAsia="仿宋" w:cs="仿宋"/>
          <w:color w:val="auto"/>
          <w:sz w:val="30"/>
          <w:szCs w:val="30"/>
          <w:highlight w:val="none"/>
          <w:u w:val="none"/>
          <w:lang w:val="en-US" w:eastAsia="zh-CN"/>
        </w:rPr>
        <w:t>评标办法：综合评分法</w:t>
      </w:r>
    </w:p>
    <w:p w14:paraId="5FC9BD9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二、参选人的资格要求：</w:t>
      </w:r>
    </w:p>
    <w:bookmarkEnd w:id="4"/>
    <w:bookmarkEnd w:id="5"/>
    <w:bookmarkEnd w:id="6"/>
    <w:bookmarkEnd w:id="7"/>
    <w:p w14:paraId="1B68A11A">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1.可参选对象：安庆市交通控股集团有限公司法律顾问咨询服务商采购项目成交人。</w:t>
      </w:r>
    </w:p>
    <w:p w14:paraId="0EBCDE3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2.本项目不接受联合体参选。</w:t>
      </w:r>
    </w:p>
    <w:p w14:paraId="2CCD4A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kern w:val="2"/>
          <w:sz w:val="30"/>
          <w:szCs w:val="30"/>
          <w:highlight w:val="none"/>
          <w:lang w:val="en-US" w:eastAsia="zh-CN" w:bidi="ar-SA"/>
        </w:rPr>
        <w:t>参选人有以下情形不得参与本次比选活动：</w:t>
      </w:r>
    </w:p>
    <w:p w14:paraId="59DBF700">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3.1被列入安庆市交通控股集团有限公司黑名单管理系统；</w:t>
      </w:r>
    </w:p>
    <w:p w14:paraId="7B3192F9">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3.2在安庆市交通控股集团有限公司处罚限制期限内的投标人或参选人；</w:t>
      </w:r>
    </w:p>
    <w:p w14:paraId="05968A48">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3.3前期参与安庆市交通控股集团有限公司组织的招标采购活动获得中标候选人资格而放弃中标资格不签订合同的投标人或参选人，在处罚期内的投标人或参选人不得参与本次比选活动。</w:t>
      </w:r>
    </w:p>
    <w:p w14:paraId="017DC52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三、比选文件获取：</w:t>
      </w:r>
    </w:p>
    <w:p w14:paraId="509686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1.潜在参选人</w:t>
      </w:r>
      <w:r>
        <w:rPr>
          <w:rFonts w:hint="eastAsia" w:ascii="仿宋" w:hAnsi="仿宋" w:eastAsia="仿宋" w:cs="仿宋"/>
          <w:color w:val="auto"/>
          <w:sz w:val="30"/>
          <w:szCs w:val="30"/>
          <w:highlight w:val="none"/>
          <w:u w:val="none"/>
        </w:rPr>
        <w:t>于</w:t>
      </w:r>
      <w:r>
        <w:rPr>
          <w:rFonts w:hint="eastAsia" w:ascii="仿宋" w:hAnsi="仿宋" w:eastAsia="仿宋" w:cs="仿宋"/>
          <w:color w:val="auto"/>
          <w:sz w:val="30"/>
          <w:szCs w:val="30"/>
          <w:highlight w:val="none"/>
          <w:u w:val="none"/>
          <w:lang w:val="en-US" w:eastAsia="zh-CN"/>
        </w:rPr>
        <w:t>2026年9月21日</w:t>
      </w:r>
      <w:r>
        <w:rPr>
          <w:rFonts w:hint="eastAsia" w:ascii="仿宋" w:hAnsi="仿宋" w:eastAsia="仿宋" w:cs="仿宋"/>
          <w:color w:val="auto"/>
          <w:sz w:val="30"/>
          <w:szCs w:val="30"/>
          <w:highlight w:val="none"/>
          <w:u w:val="none"/>
        </w:rPr>
        <w:t>17</w:t>
      </w:r>
      <w:r>
        <w:rPr>
          <w:rFonts w:hint="eastAsia" w:ascii="仿宋" w:hAnsi="仿宋" w:eastAsia="仿宋" w:cs="仿宋"/>
          <w:color w:val="auto"/>
          <w:sz w:val="30"/>
          <w:szCs w:val="30"/>
          <w:highlight w:val="none"/>
        </w:rPr>
        <w:t>点30分前，每天8:00至17:30（北京时间）登录安庆市交通控股集团有限公司</w:t>
      </w:r>
      <w:r>
        <w:rPr>
          <w:rFonts w:hint="eastAsia" w:ascii="仿宋" w:hAnsi="仿宋" w:eastAsia="仿宋" w:cs="仿宋"/>
          <w:color w:val="auto"/>
          <w:sz w:val="30"/>
          <w:szCs w:val="30"/>
          <w:highlight w:val="none"/>
          <w:lang w:eastAsia="zh-CN"/>
        </w:rPr>
        <w:t>集采平台</w:t>
      </w:r>
      <w:r>
        <w:rPr>
          <w:rFonts w:hint="eastAsia" w:ascii="仿宋" w:hAnsi="仿宋" w:eastAsia="仿宋" w:cs="仿宋"/>
          <w:color w:val="auto"/>
          <w:sz w:val="30"/>
          <w:szCs w:val="30"/>
          <w:highlight w:val="none"/>
        </w:rPr>
        <w:t>（http://jc.zh0556.com/）获取比选文件。</w:t>
      </w:r>
    </w:p>
    <w:p w14:paraId="2EF9AB3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2.参选文件及相关资料工本费：不收取。</w:t>
      </w:r>
    </w:p>
    <w:p w14:paraId="57BB57A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rPr>
        <w:t>3.报名方式：</w:t>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将“确定参与比</w:t>
      </w:r>
      <w:r>
        <w:rPr>
          <w:rFonts w:hint="eastAsia" w:ascii="仿宋" w:hAnsi="仿宋" w:eastAsia="仿宋" w:cs="仿宋"/>
          <w:strike w:val="0"/>
          <w:dstrike w:val="0"/>
          <w:color w:val="auto"/>
          <w:sz w:val="30"/>
          <w:szCs w:val="30"/>
          <w:highlight w:val="none"/>
          <w:u w:val="none"/>
        </w:rPr>
        <w:t>选的函”盖供应商公章在</w:t>
      </w:r>
      <w:r>
        <w:rPr>
          <w:rFonts w:hint="eastAsia" w:ascii="仿宋" w:hAnsi="仿宋" w:eastAsia="仿宋" w:cs="仿宋"/>
          <w:strike w:val="0"/>
          <w:dstrike w:val="0"/>
          <w:color w:val="auto"/>
          <w:sz w:val="30"/>
          <w:szCs w:val="30"/>
          <w:highlight w:val="none"/>
          <w:u w:val="none"/>
          <w:lang w:val="en-US" w:eastAsia="zh-CN"/>
        </w:rPr>
        <w:t>2026年</w:t>
      </w:r>
      <w:r>
        <w:rPr>
          <w:rFonts w:hint="eastAsia" w:ascii="仿宋" w:hAnsi="仿宋" w:eastAsia="仿宋" w:cs="仿宋"/>
          <w:color w:val="auto"/>
          <w:sz w:val="30"/>
          <w:szCs w:val="30"/>
          <w:highlight w:val="none"/>
          <w:u w:val="none"/>
          <w:lang w:val="en-US" w:eastAsia="zh-CN"/>
        </w:rPr>
        <w:t>9月21日</w:t>
      </w:r>
      <w:r>
        <w:rPr>
          <w:rFonts w:hint="eastAsia" w:ascii="仿宋" w:hAnsi="仿宋" w:eastAsia="仿宋" w:cs="仿宋"/>
          <w:strike w:val="0"/>
          <w:dstrike w:val="0"/>
          <w:color w:val="auto"/>
          <w:sz w:val="30"/>
          <w:szCs w:val="30"/>
          <w:highlight w:val="none"/>
          <w:u w:val="none"/>
        </w:rPr>
        <w:t>17</w:t>
      </w:r>
      <w:r>
        <w:rPr>
          <w:rFonts w:hint="eastAsia" w:ascii="仿宋" w:hAnsi="仿宋" w:eastAsia="仿宋" w:cs="仿宋"/>
          <w:color w:val="auto"/>
          <w:sz w:val="30"/>
          <w:szCs w:val="30"/>
          <w:highlight w:val="none"/>
        </w:rPr>
        <w:t>点30分前发邮箱</w:t>
      </w:r>
      <w:r>
        <w:rPr>
          <w:rFonts w:hint="eastAsia" w:ascii="仿宋" w:hAnsi="仿宋" w:eastAsia="仿宋" w:cs="仿宋"/>
          <w:color w:val="auto"/>
          <w:sz w:val="30"/>
          <w:szCs w:val="30"/>
          <w:highlight w:val="none"/>
          <w:lang w:val="en-US" w:eastAsia="zh-CN"/>
        </w:rPr>
        <w:t>1179928670@qq.com</w:t>
      </w:r>
      <w:r>
        <w:rPr>
          <w:rFonts w:hint="eastAsia" w:ascii="仿宋" w:hAnsi="仿宋" w:eastAsia="仿宋" w:cs="仿宋"/>
          <w:color w:val="auto"/>
          <w:sz w:val="30"/>
          <w:szCs w:val="30"/>
          <w:highlight w:val="none"/>
        </w:rPr>
        <w:t>（报名截止后发送，报名无效）</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t>。</w:t>
      </w:r>
    </w:p>
    <w:p w14:paraId="380EB7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.已发确认参与函，而放弃参加比选的参选人，须在比选时间截止日前一天以公司名义向</w:t>
      </w:r>
      <w:r>
        <w:rPr>
          <w:rFonts w:hint="eastAsia" w:ascii="仿宋" w:hAnsi="仿宋" w:eastAsia="仿宋" w:cs="仿宋"/>
          <w:color w:val="auto"/>
          <w:sz w:val="30"/>
          <w:szCs w:val="30"/>
          <w:highlight w:val="none"/>
          <w:lang w:val="en-US" w:eastAsia="zh-CN"/>
        </w:rPr>
        <w:t>1179928670@qq.com</w:t>
      </w:r>
      <w:r>
        <w:rPr>
          <w:rFonts w:hint="eastAsia" w:ascii="仿宋" w:hAnsi="仿宋" w:eastAsia="仿宋" w:cs="仿宋"/>
          <w:color w:val="auto"/>
          <w:sz w:val="30"/>
          <w:szCs w:val="30"/>
          <w:highlight w:val="none"/>
        </w:rPr>
        <w:t>发送放弃参与函（格式自拟）</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否则</w:t>
      </w:r>
      <w:r>
        <w:rPr>
          <w:rFonts w:hint="eastAsia" w:ascii="仿宋" w:hAnsi="仿宋" w:eastAsia="仿宋" w:cs="仿宋"/>
          <w:color w:val="auto"/>
          <w:sz w:val="30"/>
          <w:szCs w:val="30"/>
          <w:highlight w:val="none"/>
          <w:lang w:val="en-US" w:eastAsia="zh-CN"/>
        </w:rPr>
        <w:t>采购</w:t>
      </w:r>
      <w:r>
        <w:rPr>
          <w:rFonts w:hint="eastAsia" w:ascii="仿宋" w:hAnsi="仿宋" w:eastAsia="仿宋" w:cs="仿宋"/>
          <w:color w:val="auto"/>
          <w:sz w:val="30"/>
          <w:szCs w:val="30"/>
          <w:highlight w:val="none"/>
        </w:rPr>
        <w:t>管理人将予拉入集团黑名单处理</w:t>
      </w:r>
      <w:r>
        <w:rPr>
          <w:rFonts w:hint="eastAsia" w:ascii="仿宋" w:hAnsi="仿宋" w:eastAsia="仿宋" w:cs="仿宋"/>
          <w:color w:val="auto"/>
          <w:sz w:val="30"/>
          <w:szCs w:val="30"/>
          <w:highlight w:val="none"/>
          <w:lang w:eastAsia="zh-CN"/>
        </w:rPr>
        <w:t>。</w:t>
      </w:r>
    </w:p>
    <w:p w14:paraId="5BD5B09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四、比选时间及地点：</w:t>
      </w:r>
    </w:p>
    <w:p w14:paraId="06B63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北京</w:t>
      </w:r>
      <w:r>
        <w:rPr>
          <w:rFonts w:hint="eastAsia" w:ascii="仿宋" w:hAnsi="仿宋" w:eastAsia="仿宋" w:cs="仿宋"/>
          <w:color w:val="auto"/>
          <w:sz w:val="30"/>
          <w:szCs w:val="30"/>
          <w:highlight w:val="none"/>
        </w:rPr>
        <w:t>时间：</w:t>
      </w:r>
      <w:r>
        <w:rPr>
          <w:rFonts w:hint="eastAsia" w:ascii="仿宋" w:hAnsi="仿宋" w:eastAsia="仿宋" w:cs="仿宋"/>
          <w:color w:val="auto"/>
          <w:sz w:val="30"/>
          <w:szCs w:val="30"/>
          <w:highlight w:val="none"/>
          <w:lang w:val="en-US" w:eastAsia="zh-CN"/>
        </w:rPr>
        <w:t>2026年9月22日9时30分</w:t>
      </w:r>
    </w:p>
    <w:p w14:paraId="743B32D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b/>
          <w:bCs/>
          <w:color w:val="auto"/>
          <w:sz w:val="28"/>
          <w:szCs w:val="28"/>
          <w:highlight w:val="none"/>
          <w:lang w:val="en-US" w:eastAsia="zh-CN"/>
        </w:rPr>
      </w:pPr>
      <w:r>
        <w:rPr>
          <w:rFonts w:hint="eastAsia" w:ascii="仿宋" w:hAnsi="仿宋" w:eastAsia="仿宋" w:cs="仿宋"/>
          <w:color w:val="auto"/>
          <w:sz w:val="30"/>
          <w:szCs w:val="30"/>
          <w:highlight w:val="none"/>
        </w:rPr>
        <w:t>地点：</w:t>
      </w:r>
      <w:r>
        <w:rPr>
          <w:rFonts w:hint="eastAsia" w:ascii="仿宋" w:hAnsi="仿宋" w:eastAsia="仿宋"/>
          <w:b/>
          <w:bCs/>
          <w:color w:val="auto"/>
          <w:sz w:val="28"/>
          <w:szCs w:val="28"/>
          <w:highlight w:val="none"/>
        </w:rPr>
        <w:t>安庆市大观区集贤南路52号二楼集采中心开标室</w:t>
      </w:r>
      <w:r>
        <w:rPr>
          <w:rFonts w:hint="eastAsia" w:ascii="仿宋" w:hAnsi="仿宋" w:eastAsia="仿宋"/>
          <w:b/>
          <w:bCs/>
          <w:color w:val="auto"/>
          <w:sz w:val="28"/>
          <w:szCs w:val="28"/>
          <w:highlight w:val="none"/>
          <w:lang w:val="en-US" w:eastAsia="zh-CN"/>
        </w:rPr>
        <w:t xml:space="preserve"> </w:t>
      </w:r>
    </w:p>
    <w:p w14:paraId="653CA2C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五、其他补充事宜：</w:t>
      </w:r>
    </w:p>
    <w:p w14:paraId="7A872AA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1.参选人的联系人电话(手机)、电子邮箱等通讯方式在比选过程中必须保持畅通，否则因上述原因造成的后果，责任自负。</w:t>
      </w:r>
    </w:p>
    <w:p w14:paraId="1F28733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2.本项目比选实行纸质参选，比选活动线下完成。比选时参选人需要按时到达比选</w:t>
      </w:r>
      <w:r>
        <w:rPr>
          <w:rFonts w:hint="eastAsia" w:ascii="仿宋" w:hAnsi="仿宋" w:eastAsia="仿宋" w:cs="仿宋"/>
          <w:color w:val="auto"/>
          <w:sz w:val="30"/>
          <w:szCs w:val="30"/>
          <w:highlight w:val="none"/>
          <w:lang w:val="en-US" w:eastAsia="zh-CN"/>
        </w:rPr>
        <w:t>地点</w:t>
      </w:r>
      <w:r>
        <w:rPr>
          <w:rFonts w:hint="eastAsia" w:ascii="仿宋" w:hAnsi="仿宋" w:eastAsia="仿宋" w:cs="仿宋"/>
          <w:color w:val="auto"/>
          <w:sz w:val="30"/>
          <w:szCs w:val="30"/>
          <w:highlight w:val="none"/>
        </w:rPr>
        <w:t>进行签到</w:t>
      </w:r>
      <w:r>
        <w:rPr>
          <w:rFonts w:hint="eastAsia" w:ascii="仿宋" w:hAnsi="仿宋" w:eastAsia="仿宋" w:cs="仿宋"/>
          <w:color w:val="auto"/>
          <w:sz w:val="30"/>
          <w:szCs w:val="30"/>
          <w:highlight w:val="none"/>
          <w:lang w:val="en-US" w:eastAsia="zh-CN"/>
        </w:rPr>
        <w:t>并递交参选文件</w:t>
      </w:r>
      <w:r>
        <w:rPr>
          <w:rFonts w:hint="eastAsia" w:ascii="仿宋" w:hAnsi="仿宋" w:eastAsia="仿宋" w:cs="仿宋"/>
          <w:color w:val="auto"/>
          <w:sz w:val="30"/>
          <w:szCs w:val="30"/>
          <w:highlight w:val="none"/>
        </w:rPr>
        <w:t>，因参选人未按时</w:t>
      </w:r>
      <w:r>
        <w:rPr>
          <w:rFonts w:hint="eastAsia" w:ascii="仿宋" w:hAnsi="仿宋" w:eastAsia="仿宋" w:cs="仿宋"/>
          <w:color w:val="auto"/>
          <w:sz w:val="30"/>
          <w:szCs w:val="30"/>
          <w:highlight w:val="none"/>
          <w:lang w:eastAsia="zh-CN"/>
        </w:rPr>
        <w:t>到达</w:t>
      </w:r>
      <w:r>
        <w:rPr>
          <w:rFonts w:hint="eastAsia" w:ascii="仿宋" w:hAnsi="仿宋" w:eastAsia="仿宋" w:cs="仿宋"/>
          <w:color w:val="auto"/>
          <w:sz w:val="30"/>
          <w:szCs w:val="30"/>
          <w:highlight w:val="none"/>
        </w:rPr>
        <w:t>比选现场，则视为主动放弃，对比选造成的不利后果由其自行承担。</w:t>
      </w:r>
    </w:p>
    <w:p w14:paraId="2841A692">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3.成交人应在采购人要求的时间内与采购人签订合同。</w:t>
      </w:r>
    </w:p>
    <w:p w14:paraId="69E1E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bookmarkStart w:id="8" w:name="_Toc28359095"/>
      <w:bookmarkStart w:id="9" w:name="_Toc28359018"/>
      <w:bookmarkStart w:id="10" w:name="_Toc35393636"/>
      <w:bookmarkStart w:id="11" w:name="_Toc35393805"/>
      <w:r>
        <w:rPr>
          <w:rFonts w:hint="eastAsia" w:ascii="仿宋" w:hAnsi="仿宋" w:eastAsia="仿宋" w:cs="仿宋"/>
          <w:b/>
          <w:bCs w:val="0"/>
          <w:color w:val="auto"/>
          <w:sz w:val="32"/>
          <w:szCs w:val="32"/>
          <w:highlight w:val="none"/>
          <w:lang w:val="en-US" w:eastAsia="zh-CN"/>
        </w:rPr>
        <w:t>六</w:t>
      </w:r>
      <w:r>
        <w:rPr>
          <w:rFonts w:hint="eastAsia" w:ascii="仿宋" w:hAnsi="仿宋" w:eastAsia="仿宋" w:cs="仿宋"/>
          <w:b/>
          <w:bCs w:val="0"/>
          <w:color w:val="auto"/>
          <w:sz w:val="32"/>
          <w:szCs w:val="32"/>
          <w:highlight w:val="none"/>
        </w:rPr>
        <w:t>、凡对本次比选提出询问，请按以下方式联系</w:t>
      </w:r>
      <w:bookmarkEnd w:id="8"/>
      <w:bookmarkEnd w:id="9"/>
      <w:bookmarkEnd w:id="10"/>
      <w:bookmarkEnd w:id="11"/>
    </w:p>
    <w:p w14:paraId="3691C05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bookmarkStart w:id="12" w:name="_Toc35393806"/>
      <w:bookmarkStart w:id="13" w:name="_Toc28359019"/>
      <w:bookmarkStart w:id="14" w:name="_Toc28359096"/>
      <w:bookmarkStart w:id="15" w:name="_Toc35393637"/>
      <w:r>
        <w:rPr>
          <w:rFonts w:hint="eastAsia" w:ascii="仿宋" w:hAnsi="仿宋" w:eastAsia="仿宋" w:cs="仿宋"/>
          <w:color w:val="auto"/>
          <w:sz w:val="30"/>
          <w:szCs w:val="30"/>
          <w:highlight w:val="none"/>
        </w:rPr>
        <w:t>1.采购人信息</w:t>
      </w:r>
      <w:bookmarkEnd w:id="12"/>
      <w:bookmarkEnd w:id="13"/>
      <w:bookmarkEnd w:id="14"/>
      <w:bookmarkEnd w:id="15"/>
    </w:p>
    <w:p w14:paraId="1DABCD8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称：安庆交投物流产业发展有限公司</w:t>
      </w:r>
    </w:p>
    <w:p w14:paraId="79A4989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址：安徽省安庆市大观区宜园路16号</w:t>
      </w:r>
    </w:p>
    <w:p w14:paraId="700BBFF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人：周玉飞</w:t>
      </w:r>
    </w:p>
    <w:p w14:paraId="240E7B5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联系方式：18651289278</w:t>
      </w:r>
    </w:p>
    <w:p w14:paraId="232C70F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p>
    <w:p w14:paraId="56BEA14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2.采购管理部门信息</w:t>
      </w:r>
    </w:p>
    <w:p w14:paraId="7408381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称：安庆市交通控股集团有限公司集采中心</w:t>
      </w:r>
    </w:p>
    <w:p w14:paraId="601A967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w:t>
      </w:r>
      <w:r>
        <w:rPr>
          <w:rFonts w:hint="eastAsia" w:ascii="仿宋" w:hAnsi="仿宋" w:eastAsia="仿宋" w:cs="仿宋"/>
          <w:bCs/>
          <w:color w:val="auto"/>
          <w:sz w:val="28"/>
          <w:szCs w:val="28"/>
          <w:highlight w:val="none"/>
        </w:rPr>
        <w:t>安庆市大观区集贤南路52号</w:t>
      </w:r>
    </w:p>
    <w:p w14:paraId="48623EB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人：王欣怡</w:t>
      </w:r>
    </w:p>
    <w:p w14:paraId="0358993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30"/>
          <w:szCs w:val="30"/>
          <w:highlight w:val="none"/>
          <w:lang w:val="en-US" w:eastAsia="zh-CN"/>
        </w:rPr>
        <w:t>联系方式：</w:t>
      </w:r>
      <w:r>
        <w:rPr>
          <w:rFonts w:hint="eastAsia" w:ascii="仿宋" w:hAnsi="仿宋" w:eastAsia="仿宋" w:cs="仿宋"/>
          <w:i w:val="0"/>
          <w:iCs w:val="0"/>
          <w:caps w:val="0"/>
          <w:color w:val="auto"/>
          <w:spacing w:val="0"/>
          <w:sz w:val="30"/>
          <w:szCs w:val="30"/>
          <w:highlight w:val="none"/>
          <w:shd w:val="clear" w:fill="FFFFFF"/>
        </w:rPr>
        <w:t>0556-5990510</w:t>
      </w:r>
    </w:p>
    <w:p w14:paraId="01548478">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BE92320">
      <w:pPr>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Times New Roman"/>
          <w:color w:val="auto"/>
          <w:sz w:val="28"/>
          <w:szCs w:val="28"/>
          <w:highlight w:val="none"/>
          <w:u w:val="none"/>
        </w:rPr>
      </w:pPr>
      <w:r>
        <w:rPr>
          <w:rFonts w:hint="eastAsia" w:ascii="仿宋" w:hAnsi="仿宋" w:eastAsia="仿宋" w:cs="Times New Roman"/>
          <w:b w:val="0"/>
          <w:bCs w:val="0"/>
          <w:color w:val="auto"/>
          <w:sz w:val="32"/>
          <w:szCs w:val="32"/>
          <w:highlight w:val="none"/>
          <w:u w:val="none"/>
          <w:lang w:val="en-US" w:eastAsia="zh-CN"/>
        </w:rPr>
        <w:t>附：</w:t>
      </w:r>
    </w:p>
    <w:p w14:paraId="47253E42">
      <w:pPr>
        <w:keepNext/>
        <w:keepLines/>
        <w:widowControl w:val="0"/>
        <w:spacing w:before="340" w:after="330" w:line="578" w:lineRule="auto"/>
        <w:jc w:val="center"/>
        <w:outlineLvl w:val="0"/>
        <w:rPr>
          <w:rFonts w:hint="eastAsia" w:ascii="宋体" w:hAnsi="宋体" w:eastAsia="宋体" w:cs="宋体"/>
          <w:b/>
          <w:bCs/>
          <w:color w:val="auto"/>
          <w:kern w:val="44"/>
          <w:sz w:val="44"/>
          <w:szCs w:val="44"/>
          <w:highlight w:val="none"/>
          <w:lang w:val="en-US" w:eastAsia="zh-CN" w:bidi="ar-SA"/>
        </w:rPr>
      </w:pPr>
      <w:bookmarkStart w:id="16" w:name="_Toc13660"/>
      <w:r>
        <w:rPr>
          <w:rFonts w:hint="eastAsia" w:ascii="宋体" w:hAnsi="宋体" w:eastAsia="宋体" w:cs="宋体"/>
          <w:b/>
          <w:bCs/>
          <w:color w:val="auto"/>
          <w:kern w:val="44"/>
          <w:sz w:val="44"/>
          <w:szCs w:val="44"/>
          <w:highlight w:val="none"/>
          <w:lang w:val="en-US" w:eastAsia="zh-CN" w:bidi="ar-SA"/>
        </w:rPr>
        <w:t>确定参与比选的函</w:t>
      </w:r>
      <w:bookmarkEnd w:id="16"/>
    </w:p>
    <w:p w14:paraId="43B04224">
      <w:pPr>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安庆市交通控股集团有限公司集采中心：</w:t>
      </w:r>
    </w:p>
    <w:p w14:paraId="035D8B86">
      <w:pPr>
        <w:ind w:firstLine="64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我单位确定参与</w:t>
      </w:r>
      <w:r>
        <w:rPr>
          <w:rFonts w:hint="eastAsia" w:ascii="仿宋" w:hAnsi="仿宋" w:eastAsia="仿宋" w:cs="仿宋"/>
          <w:b w:val="0"/>
          <w:bCs w:val="0"/>
          <w:color w:val="auto"/>
          <w:sz w:val="32"/>
          <w:szCs w:val="32"/>
          <w:highlight w:val="none"/>
          <w:u w:val="single"/>
          <w:lang w:val="en-US" w:eastAsia="zh-CN"/>
        </w:rPr>
        <w:t>安庆交投物流公司诉湖南众旭公司及张培军合同纠纷执行案件代理服务</w:t>
      </w:r>
      <w:r>
        <w:rPr>
          <w:rFonts w:hint="eastAsia" w:ascii="仿宋" w:hAnsi="仿宋" w:eastAsia="仿宋" w:cs="仿宋"/>
          <w:b w:val="0"/>
          <w:bCs w:val="0"/>
          <w:color w:val="auto"/>
          <w:sz w:val="32"/>
          <w:szCs w:val="32"/>
          <w:highlight w:val="none"/>
          <w:u w:val="none"/>
          <w:lang w:val="en-US" w:eastAsia="zh-CN"/>
        </w:rPr>
        <w:t>项目，并承诺按比选文件的要求，按时参与比选开标。</w:t>
      </w:r>
    </w:p>
    <w:p w14:paraId="667FC54F">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联系人：</w:t>
      </w:r>
    </w:p>
    <w:p w14:paraId="7F6F12C3">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联系电话：</w:t>
      </w:r>
    </w:p>
    <w:p w14:paraId="37147403">
      <w:pPr>
        <w:ind w:firstLine="640"/>
        <w:jc w:val="both"/>
        <w:rPr>
          <w:rFonts w:hint="eastAsia" w:ascii="仿宋" w:hAnsi="仿宋" w:eastAsia="仿宋" w:cs="仿宋"/>
          <w:b w:val="0"/>
          <w:bCs w:val="0"/>
          <w:color w:val="auto"/>
          <w:sz w:val="32"/>
          <w:szCs w:val="32"/>
          <w:highlight w:val="none"/>
          <w:u w:val="none"/>
          <w:lang w:val="en-US" w:eastAsia="zh-CN"/>
        </w:rPr>
      </w:pPr>
    </w:p>
    <w:p w14:paraId="02AC4DF3">
      <w:pPr>
        <w:pStyle w:val="81"/>
        <w:rPr>
          <w:rFonts w:hint="eastAsia" w:ascii="仿宋" w:hAnsi="仿宋" w:eastAsia="仿宋" w:cs="仿宋"/>
          <w:b w:val="0"/>
          <w:bCs w:val="0"/>
          <w:color w:val="auto"/>
          <w:sz w:val="32"/>
          <w:szCs w:val="32"/>
          <w:highlight w:val="none"/>
          <w:u w:val="none"/>
          <w:lang w:val="en-US" w:eastAsia="zh-CN"/>
        </w:rPr>
      </w:pPr>
    </w:p>
    <w:p w14:paraId="3BBAE40A">
      <w:pPr>
        <w:pStyle w:val="81"/>
        <w:rPr>
          <w:rFonts w:hint="eastAsia" w:ascii="仿宋" w:hAnsi="仿宋" w:eastAsia="仿宋" w:cs="仿宋"/>
          <w:b w:val="0"/>
          <w:bCs w:val="0"/>
          <w:color w:val="auto"/>
          <w:sz w:val="32"/>
          <w:szCs w:val="32"/>
          <w:highlight w:val="none"/>
          <w:u w:val="none"/>
          <w:lang w:val="en-US" w:eastAsia="zh-CN"/>
        </w:rPr>
      </w:pPr>
    </w:p>
    <w:p w14:paraId="324B7CC7">
      <w:pPr>
        <w:pStyle w:val="81"/>
        <w:rPr>
          <w:rFonts w:hint="eastAsia" w:ascii="仿宋" w:hAnsi="仿宋" w:eastAsia="仿宋" w:cs="仿宋"/>
          <w:b w:val="0"/>
          <w:bCs w:val="0"/>
          <w:color w:val="auto"/>
          <w:sz w:val="32"/>
          <w:szCs w:val="32"/>
          <w:highlight w:val="none"/>
          <w:u w:val="none"/>
          <w:lang w:val="en-US" w:eastAsia="zh-CN"/>
        </w:rPr>
      </w:pPr>
    </w:p>
    <w:p w14:paraId="2A947E7E">
      <w:pPr>
        <w:wordWrap w:val="0"/>
        <w:ind w:firstLine="640"/>
        <w:jc w:val="right"/>
        <w:rPr>
          <w:rFonts w:hint="default"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 xml:space="preserve">单位名称（盖章）                   </w:t>
      </w:r>
    </w:p>
    <w:p w14:paraId="0FFD0F8D">
      <w:pPr>
        <w:ind w:firstLine="640"/>
        <w:jc w:val="right"/>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年   月   日</w:t>
      </w:r>
    </w:p>
    <w:p w14:paraId="28D5CEEA">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D32225D">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7" w:name="_Toc26069"/>
      <w:bookmarkStart w:id="18" w:name="_Toc54941329"/>
      <w:bookmarkStart w:id="19" w:name="_Toc11223"/>
      <w:r>
        <w:rPr>
          <w:rFonts w:hint="eastAsia" w:ascii="Arial" w:hAnsi="Arial"/>
          <w:color w:val="auto"/>
          <w:kern w:val="2"/>
          <w:sz w:val="32"/>
          <w:szCs w:val="32"/>
          <w:highlight w:val="none"/>
        </w:rPr>
        <w:t>第二章  比选须知</w:t>
      </w:r>
      <w:bookmarkEnd w:id="3"/>
      <w:bookmarkEnd w:id="17"/>
      <w:bookmarkEnd w:id="18"/>
      <w:bookmarkEnd w:id="19"/>
    </w:p>
    <w:p w14:paraId="4F179406">
      <w:pPr>
        <w:pStyle w:val="4"/>
        <w:rPr>
          <w:rFonts w:cs="Tahoma"/>
          <w:bCs/>
          <w:color w:val="auto"/>
          <w:kern w:val="0"/>
          <w:sz w:val="32"/>
          <w:szCs w:val="32"/>
          <w:highlight w:val="none"/>
        </w:rPr>
      </w:pPr>
      <w:bookmarkStart w:id="20" w:name="_Toc17862"/>
      <w:bookmarkStart w:id="21" w:name="_Toc439316871"/>
      <w:bookmarkStart w:id="22" w:name="_Toc54941330"/>
      <w:r>
        <w:rPr>
          <w:rFonts w:hint="eastAsia" w:cs="Tahoma"/>
          <w:bCs/>
          <w:color w:val="auto"/>
          <w:kern w:val="0"/>
          <w:sz w:val="32"/>
          <w:szCs w:val="32"/>
          <w:highlight w:val="none"/>
        </w:rPr>
        <w:t>第一节 参选人须知前附表</w:t>
      </w:r>
      <w:bookmarkEnd w:id="20"/>
      <w:bookmarkEnd w:id="21"/>
      <w:bookmarkEnd w:id="22"/>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25AD4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591DD2">
            <w:pPr>
              <w:keepNext w:val="0"/>
              <w:keepLines w:val="0"/>
              <w:pageBreakBefore w:val="0"/>
              <w:suppressLineNumbers w:val="0"/>
              <w:kinsoku/>
              <w:wordWrap/>
              <w:overflowPunct/>
              <w:topLinePunct w:val="0"/>
              <w:bidi w:val="0"/>
              <w:spacing w:before="0" w:beforeAutospacing="0" w:after="0" w:afterAutospacing="0" w:line="420" w:lineRule="exact"/>
              <w:ind w:left="0" w:right="-358"/>
              <w:textAlignment w:val="auto"/>
              <w:rPr>
                <w:rFonts w:hint="default"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1A66B73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42D55860">
            <w:pPr>
              <w:keepNext w:val="0"/>
              <w:keepLines w:val="0"/>
              <w:pageBreakBefore w:val="0"/>
              <w:suppressLineNumbers w:val="0"/>
              <w:tabs>
                <w:tab w:val="left" w:pos="1180"/>
              </w:tabs>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说明与要求</w:t>
            </w:r>
          </w:p>
        </w:tc>
      </w:tr>
      <w:tr w14:paraId="22AEB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27FE82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1</w:t>
            </w:r>
          </w:p>
        </w:tc>
        <w:tc>
          <w:tcPr>
            <w:tcW w:w="2125" w:type="dxa"/>
            <w:tcBorders>
              <w:top w:val="single" w:color="auto" w:sz="4" w:space="0"/>
              <w:left w:val="single" w:color="auto" w:sz="4" w:space="0"/>
              <w:bottom w:val="single" w:color="auto" w:sz="4" w:space="0"/>
              <w:right w:val="single" w:color="auto" w:sz="4" w:space="0"/>
            </w:tcBorders>
            <w:vAlign w:val="center"/>
          </w:tcPr>
          <w:p w14:paraId="4B61788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b w:val="0"/>
                <w:bCs w:val="0"/>
                <w:color w:val="auto"/>
                <w:sz w:val="21"/>
                <w:szCs w:val="21"/>
                <w:highlight w:val="none"/>
              </w:rPr>
            </w:pPr>
            <w:r>
              <w:rPr>
                <w:rFonts w:hint="eastAsia" w:ascii="宋体" w:hAnsi="宋体"/>
                <w:b w:val="0"/>
                <w:bCs w:val="0"/>
                <w:color w:val="auto"/>
                <w:sz w:val="21"/>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116AEE7">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安庆交投物流公司诉湖南众旭公司及张培军合同纠纷执行案件代理服务</w:t>
            </w:r>
          </w:p>
        </w:tc>
      </w:tr>
      <w:tr w14:paraId="0DAFA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1119068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w:t>
            </w:r>
          </w:p>
        </w:tc>
        <w:tc>
          <w:tcPr>
            <w:tcW w:w="2125" w:type="dxa"/>
            <w:tcBorders>
              <w:top w:val="single" w:color="auto" w:sz="4" w:space="0"/>
              <w:left w:val="single" w:color="auto" w:sz="4" w:space="0"/>
              <w:bottom w:val="single" w:color="auto" w:sz="4" w:space="0"/>
              <w:right w:val="single" w:color="auto" w:sz="4" w:space="0"/>
            </w:tcBorders>
            <w:vAlign w:val="center"/>
          </w:tcPr>
          <w:p w14:paraId="35A02CA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b w:val="0"/>
                <w:bCs w:val="0"/>
                <w:color w:val="auto"/>
                <w:sz w:val="21"/>
                <w:szCs w:val="21"/>
                <w:highlight w:val="none"/>
              </w:rPr>
            </w:pPr>
            <w:r>
              <w:rPr>
                <w:rFonts w:hint="eastAsia" w:ascii="宋体" w:hAnsi="宋体" w:eastAsia="宋体" w:cs="Times New Roman"/>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473DFA8">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ascii="宋体"/>
                <w:b w:val="0"/>
                <w:bCs w:val="0"/>
                <w:caps/>
                <w:smallCaps w:val="0"/>
                <w:color w:val="auto"/>
                <w:spacing w:val="0"/>
                <w:sz w:val="21"/>
                <w:szCs w:val="21"/>
                <w:highlight w:val="none"/>
                <w:lang w:val="en-US" w:eastAsia="zh-CN"/>
              </w:rPr>
            </w:pPr>
            <w:r>
              <w:rPr>
                <w:rFonts w:hint="eastAsia" w:ascii="宋体"/>
                <w:b w:val="0"/>
                <w:bCs w:val="0"/>
                <w:caps/>
                <w:smallCaps w:val="0"/>
                <w:color w:val="auto"/>
                <w:spacing w:val="0"/>
                <w:sz w:val="21"/>
                <w:szCs w:val="21"/>
                <w:highlight w:val="none"/>
                <w:lang w:val="en-US" w:eastAsia="zh-CN"/>
              </w:rPr>
              <w:t>AQJK-CG-2026-096</w:t>
            </w:r>
          </w:p>
        </w:tc>
      </w:tr>
      <w:tr w14:paraId="5E246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D5A74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eastAsia="宋体"/>
                <w:color w:val="auto"/>
                <w:szCs w:val="21"/>
                <w:highlight w:val="none"/>
                <w:lang w:val="en-US" w:eastAsia="zh-CN"/>
              </w:rPr>
            </w:pPr>
            <w:r>
              <w:rPr>
                <w:rFonts w:hint="eastAsia" w:ascii="宋体"/>
                <w:color w:val="auto"/>
                <w:szCs w:val="21"/>
                <w:highlight w:val="none"/>
                <w:lang w:val="en-US" w:eastAsia="zh-CN"/>
              </w:rPr>
              <w:t>3</w:t>
            </w:r>
          </w:p>
        </w:tc>
        <w:tc>
          <w:tcPr>
            <w:tcW w:w="2125" w:type="dxa"/>
            <w:tcBorders>
              <w:top w:val="single" w:color="auto" w:sz="4" w:space="0"/>
              <w:left w:val="single" w:color="auto" w:sz="4" w:space="0"/>
              <w:bottom w:val="single" w:color="auto" w:sz="4" w:space="0"/>
              <w:right w:val="single" w:color="auto" w:sz="4" w:space="0"/>
            </w:tcBorders>
            <w:vAlign w:val="center"/>
          </w:tcPr>
          <w:p w14:paraId="0A11FFD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b w:val="0"/>
                <w:bCs w:val="0"/>
                <w:color w:val="auto"/>
                <w:sz w:val="21"/>
                <w:szCs w:val="21"/>
                <w:highlight w:val="none"/>
                <w:lang w:eastAsia="zh-CN"/>
              </w:rPr>
            </w:pPr>
            <w:r>
              <w:rPr>
                <w:rFonts w:hint="eastAsia" w:ascii="宋体" w:hAnsi="宋体"/>
                <w:b w:val="0"/>
                <w:bCs w:val="0"/>
                <w:color w:val="auto"/>
                <w:sz w:val="21"/>
                <w:szCs w:val="21"/>
                <w:highlight w:val="none"/>
                <w:lang w:eastAsia="zh-CN"/>
              </w:rPr>
              <w:t>采购人</w:t>
            </w:r>
          </w:p>
        </w:tc>
        <w:tc>
          <w:tcPr>
            <w:tcW w:w="6356" w:type="dxa"/>
            <w:tcBorders>
              <w:top w:val="single" w:color="auto" w:sz="4" w:space="0"/>
              <w:left w:val="single" w:color="auto" w:sz="4" w:space="0"/>
              <w:bottom w:val="single" w:color="auto" w:sz="4" w:space="0"/>
            </w:tcBorders>
            <w:vAlign w:val="center"/>
          </w:tcPr>
          <w:p w14:paraId="2EC96699">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eastAsia" w:eastAsia="宋体"/>
                <w:b w:val="0"/>
                <w:bCs w:val="0"/>
                <w:color w:val="auto"/>
                <w:sz w:val="21"/>
                <w:szCs w:val="21"/>
                <w:highlight w:val="none"/>
                <w:lang w:eastAsia="zh-CN"/>
              </w:rPr>
            </w:pPr>
            <w:r>
              <w:rPr>
                <w:rFonts w:hint="eastAsia" w:eastAsia="宋体"/>
                <w:b w:val="0"/>
                <w:bCs w:val="0"/>
                <w:color w:val="auto"/>
                <w:sz w:val="21"/>
                <w:szCs w:val="21"/>
                <w:highlight w:val="none"/>
                <w:lang w:eastAsia="zh-CN"/>
              </w:rPr>
              <w:t>安庆交投物流产业发展有限公司</w:t>
            </w:r>
          </w:p>
        </w:tc>
      </w:tr>
      <w:tr w14:paraId="38066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7A631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4</w:t>
            </w:r>
          </w:p>
        </w:tc>
        <w:tc>
          <w:tcPr>
            <w:tcW w:w="2125" w:type="dxa"/>
            <w:tcBorders>
              <w:top w:val="single" w:color="auto" w:sz="4" w:space="0"/>
              <w:left w:val="single" w:color="auto" w:sz="4" w:space="0"/>
              <w:bottom w:val="single" w:color="auto" w:sz="4" w:space="0"/>
              <w:right w:val="single" w:color="auto" w:sz="4" w:space="0"/>
            </w:tcBorders>
            <w:vAlign w:val="center"/>
          </w:tcPr>
          <w:p w14:paraId="4AD2E69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采购管理</w:t>
            </w:r>
            <w:r>
              <w:rPr>
                <w:rFonts w:hint="eastAsia" w:ascii="宋体" w:hAnsi="宋体" w:cs="宋体"/>
                <w:color w:val="auto"/>
                <w:szCs w:val="21"/>
                <w:highlight w:val="none"/>
                <w:lang w:val="en-US" w:eastAsia="zh-CN"/>
              </w:rPr>
              <w:t>部门</w:t>
            </w:r>
          </w:p>
        </w:tc>
        <w:tc>
          <w:tcPr>
            <w:tcW w:w="6356" w:type="dxa"/>
            <w:tcBorders>
              <w:top w:val="single" w:color="auto" w:sz="4" w:space="0"/>
              <w:left w:val="single" w:color="auto" w:sz="4" w:space="0"/>
              <w:bottom w:val="single" w:color="auto" w:sz="4" w:space="0"/>
            </w:tcBorders>
            <w:vAlign w:val="center"/>
          </w:tcPr>
          <w:p w14:paraId="08F2E3D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Times New Roman" w:eastAsia="宋体" w:cs="宋体"/>
                <w:color w:val="auto"/>
                <w:kern w:val="0"/>
                <w:sz w:val="21"/>
                <w:szCs w:val="21"/>
                <w:highlight w:val="none"/>
                <w:lang w:val="en-US" w:eastAsia="zh-CN" w:bidi="ar-SA"/>
              </w:rPr>
            </w:pPr>
            <w:r>
              <w:rPr>
                <w:rFonts w:hint="eastAsia" w:cs="Times New Roman"/>
                <w:color w:val="auto"/>
                <w:szCs w:val="21"/>
                <w:highlight w:val="none"/>
                <w:lang w:val="en-US" w:eastAsia="zh-CN"/>
              </w:rPr>
              <w:t>安庆市交通控股集团有限公司集采中心</w:t>
            </w:r>
          </w:p>
        </w:tc>
      </w:tr>
      <w:tr w14:paraId="6BF06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91087A0">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5</w:t>
            </w:r>
          </w:p>
        </w:tc>
        <w:tc>
          <w:tcPr>
            <w:tcW w:w="2125" w:type="dxa"/>
            <w:tcBorders>
              <w:top w:val="single" w:color="auto" w:sz="4" w:space="0"/>
              <w:left w:val="single" w:color="auto" w:sz="4" w:space="0"/>
              <w:bottom w:val="single" w:color="auto" w:sz="4" w:space="0"/>
              <w:right w:val="single" w:color="auto" w:sz="4" w:space="0"/>
            </w:tcBorders>
            <w:vAlign w:val="center"/>
          </w:tcPr>
          <w:p w14:paraId="15ED8534">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030592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自筹</w:t>
            </w:r>
          </w:p>
        </w:tc>
      </w:tr>
      <w:tr w14:paraId="6A045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5C619CE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6</w:t>
            </w:r>
          </w:p>
        </w:tc>
        <w:tc>
          <w:tcPr>
            <w:tcW w:w="2125" w:type="dxa"/>
            <w:tcBorders>
              <w:top w:val="single" w:color="auto" w:sz="4" w:space="0"/>
              <w:left w:val="single" w:color="auto" w:sz="4" w:space="0"/>
              <w:right w:val="single" w:color="auto" w:sz="4" w:space="0"/>
            </w:tcBorders>
            <w:vAlign w:val="center"/>
          </w:tcPr>
          <w:p w14:paraId="637C96A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最高投标限价</w:t>
            </w:r>
          </w:p>
        </w:tc>
        <w:tc>
          <w:tcPr>
            <w:tcW w:w="6356" w:type="dxa"/>
            <w:tcBorders>
              <w:top w:val="single" w:color="auto" w:sz="4" w:space="0"/>
              <w:left w:val="single" w:color="auto" w:sz="4" w:space="0"/>
              <w:bottom w:val="single" w:color="auto" w:sz="4" w:space="0"/>
            </w:tcBorders>
            <w:vAlign w:val="center"/>
          </w:tcPr>
          <w:p w14:paraId="2FB81315">
            <w:pPr>
              <w:keepNext w:val="0"/>
              <w:keepLines w:val="0"/>
              <w:pageBreakBefore w:val="0"/>
              <w:numPr>
                <w:ilvl w:val="0"/>
                <w:numId w:val="0"/>
              </w:numPr>
              <w:suppressLineNumbers w:val="0"/>
              <w:kinsoku/>
              <w:wordWrap/>
              <w:overflowPunct/>
              <w:topLinePunct w:val="0"/>
              <w:bidi w:val="0"/>
              <w:spacing w:before="0" w:beforeAutospacing="0" w:after="0" w:afterAutospacing="0" w:line="420" w:lineRule="exact"/>
              <w:ind w:left="0" w:right="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11747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8BD70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7</w:t>
            </w:r>
          </w:p>
        </w:tc>
        <w:tc>
          <w:tcPr>
            <w:tcW w:w="2125" w:type="dxa"/>
            <w:tcBorders>
              <w:top w:val="single" w:color="auto" w:sz="4" w:space="0"/>
              <w:left w:val="single" w:color="auto" w:sz="4" w:space="0"/>
              <w:bottom w:val="single" w:color="auto" w:sz="4" w:space="0"/>
              <w:right w:val="single" w:color="auto" w:sz="4" w:space="0"/>
            </w:tcBorders>
            <w:vAlign w:val="center"/>
          </w:tcPr>
          <w:p w14:paraId="3B9D9AA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资格条件</w:t>
            </w:r>
          </w:p>
        </w:tc>
        <w:tc>
          <w:tcPr>
            <w:tcW w:w="6356" w:type="dxa"/>
            <w:tcBorders>
              <w:top w:val="single" w:color="auto" w:sz="4" w:space="0"/>
              <w:left w:val="single" w:color="auto" w:sz="4" w:space="0"/>
              <w:bottom w:val="single" w:color="auto" w:sz="4" w:space="0"/>
            </w:tcBorders>
            <w:vAlign w:val="center"/>
          </w:tcPr>
          <w:p w14:paraId="6BABDC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default" w:eastAsia="宋体"/>
                <w:color w:val="auto"/>
                <w:szCs w:val="21"/>
                <w:highlight w:val="none"/>
                <w:lang w:val="en-US" w:eastAsia="zh-CN"/>
              </w:rPr>
              <w:t>1.可参选对象：安庆市交通控股集团有限公司法律顾问咨询服务商采购项目成交人。</w:t>
            </w:r>
          </w:p>
          <w:p w14:paraId="40934FA2">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default" w:eastAsia="宋体"/>
                <w:color w:val="auto"/>
                <w:szCs w:val="21"/>
                <w:highlight w:val="none"/>
                <w:lang w:val="en-US" w:eastAsia="zh-CN"/>
              </w:rPr>
              <w:t>2.本项目不接受联合体参选。</w:t>
            </w:r>
          </w:p>
        </w:tc>
      </w:tr>
      <w:tr w14:paraId="3A8B1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F5ACED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8</w:t>
            </w:r>
          </w:p>
        </w:tc>
        <w:tc>
          <w:tcPr>
            <w:tcW w:w="2125" w:type="dxa"/>
            <w:tcBorders>
              <w:top w:val="single" w:color="auto" w:sz="4" w:space="0"/>
              <w:left w:val="single" w:color="auto" w:sz="4" w:space="0"/>
              <w:bottom w:val="single" w:color="auto" w:sz="4" w:space="0"/>
              <w:right w:val="single" w:color="auto" w:sz="4" w:space="0"/>
            </w:tcBorders>
            <w:vAlign w:val="center"/>
          </w:tcPr>
          <w:p w14:paraId="52205EC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24DBBFF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eastAsia="宋体"/>
                <w:color w:val="auto"/>
                <w:szCs w:val="21"/>
                <w:highlight w:val="none"/>
                <w:lang w:eastAsia="zh-CN"/>
              </w:rPr>
            </w:pPr>
            <w:r>
              <w:rPr>
                <w:rFonts w:hint="eastAsia" w:ascii="宋体"/>
                <w:color w:val="auto"/>
                <w:szCs w:val="21"/>
                <w:highlight w:val="none"/>
              </w:rPr>
              <w:t>资格后审</w:t>
            </w:r>
          </w:p>
        </w:tc>
      </w:tr>
      <w:tr w14:paraId="74E74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55217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9</w:t>
            </w:r>
          </w:p>
        </w:tc>
        <w:tc>
          <w:tcPr>
            <w:tcW w:w="2125" w:type="dxa"/>
            <w:tcBorders>
              <w:top w:val="single" w:color="auto" w:sz="4" w:space="0"/>
              <w:left w:val="single" w:color="auto" w:sz="4" w:space="0"/>
              <w:bottom w:val="single" w:color="auto" w:sz="4" w:space="0"/>
              <w:right w:val="single" w:color="auto" w:sz="4" w:space="0"/>
            </w:tcBorders>
            <w:vAlign w:val="center"/>
          </w:tcPr>
          <w:p w14:paraId="297130E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F6E6A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ascii="宋体"/>
                <w:color w:val="auto"/>
                <w:szCs w:val="21"/>
                <w:highlight w:val="none"/>
              </w:rPr>
            </w:pPr>
            <w:r>
              <w:rPr>
                <w:rFonts w:hint="eastAsia" w:ascii="宋体" w:hAnsi="宋体"/>
                <w:color w:val="auto"/>
                <w:szCs w:val="21"/>
                <w:highlight w:val="none"/>
              </w:rPr>
              <w:t>比选招标</w:t>
            </w:r>
          </w:p>
        </w:tc>
      </w:tr>
      <w:tr w14:paraId="51D6B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7479D9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653A40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有效期</w:t>
            </w:r>
          </w:p>
        </w:tc>
        <w:tc>
          <w:tcPr>
            <w:tcW w:w="6356" w:type="dxa"/>
            <w:tcBorders>
              <w:top w:val="single" w:color="auto" w:sz="4" w:space="0"/>
              <w:left w:val="single" w:color="auto" w:sz="4" w:space="0"/>
              <w:bottom w:val="single" w:color="auto" w:sz="4" w:space="0"/>
            </w:tcBorders>
            <w:vAlign w:val="center"/>
          </w:tcPr>
          <w:p w14:paraId="1062F443">
            <w:pPr>
              <w:keepNext w:val="0"/>
              <w:keepLines w:val="0"/>
              <w:pageBreakBefore w:val="0"/>
              <w:suppressLineNumbers w:val="0"/>
              <w:kinsoku/>
              <w:wordWrap/>
              <w:overflowPunct/>
              <w:topLinePunct w:val="0"/>
              <w:bidi w:val="0"/>
              <w:spacing w:before="0" w:beforeAutospacing="0" w:after="0" w:afterAutospacing="0" w:line="420" w:lineRule="exact"/>
              <w:ind w:left="-2" w:leftChars="-1" w:right="0" w:firstLine="2"/>
              <w:textAlignment w:val="auto"/>
              <w:rPr>
                <w:rFonts w:hint="default" w:ascii="宋体"/>
                <w:color w:val="auto"/>
                <w:szCs w:val="21"/>
                <w:highlight w:val="none"/>
              </w:rPr>
            </w:pPr>
            <w:r>
              <w:rPr>
                <w:rFonts w:hint="eastAsia" w:ascii="宋体" w:hAnsi="宋体"/>
                <w:color w:val="auto"/>
                <w:szCs w:val="21"/>
                <w:highlight w:val="none"/>
                <w:u w:val="single"/>
                <w:lang w:val="en-US" w:eastAsia="zh-CN"/>
              </w:rPr>
              <w:t>9</w:t>
            </w:r>
            <w:r>
              <w:rPr>
                <w:rFonts w:hint="default" w:ascii="宋体" w:hAnsi="宋体"/>
                <w:color w:val="auto"/>
                <w:szCs w:val="21"/>
                <w:highlight w:val="none"/>
                <w:u w:val="single"/>
              </w:rPr>
              <w:t>0日历天</w:t>
            </w:r>
            <w:r>
              <w:rPr>
                <w:rFonts w:hint="eastAsia" w:ascii="宋体" w:hAnsi="宋体"/>
                <w:color w:val="auto"/>
                <w:szCs w:val="21"/>
                <w:highlight w:val="none"/>
                <w:u w:val="single"/>
              </w:rPr>
              <w:t>（从</w:t>
            </w:r>
            <w:r>
              <w:rPr>
                <w:rFonts w:hint="eastAsia" w:ascii="宋体" w:hAnsi="宋体"/>
                <w:color w:val="auto"/>
                <w:szCs w:val="21"/>
                <w:highlight w:val="none"/>
                <w:u w:val="single"/>
                <w:lang w:eastAsia="zh-CN"/>
              </w:rPr>
              <w:t>参选文件递交</w:t>
            </w:r>
            <w:r>
              <w:rPr>
                <w:rFonts w:hint="eastAsia" w:ascii="宋体" w:hAnsi="宋体"/>
                <w:color w:val="auto"/>
                <w:szCs w:val="21"/>
                <w:highlight w:val="none"/>
                <w:u w:val="single"/>
              </w:rPr>
              <w:t>截止时间算起）</w:t>
            </w:r>
          </w:p>
        </w:tc>
      </w:tr>
      <w:tr w14:paraId="7C45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EE111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11</w:t>
            </w:r>
          </w:p>
        </w:tc>
        <w:tc>
          <w:tcPr>
            <w:tcW w:w="2125" w:type="dxa"/>
            <w:tcBorders>
              <w:top w:val="single" w:color="auto" w:sz="4" w:space="0"/>
              <w:left w:val="single" w:color="auto" w:sz="4" w:space="0"/>
              <w:bottom w:val="single" w:color="auto" w:sz="4" w:space="0"/>
              <w:right w:val="single" w:color="auto" w:sz="4" w:space="0"/>
            </w:tcBorders>
            <w:vAlign w:val="center"/>
          </w:tcPr>
          <w:p w14:paraId="66DC060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保证金</w:t>
            </w:r>
          </w:p>
        </w:tc>
        <w:tc>
          <w:tcPr>
            <w:tcW w:w="6356" w:type="dxa"/>
            <w:tcBorders>
              <w:top w:val="single" w:color="auto" w:sz="4" w:space="0"/>
              <w:left w:val="single" w:color="auto" w:sz="4" w:space="0"/>
              <w:bottom w:val="single" w:color="auto" w:sz="4" w:space="0"/>
            </w:tcBorders>
            <w:vAlign w:val="center"/>
          </w:tcPr>
          <w:p w14:paraId="4BF023C5">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0"/>
                <w:highlight w:val="none"/>
                <w:lang w:val="en-US" w:eastAsia="zh-CN"/>
              </w:rPr>
            </w:pPr>
            <w:r>
              <w:rPr>
                <w:rFonts w:hint="eastAsia"/>
                <w:color w:val="auto"/>
                <w:szCs w:val="20"/>
                <w:highlight w:val="none"/>
                <w:lang w:val="en-US" w:eastAsia="zh-CN"/>
              </w:rPr>
              <w:t>本项目不收取</w:t>
            </w:r>
          </w:p>
        </w:tc>
      </w:tr>
      <w:tr w14:paraId="7EACE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EC8800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67B51F0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s="宋体"/>
                <w:color w:val="auto"/>
                <w:szCs w:val="21"/>
                <w:highlight w:val="none"/>
                <w:lang w:eastAsia="zh-CN"/>
              </w:rPr>
              <w:t>递交</w:t>
            </w:r>
            <w:r>
              <w:rPr>
                <w:rFonts w:hint="eastAsia" w:ascii="宋体" w:hAnsi="宋体" w:cs="宋体"/>
                <w:color w:val="auto"/>
                <w:szCs w:val="21"/>
                <w:highlight w:val="none"/>
                <w:lang w:val="en-US" w:eastAsia="zh-CN"/>
              </w:rPr>
              <w:t>参选文件</w:t>
            </w:r>
          </w:p>
        </w:tc>
        <w:tc>
          <w:tcPr>
            <w:tcW w:w="6356" w:type="dxa"/>
            <w:tcBorders>
              <w:top w:val="single" w:color="auto" w:sz="4" w:space="0"/>
              <w:left w:val="single" w:color="auto" w:sz="4" w:space="0"/>
              <w:bottom w:val="single" w:color="auto" w:sz="4" w:space="0"/>
            </w:tcBorders>
            <w:vAlign w:val="center"/>
          </w:tcPr>
          <w:p w14:paraId="3E732722">
            <w:pPr>
              <w:pStyle w:val="23"/>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1.参选文件份数：壹份正本，贰份副本；</w:t>
            </w:r>
          </w:p>
          <w:p w14:paraId="72305ABA">
            <w:pPr>
              <w:pStyle w:val="23"/>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2.参选人应将参选文件的正本和副本同时装于一个袋内。包装密封，并于密封袋上加盖单位公章。密封袋上须写明：项目名称、供应商名称、项目编号。</w:t>
            </w:r>
          </w:p>
          <w:p w14:paraId="44C9A5ED">
            <w:pPr>
              <w:pStyle w:val="23"/>
              <w:keepNext w:val="0"/>
              <w:keepLines w:val="0"/>
              <w:widowControl/>
              <w:suppressLineNumbers w:val="0"/>
              <w:spacing w:before="0" w:beforeAutospacing="0" w:after="0" w:afterAutospacing="0" w:line="420" w:lineRule="exact"/>
              <w:ind w:left="0" w:right="0"/>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123E4BC5">
            <w:pPr>
              <w:pStyle w:val="23"/>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4.参选文件封面的需清楚地注明“正本”或“副本”。</w:t>
            </w:r>
          </w:p>
          <w:p w14:paraId="2674B5D0">
            <w:pPr>
              <w:pStyle w:val="23"/>
              <w:keepNext w:val="0"/>
              <w:keepLines w:val="0"/>
              <w:widowControl/>
              <w:numPr>
                <w:ilvl w:val="0"/>
                <w:numId w:val="0"/>
              </w:numPr>
              <w:suppressLineNumbers w:val="0"/>
              <w:spacing w:before="0" w:beforeAutospacing="0" w:after="0" w:afterAutospacing="0" w:line="420" w:lineRule="exact"/>
              <w:ind w:left="0" w:right="0"/>
              <w:jc w:val="both"/>
              <w:rPr>
                <w:rFonts w:hint="default" w:ascii="宋体" w:hAnsi="宋体" w:eastAsia="宋体" w:cs="宋体"/>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5.参选人须在递交参选文件截止时间前，到达比选地点现场递交参选文件。</w:t>
            </w:r>
          </w:p>
        </w:tc>
      </w:tr>
      <w:tr w14:paraId="561A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27FB0B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40835B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7F80010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20" w:lineRule="exact"/>
              <w:ind w:left="0" w:right="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安庆市交通控股集团有限公司</w:t>
            </w:r>
            <w:r>
              <w:rPr>
                <w:rFonts w:hint="eastAsia" w:cs="Times New Roman"/>
                <w:color w:val="auto"/>
                <w:szCs w:val="21"/>
                <w:highlight w:val="none"/>
                <w:lang w:val="en-US" w:eastAsia="zh-CN"/>
              </w:rPr>
              <w:t>集采平台</w:t>
            </w:r>
            <w:r>
              <w:rPr>
                <w:rFonts w:hint="eastAsia" w:ascii="Times New Roman" w:hAnsi="Times New Roman" w:eastAsia="宋体" w:cs="Times New Roman"/>
                <w:color w:val="auto"/>
                <w:szCs w:val="21"/>
                <w:highlight w:val="none"/>
                <w:lang w:val="en-US" w:eastAsia="zh-CN"/>
              </w:rPr>
              <w:t>（http：//jc.zh0556.com/）</w:t>
            </w:r>
            <w:r>
              <w:rPr>
                <w:rFonts w:hint="eastAsia" w:ascii="宋体" w:hAnsi="宋体" w:eastAsia="宋体" w:cs="宋体"/>
                <w:color w:val="auto"/>
                <w:sz w:val="21"/>
                <w:szCs w:val="21"/>
                <w:highlight w:val="none"/>
                <w:lang w:val="en-US" w:eastAsia="zh-CN"/>
              </w:rPr>
              <w:t>发布。</w:t>
            </w:r>
          </w:p>
        </w:tc>
      </w:tr>
      <w:tr w14:paraId="7DA3F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1E4B2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59DBC0E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参选截止</w:t>
            </w:r>
            <w:r>
              <w:rPr>
                <w:rFonts w:hint="eastAsia" w:ascii="宋体" w:hAnsi="宋体"/>
                <w:color w:val="auto"/>
                <w:szCs w:val="21"/>
                <w:highlight w:val="none"/>
              </w:rPr>
              <w:t>时间和地点</w:t>
            </w:r>
          </w:p>
        </w:tc>
        <w:tc>
          <w:tcPr>
            <w:tcW w:w="6356" w:type="dxa"/>
            <w:tcBorders>
              <w:top w:val="single" w:color="auto" w:sz="4" w:space="0"/>
              <w:left w:val="single" w:color="auto" w:sz="4" w:space="0"/>
              <w:bottom w:val="single" w:color="auto" w:sz="4" w:space="0"/>
            </w:tcBorders>
            <w:vAlign w:val="center"/>
          </w:tcPr>
          <w:p w14:paraId="58A9FC49">
            <w:pPr>
              <w:keepNext w:val="0"/>
              <w:keepLines w:val="0"/>
              <w:suppressLineNumbers w:val="0"/>
              <w:spacing w:before="0" w:beforeAutospacing="0" w:after="0" w:afterAutospacing="0" w:line="4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北京时间:</w:t>
            </w:r>
            <w:r>
              <w:rPr>
                <w:rFonts w:hint="eastAsia" w:ascii="宋体" w:hAnsi="宋体" w:cs="宋体"/>
                <w:color w:val="auto"/>
                <w:szCs w:val="21"/>
                <w:highlight w:val="none"/>
                <w:lang w:val="en-US" w:eastAsia="zh-CN"/>
              </w:rPr>
              <w:t>2026年9月22日9时30分</w:t>
            </w:r>
          </w:p>
          <w:p w14:paraId="47E3176C">
            <w:pPr>
              <w:keepNext w:val="0"/>
              <w:keepLines w:val="0"/>
              <w:suppressLineNumbers w:val="0"/>
              <w:spacing w:before="0" w:beforeAutospacing="0" w:after="0" w:afterAutospacing="0" w:line="420" w:lineRule="exact"/>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6CA16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04501A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12AD85F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7DB9DD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cs="Times New Roman"/>
                <w:b/>
                <w:bCs/>
                <w:color w:val="auto"/>
                <w:szCs w:val="21"/>
                <w:highlight w:val="none"/>
                <w:lang w:val="en-US" w:eastAsia="zh-CN"/>
              </w:rPr>
              <w:t>综合评分法</w:t>
            </w:r>
          </w:p>
        </w:tc>
      </w:tr>
      <w:tr w14:paraId="60EBB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8875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395893C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0ECF2FB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是否要求投标人递交履约保证金：</w:t>
            </w:r>
          </w:p>
          <w:p w14:paraId="0269AE3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☑不要求</w:t>
            </w:r>
          </w:p>
          <w:p w14:paraId="31A9300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要求，具体如下：</w:t>
            </w:r>
          </w:p>
          <w:p w14:paraId="451634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（1）比例：中标合同金额的 2 ％。</w:t>
            </w:r>
          </w:p>
          <w:p w14:paraId="2C50FE81">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（2）履约保证金形式：</w:t>
            </w:r>
          </w:p>
          <w:p w14:paraId="2DB6691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银行转账</w:t>
            </w:r>
          </w:p>
          <w:p w14:paraId="696E27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银行保函</w:t>
            </w:r>
          </w:p>
          <w:p w14:paraId="12E4DDA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担保机构担保</w:t>
            </w:r>
          </w:p>
          <w:p w14:paraId="4DA7434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（3）具体要求：</w:t>
            </w:r>
          </w:p>
          <w:p w14:paraId="0FEAF8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①采用银行保函的，应为不可撤销、不可转让的见索即付独立保函。</w:t>
            </w:r>
          </w:p>
          <w:p w14:paraId="44FA5A3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②采用担保机构担保的，应为依法取得融资担保业务经营许可证的融资担保机构出具的不可撤销、不可转让的见索即付独立保函。</w:t>
            </w:r>
          </w:p>
          <w:p w14:paraId="5A7087D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③采用保证保险的，应为保险公司出具的不可撤销、不可转让的见索即付保证保险。</w:t>
            </w:r>
          </w:p>
          <w:p w14:paraId="357E067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（4）本招标项目是否减免履约保证金：</w:t>
            </w:r>
          </w:p>
          <w:p w14:paraId="2205B9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不减免</w:t>
            </w:r>
          </w:p>
          <w:p w14:paraId="469F707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u w:val="singl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减免，适用减免履约保证金的情形：</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w:t>
            </w:r>
          </w:p>
          <w:p w14:paraId="166E3F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（5）其他要求：</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cs="宋体"/>
                <w:color w:val="auto"/>
                <w:sz w:val="21"/>
                <w:szCs w:val="21"/>
                <w:highlight w:val="none"/>
                <w:u w:val="none"/>
                <w:lang w:val="en-US" w:eastAsia="zh-CN"/>
              </w:rPr>
              <w:t>。</w:t>
            </w:r>
          </w:p>
        </w:tc>
      </w:tr>
      <w:tr w14:paraId="3FC87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545BD9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top"/>
          </w:tcPr>
          <w:p w14:paraId="20FA3D6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szCs w:val="21"/>
                <w:highlight w:val="none"/>
                <w:lang w:val="en-US" w:eastAsia="zh-CN"/>
              </w:rPr>
              <w:t>专家评审费（元）</w:t>
            </w:r>
          </w:p>
        </w:tc>
        <w:tc>
          <w:tcPr>
            <w:tcW w:w="6356" w:type="dxa"/>
            <w:tcBorders>
              <w:top w:val="single" w:color="auto" w:sz="4" w:space="0"/>
              <w:left w:val="single" w:color="auto" w:sz="4" w:space="0"/>
              <w:bottom w:val="single" w:color="auto" w:sz="4" w:space="0"/>
            </w:tcBorders>
            <w:vAlign w:val="center"/>
          </w:tcPr>
          <w:p w14:paraId="177C30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Times New Roman"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szCs w:val="21"/>
                <w:highlight w:val="none"/>
                <w:lang w:val="en-US" w:eastAsia="zh-CN"/>
              </w:rPr>
              <w:t>由成交人承担</w:t>
            </w:r>
          </w:p>
        </w:tc>
      </w:tr>
      <w:tr w14:paraId="7C0EE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2D8EC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EBD4E1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3F0E5C22">
            <w:pPr>
              <w:keepNext w:val="0"/>
              <w:keepLines w:val="0"/>
              <w:suppressLineNumbers w:val="0"/>
              <w:spacing w:before="0" w:beforeAutospacing="0" w:after="0" w:afterAutospacing="0" w:line="360" w:lineRule="auto"/>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详见比选公告。</w:t>
            </w:r>
          </w:p>
        </w:tc>
      </w:tr>
      <w:tr w14:paraId="7B297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91D85C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2BA55E6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报价要求</w:t>
            </w:r>
          </w:p>
        </w:tc>
        <w:tc>
          <w:tcPr>
            <w:tcW w:w="6356" w:type="dxa"/>
            <w:tcBorders>
              <w:top w:val="single" w:color="auto" w:sz="4" w:space="0"/>
              <w:left w:val="single" w:color="auto" w:sz="4" w:space="0"/>
              <w:bottom w:val="single" w:color="auto" w:sz="4" w:space="0"/>
            </w:tcBorders>
            <w:vAlign w:val="center"/>
          </w:tcPr>
          <w:p w14:paraId="415F2D04">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1、报价应含参选人完成本项目所有工作内容。</w:t>
            </w:r>
          </w:p>
          <w:p w14:paraId="350A07B6">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2、为完成本比选文件规定的义务，参选人认为有必要计入的其它费用。</w:t>
            </w:r>
          </w:p>
        </w:tc>
      </w:tr>
      <w:tr w14:paraId="21F80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42BBFF4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20</w:t>
            </w:r>
          </w:p>
        </w:tc>
        <w:tc>
          <w:tcPr>
            <w:tcW w:w="2125" w:type="dxa"/>
            <w:tcBorders>
              <w:top w:val="single" w:color="auto" w:sz="4" w:space="0"/>
              <w:left w:val="single" w:color="auto" w:sz="4" w:space="0"/>
              <w:bottom w:val="single" w:color="auto" w:sz="4" w:space="0"/>
              <w:right w:val="single" w:color="auto" w:sz="4" w:space="0"/>
            </w:tcBorders>
            <w:vAlign w:val="center"/>
          </w:tcPr>
          <w:p w14:paraId="0E83A7C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73CB534D">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本比选文件的解释权归</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w:t>
            </w:r>
          </w:p>
          <w:p w14:paraId="69E27864">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成交人</w:t>
            </w:r>
            <w:r>
              <w:rPr>
                <w:rFonts w:hint="eastAsia" w:ascii="宋体" w:hAnsi="宋体" w:eastAsia="宋体" w:cs="宋体"/>
                <w:color w:val="auto"/>
                <w:sz w:val="21"/>
                <w:szCs w:val="21"/>
                <w:highlight w:val="none"/>
                <w:lang w:val="en-US" w:eastAsia="zh-CN"/>
              </w:rPr>
              <w:t>必须具有</w:t>
            </w:r>
            <w:r>
              <w:rPr>
                <w:rFonts w:hint="eastAsia" w:ascii="宋体" w:hAnsi="宋体" w:eastAsia="宋体" w:cs="宋体"/>
                <w:color w:val="auto"/>
                <w:sz w:val="21"/>
                <w:szCs w:val="21"/>
                <w:highlight w:val="none"/>
              </w:rPr>
              <w:t>相应资质，</w:t>
            </w:r>
            <w:r>
              <w:rPr>
                <w:rFonts w:hint="eastAsia" w:ascii="宋体" w:hAnsi="宋体" w:cs="宋体"/>
                <w:color w:val="auto"/>
                <w:szCs w:val="21"/>
                <w:highlight w:val="none"/>
              </w:rPr>
              <w:t>不得转包或分包。</w:t>
            </w:r>
          </w:p>
          <w:p w14:paraId="2A2009EE">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Times New Roman" w:hAnsi="Times New Roman" w:eastAsia="宋体" w:cs="Times New Roman"/>
                <w:color w:val="auto"/>
                <w:kern w:val="2"/>
                <w:sz w:val="21"/>
                <w:szCs w:val="20"/>
                <w:highlight w:val="none"/>
                <w:lang w:val="en-US" w:eastAsia="zh-CN" w:bidi="ar-SA"/>
              </w:rPr>
              <w:t>本次采购管理部门为</w:t>
            </w:r>
            <w:r>
              <w:rPr>
                <w:rFonts w:hint="eastAsia" w:cs="Times New Roman"/>
                <w:color w:val="auto"/>
                <w:kern w:val="2"/>
                <w:sz w:val="21"/>
                <w:szCs w:val="20"/>
                <w:highlight w:val="none"/>
                <w:lang w:val="en-US" w:eastAsia="zh-CN" w:bidi="ar-SA"/>
              </w:rPr>
              <w:t>安庆市交通控股集团有限公司集采中心</w:t>
            </w:r>
            <w:r>
              <w:rPr>
                <w:rFonts w:hint="eastAsia" w:ascii="Times New Roman" w:hAnsi="Times New Roman" w:eastAsia="宋体" w:cs="Times New Roman"/>
                <w:color w:val="auto"/>
                <w:kern w:val="2"/>
                <w:sz w:val="21"/>
                <w:szCs w:val="20"/>
                <w:highlight w:val="none"/>
                <w:lang w:val="en-US" w:eastAsia="zh-CN" w:bidi="ar-SA"/>
              </w:rPr>
              <w:t>，</w:t>
            </w:r>
            <w:r>
              <w:rPr>
                <w:rFonts w:hint="eastAsia" w:ascii="宋体" w:hAnsi="宋体" w:cs="宋体"/>
                <w:color w:val="auto"/>
                <w:sz w:val="21"/>
                <w:szCs w:val="21"/>
                <w:highlight w:val="none"/>
                <w:lang w:val="en-US" w:eastAsia="zh-CN"/>
              </w:rPr>
              <w:t>具体合同签订</w:t>
            </w:r>
            <w:r>
              <w:rPr>
                <w:rFonts w:hint="eastAsia" w:ascii="宋体" w:hAnsi="宋体" w:eastAsia="宋体" w:cs="宋体"/>
                <w:color w:val="auto"/>
                <w:sz w:val="21"/>
                <w:szCs w:val="21"/>
                <w:highlight w:val="none"/>
                <w:lang w:val="en-US" w:eastAsia="zh-CN"/>
              </w:rPr>
              <w:t>主体为</w:t>
            </w:r>
            <w:r>
              <w:rPr>
                <w:rFonts w:hint="eastAsia" w:ascii="宋体" w:hAnsi="宋体" w:cs="宋体"/>
                <w:color w:val="auto"/>
                <w:sz w:val="21"/>
                <w:szCs w:val="21"/>
                <w:highlight w:val="none"/>
                <w:lang w:val="en-US" w:eastAsia="zh-CN"/>
              </w:rPr>
              <w:t>“安庆交投物流产业发展有限公司”，特此说明</w:t>
            </w:r>
            <w:r>
              <w:rPr>
                <w:rFonts w:hint="eastAsia" w:ascii="宋体" w:hAnsi="宋体" w:eastAsia="宋体" w:cs="宋体"/>
                <w:color w:val="auto"/>
                <w:sz w:val="21"/>
                <w:szCs w:val="21"/>
                <w:highlight w:val="none"/>
                <w:lang w:val="en-US" w:eastAsia="zh-CN"/>
              </w:rPr>
              <w:t>。</w:t>
            </w:r>
          </w:p>
        </w:tc>
      </w:tr>
      <w:tr w14:paraId="57E61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352F510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D535F8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02496D54">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凡有意参加</w:t>
            </w:r>
            <w:r>
              <w:rPr>
                <w:rFonts w:hint="eastAsia"/>
                <w:color w:val="auto"/>
                <w:szCs w:val="20"/>
                <w:highlight w:val="none"/>
                <w:lang w:val="en-US" w:eastAsia="zh-CN"/>
              </w:rPr>
              <w:t>比选</w:t>
            </w:r>
            <w:r>
              <w:rPr>
                <w:rFonts w:hint="eastAsia"/>
                <w:color w:val="auto"/>
                <w:szCs w:val="20"/>
                <w:highlight w:val="none"/>
              </w:rPr>
              <w:t>的单位，在参与过程中，遇排斥潜在</w:t>
            </w:r>
            <w:r>
              <w:rPr>
                <w:rFonts w:hint="eastAsia"/>
                <w:color w:val="auto"/>
                <w:szCs w:val="20"/>
                <w:highlight w:val="none"/>
                <w:lang w:val="en-US" w:eastAsia="zh-CN"/>
              </w:rPr>
              <w:t>参选</w:t>
            </w:r>
            <w:r>
              <w:rPr>
                <w:rFonts w:hint="eastAsia"/>
                <w:color w:val="auto"/>
                <w:szCs w:val="20"/>
                <w:highlight w:val="none"/>
              </w:rPr>
              <w:t>人等现象，可在开标截止时间1日前向</w:t>
            </w:r>
            <w:r>
              <w:rPr>
                <w:rFonts w:hint="eastAsia"/>
                <w:color w:val="auto"/>
                <w:szCs w:val="20"/>
                <w:highlight w:val="none"/>
                <w:lang w:eastAsia="zh-CN"/>
              </w:rPr>
              <w:t>采购</w:t>
            </w:r>
            <w:r>
              <w:rPr>
                <w:rFonts w:hint="eastAsia"/>
                <w:color w:val="auto"/>
                <w:szCs w:val="20"/>
                <w:highlight w:val="none"/>
              </w:rPr>
              <w:t>部门提出书面质疑。如对质疑答复不满，可在开标截止时间前不少于12小时将书面投诉材料送达至监察部门。</w:t>
            </w:r>
          </w:p>
          <w:p w14:paraId="4AAD54AF">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地址：安庆市交通控股集团有限公司纪检监察室</w:t>
            </w:r>
          </w:p>
          <w:p w14:paraId="20A56451">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电话：0556-5595102。</w:t>
            </w:r>
          </w:p>
        </w:tc>
      </w:tr>
    </w:tbl>
    <w:p w14:paraId="000A6E10">
      <w:pPr>
        <w:rPr>
          <w:rFonts w:ascii="宋体" w:hAnsi="宋体"/>
          <w:color w:val="auto"/>
          <w:kern w:val="0"/>
          <w:highlight w:val="none"/>
          <w:lang w:val="zh-CN"/>
        </w:rPr>
      </w:pPr>
      <w:bookmarkStart w:id="23" w:name="_Toc439316872"/>
    </w:p>
    <w:bookmarkEnd w:id="23"/>
    <w:p w14:paraId="47E36A46">
      <w:pPr>
        <w:pStyle w:val="4"/>
        <w:spacing w:beforeLines="0" w:afterLines="0"/>
        <w:ind w:firstLine="0" w:firstLineChars="0"/>
        <w:jc w:val="center"/>
        <w:outlineLvl w:val="1"/>
        <w:rPr>
          <w:rFonts w:ascii="宋体" w:hAnsi="宋体" w:eastAsia="宋体" w:cs="Tahoma"/>
          <w:bCs/>
          <w:color w:val="auto"/>
          <w:kern w:val="0"/>
          <w:sz w:val="32"/>
          <w:szCs w:val="32"/>
          <w:highlight w:val="none"/>
          <w:lang w:val="zh-CN"/>
        </w:rPr>
      </w:pPr>
      <w:bookmarkStart w:id="24" w:name="_Toc2521"/>
      <w:bookmarkStart w:id="25" w:name="_Toc12394"/>
      <w:bookmarkStart w:id="26" w:name="_Toc54941331"/>
      <w:bookmarkStart w:id="27" w:name="_Toc16271"/>
      <w:bookmarkStart w:id="28" w:name="_Toc54941337"/>
      <w:bookmarkStart w:id="29" w:name="_Toc476584426"/>
      <w:r>
        <w:rPr>
          <w:rFonts w:hint="eastAsia" w:ascii="宋体" w:hAnsi="宋体" w:eastAsia="宋体" w:cs="Tahoma"/>
          <w:bCs/>
          <w:color w:val="auto"/>
          <w:kern w:val="0"/>
          <w:sz w:val="32"/>
          <w:szCs w:val="32"/>
          <w:highlight w:val="none"/>
          <w:lang w:val="zh-CN"/>
        </w:rPr>
        <w:t>第二节</w:t>
      </w:r>
      <w:r>
        <w:rPr>
          <w:rFonts w:ascii="宋体" w:hAnsi="宋体" w:eastAsia="宋体" w:cs="Tahoma"/>
          <w:bCs/>
          <w:color w:val="auto"/>
          <w:kern w:val="0"/>
          <w:sz w:val="32"/>
          <w:szCs w:val="32"/>
          <w:highlight w:val="none"/>
          <w:lang w:val="zh-CN"/>
        </w:rPr>
        <w:t xml:space="preserve"> </w:t>
      </w:r>
      <w:r>
        <w:rPr>
          <w:rFonts w:hint="eastAsia" w:cs="Tahoma"/>
          <w:bCs/>
          <w:color w:val="auto"/>
          <w:kern w:val="0"/>
          <w:sz w:val="32"/>
          <w:szCs w:val="32"/>
          <w:highlight w:val="none"/>
          <w:lang w:val="en-US" w:eastAsia="zh-CN"/>
        </w:rPr>
        <w:t>参选人</w:t>
      </w:r>
      <w:r>
        <w:rPr>
          <w:rFonts w:hint="eastAsia" w:ascii="宋体" w:hAnsi="宋体" w:eastAsia="宋体" w:cs="Tahoma"/>
          <w:bCs/>
          <w:color w:val="auto"/>
          <w:kern w:val="0"/>
          <w:sz w:val="32"/>
          <w:szCs w:val="32"/>
          <w:highlight w:val="none"/>
          <w:lang w:val="zh-CN"/>
        </w:rPr>
        <w:t>须知</w:t>
      </w:r>
      <w:bookmarkEnd w:id="24"/>
      <w:bookmarkEnd w:id="25"/>
      <w:bookmarkEnd w:id="26"/>
      <w:bookmarkEnd w:id="27"/>
    </w:p>
    <w:bookmarkEnd w:id="28"/>
    <w:bookmarkEnd w:id="29"/>
    <w:p w14:paraId="587B3BA4">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0" w:name="_Toc4481592"/>
      <w:bookmarkStart w:id="31" w:name="_Toc28310"/>
      <w:bookmarkStart w:id="32" w:name="_Toc23618"/>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一</w:t>
      </w:r>
      <w:r>
        <w:rPr>
          <w:rFonts w:hint="eastAsia" w:ascii="Arial" w:hAnsi="Arial" w:eastAsia="宋体"/>
          <w:b/>
          <w:color w:val="auto"/>
          <w:kern w:val="0"/>
          <w:sz w:val="32"/>
          <w:highlight w:val="none"/>
        </w:rPr>
        <w:t>）总则</w:t>
      </w:r>
      <w:bookmarkEnd w:id="30"/>
    </w:p>
    <w:p w14:paraId="523EA11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1、定义</w:t>
      </w:r>
    </w:p>
    <w:p w14:paraId="0EF1F4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1.1、采购单位是指采购人和采购管理部门。</w:t>
      </w:r>
    </w:p>
    <w:p w14:paraId="6B2CC9F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1.2、参选人是指对“参选人须知前附表”序号2所指的项目表现出兴趣，按照规定的程序，从采购单位获取了比选文件，并实际参与了该项目投标活动的供应商。</w:t>
      </w:r>
    </w:p>
    <w:p w14:paraId="490AB598">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2、参选人资格要求</w:t>
      </w:r>
    </w:p>
    <w:p w14:paraId="5D407D2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2.1、参与本项目的参选人必须满足的要求：详见参选人须知前附表。</w:t>
      </w:r>
    </w:p>
    <w:p w14:paraId="3637AD1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2.2、参选人之间如果存在下列情形之一的，不得同时参加同一包别或者不分包别的同一项目投标：</w:t>
      </w:r>
    </w:p>
    <w:p w14:paraId="5A4B635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（1）法定代表人为同一个人的两个及两个以上法人；</w:t>
      </w:r>
    </w:p>
    <w:p w14:paraId="6517A6B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（2）母公司、全资子公司及其控股公司；</w:t>
      </w:r>
    </w:p>
    <w:p w14:paraId="13ADAE1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（3）法律和行政法规规定的其他情形。</w:t>
      </w:r>
    </w:p>
    <w:p w14:paraId="468F9237">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2.3、参选人必须确保自己信息真实、准确，否则，参选人因此蒙受损失，采购单位概不负责。</w:t>
      </w:r>
    </w:p>
    <w:p w14:paraId="778A29C9">
      <w:pPr>
        <w:adjustRightInd w:val="0"/>
        <w:spacing w:line="500" w:lineRule="exact"/>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3、联合体投标</w:t>
      </w:r>
    </w:p>
    <w:p w14:paraId="540C070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本项目不接受联合体</w:t>
      </w:r>
    </w:p>
    <w:p w14:paraId="6315C778">
      <w:pPr>
        <w:adjustRightInd w:val="0"/>
        <w:spacing w:line="500" w:lineRule="exact"/>
        <w:ind w:firstLine="413" w:firstLineChars="196"/>
        <w:rPr>
          <w:rFonts w:ascii="宋体" w:hAnsi="宋体" w:eastAsia="宋体"/>
          <w:bCs/>
          <w:color w:val="auto"/>
          <w:szCs w:val="21"/>
          <w:highlight w:val="none"/>
        </w:rPr>
      </w:pPr>
      <w:r>
        <w:rPr>
          <w:rFonts w:hint="eastAsia" w:ascii="宋体" w:hAnsi="宋体" w:eastAsia="宋体"/>
          <w:b/>
          <w:color w:val="auto"/>
          <w:szCs w:val="21"/>
          <w:highlight w:val="none"/>
        </w:rPr>
        <w:t>4、比选费用：</w:t>
      </w:r>
      <w:r>
        <w:rPr>
          <w:rFonts w:hint="eastAsia" w:ascii="宋体" w:hAnsi="宋体" w:eastAsia="宋体"/>
          <w:bCs/>
          <w:color w:val="auto"/>
          <w:szCs w:val="21"/>
          <w:highlight w:val="none"/>
        </w:rPr>
        <w:t>参选人必须自行承担参加比选的所有费用。不论中标与否，采购单位在任何情况下均无义务和责任承担这些费用。</w:t>
      </w:r>
    </w:p>
    <w:p w14:paraId="11E74D89">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5、参选人有以下情形不得参与本次</w:t>
      </w:r>
      <w:r>
        <w:rPr>
          <w:rFonts w:hint="eastAsia" w:ascii="宋体" w:hAnsi="宋体"/>
          <w:b/>
          <w:color w:val="auto"/>
          <w:szCs w:val="21"/>
          <w:highlight w:val="none"/>
          <w:lang w:eastAsia="zh-CN"/>
        </w:rPr>
        <w:t>比选</w:t>
      </w:r>
      <w:r>
        <w:rPr>
          <w:rFonts w:hint="eastAsia" w:ascii="宋体" w:hAnsi="宋体" w:eastAsia="宋体"/>
          <w:b/>
          <w:color w:val="auto"/>
          <w:szCs w:val="21"/>
          <w:highlight w:val="none"/>
        </w:rPr>
        <w:t>活动</w:t>
      </w:r>
    </w:p>
    <w:p w14:paraId="6DBE251E">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5.1被列入安庆市交通控股集团有限公司黑名单管理系统。</w:t>
      </w:r>
    </w:p>
    <w:p w14:paraId="66B23B6B">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5.2在安庆市交通控股集团有限公司处罚限制期限内的投标人。</w:t>
      </w:r>
    </w:p>
    <w:p w14:paraId="5AE625E2">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5570CB88">
      <w:pPr>
        <w:rPr>
          <w:rFonts w:ascii="宋体" w:hAnsi="宋体" w:eastAsia="宋体"/>
          <w:bCs/>
          <w:color w:val="auto"/>
          <w:szCs w:val="21"/>
          <w:highlight w:val="none"/>
        </w:rPr>
      </w:pPr>
      <w:r>
        <w:rPr>
          <w:rFonts w:ascii="宋体" w:hAnsi="宋体" w:eastAsia="宋体"/>
          <w:bCs/>
          <w:color w:val="auto"/>
          <w:szCs w:val="21"/>
          <w:highlight w:val="none"/>
        </w:rPr>
        <w:br w:type="page"/>
      </w:r>
    </w:p>
    <w:p w14:paraId="4F044542">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3" w:name="_Toc479622044"/>
      <w:bookmarkStart w:id="34" w:name="_Toc8536"/>
      <w:bookmarkStart w:id="35" w:name="_Toc4481593"/>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二</w:t>
      </w:r>
      <w:r>
        <w:rPr>
          <w:rFonts w:hint="eastAsia" w:ascii="Arial" w:hAnsi="Arial" w:eastAsia="宋体"/>
          <w:b/>
          <w:color w:val="auto"/>
          <w:kern w:val="0"/>
          <w:sz w:val="32"/>
          <w:highlight w:val="none"/>
        </w:rPr>
        <w:t>）</w:t>
      </w:r>
      <w:bookmarkEnd w:id="33"/>
      <w:bookmarkEnd w:id="34"/>
      <w:bookmarkEnd w:id="35"/>
      <w:r>
        <w:rPr>
          <w:rFonts w:hint="eastAsia" w:ascii="Arial" w:hAnsi="Arial" w:eastAsia="宋体"/>
          <w:b/>
          <w:color w:val="auto"/>
          <w:kern w:val="0"/>
          <w:sz w:val="32"/>
          <w:highlight w:val="none"/>
        </w:rPr>
        <w:t>比选文件</w:t>
      </w:r>
    </w:p>
    <w:p w14:paraId="3DC33FF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6、比选文件的构成</w:t>
      </w:r>
    </w:p>
    <w:p w14:paraId="226642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6.1、比选文件包括：</w:t>
      </w:r>
    </w:p>
    <w:p w14:paraId="1088002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（1）第一章  比选公告；</w:t>
      </w:r>
    </w:p>
    <w:p w14:paraId="38D39F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（2）第二章  参选人须知；</w:t>
      </w:r>
    </w:p>
    <w:p w14:paraId="7A639ED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（3）第三章  </w:t>
      </w:r>
      <w:r>
        <w:rPr>
          <w:rFonts w:hint="eastAsia" w:ascii="宋体" w:hAnsi="宋体" w:eastAsia="宋体"/>
          <w:color w:val="auto"/>
          <w:szCs w:val="21"/>
          <w:highlight w:val="none"/>
          <w:lang w:eastAsia="zh-CN"/>
        </w:rPr>
        <w:t>项目需求及技术要求</w:t>
      </w:r>
      <w:r>
        <w:rPr>
          <w:rFonts w:hint="eastAsia" w:ascii="宋体" w:hAnsi="宋体" w:eastAsia="宋体"/>
          <w:color w:val="auto"/>
          <w:szCs w:val="21"/>
          <w:highlight w:val="none"/>
        </w:rPr>
        <w:t>；</w:t>
      </w:r>
    </w:p>
    <w:p w14:paraId="3504C3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（4）第四章  合同主要条款；</w:t>
      </w:r>
    </w:p>
    <w:p w14:paraId="66F41A3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（5）第五章  参选文件格式。</w:t>
      </w:r>
    </w:p>
    <w:p w14:paraId="4A494B01">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6.2、参选人应认真阅读和充分理解比选文件中所有的内容。如果参选人没有满足比选文件的有关要求，其风险由参选人自行承担。</w:t>
      </w:r>
    </w:p>
    <w:p w14:paraId="10CB846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16F8C81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7、比选文件的澄清</w:t>
      </w:r>
    </w:p>
    <w:p w14:paraId="39A5E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7.1、参选人可以要求采购单位对比选文件中的有关问题进行答疑或澄清。</w:t>
      </w:r>
    </w:p>
    <w:p w14:paraId="2D86895B">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7.2、参选人对比选文件如有异议，应在投标截止日期前向采购单位提出。</w:t>
      </w:r>
    </w:p>
    <w:p w14:paraId="5B54AB1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39B0A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7.4、采购单位对在规定时间收到的且需要做出澄清的问题，将以8款所述方式进行答复，但不说明问题的来源。</w:t>
      </w:r>
    </w:p>
    <w:p w14:paraId="5E5E35C2">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8、比选文件的修改</w:t>
      </w:r>
    </w:p>
    <w:p w14:paraId="2F29380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8.1、采购单位可以对比选文件进行修改。</w:t>
      </w:r>
    </w:p>
    <w:p w14:paraId="1DD4DAED">
      <w:pPr>
        <w:spacing w:line="50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8.2、采购单位对参选人异议的答复和对比选文件的</w:t>
      </w:r>
      <w:r>
        <w:rPr>
          <w:rFonts w:ascii="宋体" w:hAnsi="宋体" w:eastAsia="宋体"/>
          <w:b/>
          <w:bCs/>
          <w:color w:val="auto"/>
          <w:szCs w:val="21"/>
          <w:highlight w:val="none"/>
        </w:rPr>
        <w:t>澄</w:t>
      </w:r>
      <w:r>
        <w:rPr>
          <w:rFonts w:hint="eastAsia" w:ascii="宋体" w:hAnsi="宋体" w:eastAsia="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6A0F514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8.3、</w:t>
      </w:r>
      <w:bookmarkStart w:id="36" w:name="_Toc9821"/>
      <w:r>
        <w:rPr>
          <w:rFonts w:hint="eastAsia" w:ascii="宋体" w:hAnsi="宋体" w:eastAsia="宋体"/>
          <w:color w:val="auto"/>
          <w:szCs w:val="21"/>
          <w:highlight w:val="none"/>
        </w:rPr>
        <w:t>当比选文件与对比选文件的澄清、修改、补充等在同一内容的表述上不一致时，以最后发出的为准。</w:t>
      </w:r>
    </w:p>
    <w:p w14:paraId="65EB125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olor w:val="auto"/>
          <w:szCs w:val="21"/>
          <w:highlight w:val="none"/>
        </w:rPr>
        <w:t>。</w:t>
      </w:r>
    </w:p>
    <w:bookmarkEnd w:id="36"/>
    <w:p w14:paraId="2CB1309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9、参选文件的构成</w:t>
      </w:r>
    </w:p>
    <w:p w14:paraId="250E05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9.1、参选文件应该按照“参选文件格式”规定的内容和顺序进行编写。</w:t>
      </w:r>
    </w:p>
    <w:p w14:paraId="4149DD6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9.2、参选人应提交“参选人须知前附表”中规定的参选文件。</w:t>
      </w:r>
    </w:p>
    <w:p w14:paraId="5360D9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9.3、参选人必须对其参选文件的真实性与准确性负责。参选人一旦中标，其参选文件将作为合同的重要组成部分。</w:t>
      </w:r>
    </w:p>
    <w:p w14:paraId="4F11894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9.4、参选人提供的</w:t>
      </w:r>
      <w:r>
        <w:rPr>
          <w:rFonts w:hint="eastAsia" w:ascii="宋体" w:hAnsi="宋体" w:eastAsia="宋体"/>
          <w:color w:val="auto"/>
          <w:szCs w:val="21"/>
          <w:highlight w:val="none"/>
          <w:lang w:val="en-US" w:eastAsia="zh-CN"/>
        </w:rPr>
        <w:t>货物/</w:t>
      </w:r>
      <w:r>
        <w:rPr>
          <w:rFonts w:hint="eastAsia" w:ascii="宋体" w:hAnsi="宋体" w:eastAsia="宋体"/>
          <w:color w:val="auto"/>
          <w:szCs w:val="21"/>
          <w:highlight w:val="none"/>
          <w:lang w:eastAsia="zh-CN"/>
        </w:rPr>
        <w:t>服务</w:t>
      </w:r>
      <w:r>
        <w:rPr>
          <w:rFonts w:hint="eastAsia" w:ascii="宋体" w:hAnsi="宋体" w:eastAsia="宋体"/>
          <w:color w:val="auto"/>
          <w:szCs w:val="21"/>
          <w:highlight w:val="none"/>
        </w:rPr>
        <w:t>能满足比选文件约定的实质性要求。否则，其参选文件在评标时有可能被认为是对比选文件未做出实质性的响应，而被评标委员会终止对其做进一步的评审。</w:t>
      </w:r>
    </w:p>
    <w:p w14:paraId="53D6F47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10、投标报价</w:t>
      </w:r>
    </w:p>
    <w:p w14:paraId="064CD3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10.1、参选文件的报价表上应清楚地标明参选人拟提供</w:t>
      </w:r>
      <w:r>
        <w:rPr>
          <w:rFonts w:hint="eastAsia" w:ascii="宋体" w:hAnsi="宋体" w:eastAsia="宋体"/>
          <w:color w:val="auto"/>
          <w:szCs w:val="21"/>
          <w:highlight w:val="none"/>
          <w:lang w:val="en-US" w:eastAsia="zh-CN"/>
        </w:rPr>
        <w:t>货物/服务</w:t>
      </w:r>
      <w:r>
        <w:rPr>
          <w:rFonts w:hint="eastAsia" w:ascii="宋体" w:hAnsi="宋体" w:eastAsia="宋体"/>
          <w:color w:val="auto"/>
          <w:szCs w:val="21"/>
          <w:highlight w:val="none"/>
        </w:rPr>
        <w:t>的名称、价格等内容。</w:t>
      </w:r>
    </w:p>
    <w:p w14:paraId="5BDD4DE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10.2、除非特别要求，每个项目（或每个包）只允许有一个方案、一个报价。多方案、多报价的参选文件将视为无效参选文件。</w:t>
      </w:r>
    </w:p>
    <w:p w14:paraId="432008D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10.3、参选人的报价应包含满足本次招标需求的所有费用（包括但不限于：人工费、材料费、运输费、保险、税金等）。</w:t>
      </w:r>
    </w:p>
    <w:p w14:paraId="2AF0D2AD">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10.4、</w:t>
      </w:r>
      <w:r>
        <w:rPr>
          <w:rFonts w:hint="eastAsia" w:ascii="宋体" w:hAnsi="宋体"/>
          <w:color w:val="auto"/>
          <w:szCs w:val="21"/>
          <w:highlight w:val="none"/>
          <w:lang w:eastAsia="zh-CN"/>
        </w:rPr>
        <w:t>参选</w:t>
      </w:r>
      <w:r>
        <w:rPr>
          <w:rFonts w:hint="eastAsia" w:ascii="宋体" w:hAnsi="宋体" w:eastAsia="宋体"/>
          <w:color w:val="auto"/>
          <w:szCs w:val="21"/>
          <w:highlight w:val="none"/>
        </w:rPr>
        <w:t>报价高于最高投标限价为投标无效。</w:t>
      </w:r>
    </w:p>
    <w:p w14:paraId="2F3B11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10.5、若参选报价函中报价的大写金额和小写金额不一致的，以大写金额为准；单价金额小数点有明显错位的，应以总价为准，并修正单价。</w:t>
      </w:r>
    </w:p>
    <w:p w14:paraId="51CD780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10.6、</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中报价与参选文件中相应内容不一致的，以</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中报价为准。</w:t>
      </w:r>
    </w:p>
    <w:p w14:paraId="173664E4">
      <w:pPr>
        <w:spacing w:line="500" w:lineRule="exact"/>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11、投标货币：</w:t>
      </w:r>
      <w:r>
        <w:rPr>
          <w:rFonts w:hint="eastAsia" w:ascii="宋体" w:hAnsi="宋体" w:eastAsia="宋体"/>
          <w:color w:val="auto"/>
          <w:szCs w:val="21"/>
          <w:highlight w:val="none"/>
        </w:rPr>
        <w:t>人民币。</w:t>
      </w:r>
    </w:p>
    <w:p w14:paraId="2950B393">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12、投标保证金：本项目不收取</w:t>
      </w:r>
    </w:p>
    <w:p w14:paraId="3ECCDCB1">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13、投标有效期</w:t>
      </w:r>
    </w:p>
    <w:p w14:paraId="1ECC7309">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14.投标有效期见“参选人须知前附表”的规定。</w:t>
      </w:r>
    </w:p>
    <w:p w14:paraId="4770828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14.1、在投标有效期内，参选人不得要求撤销或修改其参选文件。</w:t>
      </w:r>
    </w:p>
    <w:p w14:paraId="386CD46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14.2、投标有效期从投标截止之日算起。</w:t>
      </w:r>
    </w:p>
    <w:p w14:paraId="059B075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639570B2">
      <w:pPr>
        <w:spacing w:line="500" w:lineRule="exact"/>
        <w:ind w:firstLine="422" w:firstLineChars="200"/>
        <w:rPr>
          <w:rFonts w:ascii="宋体" w:hAnsi="宋体" w:eastAsia="宋体"/>
          <w:b/>
          <w:color w:val="auto"/>
          <w:kern w:val="0"/>
          <w:szCs w:val="21"/>
          <w:highlight w:val="none"/>
        </w:rPr>
      </w:pPr>
      <w:r>
        <w:rPr>
          <w:rFonts w:hint="eastAsia" w:ascii="宋体" w:hAnsi="宋体" w:eastAsia="宋体"/>
          <w:b/>
          <w:color w:val="auto"/>
          <w:kern w:val="0"/>
          <w:szCs w:val="21"/>
          <w:highlight w:val="none"/>
        </w:rPr>
        <w:t>15、参选文件的签署</w:t>
      </w:r>
    </w:p>
    <w:p w14:paraId="7C87106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15.1、参选人应按“参选人须知前附表”约定的份数和比选文件约定的格式，编制并提交参选文件。</w:t>
      </w:r>
    </w:p>
    <w:p w14:paraId="1878F9D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15.2、参选文件应由参选人的法定代表人或个体工商户经营者或授权委托人签署，并加盖单位公章。</w:t>
      </w:r>
    </w:p>
    <w:p w14:paraId="34BA288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15.3、参选文件不得行间插字、涂改或增删。如有修改错漏处，必须由参选人的法定代表人或个体工商户经营者或授权委托人签字，并加盖单位公章。</w:t>
      </w:r>
    </w:p>
    <w:p w14:paraId="218999A3">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EAB5DB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15.5、参选文件封面、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内容及质量要求不符合比选文件要求的，视为无效标。由授权委托人签字或盖章的在参选文件中须同时提交授权书。</w:t>
      </w:r>
    </w:p>
    <w:p w14:paraId="064920FA">
      <w:pPr>
        <w:rPr>
          <w:rFonts w:ascii="宋体" w:hAnsi="宋体" w:eastAsia="宋体"/>
          <w:color w:val="auto"/>
          <w:szCs w:val="21"/>
          <w:highlight w:val="none"/>
        </w:rPr>
      </w:pPr>
      <w:r>
        <w:rPr>
          <w:rFonts w:ascii="宋体" w:hAnsi="宋体" w:eastAsia="宋体"/>
          <w:color w:val="auto"/>
          <w:szCs w:val="21"/>
          <w:highlight w:val="none"/>
        </w:rPr>
        <w:br w:type="page"/>
      </w:r>
    </w:p>
    <w:p w14:paraId="72FD455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7" w:name="_Toc4481594"/>
      <w:bookmarkStart w:id="38" w:name="_Toc25319"/>
      <w:bookmarkStart w:id="39" w:name="_Toc12503"/>
      <w:bookmarkStart w:id="40" w:name="_Toc479622046"/>
      <w:r>
        <w:rPr>
          <w:rFonts w:hint="eastAsia" w:ascii="Arial" w:hAnsi="Arial"/>
          <w:b/>
          <w:color w:val="auto"/>
          <w:kern w:val="0"/>
          <w:sz w:val="32"/>
          <w:highlight w:val="none"/>
        </w:rPr>
        <w:t>（三）参选文件的提交</w:t>
      </w:r>
      <w:bookmarkEnd w:id="37"/>
      <w:bookmarkEnd w:id="38"/>
      <w:bookmarkEnd w:id="39"/>
      <w:bookmarkEnd w:id="40"/>
    </w:p>
    <w:p w14:paraId="795AA37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w:t>
      </w:r>
      <w:r>
        <w:rPr>
          <w:rFonts w:hint="eastAsia" w:ascii="宋体" w:hAnsi="宋体"/>
          <w:color w:val="auto"/>
          <w:szCs w:val="21"/>
          <w:highlight w:val="none"/>
          <w:lang w:eastAsia="zh-CN"/>
        </w:rPr>
        <w:t>参选</w:t>
      </w:r>
      <w:r>
        <w:rPr>
          <w:rFonts w:hint="eastAsia" w:ascii="宋体" w:hAnsi="宋体"/>
          <w:color w:val="auto"/>
          <w:szCs w:val="21"/>
          <w:highlight w:val="none"/>
        </w:rPr>
        <w:t>无效。</w:t>
      </w:r>
    </w:p>
    <w:p w14:paraId="0BB2A791">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FD30A7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29AAC99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color w:val="auto"/>
          <w:szCs w:val="21"/>
          <w:highlight w:val="none"/>
        </w:rPr>
      </w:pPr>
      <w:bookmarkStart w:id="41" w:name="_Toc23598"/>
      <w:bookmarkStart w:id="42"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授权委托人授权书后自行拿回。</w:t>
      </w:r>
    </w:p>
    <w:p w14:paraId="1F758D9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3" w:name="_Toc4481595"/>
      <w:r>
        <w:rPr>
          <w:rFonts w:hint="eastAsia" w:ascii="Arial" w:hAnsi="Arial"/>
          <w:b/>
          <w:color w:val="auto"/>
          <w:kern w:val="0"/>
          <w:sz w:val="32"/>
          <w:highlight w:val="none"/>
        </w:rPr>
        <w:t>（四）开标</w:t>
      </w:r>
      <w:bookmarkEnd w:id="41"/>
      <w:bookmarkEnd w:id="42"/>
      <w:bookmarkEnd w:id="43"/>
    </w:p>
    <w:p w14:paraId="50328DF6">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5DBB4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4E8BD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65AA5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08F4E097">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22.2.4、法律法规及比选文件规定的其他情形。</w:t>
      </w:r>
    </w:p>
    <w:p w14:paraId="0237172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26E5912B">
      <w:pPr>
        <w:widowControl/>
        <w:spacing w:line="500" w:lineRule="exact"/>
        <w:ind w:firstLine="420" w:firstLineChars="200"/>
        <w:jc w:val="left"/>
        <w:rPr>
          <w:rFonts w:ascii="宋体" w:hAnsi="宋体" w:eastAsia="宋体"/>
          <w:color w:val="auto"/>
          <w:szCs w:val="21"/>
          <w:highlight w:val="none"/>
        </w:rPr>
      </w:pPr>
      <w:r>
        <w:rPr>
          <w:rFonts w:hint="eastAsia" w:ascii="宋体" w:hAnsi="宋体"/>
          <w:color w:val="auto"/>
          <w:szCs w:val="21"/>
          <w:highlight w:val="none"/>
        </w:rPr>
        <w:t>(4)法律法规规定及比选文件约定的其他情形。</w:t>
      </w:r>
    </w:p>
    <w:p w14:paraId="7F975AA6">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44" w:name="_Toc4481596"/>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五</w:t>
      </w:r>
      <w:r>
        <w:rPr>
          <w:rFonts w:hint="eastAsia" w:ascii="Arial" w:hAnsi="Arial" w:eastAsia="宋体"/>
          <w:b/>
          <w:color w:val="auto"/>
          <w:kern w:val="0"/>
          <w:sz w:val="32"/>
          <w:highlight w:val="none"/>
        </w:rPr>
        <w:t>）评标</w:t>
      </w:r>
      <w:bookmarkEnd w:id="31"/>
      <w:bookmarkEnd w:id="44"/>
    </w:p>
    <w:p w14:paraId="5772DEE6">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23、评标委员会</w:t>
      </w:r>
      <w:r>
        <w:rPr>
          <w:rFonts w:hint="eastAsia" w:ascii="宋体" w:hAnsi="宋体" w:eastAsia="宋体"/>
          <w:color w:val="auto"/>
          <w:szCs w:val="21"/>
          <w:highlight w:val="none"/>
        </w:rPr>
        <w:t>（以下简称“评委会”）：评委会依法组建。采购人代表不得担任评委会组长。评标由评委会进行，评委应坚持公正、公平、诚实守信、实事求是、独立评标的原则。</w:t>
      </w:r>
    </w:p>
    <w:p w14:paraId="0A278184">
      <w:pPr>
        <w:spacing w:line="360" w:lineRule="auto"/>
        <w:ind w:firstLine="422" w:firstLineChars="200"/>
        <w:rPr>
          <w:rFonts w:hint="eastAsia" w:ascii="宋体" w:hAnsi="宋体"/>
          <w:b/>
          <w:color w:val="auto"/>
          <w:szCs w:val="21"/>
          <w:highlight w:val="none"/>
          <w:lang w:val="en-US" w:eastAsia="zh-CN"/>
        </w:rPr>
      </w:pPr>
      <w:r>
        <w:rPr>
          <w:rFonts w:hint="eastAsia" w:ascii="宋体" w:hAnsi="宋体" w:eastAsia="宋体"/>
          <w:b/>
          <w:color w:val="auto"/>
          <w:szCs w:val="21"/>
          <w:highlight w:val="none"/>
        </w:rPr>
        <w:t>24、评标方法：</w:t>
      </w:r>
      <w:r>
        <w:rPr>
          <w:rFonts w:hint="eastAsia" w:ascii="宋体" w:hAnsi="宋体"/>
          <w:b/>
          <w:color w:val="auto"/>
          <w:szCs w:val="21"/>
          <w:highlight w:val="none"/>
          <w:lang w:val="en-US" w:eastAsia="zh-CN"/>
        </w:rPr>
        <w:t>综合评分法，由评选委员会按照下列评分标准对参选文件进行详细审查和评分，以总分得分最高的参选人为成交单位。</w:t>
      </w:r>
    </w:p>
    <w:tbl>
      <w:tblPr>
        <w:tblStyle w:val="62"/>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182"/>
        <w:gridCol w:w="1182"/>
        <w:gridCol w:w="4868"/>
        <w:gridCol w:w="1163"/>
      </w:tblGrid>
      <w:tr w14:paraId="0F3A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blHeader/>
          <w:jc w:val="center"/>
        </w:trPr>
        <w:tc>
          <w:tcPr>
            <w:tcW w:w="661" w:type="dxa"/>
            <w:vAlign w:val="center"/>
          </w:tcPr>
          <w:p w14:paraId="7939E36D">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类别</w:t>
            </w:r>
          </w:p>
        </w:tc>
        <w:tc>
          <w:tcPr>
            <w:tcW w:w="1182" w:type="dxa"/>
            <w:vAlign w:val="center"/>
          </w:tcPr>
          <w:p w14:paraId="48DF6DD3">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满分分值</w:t>
            </w:r>
          </w:p>
        </w:tc>
        <w:tc>
          <w:tcPr>
            <w:tcW w:w="1182" w:type="dxa"/>
            <w:vAlign w:val="center"/>
          </w:tcPr>
          <w:p w14:paraId="4ED4032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评分内容</w:t>
            </w:r>
          </w:p>
        </w:tc>
        <w:tc>
          <w:tcPr>
            <w:tcW w:w="4868" w:type="dxa"/>
            <w:vAlign w:val="center"/>
          </w:tcPr>
          <w:p w14:paraId="14BDC3C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评分标准</w:t>
            </w:r>
          </w:p>
        </w:tc>
        <w:tc>
          <w:tcPr>
            <w:tcW w:w="1163" w:type="dxa"/>
            <w:vAlign w:val="center"/>
          </w:tcPr>
          <w:p w14:paraId="3939712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分值范围</w:t>
            </w:r>
          </w:p>
        </w:tc>
      </w:tr>
      <w:tr w14:paraId="30DA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Align w:val="center"/>
          </w:tcPr>
          <w:p w14:paraId="68C44267">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报价</w:t>
            </w:r>
          </w:p>
        </w:tc>
        <w:tc>
          <w:tcPr>
            <w:tcW w:w="1182" w:type="dxa"/>
            <w:vAlign w:val="center"/>
          </w:tcPr>
          <w:p w14:paraId="69FC6370">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20</w:t>
            </w:r>
          </w:p>
        </w:tc>
        <w:tc>
          <w:tcPr>
            <w:tcW w:w="1182" w:type="dxa"/>
            <w:tcBorders>
              <w:bottom w:val="single" w:color="auto" w:sz="4" w:space="0"/>
            </w:tcBorders>
            <w:vAlign w:val="center"/>
          </w:tcPr>
          <w:p w14:paraId="4AE9A0C6">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参选人报价</w:t>
            </w:r>
          </w:p>
        </w:tc>
        <w:tc>
          <w:tcPr>
            <w:tcW w:w="4868" w:type="dxa"/>
            <w:vAlign w:val="center"/>
          </w:tcPr>
          <w:p w14:paraId="68BA6D77">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评选基准价：以参选律所的“有效报价均值”为评选基准价（有效报价：剔除最高、最低报价后的平均值，若仅2家有效报价则直接取均值）。与评选基准价相同的报价得满分20分。其他参选人报价得分按内插法计算，四舍五入，保留两位小数。</w:t>
            </w:r>
          </w:p>
        </w:tc>
        <w:tc>
          <w:tcPr>
            <w:tcW w:w="1163" w:type="dxa"/>
            <w:vAlign w:val="center"/>
          </w:tcPr>
          <w:p w14:paraId="5C4CA9BC">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0～20</w:t>
            </w:r>
          </w:p>
        </w:tc>
      </w:tr>
      <w:tr w14:paraId="6967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restart"/>
            <w:vAlign w:val="center"/>
          </w:tcPr>
          <w:p w14:paraId="29BE77A8">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团队配置</w:t>
            </w:r>
          </w:p>
        </w:tc>
        <w:tc>
          <w:tcPr>
            <w:tcW w:w="1182" w:type="dxa"/>
            <w:vMerge w:val="restart"/>
            <w:tcBorders>
              <w:right w:val="single" w:color="auto" w:sz="4" w:space="0"/>
            </w:tcBorders>
            <w:vAlign w:val="center"/>
          </w:tcPr>
          <w:p w14:paraId="102B947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30</w:t>
            </w:r>
          </w:p>
        </w:tc>
        <w:tc>
          <w:tcPr>
            <w:tcW w:w="1182" w:type="dxa"/>
            <w:vMerge w:val="restart"/>
            <w:tcBorders>
              <w:top w:val="single" w:color="auto" w:sz="4" w:space="0"/>
              <w:left w:val="single" w:color="auto" w:sz="4" w:space="0"/>
              <w:right w:val="single" w:color="auto" w:sz="4" w:space="0"/>
            </w:tcBorders>
            <w:vAlign w:val="center"/>
          </w:tcPr>
          <w:p w14:paraId="5014C1CB">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团队负责人资质</w:t>
            </w:r>
          </w:p>
        </w:tc>
        <w:tc>
          <w:tcPr>
            <w:tcW w:w="4868" w:type="dxa"/>
            <w:tcBorders>
              <w:left w:val="single" w:color="auto" w:sz="4" w:space="0"/>
            </w:tcBorders>
            <w:vAlign w:val="center"/>
          </w:tcPr>
          <w:p w14:paraId="354331E1">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① 政法工作经验及交叉案件处理能力（15分）：团队负责人具有政法系统（法院、检察院、公安机关等）工作经历，且具有行政、刑事、民事执行交叉案件办理经验</w:t>
            </w:r>
            <w:r>
              <w:rPr>
                <w:rFonts w:hint="eastAsia" w:ascii="宋体" w:hAnsi="宋体" w:eastAsia="宋体" w:cs="Times New Roman"/>
                <w:b w:val="0"/>
                <w:color w:val="auto"/>
                <w:kern w:val="2"/>
                <w:sz w:val="21"/>
                <w:szCs w:val="21"/>
                <w:highlight w:val="none"/>
                <w:lang w:val="en-US" w:eastAsia="zh-CN" w:bidi="ar-SA"/>
              </w:rPr>
              <w:t>的</w:t>
            </w:r>
            <w:r>
              <w:rPr>
                <w:rFonts w:hint="default" w:ascii="宋体" w:hAnsi="宋体" w:eastAsia="宋体" w:cs="Times New Roman"/>
                <w:b w:val="0"/>
                <w:color w:val="auto"/>
                <w:kern w:val="2"/>
                <w:sz w:val="21"/>
                <w:szCs w:val="21"/>
                <w:highlight w:val="none"/>
                <w:lang w:val="en-US" w:eastAsia="zh-CN" w:bidi="ar-SA"/>
              </w:rPr>
              <w:t>，得15分；具有政法工作经历但</w:t>
            </w:r>
            <w:r>
              <w:rPr>
                <w:rFonts w:hint="eastAsia" w:ascii="宋体" w:hAnsi="宋体" w:eastAsia="宋体" w:cs="Times New Roman"/>
                <w:b w:val="0"/>
                <w:color w:val="auto"/>
                <w:kern w:val="2"/>
                <w:sz w:val="21"/>
                <w:szCs w:val="21"/>
                <w:highlight w:val="none"/>
                <w:lang w:val="en-US" w:eastAsia="zh-CN" w:bidi="ar-SA"/>
              </w:rPr>
              <w:t>没有</w:t>
            </w:r>
            <w:r>
              <w:rPr>
                <w:rFonts w:hint="default" w:ascii="宋体" w:hAnsi="宋体" w:eastAsia="宋体" w:cs="Times New Roman"/>
                <w:b w:val="0"/>
                <w:color w:val="auto"/>
                <w:kern w:val="2"/>
                <w:sz w:val="21"/>
                <w:szCs w:val="21"/>
                <w:highlight w:val="none"/>
                <w:lang w:val="en-US" w:eastAsia="zh-CN" w:bidi="ar-SA"/>
              </w:rPr>
              <w:t>交叉案件经验</w:t>
            </w:r>
            <w:r>
              <w:rPr>
                <w:rFonts w:hint="eastAsia" w:ascii="宋体" w:hAnsi="宋体" w:eastAsia="宋体" w:cs="Times New Roman"/>
                <w:b w:val="0"/>
                <w:color w:val="auto"/>
                <w:kern w:val="2"/>
                <w:sz w:val="21"/>
                <w:szCs w:val="21"/>
                <w:highlight w:val="none"/>
                <w:lang w:val="en-US" w:eastAsia="zh-CN" w:bidi="ar-SA"/>
              </w:rPr>
              <w:t>的</w:t>
            </w:r>
            <w:r>
              <w:rPr>
                <w:rFonts w:hint="default" w:ascii="宋体" w:hAnsi="宋体" w:eastAsia="宋体" w:cs="Times New Roman"/>
                <w:b w:val="0"/>
                <w:color w:val="auto"/>
                <w:kern w:val="2"/>
                <w:sz w:val="21"/>
                <w:szCs w:val="21"/>
                <w:highlight w:val="none"/>
                <w:lang w:val="en-US" w:eastAsia="zh-CN" w:bidi="ar-SA"/>
              </w:rPr>
              <w:t>，得8分；无政法工作经历但具有交叉案件经验</w:t>
            </w:r>
            <w:r>
              <w:rPr>
                <w:rFonts w:hint="eastAsia" w:ascii="宋体" w:hAnsi="宋体" w:eastAsia="宋体" w:cs="Times New Roman"/>
                <w:b w:val="0"/>
                <w:color w:val="auto"/>
                <w:kern w:val="2"/>
                <w:sz w:val="21"/>
                <w:szCs w:val="21"/>
                <w:highlight w:val="none"/>
                <w:lang w:val="en-US" w:eastAsia="zh-CN" w:bidi="ar-SA"/>
              </w:rPr>
              <w:t>的</w:t>
            </w:r>
            <w:r>
              <w:rPr>
                <w:rFonts w:hint="default" w:ascii="宋体" w:hAnsi="宋体" w:eastAsia="宋体" w:cs="Times New Roman"/>
                <w:b w:val="0"/>
                <w:color w:val="auto"/>
                <w:kern w:val="2"/>
                <w:sz w:val="21"/>
                <w:szCs w:val="21"/>
                <w:highlight w:val="none"/>
                <w:lang w:val="en-US" w:eastAsia="zh-CN" w:bidi="ar-SA"/>
              </w:rPr>
              <w:t>，得5分；无</w:t>
            </w:r>
            <w:r>
              <w:rPr>
                <w:rFonts w:hint="eastAsia" w:ascii="宋体" w:hAnsi="宋体" w:eastAsia="宋体" w:cs="Times New Roman"/>
                <w:b w:val="0"/>
                <w:color w:val="auto"/>
                <w:kern w:val="2"/>
                <w:sz w:val="21"/>
                <w:szCs w:val="21"/>
                <w:highlight w:val="none"/>
                <w:lang w:val="en-US" w:eastAsia="zh-CN" w:bidi="ar-SA"/>
              </w:rPr>
              <w:t>经历且无</w:t>
            </w:r>
            <w:r>
              <w:rPr>
                <w:rFonts w:hint="default" w:ascii="宋体" w:hAnsi="宋体" w:eastAsia="宋体" w:cs="Times New Roman"/>
                <w:b w:val="0"/>
                <w:color w:val="auto"/>
                <w:kern w:val="2"/>
                <w:sz w:val="21"/>
                <w:szCs w:val="21"/>
                <w:highlight w:val="none"/>
                <w:lang w:val="en-US" w:eastAsia="zh-CN" w:bidi="ar-SA"/>
              </w:rPr>
              <w:t>相关经验</w:t>
            </w:r>
            <w:r>
              <w:rPr>
                <w:rFonts w:hint="eastAsia" w:ascii="宋体" w:hAnsi="宋体" w:eastAsia="宋体" w:cs="Times New Roman"/>
                <w:b w:val="0"/>
                <w:color w:val="auto"/>
                <w:kern w:val="2"/>
                <w:sz w:val="21"/>
                <w:szCs w:val="21"/>
                <w:highlight w:val="none"/>
                <w:lang w:val="en-US" w:eastAsia="zh-CN" w:bidi="ar-SA"/>
              </w:rPr>
              <w:t>得</w:t>
            </w:r>
            <w:r>
              <w:rPr>
                <w:rFonts w:hint="default" w:ascii="宋体" w:hAnsi="宋体" w:eastAsia="宋体" w:cs="Times New Roman"/>
                <w:b w:val="0"/>
                <w:color w:val="auto"/>
                <w:kern w:val="2"/>
                <w:sz w:val="21"/>
                <w:szCs w:val="21"/>
                <w:highlight w:val="none"/>
                <w:lang w:val="en-US" w:eastAsia="zh-CN" w:bidi="ar-SA"/>
              </w:rPr>
              <w:t>，不得分。须提供工作经历证明及案例材料。</w:t>
            </w:r>
          </w:p>
        </w:tc>
        <w:tc>
          <w:tcPr>
            <w:tcW w:w="1163" w:type="dxa"/>
            <w:vAlign w:val="center"/>
          </w:tcPr>
          <w:p w14:paraId="326EEEBD">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0～15</w:t>
            </w:r>
          </w:p>
        </w:tc>
      </w:tr>
      <w:tr w14:paraId="3090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6BAB7F18">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tcBorders>
              <w:right w:val="single" w:color="auto" w:sz="4" w:space="0"/>
            </w:tcBorders>
            <w:vAlign w:val="center"/>
          </w:tcPr>
          <w:p w14:paraId="7CAC5C03">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tcBorders>
              <w:left w:val="single" w:color="auto" w:sz="4" w:space="0"/>
              <w:bottom w:val="single" w:color="auto" w:sz="4" w:space="0"/>
              <w:right w:val="single" w:color="auto" w:sz="4" w:space="0"/>
            </w:tcBorders>
            <w:vAlign w:val="center"/>
          </w:tcPr>
          <w:p w14:paraId="32EC59FF">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4868" w:type="dxa"/>
            <w:tcBorders>
              <w:left w:val="single" w:color="auto" w:sz="4" w:space="0"/>
            </w:tcBorders>
            <w:vAlign w:val="center"/>
          </w:tcPr>
          <w:p w14:paraId="69CD478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② 刑事案件处理经验（15分）：团队负责人</w:t>
            </w:r>
            <w:r>
              <w:rPr>
                <w:rFonts w:hint="eastAsia" w:ascii="宋体" w:hAnsi="宋体" w:eastAsia="宋体" w:cs="Times New Roman"/>
                <w:b w:val="0"/>
                <w:color w:val="auto"/>
                <w:kern w:val="2"/>
                <w:sz w:val="21"/>
                <w:szCs w:val="21"/>
                <w:highlight w:val="none"/>
                <w:lang w:val="en-US" w:eastAsia="zh-CN" w:bidi="ar-SA"/>
              </w:rPr>
              <w:t>或主办律师</w:t>
            </w:r>
            <w:r>
              <w:rPr>
                <w:rFonts w:hint="default" w:ascii="宋体" w:hAnsi="宋体" w:eastAsia="宋体" w:cs="Times New Roman"/>
                <w:b w:val="0"/>
                <w:color w:val="auto"/>
                <w:kern w:val="2"/>
                <w:sz w:val="21"/>
                <w:szCs w:val="21"/>
                <w:highlight w:val="none"/>
                <w:lang w:val="en-US" w:eastAsia="zh-CN" w:bidi="ar-SA"/>
              </w:rPr>
              <w:t>近</w:t>
            </w:r>
            <w:r>
              <w:rPr>
                <w:rFonts w:hint="eastAsia" w:ascii="宋体" w:hAnsi="宋体" w:eastAsia="宋体" w:cs="Times New Roman"/>
                <w:b w:val="0"/>
                <w:color w:val="auto"/>
                <w:kern w:val="2"/>
                <w:sz w:val="21"/>
                <w:szCs w:val="21"/>
                <w:highlight w:val="none"/>
                <w:lang w:val="en-US" w:eastAsia="zh-CN" w:bidi="ar-SA"/>
              </w:rPr>
              <w:t>三</w:t>
            </w:r>
            <w:r>
              <w:rPr>
                <w:rFonts w:hint="default" w:ascii="宋体" w:hAnsi="宋体" w:eastAsia="宋体" w:cs="Times New Roman"/>
                <w:b w:val="0"/>
                <w:color w:val="auto"/>
                <w:kern w:val="2"/>
                <w:sz w:val="21"/>
                <w:szCs w:val="21"/>
                <w:highlight w:val="none"/>
                <w:lang w:val="en-US" w:eastAsia="zh-CN" w:bidi="ar-SA"/>
              </w:rPr>
              <w:t>年办理过刑民交叉案件，</w:t>
            </w:r>
            <w:r>
              <w:rPr>
                <w:rFonts w:hint="eastAsia" w:ascii="宋体" w:hAnsi="宋体" w:eastAsia="宋体" w:cs="Times New Roman"/>
                <w:b w:val="0"/>
                <w:color w:val="auto"/>
                <w:kern w:val="2"/>
                <w:sz w:val="21"/>
                <w:szCs w:val="21"/>
                <w:highlight w:val="none"/>
                <w:lang w:val="en-US" w:eastAsia="zh-CN" w:bidi="ar-SA"/>
              </w:rPr>
              <w:t>分别提供代理原告和被告方案例的</w:t>
            </w:r>
            <w:r>
              <w:rPr>
                <w:rFonts w:hint="default" w:ascii="宋体" w:hAnsi="宋体" w:eastAsia="宋体" w:cs="Times New Roman"/>
                <w:b w:val="0"/>
                <w:color w:val="auto"/>
                <w:kern w:val="2"/>
                <w:sz w:val="21"/>
                <w:szCs w:val="21"/>
                <w:highlight w:val="none"/>
                <w:lang w:val="en-US" w:eastAsia="zh-CN" w:bidi="ar-SA"/>
              </w:rPr>
              <w:t>，得15分；</w:t>
            </w:r>
            <w:r>
              <w:rPr>
                <w:rFonts w:hint="eastAsia" w:ascii="宋体" w:hAnsi="宋体" w:eastAsia="宋体" w:cs="Times New Roman"/>
                <w:b w:val="0"/>
                <w:color w:val="auto"/>
                <w:kern w:val="2"/>
                <w:sz w:val="21"/>
                <w:szCs w:val="21"/>
                <w:highlight w:val="none"/>
                <w:lang w:val="en-US" w:eastAsia="zh-CN" w:bidi="ar-SA"/>
              </w:rPr>
              <w:t>只提供代理原告或被告当事一方案例的，且案例数达到2个（含）以上的，</w:t>
            </w:r>
            <w:r>
              <w:rPr>
                <w:rFonts w:hint="default" w:ascii="宋体" w:hAnsi="宋体" w:eastAsia="宋体" w:cs="Times New Roman"/>
                <w:b w:val="0"/>
                <w:color w:val="auto"/>
                <w:kern w:val="2"/>
                <w:sz w:val="21"/>
                <w:szCs w:val="21"/>
                <w:highlight w:val="none"/>
                <w:lang w:val="en-US" w:eastAsia="zh-CN" w:bidi="ar-SA"/>
              </w:rPr>
              <w:t>得8分；</w:t>
            </w:r>
            <w:r>
              <w:rPr>
                <w:rFonts w:hint="eastAsia" w:ascii="宋体" w:hAnsi="宋体" w:eastAsia="宋体" w:cs="Times New Roman"/>
                <w:b w:val="0"/>
                <w:color w:val="auto"/>
                <w:kern w:val="2"/>
                <w:sz w:val="21"/>
                <w:szCs w:val="21"/>
                <w:highlight w:val="none"/>
                <w:lang w:val="en-US" w:eastAsia="zh-CN" w:bidi="ar-SA"/>
              </w:rPr>
              <w:t>只提供代理原告或被告当事一方案例的，且案例数达不到2个的，</w:t>
            </w:r>
            <w:r>
              <w:rPr>
                <w:rFonts w:hint="default" w:ascii="宋体" w:hAnsi="宋体" w:eastAsia="宋体" w:cs="Times New Roman"/>
                <w:b w:val="0"/>
                <w:color w:val="auto"/>
                <w:kern w:val="2"/>
                <w:sz w:val="21"/>
                <w:szCs w:val="21"/>
                <w:highlight w:val="none"/>
                <w:lang w:val="en-US" w:eastAsia="zh-CN" w:bidi="ar-SA"/>
              </w:rPr>
              <w:t>得</w:t>
            </w:r>
            <w:r>
              <w:rPr>
                <w:rFonts w:hint="eastAsia" w:ascii="宋体" w:hAnsi="宋体" w:eastAsia="宋体" w:cs="Times New Roman"/>
                <w:b w:val="0"/>
                <w:color w:val="auto"/>
                <w:kern w:val="2"/>
                <w:sz w:val="21"/>
                <w:szCs w:val="21"/>
                <w:highlight w:val="none"/>
                <w:lang w:val="en-US" w:eastAsia="zh-CN" w:bidi="ar-SA"/>
              </w:rPr>
              <w:t>3</w:t>
            </w:r>
            <w:r>
              <w:rPr>
                <w:rFonts w:hint="default" w:ascii="宋体" w:hAnsi="宋体" w:eastAsia="宋体" w:cs="Times New Roman"/>
                <w:b w:val="0"/>
                <w:color w:val="auto"/>
                <w:kern w:val="2"/>
                <w:sz w:val="21"/>
                <w:szCs w:val="21"/>
                <w:highlight w:val="none"/>
                <w:lang w:val="en-US" w:eastAsia="zh-CN" w:bidi="ar-SA"/>
              </w:rPr>
              <w:t>分；</w:t>
            </w:r>
            <w:r>
              <w:rPr>
                <w:rFonts w:hint="eastAsia" w:ascii="宋体" w:hAnsi="宋体" w:eastAsia="宋体" w:cs="Times New Roman"/>
                <w:b w:val="0"/>
                <w:color w:val="auto"/>
                <w:kern w:val="2"/>
                <w:sz w:val="21"/>
                <w:szCs w:val="21"/>
                <w:highlight w:val="none"/>
                <w:lang w:val="en-US" w:eastAsia="zh-CN" w:bidi="ar-SA"/>
              </w:rPr>
              <w:t>没有</w:t>
            </w:r>
            <w:r>
              <w:rPr>
                <w:rFonts w:hint="default" w:ascii="宋体" w:hAnsi="宋体" w:eastAsia="宋体" w:cs="Times New Roman"/>
                <w:b w:val="0"/>
                <w:color w:val="auto"/>
                <w:kern w:val="2"/>
                <w:sz w:val="21"/>
                <w:szCs w:val="21"/>
                <w:highlight w:val="none"/>
                <w:lang w:val="en-US" w:eastAsia="zh-CN" w:bidi="ar-SA"/>
              </w:rPr>
              <w:t>提供案例</w:t>
            </w:r>
            <w:r>
              <w:rPr>
                <w:rFonts w:hint="eastAsia" w:ascii="宋体" w:hAnsi="宋体" w:eastAsia="宋体" w:cs="Times New Roman"/>
                <w:b w:val="0"/>
                <w:color w:val="auto"/>
                <w:kern w:val="2"/>
                <w:sz w:val="21"/>
                <w:szCs w:val="21"/>
                <w:highlight w:val="none"/>
                <w:lang w:val="en-US" w:eastAsia="zh-CN" w:bidi="ar-SA"/>
              </w:rPr>
              <w:t>的，不</w:t>
            </w:r>
            <w:r>
              <w:rPr>
                <w:rFonts w:hint="default" w:ascii="宋体" w:hAnsi="宋体" w:eastAsia="宋体" w:cs="Times New Roman"/>
                <w:b w:val="0"/>
                <w:color w:val="auto"/>
                <w:kern w:val="2"/>
                <w:sz w:val="21"/>
                <w:szCs w:val="21"/>
                <w:highlight w:val="none"/>
                <w:lang w:val="en-US" w:eastAsia="zh-CN" w:bidi="ar-SA"/>
              </w:rPr>
              <w:t>得分。案例须提供法律文书或相关证明材料。</w:t>
            </w:r>
          </w:p>
        </w:tc>
        <w:tc>
          <w:tcPr>
            <w:tcW w:w="1163" w:type="dxa"/>
            <w:vAlign w:val="center"/>
          </w:tcPr>
          <w:p w14:paraId="2F08AAAF">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0～15</w:t>
            </w:r>
          </w:p>
        </w:tc>
      </w:tr>
      <w:tr w14:paraId="1FCB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restart"/>
            <w:vAlign w:val="center"/>
          </w:tcPr>
          <w:p w14:paraId="60CD9545">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案例经验</w:t>
            </w:r>
          </w:p>
        </w:tc>
        <w:tc>
          <w:tcPr>
            <w:tcW w:w="1182" w:type="dxa"/>
            <w:vMerge w:val="restart"/>
            <w:vAlign w:val="center"/>
          </w:tcPr>
          <w:p w14:paraId="15462BD2">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30</w:t>
            </w:r>
          </w:p>
        </w:tc>
        <w:tc>
          <w:tcPr>
            <w:tcW w:w="1182" w:type="dxa"/>
            <w:vMerge w:val="restart"/>
            <w:tcBorders>
              <w:top w:val="single" w:color="auto" w:sz="4" w:space="0"/>
            </w:tcBorders>
            <w:vAlign w:val="center"/>
          </w:tcPr>
          <w:p w14:paraId="107C18EB">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以刑促民</w:t>
            </w:r>
            <w:r>
              <w:rPr>
                <w:rFonts w:hint="default" w:ascii="宋体" w:hAnsi="宋体" w:eastAsia="宋体" w:cs="Times New Roman"/>
                <w:b w:val="0"/>
                <w:color w:val="auto"/>
                <w:kern w:val="2"/>
                <w:sz w:val="21"/>
                <w:szCs w:val="21"/>
                <w:highlight w:val="none"/>
                <w:lang w:val="en-US" w:eastAsia="zh-CN" w:bidi="ar-SA"/>
              </w:rPr>
              <w:t>案例</w:t>
            </w:r>
          </w:p>
        </w:tc>
        <w:tc>
          <w:tcPr>
            <w:tcW w:w="4868" w:type="dxa"/>
            <w:vAlign w:val="center"/>
          </w:tcPr>
          <w:p w14:paraId="043D0250">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①</w:t>
            </w:r>
            <w:r>
              <w:rPr>
                <w:rFonts w:hint="eastAsia" w:ascii="宋体" w:hAnsi="宋体" w:eastAsia="宋体" w:cs="Times New Roman"/>
                <w:b w:val="0"/>
                <w:color w:val="auto"/>
                <w:kern w:val="2"/>
                <w:sz w:val="21"/>
                <w:szCs w:val="21"/>
                <w:highlight w:val="none"/>
                <w:lang w:val="en-US" w:eastAsia="zh-CN" w:bidi="ar-SA"/>
              </w:rPr>
              <w:t>代理原告方</w:t>
            </w:r>
            <w:r>
              <w:rPr>
                <w:rFonts w:hint="default" w:ascii="宋体" w:hAnsi="宋体" w:eastAsia="宋体" w:cs="Times New Roman"/>
                <w:b w:val="0"/>
                <w:color w:val="auto"/>
                <w:kern w:val="2"/>
                <w:sz w:val="21"/>
                <w:szCs w:val="21"/>
                <w:highlight w:val="none"/>
                <w:lang w:val="en-US" w:eastAsia="zh-CN" w:bidi="ar-SA"/>
              </w:rPr>
              <w:t>案例（15分）：案件办理时间</w:t>
            </w:r>
            <w:r>
              <w:rPr>
                <w:rFonts w:hint="eastAsia" w:ascii="宋体" w:hAnsi="宋体" w:eastAsia="宋体" w:cs="Times New Roman"/>
                <w:b w:val="0"/>
                <w:color w:val="auto"/>
                <w:kern w:val="2"/>
                <w:sz w:val="21"/>
                <w:szCs w:val="21"/>
                <w:highlight w:val="none"/>
                <w:lang w:val="en-US" w:eastAsia="zh-CN" w:bidi="ar-SA"/>
              </w:rPr>
              <w:t>：</w:t>
            </w:r>
            <w:r>
              <w:rPr>
                <w:rFonts w:hint="default" w:ascii="宋体" w:hAnsi="宋体" w:eastAsia="宋体" w:cs="Times New Roman"/>
                <w:b w:val="0"/>
                <w:color w:val="auto"/>
                <w:kern w:val="2"/>
                <w:sz w:val="21"/>
                <w:szCs w:val="21"/>
                <w:highlight w:val="none"/>
                <w:lang w:val="en-US" w:eastAsia="zh-CN" w:bidi="ar-SA"/>
              </w:rPr>
              <w:t>近三年（2023年8月至今），具有通过刑事程序手段（如</w:t>
            </w:r>
            <w:r>
              <w:rPr>
                <w:rFonts w:hint="eastAsia" w:ascii="宋体" w:hAnsi="宋体" w:eastAsia="宋体" w:cs="Times New Roman"/>
                <w:b w:val="0"/>
                <w:color w:val="auto"/>
                <w:kern w:val="2"/>
                <w:sz w:val="21"/>
                <w:szCs w:val="21"/>
                <w:highlight w:val="none"/>
                <w:lang w:val="en-US" w:eastAsia="zh-CN" w:bidi="ar-SA"/>
              </w:rPr>
              <w:t>诈骗罪、</w:t>
            </w:r>
            <w:r>
              <w:rPr>
                <w:rFonts w:hint="default" w:ascii="宋体" w:hAnsi="宋体" w:eastAsia="宋体" w:cs="Times New Roman"/>
                <w:b w:val="0"/>
                <w:color w:val="auto"/>
                <w:kern w:val="2"/>
                <w:sz w:val="21"/>
                <w:szCs w:val="21"/>
                <w:highlight w:val="none"/>
                <w:lang w:val="en-US" w:eastAsia="zh-CN" w:bidi="ar-SA"/>
              </w:rPr>
              <w:t>拒执罪追究、刑事控告、刑事自诉等）成功促使民事案件执行或部分执行的案例，提供1件有效案例</w:t>
            </w:r>
            <w:r>
              <w:rPr>
                <w:rFonts w:hint="eastAsia" w:ascii="宋体" w:hAnsi="宋体" w:eastAsia="宋体" w:cs="Times New Roman"/>
                <w:b w:val="0"/>
                <w:color w:val="auto"/>
                <w:kern w:val="2"/>
                <w:sz w:val="21"/>
                <w:szCs w:val="21"/>
                <w:highlight w:val="none"/>
                <w:lang w:val="en-US" w:eastAsia="zh-CN" w:bidi="ar-SA"/>
              </w:rPr>
              <w:t>，</w:t>
            </w:r>
            <w:r>
              <w:rPr>
                <w:rFonts w:hint="default" w:ascii="宋体" w:hAnsi="宋体" w:eastAsia="宋体" w:cs="Times New Roman"/>
                <w:b w:val="0"/>
                <w:color w:val="auto"/>
                <w:kern w:val="2"/>
                <w:sz w:val="21"/>
                <w:szCs w:val="21"/>
                <w:highlight w:val="none"/>
                <w:lang w:val="en-US" w:eastAsia="zh-CN" w:bidi="ar-SA"/>
              </w:rPr>
              <w:t>得</w:t>
            </w:r>
            <w:r>
              <w:rPr>
                <w:rFonts w:hint="eastAsia" w:ascii="宋体" w:hAnsi="宋体" w:eastAsia="宋体" w:cs="Times New Roman"/>
                <w:b w:val="0"/>
                <w:color w:val="auto"/>
                <w:kern w:val="2"/>
                <w:sz w:val="21"/>
                <w:szCs w:val="21"/>
                <w:highlight w:val="none"/>
                <w:lang w:val="en-US" w:eastAsia="zh-CN" w:bidi="ar-SA"/>
              </w:rPr>
              <w:t>1</w:t>
            </w:r>
            <w:r>
              <w:rPr>
                <w:rFonts w:hint="default" w:ascii="宋体" w:hAnsi="宋体" w:eastAsia="宋体" w:cs="Times New Roman"/>
                <w:b w:val="0"/>
                <w:color w:val="auto"/>
                <w:kern w:val="2"/>
                <w:sz w:val="21"/>
                <w:szCs w:val="21"/>
                <w:highlight w:val="none"/>
                <w:lang w:val="en-US" w:eastAsia="zh-CN" w:bidi="ar-SA"/>
              </w:rPr>
              <w:t>5分</w:t>
            </w:r>
            <w:r>
              <w:rPr>
                <w:rFonts w:hint="eastAsia" w:ascii="宋体" w:hAnsi="宋体" w:eastAsia="宋体" w:cs="Times New Roman"/>
                <w:b w:val="0"/>
                <w:color w:val="auto"/>
                <w:kern w:val="2"/>
                <w:sz w:val="21"/>
                <w:szCs w:val="21"/>
                <w:highlight w:val="none"/>
                <w:lang w:val="en-US" w:eastAsia="zh-CN" w:bidi="ar-SA"/>
              </w:rPr>
              <w:t>；没有案例的，不得分</w:t>
            </w:r>
            <w:r>
              <w:rPr>
                <w:rFonts w:hint="default" w:ascii="宋体" w:hAnsi="宋体" w:eastAsia="宋体" w:cs="Times New Roman"/>
                <w:b w:val="0"/>
                <w:color w:val="auto"/>
                <w:kern w:val="2"/>
                <w:sz w:val="21"/>
                <w:szCs w:val="21"/>
                <w:highlight w:val="none"/>
                <w:lang w:val="en-US" w:eastAsia="zh-CN" w:bidi="ar-SA"/>
              </w:rPr>
              <w:t>。须提供法院裁定书、判决书或公安机关</w:t>
            </w:r>
            <w:r>
              <w:rPr>
                <w:rFonts w:hint="eastAsia" w:ascii="宋体" w:hAnsi="宋体" w:eastAsia="宋体" w:cs="Times New Roman"/>
                <w:b w:val="0"/>
                <w:color w:val="auto"/>
                <w:kern w:val="2"/>
                <w:sz w:val="21"/>
                <w:szCs w:val="21"/>
                <w:highlight w:val="none"/>
                <w:lang w:val="en-US" w:eastAsia="zh-CN" w:bidi="ar-SA"/>
              </w:rPr>
              <w:t>受理或</w:t>
            </w:r>
            <w:r>
              <w:rPr>
                <w:rFonts w:hint="default" w:ascii="宋体" w:hAnsi="宋体" w:eastAsia="宋体" w:cs="Times New Roman"/>
                <w:b w:val="0"/>
                <w:color w:val="auto"/>
                <w:kern w:val="2"/>
                <w:sz w:val="21"/>
                <w:szCs w:val="21"/>
                <w:highlight w:val="none"/>
                <w:lang w:val="en-US" w:eastAsia="zh-CN" w:bidi="ar-SA"/>
              </w:rPr>
              <w:t>立案文书等</w:t>
            </w:r>
            <w:r>
              <w:rPr>
                <w:rFonts w:hint="eastAsia" w:ascii="宋体" w:hAnsi="宋体" w:eastAsia="宋体" w:cs="Times New Roman"/>
                <w:b w:val="0"/>
                <w:color w:val="auto"/>
                <w:kern w:val="2"/>
                <w:sz w:val="21"/>
                <w:szCs w:val="21"/>
                <w:highlight w:val="none"/>
                <w:lang w:val="en-US" w:eastAsia="zh-CN" w:bidi="ar-SA"/>
              </w:rPr>
              <w:t>证明材料。</w:t>
            </w:r>
          </w:p>
        </w:tc>
        <w:tc>
          <w:tcPr>
            <w:tcW w:w="1163" w:type="dxa"/>
            <w:vAlign w:val="center"/>
          </w:tcPr>
          <w:p w14:paraId="19BF258E">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0～15</w:t>
            </w:r>
          </w:p>
        </w:tc>
      </w:tr>
      <w:tr w14:paraId="765F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786AD063">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vAlign w:val="center"/>
          </w:tcPr>
          <w:p w14:paraId="7638642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vAlign w:val="center"/>
          </w:tcPr>
          <w:p w14:paraId="383D8E40">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4868" w:type="dxa"/>
            <w:vAlign w:val="center"/>
          </w:tcPr>
          <w:p w14:paraId="2C168F86">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 xml:space="preserve">② </w:t>
            </w:r>
            <w:r>
              <w:rPr>
                <w:rFonts w:hint="eastAsia" w:ascii="宋体" w:hAnsi="宋体" w:eastAsia="宋体" w:cs="Times New Roman"/>
                <w:b w:val="0"/>
                <w:color w:val="auto"/>
                <w:kern w:val="2"/>
                <w:sz w:val="21"/>
                <w:szCs w:val="21"/>
                <w:highlight w:val="none"/>
                <w:lang w:val="en-US" w:eastAsia="zh-CN" w:bidi="ar-SA"/>
              </w:rPr>
              <w:t>代理被告方</w:t>
            </w:r>
            <w:r>
              <w:rPr>
                <w:rFonts w:hint="default" w:ascii="宋体" w:hAnsi="宋体" w:eastAsia="宋体" w:cs="Times New Roman"/>
                <w:b w:val="0"/>
                <w:color w:val="auto"/>
                <w:kern w:val="2"/>
                <w:sz w:val="21"/>
                <w:szCs w:val="21"/>
                <w:highlight w:val="none"/>
                <w:lang w:val="en-US" w:eastAsia="zh-CN" w:bidi="ar-SA"/>
              </w:rPr>
              <w:t>案例（15分）：案件办理时间</w:t>
            </w:r>
            <w:r>
              <w:rPr>
                <w:rFonts w:hint="eastAsia" w:ascii="宋体" w:hAnsi="宋体" w:eastAsia="宋体" w:cs="Times New Roman"/>
                <w:b w:val="0"/>
                <w:color w:val="auto"/>
                <w:kern w:val="2"/>
                <w:sz w:val="21"/>
                <w:szCs w:val="21"/>
                <w:highlight w:val="none"/>
                <w:lang w:val="en-US" w:eastAsia="zh-CN" w:bidi="ar-SA"/>
              </w:rPr>
              <w:t>：</w:t>
            </w:r>
            <w:r>
              <w:rPr>
                <w:rFonts w:hint="default" w:ascii="宋体" w:hAnsi="宋体" w:eastAsia="宋体" w:cs="Times New Roman"/>
                <w:b w:val="0"/>
                <w:color w:val="auto"/>
                <w:kern w:val="2"/>
                <w:sz w:val="21"/>
                <w:szCs w:val="21"/>
                <w:highlight w:val="none"/>
                <w:lang w:val="en-US" w:eastAsia="zh-CN" w:bidi="ar-SA"/>
              </w:rPr>
              <w:t>近三年（2023年8月至今），具有曾通过刑事程序手段促使民事案件</w:t>
            </w:r>
            <w:r>
              <w:rPr>
                <w:rFonts w:hint="eastAsia" w:ascii="宋体" w:hAnsi="宋体" w:eastAsia="宋体" w:cs="Times New Roman"/>
                <w:b w:val="0"/>
                <w:color w:val="auto"/>
                <w:kern w:val="2"/>
                <w:sz w:val="21"/>
                <w:szCs w:val="21"/>
                <w:highlight w:val="none"/>
                <w:lang w:val="en-US" w:eastAsia="zh-CN" w:bidi="ar-SA"/>
              </w:rPr>
              <w:t>审理或者执行中止</w:t>
            </w:r>
            <w:r>
              <w:rPr>
                <w:rFonts w:hint="default" w:ascii="宋体" w:hAnsi="宋体" w:eastAsia="宋体" w:cs="Times New Roman"/>
                <w:b w:val="0"/>
                <w:color w:val="auto"/>
                <w:kern w:val="2"/>
                <w:sz w:val="21"/>
                <w:szCs w:val="21"/>
                <w:highlight w:val="none"/>
                <w:lang w:val="en-US" w:eastAsia="zh-CN" w:bidi="ar-SA"/>
              </w:rPr>
              <w:t>的案例，提供1件有效案例</w:t>
            </w:r>
            <w:r>
              <w:rPr>
                <w:rFonts w:hint="eastAsia" w:ascii="宋体" w:hAnsi="宋体" w:eastAsia="宋体" w:cs="Times New Roman"/>
                <w:b w:val="0"/>
                <w:color w:val="auto"/>
                <w:kern w:val="2"/>
                <w:sz w:val="21"/>
                <w:szCs w:val="21"/>
                <w:highlight w:val="none"/>
                <w:lang w:val="en-US" w:eastAsia="zh-CN" w:bidi="ar-SA"/>
              </w:rPr>
              <w:t>，</w:t>
            </w:r>
            <w:r>
              <w:rPr>
                <w:rFonts w:hint="default" w:ascii="宋体" w:hAnsi="宋体" w:eastAsia="宋体" w:cs="Times New Roman"/>
                <w:b w:val="0"/>
                <w:color w:val="auto"/>
                <w:kern w:val="2"/>
                <w:sz w:val="21"/>
                <w:szCs w:val="21"/>
                <w:highlight w:val="none"/>
                <w:lang w:val="en-US" w:eastAsia="zh-CN" w:bidi="ar-SA"/>
              </w:rPr>
              <w:t>得</w:t>
            </w:r>
            <w:r>
              <w:rPr>
                <w:rFonts w:hint="eastAsia" w:ascii="宋体" w:hAnsi="宋体" w:eastAsia="宋体" w:cs="Times New Roman"/>
                <w:b w:val="0"/>
                <w:color w:val="auto"/>
                <w:kern w:val="2"/>
                <w:sz w:val="21"/>
                <w:szCs w:val="21"/>
                <w:highlight w:val="none"/>
                <w:lang w:val="en-US" w:eastAsia="zh-CN" w:bidi="ar-SA"/>
              </w:rPr>
              <w:t>1</w:t>
            </w:r>
            <w:r>
              <w:rPr>
                <w:rFonts w:hint="default" w:ascii="宋体" w:hAnsi="宋体" w:eastAsia="宋体" w:cs="Times New Roman"/>
                <w:b w:val="0"/>
                <w:color w:val="auto"/>
                <w:kern w:val="2"/>
                <w:sz w:val="21"/>
                <w:szCs w:val="21"/>
                <w:highlight w:val="none"/>
                <w:lang w:val="en-US" w:eastAsia="zh-CN" w:bidi="ar-SA"/>
              </w:rPr>
              <w:t>5分，</w:t>
            </w:r>
            <w:r>
              <w:rPr>
                <w:rFonts w:hint="eastAsia" w:ascii="宋体" w:hAnsi="宋体" w:eastAsia="宋体" w:cs="Times New Roman"/>
                <w:b w:val="0"/>
                <w:color w:val="auto"/>
                <w:kern w:val="2"/>
                <w:sz w:val="21"/>
                <w:szCs w:val="21"/>
                <w:highlight w:val="none"/>
                <w:lang w:val="en-US" w:eastAsia="zh-CN" w:bidi="ar-SA"/>
              </w:rPr>
              <w:t>没有案例的，不得分</w:t>
            </w:r>
            <w:r>
              <w:rPr>
                <w:rFonts w:hint="default" w:ascii="宋体" w:hAnsi="宋体" w:eastAsia="宋体" w:cs="Times New Roman"/>
                <w:b w:val="0"/>
                <w:color w:val="auto"/>
                <w:kern w:val="2"/>
                <w:sz w:val="21"/>
                <w:szCs w:val="21"/>
                <w:highlight w:val="none"/>
                <w:lang w:val="en-US" w:eastAsia="zh-CN" w:bidi="ar-SA"/>
              </w:rPr>
              <w:t>。须提供法院裁定书、判决书或公安机关</w:t>
            </w:r>
            <w:r>
              <w:rPr>
                <w:rFonts w:hint="eastAsia" w:ascii="宋体" w:hAnsi="宋体" w:eastAsia="宋体" w:cs="Times New Roman"/>
                <w:b w:val="0"/>
                <w:color w:val="auto"/>
                <w:kern w:val="2"/>
                <w:sz w:val="21"/>
                <w:szCs w:val="21"/>
                <w:highlight w:val="none"/>
                <w:lang w:val="en-US" w:eastAsia="zh-CN" w:bidi="ar-SA"/>
              </w:rPr>
              <w:t>受理或</w:t>
            </w:r>
            <w:r>
              <w:rPr>
                <w:rFonts w:hint="default" w:ascii="宋体" w:hAnsi="宋体" w:eastAsia="宋体" w:cs="Times New Roman"/>
                <w:b w:val="0"/>
                <w:color w:val="auto"/>
                <w:kern w:val="2"/>
                <w:sz w:val="21"/>
                <w:szCs w:val="21"/>
                <w:highlight w:val="none"/>
                <w:lang w:val="en-US" w:eastAsia="zh-CN" w:bidi="ar-SA"/>
              </w:rPr>
              <w:t>立案文书等证明材料。</w:t>
            </w:r>
          </w:p>
        </w:tc>
        <w:tc>
          <w:tcPr>
            <w:tcW w:w="1163" w:type="dxa"/>
            <w:vAlign w:val="center"/>
          </w:tcPr>
          <w:p w14:paraId="2CE86243">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0～15</w:t>
            </w:r>
          </w:p>
        </w:tc>
      </w:tr>
      <w:tr w14:paraId="7DA2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restart"/>
            <w:vAlign w:val="center"/>
          </w:tcPr>
          <w:p w14:paraId="4FEF85CA">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服务方案</w:t>
            </w:r>
          </w:p>
        </w:tc>
        <w:tc>
          <w:tcPr>
            <w:tcW w:w="1182" w:type="dxa"/>
            <w:vMerge w:val="restart"/>
            <w:vAlign w:val="center"/>
          </w:tcPr>
          <w:p w14:paraId="52A0A3D0">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20</w:t>
            </w:r>
          </w:p>
        </w:tc>
        <w:tc>
          <w:tcPr>
            <w:tcW w:w="1182" w:type="dxa"/>
            <w:vMerge w:val="restart"/>
            <w:vAlign w:val="center"/>
          </w:tcPr>
          <w:p w14:paraId="5000303C">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执行方案设计</w:t>
            </w:r>
          </w:p>
        </w:tc>
        <w:tc>
          <w:tcPr>
            <w:tcW w:w="4868" w:type="dxa"/>
            <w:vAlign w:val="center"/>
          </w:tcPr>
          <w:p w14:paraId="3FC9145C">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 xml:space="preserve"> ① 财产查控方案（8分）：针对本案被执行人实际情况，提出具体可行的财产调查和查控方案，措施全面、针对性强，得5-8分；方案一般，得2-4分；未提供不得分。</w:t>
            </w:r>
          </w:p>
        </w:tc>
        <w:tc>
          <w:tcPr>
            <w:tcW w:w="1163" w:type="dxa"/>
            <w:vAlign w:val="center"/>
          </w:tcPr>
          <w:p w14:paraId="0A2CD90B">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0～8</w:t>
            </w:r>
          </w:p>
        </w:tc>
      </w:tr>
      <w:tr w14:paraId="4ACB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4AEBCFD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vAlign w:val="center"/>
          </w:tcPr>
          <w:p w14:paraId="16E0927B">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vAlign w:val="center"/>
          </w:tcPr>
          <w:p w14:paraId="4DC20B81">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4868" w:type="dxa"/>
            <w:vAlign w:val="center"/>
          </w:tcPr>
          <w:p w14:paraId="0C37CD2E">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② 刑事程序运用方案（8分）：针对本案可能存在的被执行人转移财产、逃避执行等情形，提出运用刑事程序手段（如拒执罪线索移送、刑事控告等）的具体方案，方案可行性强，得5-8分；方案一般，得2-4分；未提供不得分。</w:t>
            </w:r>
          </w:p>
        </w:tc>
        <w:tc>
          <w:tcPr>
            <w:tcW w:w="1163" w:type="dxa"/>
            <w:vAlign w:val="center"/>
          </w:tcPr>
          <w:p w14:paraId="7BD662C3">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0～8</w:t>
            </w:r>
          </w:p>
        </w:tc>
      </w:tr>
      <w:tr w14:paraId="2D82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6D3102D8">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vAlign w:val="center"/>
          </w:tcPr>
          <w:p w14:paraId="19AEC55D">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1182" w:type="dxa"/>
            <w:vMerge w:val="continue"/>
            <w:vAlign w:val="center"/>
          </w:tcPr>
          <w:p w14:paraId="2F5DDED9">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Times New Roman"/>
                <w:b w:val="0"/>
                <w:color w:val="auto"/>
                <w:kern w:val="2"/>
                <w:sz w:val="21"/>
                <w:szCs w:val="21"/>
                <w:highlight w:val="none"/>
                <w:lang w:val="en-US" w:eastAsia="zh-CN" w:bidi="ar-SA"/>
              </w:rPr>
            </w:pPr>
          </w:p>
        </w:tc>
        <w:tc>
          <w:tcPr>
            <w:tcW w:w="4868" w:type="dxa"/>
            <w:vAlign w:val="center"/>
          </w:tcPr>
          <w:p w14:paraId="6C9F5E9F">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宋体" w:hAnsi="宋体" w:eastAsia="宋体" w:cs="Times New Roman"/>
                <w:b w:val="0"/>
                <w:color w:val="auto"/>
                <w:kern w:val="2"/>
                <w:sz w:val="21"/>
                <w:szCs w:val="21"/>
                <w:highlight w:val="none"/>
                <w:lang w:val="en-US" w:eastAsia="zh-CN" w:bidi="ar-SA"/>
              </w:rPr>
            </w:pPr>
            <w:r>
              <w:rPr>
                <w:rFonts w:hint="default" w:ascii="宋体" w:hAnsi="宋体" w:eastAsia="宋体" w:cs="Times New Roman"/>
                <w:b w:val="0"/>
                <w:color w:val="auto"/>
                <w:kern w:val="2"/>
                <w:sz w:val="21"/>
                <w:szCs w:val="21"/>
                <w:highlight w:val="none"/>
                <w:lang w:val="en-US" w:eastAsia="zh-CN" w:bidi="ar-SA"/>
              </w:rPr>
              <w:t>③ 过程管控与汇报机制（4分）：承诺定期提交书面进展报告（至少每周一次），并建立紧急事项即时沟通机制，得4分；仅承诺“按需反馈”，得1-2分；未提供不得分。</w:t>
            </w:r>
          </w:p>
        </w:tc>
        <w:tc>
          <w:tcPr>
            <w:tcW w:w="1163" w:type="dxa"/>
            <w:vAlign w:val="center"/>
          </w:tcPr>
          <w:p w14:paraId="5A927E57">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bidi="ar-SA"/>
              </w:rPr>
              <w:t>0～4</w:t>
            </w:r>
          </w:p>
        </w:tc>
      </w:tr>
    </w:tbl>
    <w:p w14:paraId="5491D739">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b/>
          <w:bCs/>
          <w:color w:val="auto"/>
          <w:szCs w:val="21"/>
          <w:highlight w:val="none"/>
        </w:rPr>
        <w:t>25、评标程序</w:t>
      </w:r>
      <w:r>
        <w:rPr>
          <w:rFonts w:hint="eastAsia" w:ascii="宋体" w:hAnsi="宋体" w:eastAsia="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7A084F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25.1、参选文件符合性审查，包括但不限于以下内容：</w:t>
      </w:r>
    </w:p>
    <w:p w14:paraId="0C50B02F">
      <w:pPr>
        <w:spacing w:line="500" w:lineRule="exact"/>
        <w:ind w:firstLine="420" w:firstLineChars="200"/>
        <w:rPr>
          <w:rFonts w:ascii="宋体" w:hAnsi="宋体" w:eastAsia="宋体" w:cs="宋体"/>
          <w:color w:val="auto"/>
          <w:szCs w:val="21"/>
          <w:highlight w:val="none"/>
        </w:rPr>
      </w:pPr>
      <w:r>
        <w:rPr>
          <w:rFonts w:hint="eastAsia" w:ascii="宋体" w:hAnsi="宋体" w:eastAsia="宋体"/>
          <w:color w:val="auto"/>
          <w:szCs w:val="21"/>
          <w:highlight w:val="none"/>
        </w:rPr>
        <w:t>（</w:t>
      </w:r>
      <w:r>
        <w:rPr>
          <w:rFonts w:hint="eastAsia" w:ascii="宋体" w:hAnsi="宋体" w:eastAsia="宋体" w:cs="宋体"/>
          <w:color w:val="auto"/>
          <w:szCs w:val="21"/>
          <w:highlight w:val="none"/>
        </w:rPr>
        <w:t>1）参选人资格是否符合比选文件要求；</w:t>
      </w:r>
    </w:p>
    <w:p w14:paraId="45D773C7">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0C6C4E65">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759795B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75CF4D9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4FF911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46047A9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0C9D527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2BE14DD1">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16031E45">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25.3、报价评审：</w:t>
      </w:r>
      <w:r>
        <w:rPr>
          <w:rFonts w:hint="eastAsia" w:ascii="宋体" w:hAnsi="宋体" w:eastAsia="宋体"/>
          <w:b/>
          <w:bCs/>
          <w:color w:val="auto"/>
          <w:szCs w:val="21"/>
          <w:highlight w:val="none"/>
        </w:rPr>
        <w:t>参选人报价不得高于最高投标限价</w:t>
      </w: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rPr>
        <w:t>否则为无效报价，即报价评审不通过</w:t>
      </w:r>
      <w:r>
        <w:rPr>
          <w:rFonts w:hint="eastAsia" w:ascii="宋体" w:hAnsi="宋体" w:eastAsia="宋体"/>
          <w:color w:val="auto"/>
          <w:szCs w:val="21"/>
          <w:highlight w:val="none"/>
        </w:rPr>
        <w:t>。</w:t>
      </w:r>
    </w:p>
    <w:p w14:paraId="152E0904">
      <w:pPr>
        <w:widowControl/>
        <w:spacing w:line="48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25.4、报价中包含单价与总价的，应审核总价金额与按单价汇总金额是否一致。</w:t>
      </w:r>
    </w:p>
    <w:p w14:paraId="60FD7AC3">
      <w:pPr>
        <w:widowControl/>
        <w:spacing w:line="48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7EEB5332">
      <w:pPr>
        <w:widowControl/>
        <w:spacing w:line="500" w:lineRule="exact"/>
        <w:ind w:firstLine="420"/>
        <w:jc w:val="left"/>
        <w:rPr>
          <w:rFonts w:ascii="宋体" w:hAnsi="宋体" w:eastAsia="宋体"/>
          <w:color w:val="auto"/>
          <w:szCs w:val="21"/>
          <w:highlight w:val="none"/>
        </w:rPr>
      </w:pPr>
      <w:r>
        <w:rPr>
          <w:rFonts w:hint="eastAsia" w:ascii="宋体" w:hAnsi="宋体" w:eastAsia="宋体"/>
          <w:color w:val="auto"/>
          <w:szCs w:val="21"/>
          <w:highlight w:val="none"/>
        </w:rPr>
        <w:t>25.6、失信核查</w:t>
      </w:r>
    </w:p>
    <w:p w14:paraId="4B113B6F">
      <w:pPr>
        <w:widowControl/>
        <w:spacing w:line="500" w:lineRule="exact"/>
        <w:ind w:firstLine="420"/>
        <w:jc w:val="both"/>
        <w:rPr>
          <w:rFonts w:ascii="宋体" w:hAnsi="宋体" w:eastAsia="宋体"/>
          <w:color w:val="auto"/>
          <w:szCs w:val="21"/>
          <w:highlight w:val="none"/>
        </w:rPr>
      </w:pPr>
      <w:r>
        <w:rPr>
          <w:rFonts w:hint="eastAsia" w:ascii="宋体" w:hAnsi="宋体" w:eastAsia="宋体"/>
          <w:color w:val="auto"/>
          <w:szCs w:val="21"/>
          <w:highlight w:val="none"/>
        </w:rPr>
        <w:t>评标委员会对推荐为中标候选人的参选人是否被列入“信用中国、中国政府采购网”政府采购严重违法失信名单进行网上核查（网址：</w:t>
      </w:r>
      <w:r>
        <w:rPr>
          <w:rFonts w:eastAsia="宋体"/>
          <w:color w:val="auto"/>
          <w:highlight w:val="none"/>
        </w:rPr>
        <w:fldChar w:fldCharType="begin"/>
      </w:r>
      <w:r>
        <w:rPr>
          <w:rFonts w:eastAsia="宋体"/>
          <w:color w:val="auto"/>
          <w:highlight w:val="none"/>
        </w:rPr>
        <w:instrText xml:space="preserve"> HYPERLINK "http://www.creditchina.gov.cn/" </w:instrText>
      </w:r>
      <w:r>
        <w:rPr>
          <w:rFonts w:eastAsia="宋体"/>
          <w:color w:val="auto"/>
          <w:highlight w:val="none"/>
        </w:rPr>
        <w:fldChar w:fldCharType="separate"/>
      </w:r>
      <w:r>
        <w:rPr>
          <w:rStyle w:val="74"/>
          <w:rFonts w:hint="eastAsia" w:ascii="宋体" w:hAnsi="宋体" w:eastAsia="宋体"/>
          <w:color w:val="auto"/>
          <w:szCs w:val="21"/>
          <w:highlight w:val="none"/>
        </w:rPr>
        <w:t>http://www.creditchina.gov.cn/</w:t>
      </w:r>
      <w:r>
        <w:rPr>
          <w:rStyle w:val="74"/>
          <w:rFonts w:hint="eastAsia" w:ascii="宋体" w:hAnsi="宋体" w:eastAsia="宋体"/>
          <w:color w:val="auto"/>
          <w:szCs w:val="21"/>
          <w:highlight w:val="none"/>
        </w:rPr>
        <w:fldChar w:fldCharType="end"/>
      </w:r>
      <w:r>
        <w:rPr>
          <w:rFonts w:hint="eastAsia" w:ascii="宋体" w:hAnsi="宋体" w:eastAsia="宋体"/>
          <w:color w:val="auto"/>
          <w:szCs w:val="21"/>
          <w:highlight w:val="none"/>
        </w:rPr>
        <w:t>、</w:t>
      </w:r>
      <w:r>
        <w:rPr>
          <w:rFonts w:eastAsia="宋体"/>
          <w:color w:val="auto"/>
          <w:highlight w:val="none"/>
        </w:rPr>
        <w:fldChar w:fldCharType="begin"/>
      </w:r>
      <w:r>
        <w:rPr>
          <w:rFonts w:eastAsia="宋体"/>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eastAsia="宋体"/>
          <w:color w:val="auto"/>
          <w:highlight w:val="none"/>
        </w:rPr>
        <w:fldChar w:fldCharType="separate"/>
      </w:r>
      <w:r>
        <w:rPr>
          <w:rStyle w:val="74"/>
          <w:rFonts w:hint="eastAsia" w:ascii="宋体" w:eastAsia="宋体"/>
          <w:color w:val="auto"/>
          <w:szCs w:val="21"/>
          <w:highlight w:val="none"/>
        </w:rPr>
        <w:t>http://www.ccgp.gov.cn/）</w:t>
      </w:r>
      <w:r>
        <w:rPr>
          <w:rStyle w:val="74"/>
          <w:rFonts w:hint="eastAsia" w:ascii="宋体" w:eastAsia="宋体"/>
          <w:color w:val="auto"/>
          <w:szCs w:val="21"/>
          <w:highlight w:val="none"/>
          <w:u w:val="none"/>
        </w:rPr>
        <w:t>，若核查存在</w:t>
      </w:r>
      <w:r>
        <w:rPr>
          <w:rStyle w:val="74"/>
          <w:rFonts w:hint="eastAsia" w:ascii="宋体" w:hAnsi="宋体" w:eastAsia="宋体"/>
          <w:color w:val="auto"/>
          <w:szCs w:val="21"/>
          <w:highlight w:val="none"/>
          <w:u w:val="none"/>
        </w:rPr>
        <w:t>政府采购严重违法</w:t>
      </w:r>
      <w:r>
        <w:rPr>
          <w:rStyle w:val="74"/>
          <w:rFonts w:hint="eastAsia" w:ascii="宋体" w:eastAsia="宋体"/>
          <w:color w:val="auto"/>
          <w:szCs w:val="21"/>
          <w:highlight w:val="none"/>
          <w:u w:val="none"/>
        </w:rPr>
        <w:t>失信名单记录的参选人，评标委员会不得将其推荐为中标候选人，依序递补，并再次对递补的参选人进行核查。</w:t>
      </w:r>
      <w:r>
        <w:rPr>
          <w:rStyle w:val="74"/>
          <w:rFonts w:hint="eastAsia" w:ascii="宋体" w:eastAsia="宋体"/>
          <w:color w:val="auto"/>
          <w:szCs w:val="21"/>
          <w:highlight w:val="none"/>
          <w:u w:val="none"/>
        </w:rPr>
        <w:fldChar w:fldCharType="end"/>
      </w:r>
    </w:p>
    <w:p w14:paraId="074585B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olor w:val="auto"/>
          <w:szCs w:val="21"/>
          <w:highlight w:val="none"/>
        </w:rPr>
        <w:t>则由采购人采取现场随机抽取的方式确定中标候选人排序。</w:t>
      </w:r>
    </w:p>
    <w:p w14:paraId="0AEB3202">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26、开标评标异常情况处理</w:t>
      </w:r>
    </w:p>
    <w:p w14:paraId="6B82D971">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26.1、在招标采购中，出现下列情况之一的，应予废标，采购单位重新组织采购：</w:t>
      </w:r>
    </w:p>
    <w:p w14:paraId="20A7A89F">
      <w:pPr>
        <w:widowControl/>
        <w:spacing w:line="500" w:lineRule="exact"/>
        <w:ind w:firstLine="422" w:firstLineChars="200"/>
        <w:jc w:val="left"/>
        <w:rPr>
          <w:rFonts w:hint="eastAsia" w:ascii="宋体" w:hAnsi="宋体"/>
          <w:b/>
          <w:bCs/>
          <w:color w:val="auto"/>
          <w:szCs w:val="21"/>
          <w:highlight w:val="none"/>
          <w:lang w:eastAsia="zh-CN"/>
        </w:rPr>
      </w:pPr>
      <w:r>
        <w:rPr>
          <w:rFonts w:hint="eastAsia" w:ascii="宋体" w:hAnsi="宋体" w:eastAsia="宋体"/>
          <w:b/>
          <w:bCs/>
          <w:color w:val="auto"/>
          <w:szCs w:val="21"/>
          <w:highlight w:val="none"/>
        </w:rPr>
        <w:t>(1)提交参选文件的参选人不足</w:t>
      </w:r>
      <w:r>
        <w:rPr>
          <w:rFonts w:hint="eastAsia" w:ascii="宋体" w:hAnsi="宋体" w:eastAsia="宋体"/>
          <w:b/>
          <w:bCs/>
          <w:color w:val="auto"/>
          <w:szCs w:val="21"/>
          <w:highlight w:val="none"/>
          <w:lang w:val="en-US" w:eastAsia="zh-CN"/>
        </w:rPr>
        <w:t>3</w:t>
      </w:r>
      <w:r>
        <w:rPr>
          <w:rFonts w:hint="eastAsia" w:ascii="宋体" w:hAnsi="宋体" w:eastAsia="宋体"/>
          <w:b/>
          <w:bCs/>
          <w:color w:val="auto"/>
          <w:szCs w:val="21"/>
          <w:highlight w:val="none"/>
        </w:rPr>
        <w:t>家的</w:t>
      </w:r>
      <w:r>
        <w:rPr>
          <w:rFonts w:hint="eastAsia" w:ascii="宋体" w:hAnsi="宋体"/>
          <w:b/>
          <w:bCs/>
          <w:color w:val="auto"/>
          <w:szCs w:val="21"/>
          <w:highlight w:val="none"/>
          <w:lang w:eastAsia="zh-CN"/>
        </w:rPr>
        <w:t>；</w:t>
      </w:r>
    </w:p>
    <w:p w14:paraId="377F9EE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2</w:t>
      </w:r>
      <w:r>
        <w:rPr>
          <w:rFonts w:hint="eastAsia" w:ascii="宋体" w:hAnsi="宋体" w:eastAsia="宋体"/>
          <w:color w:val="auto"/>
          <w:szCs w:val="21"/>
          <w:highlight w:val="none"/>
        </w:rPr>
        <w:t>)出现影响采购公正的违法、违规行为的；</w:t>
      </w:r>
    </w:p>
    <w:p w14:paraId="6A1B106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3</w:t>
      </w:r>
      <w:r>
        <w:rPr>
          <w:rFonts w:hint="eastAsia" w:ascii="宋体" w:hAnsi="宋体" w:eastAsia="宋体"/>
          <w:color w:val="auto"/>
          <w:szCs w:val="21"/>
          <w:highlight w:val="none"/>
        </w:rPr>
        <w:t>)参选人的报价均高于最高投标限价的；</w:t>
      </w:r>
    </w:p>
    <w:p w14:paraId="158C6B17">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)因重大变故，采购任务取消的。</w:t>
      </w:r>
    </w:p>
    <w:p w14:paraId="7E5DBEAF">
      <w:pPr>
        <w:widowControl/>
        <w:spacing w:line="500" w:lineRule="exact"/>
        <w:ind w:firstLine="405"/>
        <w:jc w:val="left"/>
        <w:rPr>
          <w:rFonts w:ascii="宋体" w:hAnsi="宋体" w:eastAsia="宋体"/>
          <w:b/>
          <w:color w:val="auto"/>
          <w:szCs w:val="21"/>
          <w:highlight w:val="none"/>
        </w:rPr>
      </w:pPr>
      <w:r>
        <w:rPr>
          <w:rFonts w:hint="eastAsia" w:ascii="宋体" w:hAnsi="宋体" w:eastAsia="宋体"/>
          <w:b/>
          <w:color w:val="auto"/>
          <w:szCs w:val="21"/>
          <w:highlight w:val="none"/>
        </w:rPr>
        <w:t>27、评标过程的保密性</w:t>
      </w:r>
    </w:p>
    <w:p w14:paraId="09F08AC9">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27.1、</w:t>
      </w:r>
      <w:bookmarkStart w:id="45" w:name="_Toc417655921"/>
      <w:bookmarkStart w:id="46" w:name="_Toc15032"/>
      <w:bookmarkStart w:id="47" w:name="_Toc418517858"/>
      <w:r>
        <w:rPr>
          <w:rFonts w:hint="eastAsia" w:ascii="宋体" w:hAnsi="宋体" w:eastAsia="宋体"/>
          <w:color w:val="auto"/>
          <w:szCs w:val="21"/>
          <w:highlight w:val="none"/>
        </w:rPr>
        <w:t>开标后，直到授予中标人合同止，凡是与参选文件审查、澄清、评价、比较以及授标建议等评审方面的情况，均不得向参选人或其他无关的人员透露。</w:t>
      </w:r>
    </w:p>
    <w:p w14:paraId="11DF99F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27.2、在评标过程中，参选人如向评委会成员施加任何影响，都将会导致其参选文件被拒绝。</w:t>
      </w:r>
    </w:p>
    <w:p w14:paraId="4DB8379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38E352F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27.4、中标通知书</w:t>
      </w:r>
      <w:bookmarkEnd w:id="45"/>
      <w:bookmarkEnd w:id="46"/>
      <w:bookmarkEnd w:id="47"/>
    </w:p>
    <w:p w14:paraId="1BE971D0">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562323AF">
      <w:pPr>
        <w:spacing w:line="360" w:lineRule="auto"/>
        <w:ind w:firstLine="420" w:firstLineChars="200"/>
        <w:rPr>
          <w:rFonts w:hAnsi="宋体" w:eastAsia="宋体" w:cs="宋体"/>
          <w:b/>
          <w:color w:val="auto"/>
          <w:szCs w:val="24"/>
          <w:highlight w:val="none"/>
        </w:rPr>
      </w:pPr>
      <w:bookmarkStart w:id="48" w:name="_Toc433721697"/>
      <w:bookmarkStart w:id="49" w:name="_Toc456882340"/>
      <w:bookmarkStart w:id="50" w:name="_Toc31095"/>
      <w:bookmarkStart w:id="51" w:name="_Toc19876"/>
      <w:bookmarkStart w:id="52" w:name="_Toc457998294"/>
      <w:bookmarkStart w:id="53" w:name="_Toc478821422"/>
      <w:bookmarkStart w:id="54" w:name="_Toc10586"/>
      <w:bookmarkStart w:id="55" w:name="_Toc10987"/>
      <w:r>
        <w:rPr>
          <w:rFonts w:hAnsi="宋体" w:eastAsia="宋体" w:cs="宋体"/>
          <w:color w:val="auto"/>
          <w:szCs w:val="24"/>
          <w:highlight w:val="none"/>
        </w:rPr>
        <w:t>公示期满无异议，且未发现中标人在</w:t>
      </w:r>
      <w:r>
        <w:rPr>
          <w:rFonts w:hint="eastAsia" w:hAnsi="宋体" w:eastAsia="宋体" w:cs="宋体"/>
          <w:color w:val="auto"/>
          <w:szCs w:val="24"/>
          <w:highlight w:val="none"/>
        </w:rPr>
        <w:t>比选</w:t>
      </w:r>
      <w:r>
        <w:rPr>
          <w:rFonts w:hAnsi="宋体" w:eastAsia="宋体" w:cs="宋体"/>
          <w:color w:val="auto"/>
          <w:szCs w:val="24"/>
          <w:highlight w:val="none"/>
        </w:rPr>
        <w:t>活动中有违法行为的，</w:t>
      </w:r>
      <w:r>
        <w:rPr>
          <w:rFonts w:hint="eastAsia" w:hAnsi="宋体" w:eastAsia="宋体" w:cs="宋体"/>
          <w:color w:val="auto"/>
          <w:szCs w:val="24"/>
          <w:highlight w:val="none"/>
        </w:rPr>
        <w:t>采购人</w:t>
      </w:r>
      <w:r>
        <w:rPr>
          <w:rFonts w:hAnsi="宋体" w:eastAsia="宋体" w:cs="宋体"/>
          <w:color w:val="auto"/>
          <w:szCs w:val="24"/>
          <w:highlight w:val="none"/>
        </w:rPr>
        <w:t>将向中标人发出中标通知书。</w:t>
      </w:r>
      <w:bookmarkEnd w:id="48"/>
      <w:bookmarkEnd w:id="49"/>
      <w:bookmarkEnd w:id="50"/>
      <w:bookmarkEnd w:id="51"/>
      <w:bookmarkEnd w:id="52"/>
      <w:bookmarkEnd w:id="53"/>
      <w:bookmarkEnd w:id="54"/>
      <w:bookmarkEnd w:id="55"/>
    </w:p>
    <w:p w14:paraId="480FC087">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56" w:name="_Toc4481597"/>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六</w:t>
      </w:r>
      <w:r>
        <w:rPr>
          <w:rFonts w:hint="eastAsia" w:ascii="Arial" w:hAnsi="Arial" w:eastAsia="宋体"/>
          <w:b/>
          <w:color w:val="auto"/>
          <w:kern w:val="0"/>
          <w:sz w:val="32"/>
          <w:highlight w:val="none"/>
        </w:rPr>
        <w:t>）合同授予</w:t>
      </w:r>
      <w:bookmarkEnd w:id="56"/>
    </w:p>
    <w:p w14:paraId="6F8B77F8">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w:t>
      </w:r>
      <w:bookmarkStart w:id="57" w:name="_Toc418517860"/>
      <w:bookmarkStart w:id="58" w:name="_Toc21358"/>
      <w:bookmarkStart w:id="59" w:name="_Toc417655923"/>
      <w:r>
        <w:rPr>
          <w:rFonts w:hint="eastAsia" w:ascii="宋体" w:hAnsi="宋体" w:eastAsia="宋体"/>
          <w:color w:val="auto"/>
          <w:szCs w:val="21"/>
          <w:highlight w:val="none"/>
        </w:rPr>
        <w:t>签订合同</w:t>
      </w:r>
      <w:bookmarkEnd w:id="57"/>
      <w:bookmarkEnd w:id="58"/>
      <w:bookmarkEnd w:id="59"/>
    </w:p>
    <w:p w14:paraId="08679D9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28.1.1、中标人的中标价即为合同价款。</w:t>
      </w:r>
    </w:p>
    <w:p w14:paraId="37C6B42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28.1.2、中标人应在中标通知书发出之日起30日内，根据比选文件和中标人的</w:t>
      </w:r>
      <w:r>
        <w:rPr>
          <w:rFonts w:hint="eastAsia" w:ascii="宋体" w:hAnsi="宋体"/>
          <w:color w:val="auto"/>
          <w:szCs w:val="21"/>
          <w:highlight w:val="none"/>
          <w:lang w:eastAsia="zh-CN"/>
        </w:rPr>
        <w:t>参选</w:t>
      </w:r>
      <w:r>
        <w:rPr>
          <w:rFonts w:hint="eastAsia" w:ascii="宋体" w:hAnsi="宋体" w:eastAsia="宋体"/>
          <w:color w:val="auto"/>
          <w:szCs w:val="21"/>
          <w:highlight w:val="none"/>
        </w:rPr>
        <w:t>文件签订书面合同。中标人无正当理由拒签合同,在签订合同时向招标人提出附加条件,或不按照招标文件要求提交履约保证金的，采购人有权取消其中标资格。</w:t>
      </w:r>
    </w:p>
    <w:p w14:paraId="3BCD6F8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28.1.3、中标人（中标候选人）被取消中标资格的，采购人可以按照评标委员会提出的中标候选人名单排序依次确定其他中标候选人为中标人，或重新组织采购。</w:t>
      </w:r>
    </w:p>
    <w:bookmarkEnd w:id="32"/>
    <w:p w14:paraId="5289B393">
      <w:pPr>
        <w:widowControl/>
        <w:spacing w:line="440" w:lineRule="exact"/>
        <w:ind w:firstLine="420"/>
        <w:jc w:val="left"/>
        <w:rPr>
          <w:rFonts w:ascii="宋体" w:cs="宋体"/>
          <w:b/>
          <w:bCs/>
          <w:snapToGrid w:val="0"/>
          <w:color w:val="auto"/>
          <w:kern w:val="0"/>
          <w:sz w:val="32"/>
          <w:szCs w:val="32"/>
          <w:highlight w:val="none"/>
        </w:rPr>
      </w:pPr>
      <w:r>
        <w:rPr>
          <w:rFonts w:ascii="宋体" w:cs="宋体"/>
          <w:b/>
          <w:bCs/>
          <w:snapToGrid w:val="0"/>
          <w:color w:val="auto"/>
          <w:kern w:val="0"/>
          <w:sz w:val="32"/>
          <w:szCs w:val="32"/>
          <w:highlight w:val="none"/>
        </w:rPr>
        <w:br w:type="page"/>
      </w:r>
    </w:p>
    <w:p w14:paraId="0E33F2A9">
      <w:pPr>
        <w:pStyle w:val="2"/>
        <w:numPr>
          <w:ilvl w:val="0"/>
          <w:numId w:val="8"/>
        </w:numPr>
        <w:spacing w:before="62" w:beforeLines="20" w:after="62" w:afterLines="20" w:line="480" w:lineRule="exact"/>
        <w:ind w:firstLine="0" w:firstLineChars="0"/>
        <w:jc w:val="center"/>
        <w:rPr>
          <w:rFonts w:hint="eastAsia"/>
          <w:color w:val="auto"/>
          <w:highlight w:val="none"/>
        </w:rPr>
      </w:pPr>
      <w:bookmarkStart w:id="60" w:name="_Toc54941340"/>
      <w:bookmarkStart w:id="61" w:name="_Toc10569"/>
      <w:bookmarkStart w:id="62" w:name="_Toc11149"/>
      <w:r>
        <w:rPr>
          <w:rFonts w:hint="eastAsia" w:ascii="Arial" w:hAnsi="Arial"/>
          <w:color w:val="auto"/>
          <w:kern w:val="2"/>
          <w:sz w:val="32"/>
          <w:szCs w:val="32"/>
          <w:highlight w:val="none"/>
        </w:rPr>
        <w:t xml:space="preserve"> </w:t>
      </w:r>
      <w:r>
        <w:rPr>
          <w:rFonts w:hint="eastAsia" w:ascii="Arial" w:hAnsi="Arial"/>
          <w:color w:val="auto"/>
          <w:kern w:val="2"/>
          <w:sz w:val="32"/>
          <w:szCs w:val="32"/>
          <w:highlight w:val="none"/>
          <w:lang w:eastAsia="zh-CN"/>
        </w:rPr>
        <w:t>项目需求及技术要求</w:t>
      </w:r>
    </w:p>
    <w:p w14:paraId="2848D28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项目比选基本信息详见下表：</w:t>
      </w:r>
    </w:p>
    <w:tbl>
      <w:tblPr>
        <w:tblStyle w:val="61"/>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88"/>
        <w:gridCol w:w="7482"/>
      </w:tblGrid>
      <w:tr w14:paraId="2123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588" w:type="dxa"/>
            <w:tcMar>
              <w:top w:w="60" w:type="dxa"/>
              <w:left w:w="120" w:type="dxa"/>
              <w:bottom w:w="30" w:type="dxa"/>
              <w:right w:w="120" w:type="dxa"/>
            </w:tcMar>
          </w:tcPr>
          <w:p w14:paraId="33D4AF51">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w:t>
            </w:r>
          </w:p>
        </w:tc>
        <w:tc>
          <w:tcPr>
            <w:tcW w:w="7482" w:type="dxa"/>
            <w:tcMar>
              <w:top w:w="60" w:type="dxa"/>
              <w:left w:w="120" w:type="dxa"/>
              <w:bottom w:w="30" w:type="dxa"/>
              <w:right w:w="120" w:type="dxa"/>
            </w:tcMar>
          </w:tcPr>
          <w:p w14:paraId="07408A3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w:t>
            </w:r>
          </w:p>
        </w:tc>
      </w:tr>
      <w:tr w14:paraId="4E1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65F570DB">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采购人</w:t>
            </w:r>
          </w:p>
        </w:tc>
        <w:tc>
          <w:tcPr>
            <w:tcW w:w="7482" w:type="dxa"/>
            <w:tcMar>
              <w:top w:w="60" w:type="dxa"/>
              <w:left w:w="120" w:type="dxa"/>
              <w:bottom w:w="30" w:type="dxa"/>
              <w:right w:w="120" w:type="dxa"/>
            </w:tcMar>
            <w:vAlign w:val="center"/>
          </w:tcPr>
          <w:p w14:paraId="6D24735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安庆交投物流产业发展有限公司</w:t>
            </w:r>
          </w:p>
        </w:tc>
      </w:tr>
      <w:tr w14:paraId="304F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1F3C4A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参选对象</w:t>
            </w:r>
          </w:p>
        </w:tc>
        <w:tc>
          <w:tcPr>
            <w:tcW w:w="7482" w:type="dxa"/>
            <w:tcMar>
              <w:top w:w="60" w:type="dxa"/>
              <w:left w:w="120" w:type="dxa"/>
              <w:bottom w:w="30" w:type="dxa"/>
              <w:right w:w="120" w:type="dxa"/>
            </w:tcMar>
            <w:vAlign w:val="center"/>
          </w:tcPr>
          <w:p w14:paraId="0E45F3D0">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市交控集团</w:t>
            </w:r>
            <w:r>
              <w:rPr>
                <w:rFonts w:hint="eastAsia" w:ascii="仿宋" w:hAnsi="仿宋" w:eastAsia="仿宋" w:cs="仿宋"/>
                <w:color w:val="auto"/>
                <w:sz w:val="24"/>
                <w:szCs w:val="24"/>
                <w:highlight w:val="none"/>
              </w:rPr>
              <w:t>法律顾问服务合格供应商库内5家律师事务所</w:t>
            </w:r>
          </w:p>
        </w:tc>
      </w:tr>
      <w:tr w14:paraId="19AB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B3561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比选案件</w:t>
            </w:r>
          </w:p>
        </w:tc>
        <w:tc>
          <w:tcPr>
            <w:tcW w:w="7482" w:type="dxa"/>
            <w:tcMar>
              <w:top w:w="60" w:type="dxa"/>
              <w:left w:w="120" w:type="dxa"/>
              <w:bottom w:w="30" w:type="dxa"/>
              <w:right w:w="120" w:type="dxa"/>
            </w:tcMar>
            <w:vAlign w:val="center"/>
          </w:tcPr>
          <w:p w14:paraId="4DF518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安庆交投物流公司诉湖南众旭公司及张培军合同纠纷执行案件代理服务，标的额23347858.97</w:t>
            </w:r>
            <w:r>
              <w:rPr>
                <w:rFonts w:hint="eastAsia" w:ascii="仿宋" w:hAnsi="仿宋" w:eastAsia="仿宋" w:cs="仿宋"/>
                <w:color w:val="auto"/>
                <w:sz w:val="24"/>
                <w:szCs w:val="24"/>
                <w:highlight w:val="none"/>
              </w:rPr>
              <w:t>元，</w:t>
            </w:r>
            <w:r>
              <w:rPr>
                <w:rFonts w:hint="eastAsia" w:ascii="仿宋" w:hAnsi="仿宋" w:eastAsia="仿宋" w:cs="仿宋"/>
                <w:color w:val="auto"/>
                <w:sz w:val="24"/>
                <w:szCs w:val="24"/>
                <w:highlight w:val="none"/>
                <w:lang w:val="en-US" w:eastAsia="zh-CN"/>
              </w:rPr>
              <w:t>属于</w:t>
            </w:r>
            <w:r>
              <w:rPr>
                <w:rFonts w:hint="eastAsia" w:ascii="仿宋" w:hAnsi="仿宋" w:eastAsia="仿宋" w:cs="仿宋"/>
                <w:color w:val="auto"/>
                <w:sz w:val="24"/>
                <w:szCs w:val="24"/>
                <w:highlight w:val="none"/>
              </w:rPr>
              <w:t>超大额标的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具体详见附件。</w:t>
            </w:r>
          </w:p>
        </w:tc>
      </w:tr>
      <w:tr w14:paraId="2CBB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138FD24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报价要求</w:t>
            </w:r>
          </w:p>
        </w:tc>
        <w:tc>
          <w:tcPr>
            <w:tcW w:w="7482" w:type="dxa"/>
            <w:tcMar>
              <w:top w:w="60" w:type="dxa"/>
              <w:left w:w="120" w:type="dxa"/>
              <w:bottom w:w="30" w:type="dxa"/>
              <w:right w:w="120" w:type="dxa"/>
            </w:tcMar>
            <w:vAlign w:val="center"/>
          </w:tcPr>
          <w:p w14:paraId="021FF81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rPr>
              <w:t>需明确</w:t>
            </w:r>
            <w:r>
              <w:rPr>
                <w:rFonts w:hint="eastAsia" w:ascii="仿宋" w:hAnsi="仿宋" w:eastAsia="仿宋" w:cs="仿宋"/>
                <w:b/>
                <w:bCs/>
                <w:color w:val="auto"/>
                <w:sz w:val="24"/>
                <w:szCs w:val="24"/>
                <w:highlight w:val="none"/>
                <w:lang w:val="en-US" w:eastAsia="zh-CN"/>
              </w:rPr>
              <w:t>案件代理费总价</w:t>
            </w:r>
            <w:r>
              <w:rPr>
                <w:rFonts w:hint="eastAsia" w:ascii="仿宋" w:hAnsi="仿宋" w:eastAsia="仿宋" w:cs="仿宋"/>
                <w:color w:val="auto"/>
                <w:sz w:val="24"/>
                <w:szCs w:val="24"/>
                <w:highlight w:val="none"/>
                <w:lang w:eastAsia="zh-CN"/>
              </w:rPr>
              <w:t>。</w:t>
            </w:r>
          </w:p>
        </w:tc>
      </w:tr>
      <w:tr w14:paraId="0B8B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0B189E7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最高限价</w:t>
            </w:r>
          </w:p>
        </w:tc>
        <w:tc>
          <w:tcPr>
            <w:tcW w:w="7482" w:type="dxa"/>
            <w:tcMar>
              <w:top w:w="60" w:type="dxa"/>
              <w:left w:w="120" w:type="dxa"/>
              <w:bottom w:w="30" w:type="dxa"/>
              <w:right w:w="120" w:type="dxa"/>
            </w:tcMar>
            <w:vAlign w:val="center"/>
          </w:tcPr>
          <w:p w14:paraId="50BE924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以根据安徽省物价局2016年2月10日发布的《安徽律师收费标准》{皖价服[2016]13号}文件得出的计算结果（以下限为准）*50%，结合前期摸排报价，</w:t>
            </w:r>
            <w:r>
              <w:rPr>
                <w:rFonts w:hint="eastAsia" w:ascii="仿宋" w:hAnsi="仿宋" w:eastAsia="仿宋" w:cs="仿宋"/>
                <w:b/>
                <w:bCs/>
                <w:color w:val="auto"/>
                <w:sz w:val="24"/>
                <w:szCs w:val="24"/>
                <w:highlight w:val="none"/>
                <w:lang w:val="en-US" w:eastAsia="zh-CN"/>
              </w:rPr>
              <w:t>比选的最高限价195000元</w:t>
            </w:r>
            <w:r>
              <w:rPr>
                <w:rFonts w:hint="eastAsia" w:ascii="仿宋" w:hAnsi="仿宋" w:eastAsia="仿宋" w:cs="仿宋"/>
                <w:color w:val="auto"/>
                <w:sz w:val="24"/>
                <w:szCs w:val="24"/>
                <w:highlight w:val="none"/>
                <w:lang w:val="en-US" w:eastAsia="zh-CN"/>
              </w:rPr>
              <w:t>。</w:t>
            </w:r>
          </w:p>
        </w:tc>
      </w:tr>
      <w:tr w14:paraId="4D54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01D15F94">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评分总分</w:t>
            </w:r>
          </w:p>
        </w:tc>
        <w:tc>
          <w:tcPr>
            <w:tcW w:w="7482" w:type="dxa"/>
            <w:tcMar>
              <w:top w:w="60" w:type="dxa"/>
              <w:left w:w="120" w:type="dxa"/>
              <w:bottom w:w="30" w:type="dxa"/>
              <w:right w:w="120" w:type="dxa"/>
            </w:tcMar>
            <w:vAlign w:val="center"/>
          </w:tcPr>
          <w:p w14:paraId="6AE7B9FB">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100分（报价</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团队配置</w:t>
            </w:r>
            <w:r>
              <w:rPr>
                <w:rFonts w:hint="eastAsia" w:ascii="仿宋" w:hAnsi="仿宋" w:eastAsia="仿宋" w:cs="仿宋"/>
                <w:color w:val="auto"/>
                <w:sz w:val="24"/>
                <w:szCs w:val="24"/>
                <w:highlight w:val="none"/>
                <w:lang w:val="en-US" w:eastAsia="zh-CN"/>
              </w:rPr>
              <w:t>30分，案例经验</w:t>
            </w:r>
            <w:r>
              <w:rPr>
                <w:rFonts w:hint="eastAsia" w:ascii="仿宋" w:hAnsi="仿宋" w:eastAsia="仿宋" w:cs="仿宋"/>
                <w:color w:val="auto"/>
                <w:sz w:val="24"/>
                <w:szCs w:val="24"/>
                <w:highlight w:val="none"/>
              </w:rPr>
              <w:t>30分，</w:t>
            </w:r>
            <w:r>
              <w:rPr>
                <w:rFonts w:hint="eastAsia" w:ascii="仿宋" w:hAnsi="仿宋" w:eastAsia="仿宋" w:cs="仿宋"/>
                <w:color w:val="auto"/>
                <w:sz w:val="24"/>
                <w:szCs w:val="24"/>
                <w:highlight w:val="none"/>
                <w:lang w:val="en-US" w:eastAsia="zh-CN"/>
              </w:rPr>
              <w:t>服务方案2</w:t>
            </w:r>
            <w:r>
              <w:rPr>
                <w:rFonts w:hint="eastAsia" w:ascii="仿宋" w:hAnsi="仿宋" w:eastAsia="仿宋" w:cs="仿宋"/>
                <w:color w:val="auto"/>
                <w:sz w:val="24"/>
                <w:szCs w:val="24"/>
                <w:highlight w:val="none"/>
              </w:rPr>
              <w:t>0分）</w:t>
            </w:r>
          </w:p>
        </w:tc>
      </w:tr>
      <w:tr w14:paraId="0C19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4D64FC1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服务期限</w:t>
            </w:r>
          </w:p>
        </w:tc>
        <w:tc>
          <w:tcPr>
            <w:tcW w:w="7482" w:type="dxa"/>
            <w:tcMar>
              <w:top w:w="60" w:type="dxa"/>
              <w:left w:w="120" w:type="dxa"/>
              <w:bottom w:w="30" w:type="dxa"/>
              <w:right w:w="120" w:type="dxa"/>
            </w:tcMar>
            <w:vAlign w:val="center"/>
          </w:tcPr>
          <w:p w14:paraId="0915E84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rPr>
              <w:t>自接受采购人委托通知之日起到案件执行终结</w:t>
            </w:r>
            <w:r>
              <w:rPr>
                <w:rFonts w:hint="eastAsia" w:ascii="仿宋" w:hAnsi="仿宋" w:eastAsia="仿宋" w:cs="仿宋"/>
                <w:color w:val="auto"/>
                <w:sz w:val="24"/>
                <w:szCs w:val="24"/>
                <w:highlight w:val="none"/>
                <w:lang w:val="en-US" w:eastAsia="zh-CN"/>
              </w:rPr>
              <w:t>。</w:t>
            </w:r>
          </w:p>
        </w:tc>
      </w:tr>
      <w:tr w14:paraId="4235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9DF5A5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付款方式</w:t>
            </w:r>
          </w:p>
        </w:tc>
        <w:tc>
          <w:tcPr>
            <w:tcW w:w="7482" w:type="dxa"/>
            <w:tcMar>
              <w:top w:w="60" w:type="dxa"/>
              <w:left w:w="120" w:type="dxa"/>
              <w:bottom w:w="30" w:type="dxa"/>
              <w:right w:w="120" w:type="dxa"/>
            </w:tcMar>
            <w:vAlign w:val="center"/>
          </w:tcPr>
          <w:p w14:paraId="38C9142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定金</w:t>
            </w:r>
            <w:r>
              <w:rPr>
                <w:rFonts w:hint="eastAsia" w:ascii="仿宋" w:hAnsi="仿宋" w:eastAsia="仿宋" w:cs="仿宋"/>
                <w:color w:val="auto"/>
                <w:sz w:val="24"/>
                <w:szCs w:val="24"/>
                <w:highlight w:val="none"/>
                <w:lang w:val="en-US" w:eastAsia="zh-CN"/>
              </w:rPr>
              <w:t>3万</w:t>
            </w:r>
            <w:r>
              <w:rPr>
                <w:rFonts w:hint="default"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按</w:t>
            </w:r>
            <w:r>
              <w:rPr>
                <w:rFonts w:hint="default" w:ascii="仿宋" w:hAnsi="仿宋" w:eastAsia="仿宋" w:cs="仿宋"/>
                <w:color w:val="auto"/>
                <w:sz w:val="24"/>
                <w:szCs w:val="24"/>
                <w:highlight w:val="none"/>
                <w:lang w:val="en-US" w:eastAsia="zh-CN"/>
              </w:rPr>
              <w:t>执行到</w:t>
            </w:r>
            <w:r>
              <w:rPr>
                <w:rFonts w:hint="eastAsia" w:ascii="仿宋" w:hAnsi="仿宋" w:eastAsia="仿宋" w:cs="仿宋"/>
                <w:color w:val="auto"/>
                <w:sz w:val="24"/>
                <w:szCs w:val="24"/>
                <w:highlight w:val="none"/>
                <w:lang w:val="en-US" w:eastAsia="zh-CN"/>
              </w:rPr>
              <w:t>账</w:t>
            </w:r>
            <w:r>
              <w:rPr>
                <w:rFonts w:hint="default" w:ascii="仿宋" w:hAnsi="仿宋" w:eastAsia="仿宋" w:cs="仿宋"/>
                <w:color w:val="auto"/>
                <w:sz w:val="24"/>
                <w:szCs w:val="24"/>
                <w:highlight w:val="none"/>
                <w:lang w:val="en-US" w:eastAsia="zh-CN"/>
              </w:rPr>
              <w:t>的回款</w:t>
            </w:r>
            <w:r>
              <w:rPr>
                <w:rFonts w:hint="eastAsia" w:ascii="仿宋" w:hAnsi="仿宋" w:eastAsia="仿宋" w:cs="仿宋"/>
                <w:color w:val="auto"/>
                <w:sz w:val="24"/>
                <w:szCs w:val="24"/>
                <w:highlight w:val="none"/>
                <w:lang w:val="en-US" w:eastAsia="zh-CN"/>
              </w:rPr>
              <w:t>金额</w:t>
            </w:r>
            <w:r>
              <w:rPr>
                <w:rFonts w:hint="default" w:ascii="仿宋" w:hAnsi="仿宋" w:eastAsia="仿宋" w:cs="仿宋"/>
                <w:color w:val="auto"/>
                <w:sz w:val="24"/>
                <w:szCs w:val="24"/>
                <w:highlight w:val="none"/>
                <w:lang w:val="en-US" w:eastAsia="zh-CN"/>
              </w:rPr>
              <w:t>按比例支付</w:t>
            </w:r>
            <w:r>
              <w:rPr>
                <w:rFonts w:hint="eastAsia" w:ascii="仿宋" w:hAnsi="仿宋" w:eastAsia="仿宋" w:cs="仿宋"/>
                <w:color w:val="auto"/>
                <w:sz w:val="24"/>
                <w:szCs w:val="24"/>
                <w:highlight w:val="none"/>
                <w:lang w:val="en-US" w:eastAsia="zh-CN"/>
              </w:rPr>
              <w:t>。</w:t>
            </w:r>
          </w:p>
        </w:tc>
      </w:tr>
      <w:tr w14:paraId="4B80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8E463B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w:t>
            </w:r>
            <w:r>
              <w:rPr>
                <w:rFonts w:hint="default" w:ascii="仿宋" w:hAnsi="仿宋" w:eastAsia="仿宋" w:cs="仿宋"/>
                <w:color w:val="auto"/>
                <w:sz w:val="24"/>
                <w:szCs w:val="24"/>
                <w:highlight w:val="none"/>
                <w:lang w:eastAsia="zh-CN"/>
              </w:rPr>
              <w:t>及结算</w:t>
            </w:r>
            <w:r>
              <w:rPr>
                <w:rFonts w:hint="eastAsia" w:ascii="仿宋" w:hAnsi="仿宋" w:eastAsia="仿宋" w:cs="仿宋"/>
                <w:color w:val="auto"/>
                <w:sz w:val="24"/>
                <w:szCs w:val="24"/>
                <w:highlight w:val="none"/>
                <w:lang w:val="en-US" w:eastAsia="zh-CN"/>
              </w:rPr>
              <w:t>要求</w:t>
            </w:r>
          </w:p>
        </w:tc>
        <w:tc>
          <w:tcPr>
            <w:tcW w:w="7482" w:type="dxa"/>
            <w:tcMar>
              <w:top w:w="60" w:type="dxa"/>
              <w:left w:w="120" w:type="dxa"/>
              <w:bottom w:w="30" w:type="dxa"/>
              <w:right w:w="120" w:type="dxa"/>
            </w:tcMar>
            <w:vAlign w:val="center"/>
          </w:tcPr>
          <w:p w14:paraId="3305EB8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rPr>
              <w:t>需明确案件代理费总价</w:t>
            </w:r>
            <w:r>
              <w:rPr>
                <w:rFonts w:hint="eastAsia" w:ascii="仿宋" w:hAnsi="仿宋" w:eastAsia="仿宋" w:cs="仿宋"/>
                <w:color w:val="auto"/>
                <w:sz w:val="24"/>
                <w:szCs w:val="24"/>
                <w:highlight w:val="none"/>
                <w:lang w:val="en-US" w:eastAsia="zh-CN"/>
              </w:rPr>
              <w:t>；</w:t>
            </w:r>
          </w:p>
          <w:p w14:paraId="19506891">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（2）接受“定金+按回款金额比例支付”的结算方式。</w:t>
            </w:r>
          </w:p>
        </w:tc>
      </w:tr>
    </w:tbl>
    <w:p w14:paraId="56AE91F7">
      <w:pPr>
        <w:rPr>
          <w:rFonts w:hint="eastAsia" w:ascii="宋体" w:hAnsi="宋体" w:cs="宋体"/>
          <w:color w:val="auto"/>
          <w:szCs w:val="21"/>
          <w:highlight w:val="none"/>
        </w:rPr>
      </w:pPr>
      <w:r>
        <w:rPr>
          <w:rFonts w:hint="eastAsia" w:ascii="宋体" w:hAnsi="宋体" w:cs="宋体"/>
          <w:color w:val="auto"/>
          <w:szCs w:val="21"/>
          <w:highlight w:val="none"/>
        </w:rPr>
        <w:br w:type="page"/>
      </w:r>
    </w:p>
    <w:bookmarkEnd w:id="60"/>
    <w:bookmarkEnd w:id="61"/>
    <w:bookmarkEnd w:id="62"/>
    <w:p w14:paraId="0ADF93E7">
      <w:pPr>
        <w:pStyle w:val="2"/>
        <w:numPr>
          <w:ilvl w:val="0"/>
          <w:numId w:val="8"/>
        </w:numPr>
        <w:spacing w:before="62" w:beforeLines="20" w:after="62" w:afterLines="20" w:line="480" w:lineRule="exact"/>
        <w:ind w:firstLine="0" w:firstLineChars="0"/>
        <w:jc w:val="center"/>
        <w:rPr>
          <w:rFonts w:hint="default"/>
          <w:color w:val="auto"/>
          <w:highlight w:val="none"/>
          <w:lang w:val="en-US" w:eastAsia="zh-CN"/>
        </w:rPr>
      </w:pPr>
      <w:bookmarkStart w:id="63" w:name="_Toc25399"/>
      <w:bookmarkStart w:id="64" w:name="_Toc8981"/>
      <w:bookmarkStart w:id="65" w:name="_Toc54941341"/>
      <w:bookmarkStart w:id="66" w:name="_Toc439316880"/>
      <w:r>
        <w:rPr>
          <w:rFonts w:hint="eastAsia" w:ascii="Arial" w:hAnsi="Arial"/>
          <w:color w:val="auto"/>
          <w:kern w:val="2"/>
          <w:sz w:val="32"/>
          <w:szCs w:val="32"/>
          <w:highlight w:val="none"/>
          <w:lang w:val="en-US" w:eastAsia="zh-CN"/>
        </w:rPr>
        <w:t>安庆交投物流公司诉湖南众旭公司及张培军合同纠纷执行案件代理服务合同</w:t>
      </w:r>
    </w:p>
    <w:p w14:paraId="44307ED7">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委托人（甲方）：安庆交投物流产业发展有限公司</w:t>
      </w:r>
    </w:p>
    <w:p w14:paraId="60E5951F">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受托人（乙方）：（成交律师事务所）</w:t>
      </w:r>
    </w:p>
    <w:p w14:paraId="16038B63">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67" w:name="第一条-委托事项"/>
      <w:r>
        <w:rPr>
          <w:rFonts w:hint="eastAsia" w:ascii="仿宋" w:hAnsi="仿宋" w:eastAsia="仿宋" w:cs="仿宋"/>
          <w:color w:val="auto"/>
          <w:sz w:val="28"/>
          <w:szCs w:val="28"/>
          <w:highlight w:val="none"/>
          <w:lang w:val="en-US" w:eastAsia="zh-CN"/>
        </w:rPr>
        <w:t>第一条 委托事项</w:t>
      </w:r>
      <w:bookmarkEnd w:id="67"/>
    </w:p>
    <w:p w14:paraId="10DE43E0">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方与湖南众旭物流有限公司、湖南众旭供应链管理有限公司、张培军服务合同纠纷执行一案（执行案号：（2026）皖0802执1818号），委托乙方代理相关法律事务。乙方指派__________律师（执业证号：__________）作为承办律师（团队负责人）。</w:t>
      </w:r>
    </w:p>
    <w:p w14:paraId="5AB2C98E">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根据《中华人民共和国民法典》《中华人民共和国律师法》等规定，双方协商一致，订立本合同。</w:t>
      </w:r>
    </w:p>
    <w:p w14:paraId="77798F81">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68" w:name="第二条-代理阶段"/>
      <w:r>
        <w:rPr>
          <w:rFonts w:hint="eastAsia" w:ascii="仿宋" w:hAnsi="仿宋" w:eastAsia="仿宋" w:cs="仿宋"/>
          <w:color w:val="auto"/>
          <w:sz w:val="28"/>
          <w:szCs w:val="28"/>
          <w:highlight w:val="none"/>
          <w:lang w:val="en-US" w:eastAsia="zh-CN"/>
        </w:rPr>
        <w:t>第二条 代理阶段</w:t>
      </w:r>
      <w:bookmarkEnd w:id="68"/>
    </w:p>
    <w:p w14:paraId="6A1BC3AD">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强制执行全阶段（包括但不限于财产查控、执行异议、执行听证、参与分配、执行和解、诈骗罪或拒执罪追诉等）</w:t>
      </w:r>
    </w:p>
    <w:p w14:paraId="3BB8A6ED">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69" w:name="第三条-授权范围"/>
      <w:r>
        <w:rPr>
          <w:rFonts w:hint="eastAsia" w:ascii="仿宋" w:hAnsi="仿宋" w:eastAsia="仿宋" w:cs="仿宋"/>
          <w:color w:val="auto"/>
          <w:sz w:val="28"/>
          <w:szCs w:val="28"/>
          <w:highlight w:val="none"/>
          <w:lang w:val="en-US" w:eastAsia="zh-CN"/>
        </w:rPr>
        <w:t>第三条 授权范围</w:t>
      </w:r>
      <w:bookmarkEnd w:id="69"/>
    </w:p>
    <w:p w14:paraId="33A04B0F">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一般授权（代为提交证据、出庭发表意见等案件需要的授权）</w:t>
      </w:r>
    </w:p>
    <w:p w14:paraId="4FA1FDBB">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特别授权（需逐项列明）：代为承认、变更、放弃权利；进行和解/调解；签收法律文书；代收执行款项</w:t>
      </w:r>
    </w:p>
    <w:p w14:paraId="54FC0D72">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0" w:name="第四条-服务费用及支付方式"/>
      <w:r>
        <w:rPr>
          <w:rFonts w:hint="eastAsia" w:ascii="仿宋" w:hAnsi="仿宋" w:eastAsia="仿宋" w:cs="仿宋"/>
          <w:color w:val="auto"/>
          <w:sz w:val="28"/>
          <w:szCs w:val="28"/>
          <w:highlight w:val="none"/>
          <w:lang w:val="en-US" w:eastAsia="zh-CN"/>
        </w:rPr>
        <w:t>第四条 服务费用及支付方式</w:t>
      </w:r>
      <w:bookmarkEnd w:id="70"/>
    </w:p>
    <w:p w14:paraId="0C878F3B">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本案代理费总价为人民币</w:t>
      </w:r>
      <w:r>
        <w:rPr>
          <w:rFonts w:hint="eastAsia" w:ascii="仿宋" w:hAnsi="仿宋" w:eastAsia="仿宋" w:cs="仿宋"/>
          <w:color w:val="auto"/>
          <w:sz w:val="28"/>
          <w:szCs w:val="28"/>
          <w:highlight w:val="none"/>
          <w:u w:val="single"/>
          <w:lang w:val="en-US" w:eastAsia="zh-CN"/>
        </w:rPr>
        <w:t>195000</w:t>
      </w:r>
      <w:r>
        <w:rPr>
          <w:rFonts w:hint="eastAsia" w:ascii="仿宋" w:hAnsi="仿宋" w:eastAsia="仿宋" w:cs="仿宋"/>
          <w:color w:val="auto"/>
          <w:sz w:val="28"/>
          <w:szCs w:val="28"/>
          <w:highlight w:val="none"/>
          <w:lang w:val="en-US" w:eastAsia="zh-CN"/>
        </w:rPr>
        <w:t>元（大写：壹拾玖万伍仟元整）。</w:t>
      </w:r>
    </w:p>
    <w:p w14:paraId="606C4624">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定金：</w:t>
      </w:r>
      <w:r>
        <w:rPr>
          <w:rFonts w:hint="eastAsia" w:ascii="仿宋" w:hAnsi="仿宋" w:eastAsia="仿宋" w:cs="仿宋"/>
          <w:color w:val="auto"/>
          <w:sz w:val="28"/>
          <w:szCs w:val="28"/>
          <w:highlight w:val="none"/>
          <w:u w:val="single"/>
          <w:lang w:val="en-US" w:eastAsia="zh-CN"/>
        </w:rPr>
        <w:t>30000元</w:t>
      </w:r>
      <w:r>
        <w:rPr>
          <w:rFonts w:hint="eastAsia" w:ascii="仿宋" w:hAnsi="仿宋" w:eastAsia="仿宋" w:cs="仿宋"/>
          <w:color w:val="auto"/>
          <w:sz w:val="28"/>
          <w:szCs w:val="28"/>
          <w:highlight w:val="none"/>
          <w:lang w:val="en-US" w:eastAsia="zh-CN"/>
        </w:rPr>
        <w:t>人民币元。</w:t>
      </w:r>
    </w:p>
    <w:p w14:paraId="2248C544">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剩余款项结算：按照甲方实际收到本案项下回款款项金额占本案诉讼标的额 </w:t>
      </w:r>
      <w:r>
        <w:rPr>
          <w:rFonts w:hint="eastAsia" w:ascii="仿宋" w:hAnsi="仿宋" w:eastAsia="仿宋" w:cs="仿宋"/>
          <w:color w:val="auto"/>
          <w:sz w:val="30"/>
          <w:szCs w:val="30"/>
          <w:highlight w:val="none"/>
          <w:u w:val="none"/>
          <w:lang w:val="en-US" w:eastAsia="zh-CN"/>
        </w:rPr>
        <w:t>23347858.97</w:t>
      </w:r>
      <w:r>
        <w:rPr>
          <w:rFonts w:hint="eastAsia" w:ascii="仿宋" w:hAnsi="仿宋" w:eastAsia="仿宋" w:cs="仿宋"/>
          <w:color w:val="auto"/>
          <w:sz w:val="28"/>
          <w:szCs w:val="28"/>
          <w:highlight w:val="none"/>
          <w:lang w:val="en-US" w:eastAsia="zh-CN"/>
        </w:rPr>
        <w:t xml:space="preserve"> 元的比例同比例支付。甲方每收到债务人支付 / 法院执行拨付的回款后 7 个工作日内，计算并向乙方支付对应比例的剩余代理费。计算公式：当期应付剩余代理费 = 当期实际回款金额 ÷23347858.97元 ×165000 元。  </w:t>
      </w:r>
    </w:p>
    <w:p w14:paraId="3ED2CA25">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若甲方分期收到多笔回款，则逐笔按上述公式结算；当甲方实际累计回款达到23347858.97元时，剩余 165000 元代理费全部付清。</w:t>
      </w:r>
    </w:p>
    <w:p w14:paraId="4691FC62">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如本案最终甲方实际收到全部回款不足 23347858.97元，则剩余代理费按照实际回款占标的额比例结算，乙方不再主张剩余未计取部分代理费。</w:t>
      </w:r>
    </w:p>
    <w:p w14:paraId="699CDD25">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付款方式：本合同签订后</w:t>
      </w:r>
      <w:r>
        <w:rPr>
          <w:rFonts w:hint="eastAsia" w:ascii="仿宋" w:hAnsi="仿宋" w:eastAsia="仿宋" w:cs="仿宋"/>
          <w:color w:val="auto"/>
          <w:sz w:val="28"/>
          <w:szCs w:val="28"/>
          <w:highlight w:val="none"/>
          <w:u w:val="single"/>
          <w:lang w:val="en-US" w:eastAsia="zh-CN"/>
        </w:rPr>
        <w:t xml:space="preserve"> 7个工作 </w:t>
      </w:r>
      <w:r>
        <w:rPr>
          <w:rFonts w:hint="eastAsia" w:ascii="仿宋" w:hAnsi="仿宋" w:eastAsia="仿宋" w:cs="仿宋"/>
          <w:color w:val="auto"/>
          <w:sz w:val="28"/>
          <w:szCs w:val="28"/>
          <w:highlight w:val="none"/>
          <w:lang w:val="en-US" w:eastAsia="zh-CN"/>
        </w:rPr>
        <w:t>日内，甲方向乙方支付定金；剩余尾款根据执行到账的回款分批支付。</w:t>
      </w:r>
    </w:p>
    <w:p w14:paraId="01407FBC">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1" w:name="第五条-甲方的权利和义务"/>
      <w:r>
        <w:rPr>
          <w:rFonts w:hint="eastAsia" w:ascii="仿宋" w:hAnsi="仿宋" w:eastAsia="仿宋" w:cs="仿宋"/>
          <w:color w:val="auto"/>
          <w:sz w:val="28"/>
          <w:szCs w:val="28"/>
          <w:highlight w:val="none"/>
          <w:lang w:val="en-US" w:eastAsia="zh-CN"/>
        </w:rPr>
        <w:t>第五条 甲方的权利和义务</w:t>
      </w:r>
      <w:bookmarkEnd w:id="71"/>
    </w:p>
    <w:p w14:paraId="6E3A1747">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向乙方提供与案件有关的全部材料，保证材料的真实性、完整性。</w:t>
      </w:r>
    </w:p>
    <w:p w14:paraId="2689547B">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为乙方承办律师提供必要的工作条件和便利。</w:t>
      </w:r>
    </w:p>
    <w:p w14:paraId="001B80F8">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按合同约定及时支付代理费用。</w:t>
      </w:r>
    </w:p>
    <w:p w14:paraId="4F807D39">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有权了解案件进展情况，对乙方的代理工作提出意见和建议。</w:t>
      </w:r>
    </w:p>
    <w:p w14:paraId="70F38669">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2" w:name="第六条-乙方的权利和义务"/>
      <w:r>
        <w:rPr>
          <w:rFonts w:hint="eastAsia" w:ascii="仿宋" w:hAnsi="仿宋" w:eastAsia="仿宋" w:cs="仿宋"/>
          <w:color w:val="auto"/>
          <w:sz w:val="28"/>
          <w:szCs w:val="28"/>
          <w:highlight w:val="none"/>
          <w:lang w:val="en-US" w:eastAsia="zh-CN"/>
        </w:rPr>
        <w:t>第六条 乙方的权利和义务</w:t>
      </w:r>
      <w:bookmarkEnd w:id="72"/>
    </w:p>
    <w:p w14:paraId="39432778">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乙方承办律师须为参选文件中承诺的团队负责人，不得擅自更换。确需更换的，须提前30天报甲方审批，且更换后的律师资质水平不得低于原承诺，仍视为乙方违约，甲方有权按1万元/次收取违约金。</w:t>
      </w:r>
    </w:p>
    <w:p w14:paraId="0C1BB019">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勤勉尽责，依法维护甲方合法权益。</w:t>
      </w:r>
    </w:p>
    <w:p w14:paraId="7D12B85F">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及时向甲方通报案件进展情况，按要求提交书面进展报告。</w:t>
      </w:r>
    </w:p>
    <w:p w14:paraId="45CF88C2">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对甲方提供的材料负有保密义务。</w:t>
      </w:r>
    </w:p>
    <w:p w14:paraId="7A4E7887">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不得在同一案件中为对方当事人提供法律服务。</w:t>
      </w:r>
    </w:p>
    <w:p w14:paraId="69D0E66C">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3" w:name="第七条-合同解除"/>
      <w:r>
        <w:rPr>
          <w:rFonts w:hint="eastAsia" w:ascii="仿宋" w:hAnsi="仿宋" w:eastAsia="仿宋" w:cs="仿宋"/>
          <w:color w:val="auto"/>
          <w:sz w:val="28"/>
          <w:szCs w:val="28"/>
          <w:highlight w:val="none"/>
          <w:lang w:val="en-US" w:eastAsia="zh-CN"/>
        </w:rPr>
        <w:t>第七条 合同解除</w:t>
      </w:r>
      <w:bookmarkEnd w:id="73"/>
    </w:p>
    <w:p w14:paraId="22C423F2">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经双方协商一致，可以解除本合同。</w:t>
      </w:r>
    </w:p>
    <w:p w14:paraId="7A49B0F2">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乙方有下列情形之一的，甲方有权解除合同：</w:t>
      </w:r>
    </w:p>
    <w:p w14:paraId="0DC9941C">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未经甲方同意擅自更换承办律师；</w:t>
      </w:r>
    </w:p>
    <w:p w14:paraId="0B1530C1">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因乙方重大过错导致甲方利益受损；</w:t>
      </w:r>
    </w:p>
    <w:p w14:paraId="2662F537">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违反保密义务。</w:t>
      </w:r>
    </w:p>
    <w:p w14:paraId="3A8431B6">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4" w:name="第八条-违约责任"/>
      <w:r>
        <w:rPr>
          <w:rFonts w:hint="eastAsia" w:ascii="仿宋" w:hAnsi="仿宋" w:eastAsia="仿宋" w:cs="仿宋"/>
          <w:color w:val="auto"/>
          <w:sz w:val="28"/>
          <w:szCs w:val="28"/>
          <w:highlight w:val="none"/>
          <w:lang w:val="en-US" w:eastAsia="zh-CN"/>
        </w:rPr>
        <w:t>第八条 违约责任</w:t>
      </w:r>
      <w:bookmarkEnd w:id="74"/>
    </w:p>
    <w:p w14:paraId="033E361F">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任一方违反本合同约定，给对方造成损失的，应依法承担赔偿责任。</w:t>
      </w:r>
    </w:p>
    <w:p w14:paraId="15655EBA">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5" w:name="第九条-争议解决"/>
      <w:r>
        <w:rPr>
          <w:rFonts w:hint="eastAsia" w:ascii="仿宋" w:hAnsi="仿宋" w:eastAsia="仿宋" w:cs="仿宋"/>
          <w:color w:val="auto"/>
          <w:sz w:val="28"/>
          <w:szCs w:val="28"/>
          <w:highlight w:val="none"/>
          <w:lang w:val="en-US" w:eastAsia="zh-CN"/>
        </w:rPr>
        <w:t>第九条 争议解决</w:t>
      </w:r>
      <w:bookmarkEnd w:id="75"/>
    </w:p>
    <w:p w14:paraId="12EB2DB4">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因本合同发生争议，提交甲方所在地人民法院诉讼解决。</w:t>
      </w:r>
    </w:p>
    <w:p w14:paraId="140061EB">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bookmarkStart w:id="76" w:name="第十条-附则"/>
      <w:r>
        <w:rPr>
          <w:rFonts w:hint="eastAsia" w:ascii="仿宋" w:hAnsi="仿宋" w:eastAsia="仿宋" w:cs="仿宋"/>
          <w:color w:val="auto"/>
          <w:sz w:val="28"/>
          <w:szCs w:val="28"/>
          <w:highlight w:val="none"/>
          <w:lang w:val="en-US" w:eastAsia="zh-CN"/>
        </w:rPr>
        <w:t>第十条 附则</w:t>
      </w:r>
      <w:bookmarkEnd w:id="76"/>
    </w:p>
    <w:p w14:paraId="4B2749D1">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本合同自双方签字盖章之日起生效。</w:t>
      </w:r>
    </w:p>
    <w:p w14:paraId="4836339B">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本合同一式</w:t>
      </w:r>
      <w:r>
        <w:rPr>
          <w:rFonts w:hint="eastAsia" w:ascii="仿宋" w:hAnsi="仿宋" w:eastAsia="仿宋" w:cs="仿宋"/>
          <w:color w:val="auto"/>
          <w:sz w:val="28"/>
          <w:szCs w:val="28"/>
          <w:highlight w:val="none"/>
          <w:u w:val="single"/>
          <w:lang w:val="en-US" w:eastAsia="zh-CN"/>
        </w:rPr>
        <w:t xml:space="preserve"> 贰</w:t>
      </w:r>
      <w:bookmarkStart w:id="85" w:name="_GoBack"/>
      <w:bookmarkEnd w:id="85"/>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份，甲方持</w:t>
      </w:r>
      <w:r>
        <w:rPr>
          <w:rFonts w:hint="eastAsia" w:ascii="仿宋" w:hAnsi="仿宋" w:eastAsia="仿宋" w:cs="仿宋"/>
          <w:color w:val="auto"/>
          <w:sz w:val="28"/>
          <w:szCs w:val="28"/>
          <w:highlight w:val="none"/>
          <w:u w:val="single"/>
          <w:lang w:val="en-US" w:eastAsia="zh-CN"/>
        </w:rPr>
        <w:t xml:space="preserve"> 壹 </w:t>
      </w:r>
      <w:r>
        <w:rPr>
          <w:rFonts w:hint="eastAsia" w:ascii="仿宋" w:hAnsi="仿宋" w:eastAsia="仿宋" w:cs="仿宋"/>
          <w:color w:val="auto"/>
          <w:sz w:val="28"/>
          <w:szCs w:val="28"/>
          <w:highlight w:val="none"/>
          <w:lang w:val="en-US" w:eastAsia="zh-CN"/>
        </w:rPr>
        <w:t>份，乙方持</w:t>
      </w:r>
      <w:r>
        <w:rPr>
          <w:rFonts w:hint="eastAsia" w:ascii="仿宋" w:hAnsi="仿宋" w:eastAsia="仿宋" w:cs="仿宋"/>
          <w:color w:val="auto"/>
          <w:sz w:val="28"/>
          <w:szCs w:val="28"/>
          <w:highlight w:val="none"/>
          <w:u w:val="single"/>
          <w:lang w:val="en-US" w:eastAsia="zh-CN"/>
        </w:rPr>
        <w:t xml:space="preserve"> 壹 </w:t>
      </w:r>
      <w:r>
        <w:rPr>
          <w:rFonts w:hint="eastAsia" w:ascii="仿宋" w:hAnsi="仿宋" w:eastAsia="仿宋" w:cs="仿宋"/>
          <w:color w:val="auto"/>
          <w:sz w:val="28"/>
          <w:szCs w:val="28"/>
          <w:highlight w:val="none"/>
          <w:lang w:val="en-US" w:eastAsia="zh-CN"/>
        </w:rPr>
        <w:t>份，具有同等法律效力。</w:t>
      </w:r>
    </w:p>
    <w:p w14:paraId="4968F284">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本合同附件为本合同不可分割的组成部分。</w:t>
      </w:r>
    </w:p>
    <w:p w14:paraId="697D966D">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单</w:t>
      </w:r>
    </w:p>
    <w:p w14:paraId="51014E79">
      <w:pPr>
        <w:pStyle w:val="56"/>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200"/>
        <w:jc w:val="both"/>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lang w:val="en-US" w:eastAsia="zh-CN"/>
        </w:rPr>
        <w:t>附件：</w:t>
      </w:r>
    </w:p>
    <w:p w14:paraId="228BA32A">
      <w:pPr>
        <w:pStyle w:val="5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附件1</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廉政协议书</w:t>
      </w:r>
    </w:p>
    <w:p w14:paraId="271155FD">
      <w:pPr>
        <w:pStyle w:val="5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2</w:t>
      </w:r>
      <w:r>
        <w:rPr>
          <w:rFonts w:hint="eastAsia" w:ascii="仿宋" w:hAnsi="仿宋" w:eastAsia="仿宋" w:cs="仿宋"/>
          <w:bCs/>
          <w:color w:val="auto"/>
          <w:sz w:val="28"/>
          <w:szCs w:val="28"/>
          <w:highlight w:val="none"/>
        </w:rPr>
        <w:t>：证据材料</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原件</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交接单</w:t>
      </w:r>
    </w:p>
    <w:p w14:paraId="5ECF9A84">
      <w:pPr>
        <w:keepNext w:val="0"/>
        <w:keepLines w:val="0"/>
        <w:widowControl w:val="0"/>
        <w:suppressLineNumbers w:val="0"/>
        <w:adjustRightInd w:val="0"/>
        <w:snapToGrid w:val="0"/>
        <w:spacing w:before="0" w:beforeAutospacing="0" w:after="0" w:afterAutospacing="0" w:line="540" w:lineRule="exact"/>
        <w:ind w:left="0" w:right="0"/>
        <w:jc w:val="both"/>
        <w:rPr>
          <w:rFonts w:hint="eastAsia" w:ascii="仿宋" w:hAnsi="仿宋" w:eastAsia="仿宋" w:cs="仿宋"/>
          <w:color w:val="auto"/>
          <w:sz w:val="28"/>
          <w:szCs w:val="28"/>
          <w:highlight w:val="none"/>
          <w:u w:val="dotted"/>
          <w:lang w:val="en-US"/>
        </w:rPr>
      </w:pPr>
      <w:r>
        <w:rPr>
          <w:rFonts w:hint="eastAsia" w:ascii="仿宋" w:hAnsi="仿宋" w:eastAsia="仿宋" w:cs="仿宋"/>
          <w:color w:val="auto"/>
          <w:kern w:val="0"/>
          <w:sz w:val="28"/>
          <w:szCs w:val="28"/>
          <w:highlight w:val="none"/>
          <w:u w:val="dotted"/>
          <w:lang w:val="en-US" w:eastAsia="zh-CN" w:bidi="ar"/>
        </w:rPr>
        <w:t xml:space="preserve">                                                               </w:t>
      </w:r>
    </w:p>
    <w:p w14:paraId="0F762548">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t>以下无正文，为合同签署页。</w:t>
      </w:r>
    </w:p>
    <w:p w14:paraId="31260663">
      <w:pPr>
        <w:rPr>
          <w:rFonts w:hint="eastAsia" w:ascii="仿宋" w:hAnsi="仿宋" w:eastAsia="仿宋" w:cs="仿宋"/>
          <w:bCs/>
          <w:color w:val="auto"/>
          <w:kern w:val="0"/>
          <w:sz w:val="28"/>
          <w:szCs w:val="28"/>
          <w:highlight w:val="none"/>
          <w:lang w:val="en-US" w:eastAsia="zh-CN" w:bidi="ar"/>
        </w:rPr>
      </w:pPr>
    </w:p>
    <w:p w14:paraId="7F3CA427">
      <w:pPr>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br w:type="page"/>
      </w:r>
    </w:p>
    <w:p w14:paraId="073790E7">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497F30CE">
      <w:pPr>
        <w:pStyle w:val="10"/>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甲方（签章）：________________</w:t>
      </w:r>
    </w:p>
    <w:p w14:paraId="73A77AE2">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授权代表签字：________</w:t>
      </w:r>
    </w:p>
    <w:p w14:paraId="09BCC9A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39AE262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6CCCB68D">
      <w:pPr>
        <w:pStyle w:val="10"/>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乙方（签章）：________________律师事务所</w:t>
      </w:r>
    </w:p>
    <w:p w14:paraId="7EF0008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授权代表签字：__________</w:t>
      </w:r>
    </w:p>
    <w:p w14:paraId="7BF7A8FC">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46EECCA8">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14AE0D86">
      <w:pPr>
        <w:keepNext w:val="0"/>
        <w:keepLines w:val="0"/>
        <w:widowControl w:val="0"/>
        <w:suppressLineNumbers w:val="0"/>
        <w:adjustRightInd w:val="0"/>
        <w:snapToGrid w:val="0"/>
        <w:spacing w:before="0" w:beforeAutospacing="0" w:after="0" w:afterAutospacing="0" w:line="540" w:lineRule="exact"/>
        <w:ind w:right="0"/>
        <w:jc w:val="both"/>
        <w:rPr>
          <w:rFonts w:hint="eastAsia" w:ascii="仿宋" w:hAnsi="仿宋" w:eastAsia="仿宋" w:cs="仿宋"/>
          <w:bCs/>
          <w:color w:val="auto"/>
          <w:sz w:val="28"/>
          <w:szCs w:val="28"/>
          <w:highlight w:val="none"/>
        </w:rPr>
      </w:pPr>
    </w:p>
    <w:p w14:paraId="2853EBAA">
      <w:pPr>
        <w:keepNext w:val="0"/>
        <w:keepLines w:val="0"/>
        <w:widowControl w:val="0"/>
        <w:suppressLineNumbers w:val="0"/>
        <w:adjustRightInd w:val="0"/>
        <w:snapToGrid w:val="0"/>
        <w:spacing w:before="0" w:beforeAutospacing="0" w:after="0" w:afterAutospacing="0" w:line="540" w:lineRule="exact"/>
        <w:ind w:right="0"/>
        <w:jc w:val="both"/>
        <w:rPr>
          <w:rFonts w:hint="eastAsia" w:ascii="仿宋" w:hAnsi="仿宋" w:eastAsia="仿宋" w:cs="仿宋"/>
          <w:bCs/>
          <w:color w:val="auto"/>
          <w:sz w:val="28"/>
          <w:szCs w:val="28"/>
          <w:highlight w:val="none"/>
        </w:rPr>
      </w:pPr>
    </w:p>
    <w:p w14:paraId="2F1B79AC">
      <w:pPr>
        <w:keepNext w:val="0"/>
        <w:keepLines w:val="0"/>
        <w:widowControl w:val="0"/>
        <w:suppressLineNumbers w:val="0"/>
        <w:adjustRightInd w:val="0"/>
        <w:snapToGrid w:val="0"/>
        <w:spacing w:before="0" w:beforeAutospacing="0" w:after="0" w:afterAutospacing="0" w:line="540" w:lineRule="exact"/>
        <w:ind w:right="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br w:type="page"/>
      </w:r>
    </w:p>
    <w:p w14:paraId="0ED3D3A4">
      <w:pPr>
        <w:bidi w:val="0"/>
        <w:jc w:val="left"/>
        <w:rPr>
          <w:rFonts w:hint="eastAsia" w:ascii="Times New Roman" w:hAnsi="Times New Roman" w:eastAsia="宋体" w:cs="Times New Roman"/>
          <w:color w:val="auto"/>
          <w:kern w:val="2"/>
          <w:sz w:val="21"/>
          <w:highlight w:val="none"/>
          <w:lang w:val="en-US" w:eastAsia="zh-CN" w:bidi="ar-SA"/>
        </w:rPr>
      </w:pPr>
    </w:p>
    <w:p w14:paraId="45DB94AE">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b/>
          <w:bCs/>
          <w:color w:val="auto"/>
          <w:kern w:val="2"/>
          <w:sz w:val="28"/>
          <w:szCs w:val="28"/>
          <w:highlight w:val="none"/>
          <w:lang w:val="en-US"/>
        </w:rPr>
      </w:pPr>
      <w:bookmarkStart w:id="77" w:name="_Toc762"/>
      <w:bookmarkStart w:id="78" w:name="_Toc11404"/>
      <w:r>
        <w:rPr>
          <w:rFonts w:hint="eastAsia" w:ascii="仿宋" w:hAnsi="仿宋" w:eastAsia="仿宋" w:cs="仿宋"/>
          <w:b/>
          <w:bCs/>
          <w:color w:val="auto"/>
          <w:kern w:val="2"/>
          <w:sz w:val="28"/>
          <w:szCs w:val="28"/>
          <w:highlight w:val="none"/>
          <w:lang w:val="en-US" w:eastAsia="zh-CN" w:bidi="ar"/>
        </w:rPr>
        <w:t>附件</w:t>
      </w:r>
      <w:bookmarkEnd w:id="77"/>
      <w:r>
        <w:rPr>
          <w:rFonts w:hint="eastAsia" w:ascii="仿宋" w:hAnsi="仿宋" w:eastAsia="仿宋" w:cs="仿宋"/>
          <w:b/>
          <w:bCs/>
          <w:color w:val="auto"/>
          <w:kern w:val="2"/>
          <w:sz w:val="28"/>
          <w:szCs w:val="28"/>
          <w:highlight w:val="none"/>
          <w:lang w:val="en-US" w:eastAsia="zh-CN" w:bidi="ar"/>
        </w:rPr>
        <w:t>1：</w:t>
      </w:r>
      <w:bookmarkEnd w:id="78"/>
      <w:r>
        <w:rPr>
          <w:rFonts w:hint="eastAsia" w:ascii="仿宋" w:hAnsi="仿宋" w:eastAsia="仿宋" w:cs="仿宋"/>
          <w:b/>
          <w:bCs/>
          <w:color w:val="auto"/>
          <w:kern w:val="2"/>
          <w:sz w:val="28"/>
          <w:szCs w:val="28"/>
          <w:highlight w:val="none"/>
          <w:lang w:val="en-US" w:eastAsia="zh-CN" w:bidi="ar"/>
        </w:rPr>
        <w:t>廉政协议书</w:t>
      </w:r>
    </w:p>
    <w:p w14:paraId="7CC3A20F">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委托人（甲方）：</w:t>
      </w:r>
      <w:r>
        <w:rPr>
          <w:rFonts w:hint="eastAsia" w:ascii="仿宋" w:hAnsi="仿宋" w:eastAsia="仿宋" w:cs="仿宋"/>
          <w:b w:val="0"/>
          <w:bCs/>
          <w:color w:val="auto"/>
          <w:sz w:val="28"/>
          <w:szCs w:val="28"/>
          <w:highlight w:val="none"/>
          <w:u w:val="single"/>
          <w:lang w:eastAsia="zh-CN"/>
        </w:rPr>
        <w:t>安庆交投物流产业发展有限公司</w:t>
      </w:r>
    </w:p>
    <w:p w14:paraId="3A466D76">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rPr>
        <w:t>受托人（乙方）：</w:t>
      </w:r>
      <w:r>
        <w:rPr>
          <w:rFonts w:hint="eastAsia" w:ascii="仿宋" w:hAnsi="仿宋" w:eastAsia="仿宋" w:cs="仿宋"/>
          <w:b w:val="0"/>
          <w:bCs/>
          <w:color w:val="auto"/>
          <w:sz w:val="28"/>
          <w:szCs w:val="28"/>
          <w:highlight w:val="none"/>
          <w:u w:val="single"/>
          <w:lang w:val="en-US" w:eastAsia="zh-CN"/>
        </w:rPr>
        <w:t xml:space="preserve">                          </w:t>
      </w:r>
    </w:p>
    <w:p w14:paraId="1D3B40C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为促进各方诚信经营、廉洁从业，防范商业贿赂，保护国家、集体和当事人的合法权益，根据国家有关法律法规和安徽省、项目所在地廉政建设的规定，各方特此订立本责任书共同遵照执行。</w:t>
      </w:r>
    </w:p>
    <w:p w14:paraId="66901449">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第一条 各方的权利和义务</w:t>
      </w:r>
    </w:p>
    <w:p w14:paraId="723BB8A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各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6F4D478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（二）严格执行</w:t>
      </w:r>
      <w:r>
        <w:rPr>
          <w:rFonts w:hint="eastAsia" w:ascii="仿宋" w:hAnsi="仿宋" w:eastAsia="仿宋" w:cs="仿宋"/>
          <w:color w:val="auto"/>
          <w:kern w:val="2"/>
          <w:sz w:val="28"/>
          <w:szCs w:val="28"/>
          <w:highlight w:val="none"/>
          <w:u w:val="none"/>
          <w:lang w:val="en-US" w:eastAsia="zh-CN" w:bidi="ar"/>
        </w:rPr>
        <w:t>本</w:t>
      </w:r>
      <w:r>
        <w:rPr>
          <w:rFonts w:hint="eastAsia" w:ascii="仿宋" w:hAnsi="仿宋" w:eastAsia="仿宋" w:cs="仿宋"/>
          <w:color w:val="auto"/>
          <w:kern w:val="2"/>
          <w:sz w:val="28"/>
          <w:szCs w:val="28"/>
          <w:highlight w:val="none"/>
          <w:lang w:val="en-US" w:eastAsia="zh-CN" w:bidi="ar"/>
        </w:rPr>
        <w:t>合同要求，自觉履行合同约定的相关义务。</w:t>
      </w:r>
    </w:p>
    <w:p w14:paraId="62CAAE5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（三）在业务活动中坚持公开、公正、诚信、透明的原则，不得损害国家、集体利益。</w:t>
      </w:r>
    </w:p>
    <w:p w14:paraId="1144081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（四）建立健全廉政制度，开展廉政教育，公布举报电话，监督并认真查处违法违纪行为。</w:t>
      </w:r>
    </w:p>
    <w:p w14:paraId="1B6D21E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（五）发现某一方在业务活动中有违反廉政规定的行为，应及时提醒对方纠正。情节严重的，应向其上级有关部门举报、建议给予处理，并有权要求告知处理结果。</w:t>
      </w:r>
    </w:p>
    <w:p w14:paraId="39F971E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第二条 甲方的义务</w:t>
      </w:r>
    </w:p>
    <w:p w14:paraId="0A67818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(一)甲方及其工作人员不得索要或接受乙方的礼金、有价证券和贵重物品，不得在乙方报销任何应由甲方单位或个人支付的费用等。</w:t>
      </w:r>
    </w:p>
    <w:p w14:paraId="57FF478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580913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（三）甲方及其工作人员不得要求或者接受乙方为其住房装修、婚丧嫁娶活动、配偶子女工作安排以及出国出境、旅游等提供方便等。</w:t>
      </w:r>
    </w:p>
    <w:p w14:paraId="3827B80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（四）甲方工作人员不得在乙方有股权关联的企业兼职，不得向乙方介绍家属或者亲友从事与甲方业务有关的经济活动。</w:t>
      </w:r>
    </w:p>
    <w:p w14:paraId="4C52DF8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（五）甲方工作人员不得以明显低于市场的价格向乙方购买房屋、汽车等物品；不得以明显高于市场的价格向乙方出售房屋、汽车等物品；不得以其他交易形式非法收受请托人财物。</w:t>
      </w:r>
    </w:p>
    <w:p w14:paraId="4151907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（六）甲方工作人员不得利用职务之便收受乙方以回扣、手续费、加班费、咨询费、劳务费、协调费、辛苦费等各种名义给予或赠送的钱物。</w:t>
      </w:r>
    </w:p>
    <w:p w14:paraId="2241F93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（七）甲方工作人员不得接受乙方给予或赠送的干股或红利。</w:t>
      </w:r>
    </w:p>
    <w:p w14:paraId="1996C1C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（八）甲方任何人不得以个人的名义向乙方推荐设备、部件等供货商以及其他合作单位。</w:t>
      </w:r>
    </w:p>
    <w:p w14:paraId="2AFC9D54">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第三条 乙方的义务</w:t>
      </w:r>
    </w:p>
    <w:p w14:paraId="2588E61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(一)乙方不得以任何理由向甲方及其工作人员行贿或馈赠礼金、有价证券、贵重礼品。</w:t>
      </w:r>
    </w:p>
    <w:p w14:paraId="07577F1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（二)乙方不得以任何名义为甲方及其工作人员报销应由甲方单位或个人支付的任何费用。</w:t>
      </w:r>
    </w:p>
    <w:p w14:paraId="015E7F3C">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(三)乙方不得以任何理由安排甲方工作人员参加可能影响相关业务公开、公正、公平性的宴请及娱乐活动。</w:t>
      </w:r>
    </w:p>
    <w:p w14:paraId="7F765C6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（四）乙方不得为甲方单位和个人购置或提供通讯工具和高档办公用品等物品，也不得为甲方提供与工作无关的房屋、汽车等。</w:t>
      </w:r>
    </w:p>
    <w:p w14:paraId="1CC479B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（五）乙方不得与甲方工作人员就合同中的质量、数量、价格、工程量、验收等条款进行私下商谈或者达成默契。</w:t>
      </w:r>
    </w:p>
    <w:p w14:paraId="34FE4ED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（六）乙方不得以回扣、手续费、加班费、咨询费、劳务费、协调费、辛苦费等各种名义向甲方工作人员给予或赠送钱物。</w:t>
      </w:r>
    </w:p>
    <w:p w14:paraId="29793A7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（七）乙方不得向甲方工作人员提供干股或红利。</w:t>
      </w:r>
    </w:p>
    <w:p w14:paraId="5B6B526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（八）乙方须按</w:t>
      </w:r>
      <w:r>
        <w:rPr>
          <w:rFonts w:hint="eastAsia" w:ascii="仿宋" w:hAnsi="仿宋" w:eastAsia="仿宋" w:cs="仿宋"/>
          <w:color w:val="auto"/>
          <w:kern w:val="2"/>
          <w:sz w:val="28"/>
          <w:szCs w:val="28"/>
          <w:highlight w:val="none"/>
          <w:u w:val="single"/>
          <w:lang w:val="en-US" w:eastAsia="zh-CN" w:bidi="ar"/>
        </w:rPr>
        <w:t xml:space="preserve"> 安庆交投物流产业发展有限公司 </w:t>
      </w:r>
      <w:r>
        <w:rPr>
          <w:rFonts w:hint="eastAsia" w:ascii="仿宋" w:hAnsi="仿宋" w:eastAsia="仿宋" w:cs="仿宋"/>
          <w:color w:val="auto"/>
          <w:kern w:val="2"/>
          <w:sz w:val="28"/>
          <w:szCs w:val="28"/>
          <w:highlight w:val="none"/>
          <w:lang w:val="en-US" w:eastAsia="zh-CN" w:bidi="ar"/>
        </w:rPr>
        <w:t>专项纪检监察工作组(如有)要求开展相关工作。</w:t>
      </w:r>
    </w:p>
    <w:p w14:paraId="5DBDCD9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第四条 违约责任</w:t>
      </w:r>
    </w:p>
    <w:p w14:paraId="62C4AF7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441170C7">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auto"/>
        <w:outlineLvl w:val="9"/>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甲方</w:t>
      </w:r>
      <w:r>
        <w:rPr>
          <w:rFonts w:hint="eastAsia" w:ascii="仿宋" w:hAnsi="仿宋" w:eastAsia="仿宋" w:cs="仿宋"/>
          <w:color w:val="auto"/>
          <w:kern w:val="0"/>
          <w:sz w:val="28"/>
          <w:szCs w:val="28"/>
          <w:highlight w:val="none"/>
        </w:rPr>
        <w:t>投诉联系部门：</w:t>
      </w:r>
      <w:r>
        <w:rPr>
          <w:rFonts w:hint="eastAsia" w:ascii="仿宋" w:hAnsi="仿宋" w:eastAsia="仿宋" w:cs="仿宋"/>
          <w:color w:val="auto"/>
          <w:kern w:val="0"/>
          <w:sz w:val="28"/>
          <w:szCs w:val="28"/>
          <w:highlight w:val="none"/>
          <w:u w:val="single"/>
          <w:lang w:eastAsia="zh-CN"/>
        </w:rPr>
        <w:t>运营管理部</w:t>
      </w:r>
      <w:r>
        <w:rPr>
          <w:rFonts w:hint="eastAsia" w:ascii="仿宋" w:hAnsi="仿宋" w:eastAsia="仿宋" w:cs="仿宋"/>
          <w:color w:val="auto"/>
          <w:kern w:val="0"/>
          <w:sz w:val="28"/>
          <w:szCs w:val="28"/>
          <w:highlight w:val="none"/>
        </w:rPr>
        <w:t>，联系电话：</w:t>
      </w:r>
      <w:r>
        <w:rPr>
          <w:rFonts w:hint="eastAsia" w:ascii="仿宋" w:hAnsi="仿宋" w:eastAsia="仿宋" w:cs="仿宋"/>
          <w:color w:val="auto"/>
          <w:kern w:val="0"/>
          <w:sz w:val="28"/>
          <w:szCs w:val="28"/>
          <w:highlight w:val="none"/>
          <w:u w:val="single"/>
        </w:rPr>
        <w:t>0556-</w:t>
      </w:r>
      <w:r>
        <w:rPr>
          <w:rFonts w:hint="eastAsia" w:ascii="仿宋" w:hAnsi="仿宋" w:eastAsia="仿宋" w:cs="仿宋"/>
          <w:color w:val="auto"/>
          <w:kern w:val="0"/>
          <w:sz w:val="28"/>
          <w:szCs w:val="28"/>
          <w:highlight w:val="none"/>
          <w:u w:val="single"/>
          <w:lang w:val="en-US" w:eastAsia="zh-CN"/>
        </w:rPr>
        <w:t>5203946</w:t>
      </w:r>
      <w:r>
        <w:rPr>
          <w:rFonts w:hint="eastAsia" w:ascii="仿宋" w:hAnsi="仿宋" w:eastAsia="仿宋" w:cs="仿宋"/>
          <w:color w:val="auto"/>
          <w:kern w:val="0"/>
          <w:sz w:val="28"/>
          <w:szCs w:val="28"/>
          <w:highlight w:val="none"/>
        </w:rPr>
        <w:t>。</w:t>
      </w:r>
    </w:p>
    <w:p w14:paraId="1BCE555E">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（二）乙方及其工作人员违反本协议第一、三条规定。根据具体情节和造成的后果，甲方有权对乙方采取以下一种或多种处理办法：</w:t>
      </w:r>
    </w:p>
    <w:p w14:paraId="360BAFC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1. 全额收取乙方合同履约保证金不予退还； </w:t>
      </w:r>
    </w:p>
    <w:p w14:paraId="373E130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 追究乙方其他违约责任；</w:t>
      </w:r>
    </w:p>
    <w:p w14:paraId="2C37112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3. 终止或解除各方已签订的包括本合同在内的所有合同；</w:t>
      </w:r>
    </w:p>
    <w:p w14:paraId="782448B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4. 乙方一定期限内（6个月至3年，具体由甲方根据情况而定）不得参与甲方作为诉讼主体的诉讼项目投标。</w:t>
      </w:r>
    </w:p>
    <w:p w14:paraId="349FAC3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甲方作出的处理意见，乙方应无条件接受并承担给甲方造成的损失，全额返还通过不正当手段从甲方获取的非法所得，并承担相应的法律责任。</w:t>
      </w:r>
    </w:p>
    <w:p w14:paraId="6605095C">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第五条 各方约定</w:t>
      </w:r>
    </w:p>
    <w:p w14:paraId="1452652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本协议由各方或各方上级单位负责监督。可由甲方或甲方上级单位的纪检监察部门约请乙方或乙方上级单位的纪检监察部门对本协议履行情况进行检查，提出在本协议规定范围内的裁定意见。</w:t>
      </w:r>
    </w:p>
    <w:p w14:paraId="53C9D9F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第六条 本协议有效期为各方签署之日起至合同终止。  </w:t>
      </w:r>
    </w:p>
    <w:p w14:paraId="1C12F25E">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第七条 本协议作为合同的附件，与本合同具有同等法律效力。</w:t>
      </w:r>
    </w:p>
    <w:p w14:paraId="5C781652">
      <w:pPr>
        <w:pStyle w:val="5"/>
        <w:keepNext w:val="0"/>
        <w:keepLines w:val="0"/>
        <w:pageBreakBefore w:val="0"/>
        <w:widowControl w:val="0"/>
        <w:kinsoku/>
        <w:wordWrap/>
        <w:topLinePunct w:val="0"/>
        <w:bidi w:val="0"/>
        <w:adjustRightInd w:val="0"/>
        <w:snapToGrid w:val="0"/>
        <w:spacing w:before="0" w:line="540" w:lineRule="exact"/>
        <w:ind w:left="0" w:leftChars="0" w:firstLine="0" w:firstLineChars="0"/>
        <w:rPr>
          <w:rFonts w:hint="default" w:ascii="仿宋" w:hAnsi="仿宋" w:eastAsia="仿宋" w:cs="仿宋"/>
          <w:color w:val="auto"/>
          <w:kern w:val="2"/>
          <w:sz w:val="28"/>
          <w:szCs w:val="28"/>
          <w:highlight w:val="none"/>
          <w:lang w:val="en-US" w:eastAsia="zh-CN"/>
        </w:rPr>
      </w:pP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p>
    <w:p w14:paraId="0A201ACE">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r>
        <w:rPr>
          <w:rFonts w:hint="eastAsia" w:ascii="仿宋" w:hAnsi="仿宋" w:eastAsia="仿宋" w:cs="仿宋"/>
          <w:color w:val="auto"/>
          <w:kern w:val="2"/>
          <w:sz w:val="28"/>
          <w:szCs w:val="28"/>
          <w:highlight w:val="none"/>
          <w:vertAlign w:val="baseline"/>
          <w:lang w:val="en-US" w:eastAsia="zh-CN" w:bidi="ar"/>
        </w:rPr>
        <w:t>（以下无正文，为合同签署页）</w:t>
      </w:r>
    </w:p>
    <w:p w14:paraId="7A6D83A0">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p>
    <w:p w14:paraId="39BF1B21">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p>
    <w:p w14:paraId="76D1215F">
      <w:pPr>
        <w:pStyle w:val="10"/>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甲方（签章）：________________</w:t>
      </w:r>
    </w:p>
    <w:p w14:paraId="56E7001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授权代表签字：________</w:t>
      </w:r>
    </w:p>
    <w:p w14:paraId="3AEE0F0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4B67E40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674B9460">
      <w:pPr>
        <w:pStyle w:val="10"/>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乙方（签章）：________________律师事务所</w:t>
      </w:r>
    </w:p>
    <w:p w14:paraId="4845DC2A">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授权代表签字：__________</w:t>
      </w:r>
    </w:p>
    <w:p w14:paraId="3578BF1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7FDADA17">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6C7C7A6D">
      <w:pPr>
        <w:rPr>
          <w:rFonts w:hint="eastAsia" w:ascii="仿宋" w:hAnsi="仿宋" w:eastAsia="仿宋" w:cs="仿宋"/>
          <w:b/>
          <w:color w:val="auto"/>
          <w:sz w:val="32"/>
          <w:szCs w:val="32"/>
          <w:highlight w:val="none"/>
        </w:rPr>
      </w:pPr>
    </w:p>
    <w:p w14:paraId="2550FC9E">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74078FA3">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jc w:val="both"/>
        <w:textAlignment w:val="auto"/>
        <w:outlineLvl w:val="2"/>
        <w:rPr>
          <w:rFonts w:hint="eastAsia" w:ascii="仿宋" w:hAnsi="仿宋" w:eastAsia="仿宋" w:cs="仿宋"/>
          <w:b w:val="0"/>
          <w:bCs w:val="0"/>
          <w:color w:val="auto"/>
          <w:kern w:val="2"/>
          <w:sz w:val="28"/>
          <w:szCs w:val="28"/>
          <w:highlight w:val="none"/>
          <w:lang w:val="en-US" w:eastAsia="zh-CN" w:bidi="ar"/>
        </w:rPr>
      </w:pPr>
    </w:p>
    <w:p w14:paraId="70CFCB31">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附件2：证据材料（原件）交接单</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47"/>
        <w:gridCol w:w="1425"/>
        <w:gridCol w:w="1425"/>
        <w:gridCol w:w="1425"/>
        <w:gridCol w:w="1425"/>
        <w:gridCol w:w="1425"/>
      </w:tblGrid>
      <w:tr w14:paraId="1A04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672C18F">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材料名称</w:t>
            </w:r>
          </w:p>
        </w:tc>
        <w:tc>
          <w:tcPr>
            <w:tcW w:w="2760" w:type="dxa"/>
            <w:tcMar>
              <w:top w:w="60" w:type="dxa"/>
              <w:left w:w="120" w:type="dxa"/>
              <w:bottom w:w="30" w:type="dxa"/>
              <w:right w:w="120" w:type="dxa"/>
            </w:tcMar>
          </w:tcPr>
          <w:p w14:paraId="004BDAB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份数</w:t>
            </w:r>
          </w:p>
        </w:tc>
        <w:tc>
          <w:tcPr>
            <w:tcW w:w="2760" w:type="dxa"/>
            <w:tcMar>
              <w:top w:w="60" w:type="dxa"/>
              <w:left w:w="120" w:type="dxa"/>
              <w:bottom w:w="30" w:type="dxa"/>
              <w:right w:w="120" w:type="dxa"/>
            </w:tcMar>
          </w:tcPr>
          <w:p w14:paraId="2DC8BD0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页数</w:t>
            </w:r>
          </w:p>
        </w:tc>
        <w:tc>
          <w:tcPr>
            <w:tcW w:w="2760" w:type="dxa"/>
            <w:tcMar>
              <w:top w:w="60" w:type="dxa"/>
              <w:left w:w="120" w:type="dxa"/>
              <w:bottom w:w="30" w:type="dxa"/>
              <w:right w:w="120" w:type="dxa"/>
            </w:tcMar>
          </w:tcPr>
          <w:p w14:paraId="05EBED2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提交日期</w:t>
            </w:r>
          </w:p>
        </w:tc>
        <w:tc>
          <w:tcPr>
            <w:tcW w:w="2760" w:type="dxa"/>
            <w:tcMar>
              <w:top w:w="60" w:type="dxa"/>
              <w:left w:w="120" w:type="dxa"/>
              <w:bottom w:w="30" w:type="dxa"/>
              <w:right w:w="120" w:type="dxa"/>
            </w:tcMar>
          </w:tcPr>
          <w:p w14:paraId="20128D8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接收人</w:t>
            </w:r>
          </w:p>
        </w:tc>
        <w:tc>
          <w:tcPr>
            <w:tcW w:w="2760" w:type="dxa"/>
            <w:tcMar>
              <w:top w:w="60" w:type="dxa"/>
              <w:left w:w="120" w:type="dxa"/>
              <w:bottom w:w="30" w:type="dxa"/>
              <w:right w:w="120" w:type="dxa"/>
            </w:tcMar>
          </w:tcPr>
          <w:p w14:paraId="76AA923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6D86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1D36FD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委托协议</w:t>
            </w:r>
          </w:p>
        </w:tc>
        <w:tc>
          <w:tcPr>
            <w:tcW w:w="2760" w:type="dxa"/>
            <w:tcMar>
              <w:top w:w="60" w:type="dxa"/>
              <w:left w:w="120" w:type="dxa"/>
              <w:bottom w:w="30" w:type="dxa"/>
              <w:right w:w="120" w:type="dxa"/>
            </w:tcMar>
          </w:tcPr>
          <w:p w14:paraId="06E8CAA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C14BBE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3280FE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0521020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50ABBBC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58E6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21A4BFB">
            <w:pPr>
              <w:pStyle w:val="459"/>
              <w:keepNext w:val="0"/>
              <w:keepLines w:val="0"/>
              <w:widowControl/>
              <w:suppressLineNumbers w:val="0"/>
              <w:spacing w:beforeAutospacing="0" w:afterAutospacing="0"/>
              <w:ind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车辆单据</w:t>
            </w:r>
          </w:p>
        </w:tc>
        <w:tc>
          <w:tcPr>
            <w:tcW w:w="2760" w:type="dxa"/>
            <w:tcMar>
              <w:top w:w="60" w:type="dxa"/>
              <w:left w:w="120" w:type="dxa"/>
              <w:bottom w:w="30" w:type="dxa"/>
              <w:right w:w="120" w:type="dxa"/>
            </w:tcMar>
          </w:tcPr>
          <w:p w14:paraId="1D3D757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8DF932F">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22446A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C238544">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4986D97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189D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4FBA6E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付款凭证</w:t>
            </w:r>
          </w:p>
        </w:tc>
        <w:tc>
          <w:tcPr>
            <w:tcW w:w="2760" w:type="dxa"/>
            <w:tcMar>
              <w:top w:w="60" w:type="dxa"/>
              <w:left w:w="120" w:type="dxa"/>
              <w:bottom w:w="30" w:type="dxa"/>
              <w:right w:w="120" w:type="dxa"/>
            </w:tcMar>
          </w:tcPr>
          <w:p w14:paraId="69AF70B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731E142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741A7842">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50309DBD">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03240D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16B5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B65289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其他：</w:t>
            </w:r>
            <w:r>
              <w:rPr>
                <w:rFonts w:hint="eastAsia" w:ascii="仿宋" w:hAnsi="仿宋" w:eastAsia="仿宋" w:cs="仿宋"/>
                <w:color w:val="auto"/>
                <w:sz w:val="24"/>
                <w:szCs w:val="24"/>
                <w:highlight w:val="none"/>
                <w:lang w:eastAsia="zh-CN"/>
              </w:rPr>
              <w:t>……</w:t>
            </w:r>
          </w:p>
        </w:tc>
        <w:tc>
          <w:tcPr>
            <w:tcW w:w="2760" w:type="dxa"/>
            <w:tcMar>
              <w:top w:w="60" w:type="dxa"/>
              <w:left w:w="120" w:type="dxa"/>
              <w:bottom w:w="30" w:type="dxa"/>
              <w:right w:w="120" w:type="dxa"/>
            </w:tcMar>
          </w:tcPr>
          <w:p w14:paraId="7FAF4CF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855456F">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FF95445">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1036E63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3057AFF5">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bl>
    <w:p w14:paraId="7D8A2113">
      <w:pPr>
        <w:pStyle w:val="45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提交人（签字）：________</w:t>
      </w:r>
    </w:p>
    <w:p w14:paraId="754A024D">
      <w:pPr>
        <w:pStyle w:val="45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接收人（签字）：________</w:t>
      </w:r>
    </w:p>
    <w:p w14:paraId="38509BD9">
      <w:pPr>
        <w:pStyle w:val="45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日期：______年____月____日</w:t>
      </w:r>
    </w:p>
    <w:p w14:paraId="5529AFFF">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1BC1CF46">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t xml:space="preserve">注：本合同仅为参考文本，合同签订双方可根据项目的具体要求进行修订 </w:t>
      </w:r>
    </w:p>
    <w:p w14:paraId="03A8F8B2">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2C1D383E">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1E415F8B">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27DD8906">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3F405031">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43D66BDA">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72FE1DE8">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p>
    <w:p w14:paraId="38316775">
      <w:pPr>
        <w:pStyle w:val="2"/>
        <w:numPr>
          <w:ilvl w:val="0"/>
          <w:numId w:val="8"/>
        </w:numPr>
        <w:spacing w:before="62" w:beforeLines="20" w:after="62" w:afterLines="20" w:line="480" w:lineRule="exact"/>
        <w:ind w:firstLine="0" w:firstLineChars="0"/>
        <w:jc w:val="center"/>
        <w:rPr>
          <w:rFonts w:hint="eastAsia" w:ascii="Arial" w:hAnsi="Arial"/>
          <w:color w:val="auto"/>
          <w:kern w:val="2"/>
          <w:sz w:val="32"/>
          <w:szCs w:val="32"/>
          <w:highlight w:val="none"/>
          <w:lang w:eastAsia="zh-CN"/>
        </w:rPr>
      </w:pPr>
      <w:r>
        <w:rPr>
          <w:rFonts w:hint="eastAsia" w:ascii="Arial" w:hAnsi="Arial"/>
          <w:color w:val="auto"/>
          <w:kern w:val="2"/>
          <w:sz w:val="32"/>
          <w:szCs w:val="32"/>
          <w:highlight w:val="none"/>
          <w:lang w:val="zh-CN" w:eastAsia="zh-CN"/>
        </w:rPr>
        <w:t xml:space="preserve"> </w:t>
      </w:r>
      <w:bookmarkEnd w:id="63"/>
      <w:bookmarkEnd w:id="64"/>
      <w:bookmarkEnd w:id="65"/>
      <w:bookmarkEnd w:id="66"/>
      <w:bookmarkStart w:id="79" w:name="_Toc54884158"/>
      <w:bookmarkStart w:id="80" w:name="_Toc26873"/>
      <w:r>
        <w:rPr>
          <w:rFonts w:hint="eastAsia" w:ascii="Arial" w:hAnsi="Arial"/>
          <w:color w:val="auto"/>
          <w:kern w:val="2"/>
          <w:sz w:val="32"/>
          <w:szCs w:val="32"/>
          <w:highlight w:val="none"/>
          <w:lang w:eastAsia="zh-CN"/>
        </w:rPr>
        <w:t>参选文件格式</w:t>
      </w:r>
      <w:bookmarkEnd w:id="79"/>
      <w:bookmarkEnd w:id="80"/>
    </w:p>
    <w:p w14:paraId="49945C73">
      <w:pPr>
        <w:spacing w:line="360" w:lineRule="auto"/>
        <w:jc w:val="center"/>
        <w:rPr>
          <w:rFonts w:ascii="仿宋" w:hAnsi="仿宋" w:eastAsia="仿宋"/>
          <w:b/>
          <w:color w:val="auto"/>
          <w:spacing w:val="20"/>
          <w:sz w:val="36"/>
          <w:szCs w:val="36"/>
          <w:highlight w:val="none"/>
          <w:u w:val="single"/>
        </w:rPr>
      </w:pPr>
    </w:p>
    <w:p w14:paraId="2C41F8BF">
      <w:pPr>
        <w:spacing w:line="360" w:lineRule="auto"/>
        <w:ind w:firstLine="1204" w:firstLineChars="300"/>
        <w:jc w:val="both"/>
        <w:rPr>
          <w:rFonts w:hint="eastAsia" w:ascii="宋体" w:hAnsi="宋体" w:eastAsia="仿宋"/>
          <w:color w:val="auto"/>
          <w:sz w:val="24"/>
          <w:highlight w:val="none"/>
          <w:lang w:eastAsia="zh-CN"/>
        </w:rPr>
      </w:pPr>
      <w:r>
        <w:rPr>
          <w:rFonts w:hint="eastAsia" w:ascii="仿宋" w:hAnsi="仿宋" w:eastAsia="仿宋"/>
          <w:b/>
          <w:color w:val="auto"/>
          <w:spacing w:val="20"/>
          <w:sz w:val="36"/>
          <w:szCs w:val="36"/>
          <w:highlight w:val="none"/>
        </w:rPr>
        <w:t>项目名称</w:t>
      </w:r>
      <w:r>
        <w:rPr>
          <w:rFonts w:hint="eastAsia" w:ascii="仿宋" w:hAnsi="仿宋" w:eastAsia="仿宋"/>
          <w:b/>
          <w:color w:val="auto"/>
          <w:spacing w:val="20"/>
          <w:sz w:val="36"/>
          <w:szCs w:val="36"/>
          <w:highlight w:val="none"/>
          <w:lang w:eastAsia="zh-CN"/>
        </w:rPr>
        <w:t>：</w:t>
      </w:r>
      <w:r>
        <w:rPr>
          <w:rFonts w:hint="default" w:ascii="仿宋" w:hAnsi="仿宋" w:eastAsia="仿宋"/>
          <w:b/>
          <w:color w:val="auto"/>
          <w:spacing w:val="20"/>
          <w:sz w:val="36"/>
          <w:szCs w:val="36"/>
          <w:highlight w:val="none"/>
          <w:lang w:val="en-US" w:eastAsia="zh-CN"/>
        </w:rPr>
        <w:t>_____________________</w:t>
      </w:r>
      <w:r>
        <w:rPr>
          <w:rFonts w:hint="eastAsia" w:ascii="仿宋" w:hAnsi="仿宋" w:eastAsia="仿宋"/>
          <w:b/>
          <w:color w:val="auto"/>
          <w:spacing w:val="20"/>
          <w:sz w:val="36"/>
          <w:szCs w:val="36"/>
          <w:highlight w:val="none"/>
          <w:lang w:val="en-US" w:eastAsia="zh-CN"/>
        </w:rPr>
        <w:t xml:space="preserve"> </w:t>
      </w:r>
    </w:p>
    <w:p w14:paraId="37BE6761">
      <w:pPr>
        <w:spacing w:line="360" w:lineRule="auto"/>
        <w:ind w:firstLine="1204" w:firstLineChars="300"/>
        <w:rPr>
          <w:rFonts w:hint="eastAsia" w:ascii="宋体" w:hAnsi="宋体" w:eastAsia="仿宋"/>
          <w:color w:val="auto"/>
          <w:sz w:val="24"/>
          <w:highlight w:val="none"/>
          <w:lang w:eastAsia="zh-CN"/>
        </w:rPr>
      </w:pPr>
      <w:r>
        <w:rPr>
          <w:rFonts w:hint="eastAsia" w:ascii="仿宋" w:hAnsi="仿宋" w:eastAsia="仿宋"/>
          <w:b/>
          <w:color w:val="auto"/>
          <w:spacing w:val="20"/>
          <w:sz w:val="36"/>
          <w:szCs w:val="36"/>
          <w:highlight w:val="none"/>
        </w:rPr>
        <w:t>项目</w:t>
      </w:r>
      <w:r>
        <w:rPr>
          <w:rFonts w:hint="eastAsia" w:ascii="仿宋" w:hAnsi="仿宋" w:eastAsia="仿宋"/>
          <w:b/>
          <w:color w:val="auto"/>
          <w:spacing w:val="20"/>
          <w:sz w:val="36"/>
          <w:szCs w:val="36"/>
          <w:highlight w:val="none"/>
          <w:lang w:val="en-US" w:eastAsia="zh-CN"/>
        </w:rPr>
        <w:t>编号</w:t>
      </w:r>
      <w:r>
        <w:rPr>
          <w:rFonts w:hint="default" w:ascii="仿宋" w:hAnsi="仿宋" w:eastAsia="仿宋"/>
          <w:b/>
          <w:color w:val="auto"/>
          <w:spacing w:val="20"/>
          <w:sz w:val="36"/>
          <w:szCs w:val="36"/>
          <w:highlight w:val="none"/>
          <w:lang w:val="en-US" w:eastAsia="zh-CN"/>
        </w:rPr>
        <w:t>:______________________</w:t>
      </w:r>
      <w:r>
        <w:rPr>
          <w:rFonts w:hint="eastAsia" w:ascii="仿宋" w:hAnsi="仿宋" w:eastAsia="仿宋"/>
          <w:b/>
          <w:color w:val="auto"/>
          <w:spacing w:val="20"/>
          <w:sz w:val="36"/>
          <w:szCs w:val="36"/>
          <w:highlight w:val="none"/>
          <w:lang w:val="en-US" w:eastAsia="zh-CN"/>
        </w:rPr>
        <w:t xml:space="preserve"> </w:t>
      </w:r>
    </w:p>
    <w:p w14:paraId="10E9401D">
      <w:pPr>
        <w:spacing w:line="360" w:lineRule="auto"/>
        <w:rPr>
          <w:rFonts w:ascii="宋体" w:hAnsi="宋体"/>
          <w:color w:val="auto"/>
          <w:sz w:val="24"/>
          <w:highlight w:val="none"/>
        </w:rPr>
      </w:pPr>
    </w:p>
    <w:p w14:paraId="56FBD22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03FDAD36">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699AEAE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4660B020">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1E15E8A7">
      <w:pPr>
        <w:pStyle w:val="82"/>
        <w:spacing w:before="156"/>
        <w:ind w:firstLine="350"/>
        <w:rPr>
          <w:color w:val="auto"/>
          <w:highlight w:val="none"/>
        </w:rPr>
      </w:pPr>
    </w:p>
    <w:p w14:paraId="6EEADEAF">
      <w:pPr>
        <w:spacing w:line="360" w:lineRule="auto"/>
        <w:rPr>
          <w:rFonts w:ascii="宋体" w:hAnsi="宋体"/>
          <w:color w:val="auto"/>
          <w:sz w:val="24"/>
          <w:highlight w:val="none"/>
        </w:rPr>
      </w:pPr>
    </w:p>
    <w:p w14:paraId="34B8CFE0">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2D4BF87">
      <w:pPr>
        <w:spacing w:line="360" w:lineRule="auto"/>
        <w:rPr>
          <w:rFonts w:ascii="宋体" w:hAnsi="宋体"/>
          <w:b/>
          <w:color w:val="auto"/>
          <w:sz w:val="30"/>
          <w:szCs w:val="30"/>
          <w:highlight w:val="none"/>
        </w:rPr>
      </w:pPr>
    </w:p>
    <w:p w14:paraId="764D1A80">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58CD2BE6">
      <w:pPr>
        <w:pStyle w:val="82"/>
        <w:spacing w:before="156"/>
        <w:ind w:firstLine="350"/>
        <w:rPr>
          <w:color w:val="auto"/>
          <w:highlight w:val="none"/>
        </w:rPr>
      </w:pPr>
    </w:p>
    <w:p w14:paraId="7BE6F0EE">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ACAF24D">
      <w:pPr>
        <w:spacing w:line="360" w:lineRule="auto"/>
        <w:rPr>
          <w:rFonts w:ascii="仿宋_GB2312" w:eastAsia="仿宋_GB2312"/>
          <w:color w:val="auto"/>
          <w:sz w:val="30"/>
          <w:szCs w:val="30"/>
          <w:highlight w:val="none"/>
        </w:rPr>
      </w:pPr>
    </w:p>
    <w:p w14:paraId="0CEBC3B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4F4EF1B3">
      <w:pPr>
        <w:spacing w:line="480" w:lineRule="exact"/>
        <w:jc w:val="center"/>
        <w:rPr>
          <w:rFonts w:ascii="宋体" w:hAnsi="宋体"/>
          <w:b/>
          <w:color w:val="auto"/>
          <w:sz w:val="30"/>
          <w:szCs w:val="30"/>
          <w:highlight w:val="none"/>
        </w:rPr>
      </w:pPr>
    </w:p>
    <w:p w14:paraId="2C8155D5">
      <w:pPr>
        <w:spacing w:line="480" w:lineRule="exact"/>
        <w:rPr>
          <w:rFonts w:ascii="黑体" w:eastAsia="黑体"/>
          <w:b/>
          <w:bCs/>
          <w:color w:val="auto"/>
          <w:szCs w:val="21"/>
          <w:highlight w:val="none"/>
        </w:rPr>
      </w:pPr>
    </w:p>
    <w:p w14:paraId="3891DCD9">
      <w:pPr>
        <w:jc w:val="center"/>
        <w:rPr>
          <w:rFonts w:ascii="宋体" w:cs="宋体"/>
          <w:b/>
          <w:color w:val="auto"/>
          <w:sz w:val="30"/>
          <w:szCs w:val="30"/>
          <w:highlight w:val="none"/>
        </w:rPr>
      </w:pPr>
      <w:r>
        <w:rPr>
          <w:rFonts w:hint="eastAsia" w:ascii="宋体" w:hAnsi="宋体" w:cs="宋体"/>
          <w:b/>
          <w:color w:val="auto"/>
          <w:sz w:val="30"/>
          <w:szCs w:val="30"/>
          <w:highlight w:val="none"/>
        </w:rPr>
        <w:t>目</w:t>
      </w:r>
      <w:r>
        <w:rPr>
          <w:rFonts w:hint="eastAsia" w:ascii="宋体" w:hAnsi="宋体" w:cs="宋体"/>
          <w:b/>
          <w:color w:val="auto"/>
          <w:sz w:val="30"/>
          <w:szCs w:val="30"/>
          <w:highlight w:val="none"/>
          <w:lang w:val="en-US" w:eastAsia="zh-CN"/>
        </w:rPr>
        <w:t xml:space="preserve">  </w:t>
      </w:r>
      <w:r>
        <w:rPr>
          <w:rFonts w:hint="eastAsia" w:ascii="宋体" w:hAnsi="宋体" w:cs="宋体"/>
          <w:b/>
          <w:color w:val="auto"/>
          <w:sz w:val="30"/>
          <w:szCs w:val="30"/>
          <w:highlight w:val="none"/>
        </w:rPr>
        <w:t>录</w:t>
      </w:r>
    </w:p>
    <w:p w14:paraId="43D54045">
      <w:pPr>
        <w:pStyle w:val="82"/>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en-US" w:eastAsia="zh-CN"/>
        </w:rPr>
        <w:t>参选函</w:t>
      </w:r>
    </w:p>
    <w:p w14:paraId="73AD4447">
      <w:pPr>
        <w:pStyle w:val="82"/>
        <w:rPr>
          <w:rFonts w:hint="eastAsia" w:ascii="宋体" w:hAnsi="宋体"/>
          <w:color w:val="auto"/>
          <w:sz w:val="24"/>
          <w:highlight w:val="none"/>
        </w:rPr>
      </w:pPr>
      <w:r>
        <w:rPr>
          <w:rFonts w:hint="eastAsia" w:ascii="宋体" w:hAnsi="宋体"/>
          <w:color w:val="auto"/>
          <w:sz w:val="24"/>
          <w:highlight w:val="none"/>
        </w:rPr>
        <w:t>二、报价表</w:t>
      </w:r>
    </w:p>
    <w:p w14:paraId="123D526B">
      <w:pPr>
        <w:pStyle w:val="82"/>
        <w:rPr>
          <w:rFonts w:hint="eastAsia" w:ascii="宋体" w:hAnsi="宋体"/>
          <w:color w:val="auto"/>
          <w:sz w:val="24"/>
          <w:highlight w:val="none"/>
          <w:lang w:val="en-US" w:eastAsia="zh-CN"/>
        </w:rPr>
      </w:pPr>
      <w:r>
        <w:rPr>
          <w:rFonts w:hint="eastAsia" w:ascii="宋体" w:hAnsi="宋体"/>
          <w:color w:val="auto"/>
          <w:sz w:val="24"/>
          <w:highlight w:val="none"/>
        </w:rPr>
        <w:t>三、</w:t>
      </w:r>
      <w:r>
        <w:rPr>
          <w:rFonts w:hint="eastAsia" w:ascii="宋体" w:hAnsi="宋体"/>
          <w:color w:val="auto"/>
          <w:sz w:val="24"/>
          <w:highlight w:val="none"/>
          <w:lang w:val="en-US" w:eastAsia="zh-CN"/>
        </w:rPr>
        <w:t>分项报价表</w:t>
      </w:r>
    </w:p>
    <w:p w14:paraId="3DAC9C42">
      <w:pPr>
        <w:pStyle w:val="82"/>
        <w:rPr>
          <w:rFonts w:hint="eastAsia" w:ascii="宋体" w:hAnsi="宋体"/>
          <w:color w:val="auto"/>
          <w:sz w:val="24"/>
          <w:highlight w:val="none"/>
        </w:rPr>
      </w:pPr>
      <w:r>
        <w:rPr>
          <w:rFonts w:hint="eastAsia" w:ascii="宋体" w:hAnsi="宋体"/>
          <w:color w:val="auto"/>
          <w:sz w:val="24"/>
          <w:highlight w:val="none"/>
          <w:lang w:val="en-US" w:eastAsia="zh-CN"/>
        </w:rPr>
        <w:t>四、</w:t>
      </w:r>
      <w:r>
        <w:rPr>
          <w:rFonts w:hint="eastAsia" w:ascii="宋体" w:hAnsi="宋体"/>
          <w:color w:val="auto"/>
          <w:sz w:val="24"/>
          <w:highlight w:val="none"/>
        </w:rPr>
        <w:t>相关证明文件</w:t>
      </w:r>
    </w:p>
    <w:p w14:paraId="633C2590">
      <w:pPr>
        <w:pStyle w:val="82"/>
        <w:rPr>
          <w:rFonts w:hint="eastAsia" w:ascii="宋体" w:hAnsi="宋体"/>
          <w:color w:val="auto"/>
          <w:sz w:val="24"/>
          <w:highlight w:val="none"/>
        </w:rPr>
      </w:pPr>
    </w:p>
    <w:p w14:paraId="6BD7A7B0">
      <w:pPr>
        <w:widowControl/>
        <w:jc w:val="left"/>
        <w:rPr>
          <w:rFonts w:ascii="宋体" w:cs="宋体"/>
          <w:color w:val="auto"/>
          <w:sz w:val="24"/>
          <w:highlight w:val="none"/>
        </w:rPr>
      </w:pPr>
      <w:r>
        <w:rPr>
          <w:rFonts w:ascii="宋体" w:cs="宋体"/>
          <w:color w:val="auto"/>
          <w:sz w:val="24"/>
          <w:highlight w:val="none"/>
        </w:rPr>
        <w:br w:type="page"/>
      </w:r>
    </w:p>
    <w:p w14:paraId="6B3C16F0">
      <w:pPr>
        <w:pStyle w:val="9"/>
        <w:jc w:val="center"/>
        <w:rPr>
          <w:color w:val="auto"/>
          <w:sz w:val="28"/>
          <w:szCs w:val="28"/>
          <w:highlight w:val="none"/>
        </w:rPr>
      </w:pPr>
      <w:bookmarkStart w:id="81" w:name="_Toc476584433"/>
      <w:bookmarkStart w:id="82" w:name="_Toc54941342"/>
      <w:r>
        <w:rPr>
          <w:rFonts w:hint="eastAsia" w:cs="宋体"/>
          <w:color w:val="auto"/>
          <w:sz w:val="28"/>
          <w:szCs w:val="28"/>
          <w:highlight w:val="none"/>
        </w:rPr>
        <w:t>一、</w:t>
      </w:r>
      <w:bookmarkEnd w:id="81"/>
      <w:bookmarkEnd w:id="82"/>
      <w:r>
        <w:rPr>
          <w:rFonts w:hint="eastAsia"/>
          <w:color w:val="auto"/>
          <w:sz w:val="28"/>
          <w:szCs w:val="28"/>
          <w:highlight w:val="none"/>
          <w:lang w:val="en-US" w:eastAsia="zh-CN"/>
        </w:rPr>
        <w:t>参选函</w:t>
      </w:r>
    </w:p>
    <w:p w14:paraId="1266B40E">
      <w:pPr>
        <w:tabs>
          <w:tab w:val="left" w:pos="5580"/>
        </w:tabs>
        <w:spacing w:before="120" w:line="360" w:lineRule="auto"/>
        <w:rPr>
          <w:rFonts w:hint="eastAsia" w:ascii="宋体" w:hAnsi="宋体"/>
          <w:color w:val="auto"/>
          <w:szCs w:val="21"/>
          <w:highlight w:val="none"/>
        </w:rPr>
      </w:pPr>
    </w:p>
    <w:p w14:paraId="1CE0FD45">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安庆交投物流产业发展有限公司</w:t>
      </w:r>
    </w:p>
    <w:p w14:paraId="378BFED1">
      <w:pPr>
        <w:widowControl w:val="0"/>
        <w:numPr>
          <w:ilvl w:val="0"/>
          <w:numId w:val="0"/>
        </w:numPr>
        <w:tabs>
          <w:tab w:val="left" w:pos="5580"/>
        </w:tabs>
        <w:spacing w:line="360" w:lineRule="auto"/>
        <w:ind w:firstLine="420" w:firstLineChars="200"/>
        <w:jc w:val="both"/>
        <w:rPr>
          <w:rFonts w:ascii="宋体" w:hAnsi="宋体" w:eastAsia="宋体" w:cs="Courier New"/>
          <w:color w:val="auto"/>
          <w:kern w:val="2"/>
          <w:sz w:val="21"/>
          <w:szCs w:val="21"/>
          <w:highlight w:val="none"/>
          <w:lang w:val="en-US" w:eastAsia="zh-CN" w:bidi="ar-SA"/>
        </w:rPr>
      </w:pPr>
      <w:r>
        <w:rPr>
          <w:rFonts w:ascii="宋体" w:hAnsi="宋体" w:eastAsia="宋体" w:cs="Courier New"/>
          <w:color w:val="auto"/>
          <w:kern w:val="2"/>
          <w:sz w:val="21"/>
          <w:szCs w:val="21"/>
          <w:highlight w:val="none"/>
          <w:lang w:val="en-US" w:eastAsia="zh-CN" w:bidi="ar-SA"/>
        </w:rPr>
        <w:t>1、</w:t>
      </w:r>
      <w:r>
        <w:rPr>
          <w:rFonts w:hint="eastAsia" w:ascii="宋体" w:hAnsi="宋体" w:eastAsia="宋体" w:cs="Courier New"/>
          <w:color w:val="auto"/>
          <w:kern w:val="2"/>
          <w:sz w:val="21"/>
          <w:szCs w:val="21"/>
          <w:highlight w:val="none"/>
          <w:lang w:val="en-US" w:eastAsia="zh-CN" w:bidi="ar-SA"/>
        </w:rPr>
        <w:t>根据贵方比选公告，我方决定参加贵方组织的</w:t>
      </w:r>
      <w:r>
        <w:rPr>
          <w:rFonts w:hint="eastAsia" w:ascii="宋体" w:hAnsi="宋体" w:cs="Courier New"/>
          <w:color w:val="auto"/>
          <w:kern w:val="2"/>
          <w:sz w:val="21"/>
          <w:szCs w:val="21"/>
          <w:highlight w:val="none"/>
          <w:u w:val="single"/>
          <w:lang w:val="en-US" w:eastAsia="zh-CN" w:bidi="ar-SA"/>
        </w:rPr>
        <w:t xml:space="preserve"> 安庆交投物流公司诉湖南众旭公司及张培军合同纠纷执行案件代理服务 </w:t>
      </w:r>
      <w:r>
        <w:rPr>
          <w:rFonts w:hint="eastAsia" w:ascii="宋体" w:hAnsi="宋体" w:eastAsia="宋体" w:cs="Courier New"/>
          <w:color w:val="auto"/>
          <w:kern w:val="2"/>
          <w:sz w:val="21"/>
          <w:szCs w:val="21"/>
          <w:highlight w:val="none"/>
          <w:lang w:val="en-US" w:eastAsia="zh-CN" w:bidi="ar-SA"/>
        </w:rPr>
        <w:t>的比选活动。我方授权</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(姓名和职务)代表我方</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（参选人的名称）全权处理本项目投标的有关事宜。</w:t>
      </w:r>
    </w:p>
    <w:p w14:paraId="667A43BC">
      <w:pPr>
        <w:widowControl w:val="0"/>
        <w:numPr>
          <w:ilvl w:val="0"/>
          <w:numId w:val="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2、我方充分了解并完全响应比选文件的全部内容，愿意按照比选文件规定的各项要求，向采购人提供所需服务</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lang w:val="en-US" w:eastAsia="zh-CN" w:bidi="ar-SA"/>
        </w:rPr>
        <w:t>比选</w:t>
      </w:r>
      <w:r>
        <w:rPr>
          <w:rFonts w:hint="eastAsia" w:ascii="宋体" w:hAnsi="宋体" w:cs="Courier New"/>
          <w:color w:val="auto"/>
          <w:kern w:val="2"/>
          <w:sz w:val="21"/>
          <w:szCs w:val="21"/>
          <w:highlight w:val="none"/>
          <w:lang w:val="en-US" w:eastAsia="zh-CN" w:bidi="ar-SA"/>
        </w:rPr>
        <w:t>报价</w:t>
      </w:r>
      <w:r>
        <w:rPr>
          <w:rFonts w:hint="eastAsia" w:ascii="宋体" w:hAnsi="宋体" w:eastAsia="宋体" w:cs="Courier New"/>
          <w:color w:val="auto"/>
          <w:kern w:val="2"/>
          <w:sz w:val="21"/>
          <w:szCs w:val="21"/>
          <w:highlight w:val="none"/>
          <w:lang w:val="en-US" w:eastAsia="zh-CN" w:bidi="ar-SA"/>
        </w:rPr>
        <w:t>为（大写）</w:t>
      </w:r>
      <w:r>
        <w:rPr>
          <w:rFonts w:hint="eastAsia" w:ascii="宋体" w:hAnsi="宋体" w:cs="Courier New"/>
          <w:color w:val="auto"/>
          <w:kern w:val="2"/>
          <w:sz w:val="21"/>
          <w:szCs w:val="21"/>
          <w:highlight w:val="none"/>
          <w:lang w:val="en-US" w:eastAsia="zh-CN" w:bidi="ar-SA"/>
        </w:rPr>
        <w:t>：</w:t>
      </w:r>
      <w:r>
        <w:rPr>
          <w:rFonts w:hint="eastAsia" w:ascii="宋体" w:hAnsi="宋体" w:cs="Courier New"/>
          <w:color w:val="auto"/>
          <w:kern w:val="2"/>
          <w:sz w:val="21"/>
          <w:szCs w:val="21"/>
          <w:highlight w:val="none"/>
          <w:u w:val="none"/>
          <w:lang w:val="en-US" w:eastAsia="zh-CN" w:bidi="ar-SA"/>
        </w:rPr>
        <w:t>人民币</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r>
        <w:rPr>
          <w:rFonts w:hint="eastAsia" w:ascii="宋体" w:hAnsi="宋体" w:eastAsia="宋体" w:cs="Courier New"/>
          <w:color w:val="auto"/>
          <w:kern w:val="2"/>
          <w:sz w:val="21"/>
          <w:szCs w:val="21"/>
          <w:highlight w:val="none"/>
          <w:lang w:val="en-US" w:eastAsia="zh-CN" w:bidi="ar-SA"/>
        </w:rPr>
        <w:t>(小写</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p>
    <w:p w14:paraId="3B8EAC67">
      <w:pPr>
        <w:widowControl w:val="0"/>
        <w:tabs>
          <w:tab w:val="left" w:pos="5580"/>
        </w:tabs>
        <w:spacing w:line="360" w:lineRule="auto"/>
        <w:ind w:firstLine="420" w:firstLineChars="200"/>
        <w:jc w:val="both"/>
        <w:rPr>
          <w:rFonts w:hint="default" w:ascii="宋体" w:hAnsi="宋体" w:eastAsia="宋体" w:cs="Courier New"/>
          <w:b/>
          <w:bCs/>
          <w:color w:val="auto"/>
          <w:kern w:val="2"/>
          <w:sz w:val="21"/>
          <w:szCs w:val="21"/>
          <w:highlight w:val="none"/>
          <w:u w:val="single"/>
          <w:lang w:val="en-US" w:eastAsia="zh-CN" w:bidi="ar-SA"/>
        </w:rPr>
      </w:pPr>
      <w:r>
        <w:rPr>
          <w:rFonts w:hint="eastAsia" w:ascii="宋体" w:hAnsi="宋体" w:eastAsia="宋体" w:cs="Courier New"/>
          <w:color w:val="auto"/>
          <w:kern w:val="2"/>
          <w:sz w:val="21"/>
          <w:szCs w:val="21"/>
          <w:highlight w:val="none"/>
          <w:lang w:val="en-US" w:eastAsia="zh-CN" w:bidi="ar-SA"/>
        </w:rPr>
        <w:t>3、一旦我方成交，我方将严格履行合同规定的责任和义务，保证该项目</w:t>
      </w:r>
      <w:r>
        <w:rPr>
          <w:rFonts w:hint="eastAsia" w:ascii="宋体" w:hAnsi="宋体" w:cs="Courier New"/>
          <w:color w:val="auto"/>
          <w:kern w:val="2"/>
          <w:sz w:val="21"/>
          <w:szCs w:val="21"/>
          <w:highlight w:val="none"/>
          <w:lang w:val="en-US" w:eastAsia="zh-CN" w:bidi="ar-SA"/>
        </w:rPr>
        <w:t>应达到</w:t>
      </w:r>
      <w:r>
        <w:rPr>
          <w:rFonts w:hint="eastAsia" w:ascii="宋体" w:hAnsi="宋体" w:eastAsia="宋体" w:cs="Courier New"/>
          <w:color w:val="auto"/>
          <w:kern w:val="2"/>
          <w:sz w:val="21"/>
          <w:szCs w:val="21"/>
          <w:highlight w:val="none"/>
          <w:lang w:val="en-US" w:eastAsia="zh-CN" w:bidi="ar-SA"/>
        </w:rPr>
        <w:t>的</w:t>
      </w:r>
      <w:r>
        <w:rPr>
          <w:rFonts w:hint="eastAsia" w:ascii="宋体" w:hAnsi="宋体" w:cs="Courier New"/>
          <w:color w:val="auto"/>
          <w:kern w:val="2"/>
          <w:sz w:val="21"/>
          <w:szCs w:val="21"/>
          <w:highlight w:val="none"/>
          <w:lang w:val="en-US" w:eastAsia="zh-CN" w:bidi="ar-SA"/>
        </w:rPr>
        <w:t>时间及质量要求。</w:t>
      </w:r>
    </w:p>
    <w:p w14:paraId="04A094C5">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4、我方保证按照本项目比选文件要求提交参选文件。</w:t>
      </w:r>
    </w:p>
    <w:p w14:paraId="665A3C2E">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5、我方愿意提供贵方可能另外要求的、与比选有关的文件资料，并保证我方已提供和将要提供的文件是真实的、准确的。</w:t>
      </w:r>
    </w:p>
    <w:p w14:paraId="3427E396">
      <w:pPr>
        <w:pStyle w:val="31"/>
        <w:tabs>
          <w:tab w:val="left" w:pos="5580"/>
        </w:tabs>
        <w:spacing w:line="360" w:lineRule="auto"/>
        <w:ind w:firstLine="417" w:firstLineChars="199"/>
        <w:rPr>
          <w:rFonts w:hAnsi="宋体"/>
          <w:color w:val="auto"/>
          <w:highlight w:val="none"/>
        </w:rPr>
      </w:pPr>
    </w:p>
    <w:p w14:paraId="4FD3E49F">
      <w:pPr>
        <w:pStyle w:val="31"/>
        <w:tabs>
          <w:tab w:val="left" w:pos="5580"/>
        </w:tabs>
        <w:spacing w:line="360" w:lineRule="auto"/>
        <w:ind w:right="360" w:firstLine="3570" w:firstLineChars="1700"/>
        <w:rPr>
          <w:rFonts w:hAnsi="宋体"/>
          <w:color w:val="auto"/>
          <w:highlight w:val="none"/>
        </w:rPr>
      </w:pPr>
    </w:p>
    <w:p w14:paraId="22814F3F">
      <w:pPr>
        <w:pStyle w:val="31"/>
        <w:tabs>
          <w:tab w:val="left" w:pos="5580"/>
        </w:tabs>
        <w:spacing w:line="360" w:lineRule="auto"/>
        <w:ind w:right="360" w:firstLine="3570" w:firstLineChars="1700"/>
        <w:rPr>
          <w:rFonts w:hAnsi="宋体"/>
          <w:color w:val="auto"/>
          <w:highlight w:val="none"/>
        </w:rPr>
      </w:pPr>
    </w:p>
    <w:p w14:paraId="2F4A581E">
      <w:pPr>
        <w:pStyle w:val="31"/>
        <w:tabs>
          <w:tab w:val="left" w:pos="5580"/>
        </w:tabs>
        <w:spacing w:line="360" w:lineRule="auto"/>
        <w:ind w:right="360" w:firstLine="3570" w:firstLineChars="1700"/>
        <w:rPr>
          <w:rFonts w:hAnsi="宋体"/>
          <w:color w:val="auto"/>
          <w:highlight w:val="none"/>
        </w:rPr>
      </w:pPr>
    </w:p>
    <w:p w14:paraId="7444DD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（盖章）</w:t>
      </w:r>
    </w:p>
    <w:p w14:paraId="6AC678E2">
      <w:pPr>
        <w:pStyle w:val="31"/>
        <w:tabs>
          <w:tab w:val="left" w:pos="5580"/>
        </w:tabs>
        <w:wordWrap w:val="0"/>
        <w:spacing w:line="480" w:lineRule="auto"/>
        <w:ind w:firstLine="420" w:firstLineChars="200"/>
        <w:jc w:val="right"/>
        <w:rPr>
          <w:rFonts w:hint="eastAsia" w:hAnsi="宋体" w:eastAsia="宋体"/>
          <w:color w:val="auto"/>
          <w:highlight w:val="none"/>
          <w:u w:val="single"/>
          <w:lang w:val="en-US" w:eastAsia="zh-CN"/>
        </w:rPr>
      </w:pPr>
      <w:r>
        <w:rPr>
          <w:rFonts w:hint="eastAsia" w:hAnsi="宋体"/>
          <w:color w:val="auto"/>
          <w:highlight w:val="none"/>
        </w:rPr>
        <w:t>单位地址：</w:t>
      </w:r>
      <w:r>
        <w:rPr>
          <w:rFonts w:hint="eastAsia" w:hAnsi="宋体"/>
          <w:color w:val="auto"/>
          <w:highlight w:val="none"/>
          <w:u w:val="single"/>
          <w:lang w:val="en-US" w:eastAsia="zh-CN"/>
        </w:rPr>
        <w:t xml:space="preserve">                     </w:t>
      </w:r>
    </w:p>
    <w:p w14:paraId="39101A32">
      <w:pPr>
        <w:pStyle w:val="31"/>
        <w:tabs>
          <w:tab w:val="left" w:pos="5580"/>
        </w:tabs>
        <w:spacing w:line="480" w:lineRule="auto"/>
        <w:ind w:firstLine="3570" w:firstLineChars="1700"/>
        <w:jc w:val="right"/>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02376F9F">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164A6737">
      <w:pPr>
        <w:pStyle w:val="3"/>
        <w:rPr>
          <w:color w:val="auto"/>
          <w:highlight w:val="none"/>
        </w:rPr>
      </w:pPr>
    </w:p>
    <w:p w14:paraId="355E8CF7">
      <w:pPr>
        <w:rPr>
          <w:rFonts w:hint="eastAsia" w:cs="宋体"/>
          <w:color w:val="auto"/>
          <w:highlight w:val="none"/>
        </w:rPr>
      </w:pPr>
      <w:bookmarkStart w:id="83" w:name="_Toc476584438"/>
      <w:bookmarkStart w:id="84" w:name="_Toc54941350"/>
      <w:r>
        <w:rPr>
          <w:rFonts w:hint="eastAsia" w:cs="宋体"/>
          <w:color w:val="auto"/>
          <w:highlight w:val="none"/>
        </w:rPr>
        <w:br w:type="page"/>
      </w:r>
    </w:p>
    <w:p w14:paraId="3F4610D3">
      <w:pPr>
        <w:keepNext/>
        <w:keepLines/>
        <w:widowControl w:val="0"/>
        <w:shd w:val="clear" w:color="auto" w:fill="FFFFFF"/>
        <w:wordWrap w:val="0"/>
        <w:spacing w:line="360" w:lineRule="exact"/>
        <w:jc w:val="center"/>
        <w:outlineLvl w:val="2"/>
        <w:rPr>
          <w:rFonts w:ascii="宋体" w:hAnsi="宋体" w:eastAsia="宋体" w:cs="Times New Roman"/>
          <w:b/>
          <w:color w:val="auto"/>
          <w:kern w:val="2"/>
          <w:sz w:val="28"/>
          <w:szCs w:val="28"/>
          <w:highlight w:val="none"/>
          <w:bdr w:val="single" w:color="auto" w:sz="4" w:space="0"/>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二、</w:t>
      </w:r>
      <w:r>
        <w:rPr>
          <w:rFonts w:hint="eastAsia" w:ascii="宋体" w:hAnsi="宋体" w:eastAsia="宋体" w:cs="Times New Roman"/>
          <w:b/>
          <w:color w:val="auto"/>
          <w:kern w:val="2"/>
          <w:sz w:val="28"/>
          <w:szCs w:val="28"/>
          <w:highlight w:val="none"/>
          <w:shd w:val="clear" w:color="auto" w:fill="FFFFFF"/>
          <w:lang w:val="en-US" w:eastAsia="zh-CN" w:bidi="ar-SA"/>
        </w:rPr>
        <w:t>报价表</w:t>
      </w:r>
    </w:p>
    <w:p w14:paraId="51904405">
      <w:pPr>
        <w:spacing w:line="360" w:lineRule="auto"/>
        <w:ind w:firstLine="420" w:firstLineChars="200"/>
        <w:rPr>
          <w:rFonts w:ascii="仿宋" w:hAnsi="仿宋" w:eastAsia="仿宋" w:cs="Times New Roman"/>
          <w:color w:val="auto"/>
          <w:szCs w:val="21"/>
          <w:highlight w:val="none"/>
        </w:rPr>
      </w:pPr>
    </w:p>
    <w:p w14:paraId="1F481763">
      <w:pPr>
        <w:widowControl w:val="0"/>
        <w:autoSpaceDE w:val="0"/>
        <w:autoSpaceDN w:val="0"/>
        <w:adjustRightInd w:val="0"/>
        <w:ind w:firstLine="420"/>
        <w:jc w:val="left"/>
        <w:rPr>
          <w:rFonts w:ascii="宋体" w:hAnsi="Times New Roman" w:eastAsia="宋体" w:cs="Times New Roman"/>
          <w:color w:val="auto"/>
          <w:kern w:val="0"/>
          <w:sz w:val="24"/>
          <w:szCs w:val="20"/>
          <w:highlight w:val="none"/>
          <w:lang w:val="en-US" w:eastAsia="zh-CN" w:bidi="ar-SA"/>
        </w:rPr>
      </w:pPr>
    </w:p>
    <w:p w14:paraId="29B14AAD">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2F97B03E">
      <w:pPr>
        <w:spacing w:line="360" w:lineRule="auto"/>
        <w:rPr>
          <w:rFonts w:ascii="Times New Roman" w:hAnsi="Times New Roman" w:eastAsia="仿宋" w:cs="Times New Roman"/>
          <w:color w:val="auto"/>
          <w:kern w:val="0"/>
          <w:sz w:val="24"/>
          <w:szCs w:val="24"/>
          <w:highlight w:val="none"/>
          <w:lang w:val="zh-CN"/>
        </w:rPr>
      </w:pPr>
      <w:r>
        <w:rPr>
          <w:rFonts w:hint="eastAsia" w:ascii="宋体" w:hAnsi="宋体" w:eastAsia="宋体" w:cs="Times New Roman"/>
          <w:color w:val="auto"/>
          <w:sz w:val="24"/>
          <w:szCs w:val="24"/>
          <w:highlight w:val="none"/>
        </w:rPr>
        <w:t>项目编号：</w:t>
      </w:r>
      <w:r>
        <w:rPr>
          <w:rFonts w:ascii="宋体" w:hAnsi="宋体" w:eastAsia="宋体" w:cs="Times New Roman"/>
          <w:color w:val="auto"/>
          <w:sz w:val="24"/>
          <w:szCs w:val="24"/>
          <w:highlight w:val="none"/>
        </w:rPr>
        <w:t xml:space="preserve"> </w:t>
      </w:r>
    </w:p>
    <w:tbl>
      <w:tblPr>
        <w:tblStyle w:val="6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8019"/>
      </w:tblGrid>
      <w:tr w14:paraId="0D8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restart"/>
            <w:vAlign w:val="center"/>
          </w:tcPr>
          <w:p w14:paraId="719002AB">
            <w:pPr>
              <w:keepNext w:val="0"/>
              <w:keepLines w:val="0"/>
              <w:suppressLineNumbers w:val="0"/>
              <w:spacing w:before="0" w:beforeAutospacing="0" w:after="0" w:afterAutospacing="0" w:line="400" w:lineRule="exact"/>
              <w:ind w:left="0" w:right="0"/>
              <w:jc w:val="center"/>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rPr>
              <w:t>报价</w:t>
            </w:r>
            <w:r>
              <w:rPr>
                <w:rFonts w:hint="eastAsia" w:hAnsi="宋体" w:cs="Times New Roman"/>
                <w:color w:val="auto"/>
                <w:sz w:val="24"/>
                <w:szCs w:val="24"/>
                <w:highlight w:val="none"/>
                <w:lang w:eastAsia="zh-CN"/>
              </w:rPr>
              <w:t>：</w:t>
            </w:r>
          </w:p>
          <w:p w14:paraId="77B44519">
            <w:pPr>
              <w:keepNext w:val="0"/>
              <w:keepLines w:val="0"/>
              <w:suppressLineNumbers w:val="0"/>
              <w:spacing w:before="0" w:beforeAutospacing="0" w:after="0" w:afterAutospacing="0" w:line="400" w:lineRule="exact"/>
              <w:ind w:left="0" w:right="0"/>
              <w:jc w:val="both"/>
              <w:rPr>
                <w:rFonts w:hint="eastAsia" w:ascii="Times New Roman" w:hAnsi="宋体" w:eastAsia="宋体" w:cs="Times New Roman"/>
                <w:color w:val="auto"/>
                <w:sz w:val="24"/>
                <w:szCs w:val="24"/>
                <w:highlight w:val="none"/>
                <w:lang w:eastAsia="zh-CN"/>
              </w:rPr>
            </w:pP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lang w:val="en-US" w:eastAsia="zh-CN"/>
              </w:rPr>
              <w:t>合计总价</w:t>
            </w:r>
            <w:r>
              <w:rPr>
                <w:rFonts w:hint="eastAsia" w:hAnsi="宋体" w:cs="Times New Roman"/>
                <w:color w:val="auto"/>
                <w:sz w:val="24"/>
                <w:szCs w:val="24"/>
                <w:highlight w:val="none"/>
                <w:lang w:eastAsia="zh-CN"/>
              </w:rPr>
              <w:t>）</w:t>
            </w:r>
          </w:p>
        </w:tc>
        <w:tc>
          <w:tcPr>
            <w:tcW w:w="8019" w:type="dxa"/>
            <w:vAlign w:val="center"/>
          </w:tcPr>
          <w:p w14:paraId="436A608F">
            <w:pPr>
              <w:keepNext w:val="0"/>
              <w:keepLines w:val="0"/>
              <w:suppressLineNumbers w:val="0"/>
              <w:wordWrap w:val="0"/>
              <w:spacing w:before="0" w:beforeAutospacing="0" w:after="0" w:afterAutospacing="0" w:line="400" w:lineRule="exact"/>
              <w:ind w:left="0" w:right="0"/>
              <w:rPr>
                <w:rFonts w:hint="default" w:ascii="Times New Roman" w:hAnsi="Times New Roman" w:eastAsia="宋体" w:cs="Times New Roman"/>
                <w:color w:val="auto"/>
                <w:sz w:val="24"/>
                <w:szCs w:val="24"/>
                <w:highlight w:val="none"/>
              </w:rPr>
            </w:pPr>
            <w:r>
              <w:rPr>
                <w:rFonts w:hint="eastAsia" w:ascii="Times New Roman" w:hAnsi="宋体" w:eastAsia="宋体" w:cs="Times New Roman"/>
                <w:color w:val="auto"/>
                <w:sz w:val="24"/>
                <w:szCs w:val="24"/>
                <w:highlight w:val="none"/>
              </w:rPr>
              <w:t>大写：</w:t>
            </w:r>
            <w:r>
              <w:rPr>
                <w:rFonts w:hint="eastAsia" w:ascii="宋体" w:hAnsi="宋体" w:cs="Courier New"/>
                <w:color w:val="auto"/>
                <w:kern w:val="2"/>
                <w:sz w:val="24"/>
                <w:szCs w:val="24"/>
                <w:highlight w:val="none"/>
                <w:u w:val="none"/>
                <w:lang w:val="en-US" w:eastAsia="zh-CN" w:bidi="ar-SA"/>
              </w:rPr>
              <w:t>人民币</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single"/>
                <w:lang w:val="en-US" w:eastAsia="zh-CN" w:bidi="ar-SA"/>
              </w:rPr>
              <w:t xml:space="preserve">   </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none"/>
                <w:lang w:val="en-US" w:eastAsia="zh-CN" w:bidi="ar-SA"/>
              </w:rPr>
              <w:t>元</w:t>
            </w:r>
          </w:p>
        </w:tc>
      </w:tr>
      <w:tr w14:paraId="181C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continue"/>
            <w:vAlign w:val="center"/>
          </w:tcPr>
          <w:p w14:paraId="50A69579">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szCs w:val="24"/>
                <w:highlight w:val="none"/>
              </w:rPr>
            </w:pPr>
          </w:p>
        </w:tc>
        <w:tc>
          <w:tcPr>
            <w:tcW w:w="8019" w:type="dxa"/>
            <w:vAlign w:val="center"/>
          </w:tcPr>
          <w:p w14:paraId="22A30204">
            <w:pPr>
              <w:keepNext w:val="0"/>
              <w:keepLines w:val="0"/>
              <w:suppressLineNumbers w:val="0"/>
              <w:wordWrap w:val="0"/>
              <w:spacing w:before="0" w:beforeAutospacing="0" w:after="0" w:afterAutospacing="0"/>
              <w:ind w:left="0" w:right="0"/>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rPr>
              <w:t>小写：</w:t>
            </w: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u w:val="single"/>
                <w:lang w:val="en-US" w:eastAsia="zh-CN"/>
              </w:rPr>
              <w:t xml:space="preserve">           </w:t>
            </w:r>
            <w:r>
              <w:rPr>
                <w:rFonts w:hint="eastAsia" w:hAnsi="宋体" w:cs="Times New Roman"/>
                <w:color w:val="auto"/>
                <w:sz w:val="24"/>
                <w:szCs w:val="24"/>
                <w:highlight w:val="none"/>
                <w:u w:val="none"/>
                <w:lang w:val="en-US" w:eastAsia="zh-CN"/>
              </w:rPr>
              <w:t>元</w:t>
            </w:r>
          </w:p>
        </w:tc>
      </w:tr>
      <w:tr w14:paraId="682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9630" w:type="dxa"/>
            <w:gridSpan w:val="2"/>
            <w:vAlign w:val="center"/>
          </w:tcPr>
          <w:p w14:paraId="3462994A">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注：</w:t>
            </w:r>
          </w:p>
          <w:p w14:paraId="7952E34D">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default" w:ascii="Times New Roman" w:hAnsi="宋体" w:eastAsia="宋体" w:cs="Times New Roman"/>
                <w:color w:val="auto"/>
                <w:sz w:val="24"/>
                <w:szCs w:val="24"/>
                <w:highlight w:val="none"/>
              </w:rPr>
              <w:t>1</w:t>
            </w:r>
            <w:r>
              <w:rPr>
                <w:rFonts w:hint="eastAsia" w:ascii="Times New Roman" w:hAnsi="宋体" w:eastAsia="宋体" w:cs="Times New Roman"/>
                <w:color w:val="auto"/>
                <w:sz w:val="24"/>
                <w:szCs w:val="24"/>
                <w:highlight w:val="none"/>
              </w:rPr>
              <w:t>、</w:t>
            </w:r>
            <w:r>
              <w:rPr>
                <w:rFonts w:hint="eastAsia" w:ascii="Times New Roman" w:hAnsi="宋体" w:eastAsia="宋体" w:cs="Times New Roman"/>
                <w:color w:val="auto"/>
                <w:sz w:val="24"/>
                <w:szCs w:val="24"/>
                <w:highlight w:val="none"/>
                <w:lang w:val="en-US" w:eastAsia="zh-CN"/>
              </w:rPr>
              <w:t>参选人报价不得高于比选最高限价。</w:t>
            </w:r>
          </w:p>
        </w:tc>
      </w:tr>
    </w:tbl>
    <w:p w14:paraId="40915C3D">
      <w:pPr>
        <w:spacing w:line="360" w:lineRule="auto"/>
        <w:rPr>
          <w:rFonts w:hint="eastAsia" w:ascii="宋体" w:hAnsi="宋体" w:eastAsia="宋体" w:cs="Times New Roman"/>
          <w:b/>
          <w:color w:val="auto"/>
          <w:sz w:val="24"/>
          <w:szCs w:val="24"/>
          <w:highlight w:val="none"/>
        </w:rPr>
      </w:pPr>
    </w:p>
    <w:p w14:paraId="126491C8">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41B829E">
      <w:pPr>
        <w:spacing w:line="360" w:lineRule="auto"/>
        <w:ind w:firstLine="3465" w:firstLineChars="1650"/>
        <w:rPr>
          <w:rFonts w:ascii="宋体" w:hAnsi="Times New Roman" w:eastAsia="宋体" w:cs="Times New Roman"/>
          <w:color w:val="auto"/>
          <w:szCs w:val="21"/>
          <w:highlight w:val="none"/>
        </w:rPr>
      </w:pPr>
    </w:p>
    <w:p w14:paraId="16DCA676">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8F3E66B">
      <w:pPr>
        <w:spacing w:line="360" w:lineRule="auto"/>
        <w:ind w:firstLine="3561" w:firstLineChars="1696"/>
        <w:jc w:val="right"/>
        <w:rPr>
          <w:rFonts w:ascii="宋体" w:hAnsi="Times New Roman" w:eastAsia="宋体" w:cs="Times New Roman"/>
          <w:color w:val="auto"/>
          <w:szCs w:val="21"/>
          <w:highlight w:val="none"/>
        </w:rPr>
      </w:pPr>
    </w:p>
    <w:p w14:paraId="2F78DB47">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1C88C77D">
      <w:pPr>
        <w:spacing w:line="360" w:lineRule="auto"/>
        <w:ind w:firstLine="3570" w:firstLineChars="1700"/>
        <w:jc w:val="right"/>
        <w:rPr>
          <w:rFonts w:ascii="宋体" w:hAnsi="Times New Roman" w:eastAsia="宋体" w:cs="Times New Roman"/>
          <w:color w:val="auto"/>
          <w:szCs w:val="21"/>
          <w:highlight w:val="none"/>
        </w:rPr>
      </w:pPr>
    </w:p>
    <w:p w14:paraId="0C2BB971">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47D74405">
      <w:pPr>
        <w:rPr>
          <w:rFonts w:hint="eastAsia"/>
          <w:color w:val="auto"/>
          <w:highlight w:val="none"/>
        </w:rPr>
      </w:pPr>
      <w:r>
        <w:rPr>
          <w:rFonts w:hint="eastAsia"/>
          <w:color w:val="auto"/>
          <w:highlight w:val="none"/>
        </w:rPr>
        <w:br w:type="page"/>
      </w:r>
    </w:p>
    <w:p w14:paraId="6697F451">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8"/>
          <w:szCs w:val="28"/>
          <w:highlight w:val="none"/>
          <w:shd w:val="clear" w:color="auto" w:fill="FFFFFF"/>
          <w:lang w:val="en-US" w:eastAsia="zh-CN" w:bidi="ar-SA"/>
        </w:rPr>
      </w:pPr>
      <w:r>
        <w:rPr>
          <w:rFonts w:hint="eastAsia" w:ascii="宋体" w:hAnsi="宋体" w:cs="宋体"/>
          <w:b/>
          <w:color w:val="auto"/>
          <w:kern w:val="2"/>
          <w:sz w:val="28"/>
          <w:szCs w:val="28"/>
          <w:highlight w:val="none"/>
          <w:shd w:val="clear" w:color="auto" w:fill="FFFFFF"/>
          <w:lang w:val="en-US" w:eastAsia="zh-CN" w:bidi="ar-SA"/>
        </w:rPr>
        <w:t>三</w:t>
      </w:r>
      <w:r>
        <w:rPr>
          <w:rFonts w:hint="eastAsia" w:ascii="宋体" w:hAnsi="宋体" w:eastAsia="宋体" w:cs="宋体"/>
          <w:b/>
          <w:color w:val="auto"/>
          <w:kern w:val="2"/>
          <w:sz w:val="28"/>
          <w:szCs w:val="28"/>
          <w:highlight w:val="none"/>
          <w:shd w:val="clear" w:color="auto" w:fill="FFFFFF"/>
          <w:lang w:val="en-US" w:eastAsia="zh-CN" w:bidi="ar-SA"/>
        </w:rPr>
        <w:t>、</w:t>
      </w:r>
      <w:r>
        <w:rPr>
          <w:rFonts w:hint="eastAsia" w:ascii="宋体" w:hAnsi="宋体" w:eastAsia="宋体" w:cs="Times New Roman"/>
          <w:b/>
          <w:color w:val="auto"/>
          <w:kern w:val="2"/>
          <w:sz w:val="28"/>
          <w:szCs w:val="28"/>
          <w:highlight w:val="none"/>
          <w:shd w:val="clear" w:color="auto" w:fill="FFFFFF"/>
          <w:lang w:val="en-US" w:eastAsia="zh-CN" w:bidi="ar-SA"/>
        </w:rPr>
        <w:t>分项报价表</w:t>
      </w:r>
    </w:p>
    <w:p w14:paraId="75F4D5CF">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1"/>
          <w:highlight w:val="none"/>
          <w:shd w:val="clear" w:color="auto" w:fill="FFFFFF"/>
          <w:lang w:val="en-US" w:eastAsia="zh-CN" w:bidi="ar-SA"/>
        </w:rPr>
      </w:pPr>
    </w:p>
    <w:p w14:paraId="24A6CABD">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1"/>
          <w:highlight w:val="none"/>
          <w:shd w:val="clear" w:color="auto" w:fill="FFFFFF"/>
          <w:lang w:val="en-US" w:eastAsia="zh-CN" w:bidi="ar-SA"/>
        </w:rPr>
      </w:pPr>
    </w:p>
    <w:p w14:paraId="36393A94">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14EC547F">
      <w:pPr>
        <w:keepNext/>
        <w:keepLines/>
        <w:widowControl w:val="0"/>
        <w:shd w:val="clear" w:color="auto" w:fill="FFFFFF"/>
        <w:wordWrap w:val="0"/>
        <w:spacing w:line="360" w:lineRule="exact"/>
        <w:jc w:val="both"/>
        <w:outlineLvl w:val="2"/>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项目编号：</w:t>
      </w:r>
    </w:p>
    <w:p w14:paraId="7C88E32E">
      <w:pPr>
        <w:keepNext/>
        <w:keepLines/>
        <w:widowControl w:val="0"/>
        <w:shd w:val="clear" w:color="auto" w:fill="FFFFFF"/>
        <w:wordWrap w:val="0"/>
        <w:spacing w:line="360" w:lineRule="exact"/>
        <w:jc w:val="both"/>
        <w:outlineLvl w:val="2"/>
        <w:rPr>
          <w:rFonts w:hint="eastAsia" w:ascii="宋体" w:hAnsi="宋体" w:eastAsia="宋体" w:cs="Times New Roman"/>
          <w:color w:val="auto"/>
          <w:sz w:val="24"/>
          <w:szCs w:val="24"/>
          <w:highlight w:val="none"/>
          <w:lang w:val="en-US" w:eastAsia="zh-CN"/>
        </w:rPr>
      </w:pPr>
    </w:p>
    <w:tbl>
      <w:tblPr>
        <w:tblStyle w:val="62"/>
        <w:tblW w:w="9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673"/>
        <w:gridCol w:w="2132"/>
        <w:gridCol w:w="828"/>
        <w:gridCol w:w="1578"/>
        <w:gridCol w:w="1038"/>
      </w:tblGrid>
      <w:tr w14:paraId="2158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46" w:type="dxa"/>
            <w:vAlign w:val="center"/>
          </w:tcPr>
          <w:p w14:paraId="576401F9">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序号</w:t>
            </w:r>
          </w:p>
        </w:tc>
        <w:tc>
          <w:tcPr>
            <w:tcW w:w="2673" w:type="dxa"/>
            <w:vAlign w:val="center"/>
          </w:tcPr>
          <w:p w14:paraId="25654AA1">
            <w:pPr>
              <w:keepNext w:val="0"/>
              <w:keepLines w:val="0"/>
              <w:suppressLineNumbers w:val="0"/>
              <w:adjustRightInd w:val="0"/>
              <w:spacing w:before="0" w:beforeAutospacing="0" w:after="0" w:afterAutospacing="0"/>
              <w:ind w:left="0" w:leftChars="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项目名称</w:t>
            </w:r>
          </w:p>
        </w:tc>
        <w:tc>
          <w:tcPr>
            <w:tcW w:w="2132" w:type="dxa"/>
            <w:vAlign w:val="center"/>
          </w:tcPr>
          <w:p w14:paraId="0762DDB4">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参选人报价</w:t>
            </w:r>
          </w:p>
        </w:tc>
        <w:tc>
          <w:tcPr>
            <w:tcW w:w="828" w:type="dxa"/>
            <w:vAlign w:val="center"/>
          </w:tcPr>
          <w:p w14:paraId="597C8717">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default" w:ascii="仿宋" w:hAnsi="仿宋" w:eastAsia="仿宋" w:cs="仿宋"/>
                <w:b/>
                <w:bCs/>
                <w:color w:val="auto"/>
                <w:sz w:val="30"/>
                <w:szCs w:val="30"/>
                <w:highlight w:val="none"/>
                <w:vertAlign w:val="baseline"/>
              </w:rPr>
              <w:t>单位</w:t>
            </w:r>
          </w:p>
        </w:tc>
        <w:tc>
          <w:tcPr>
            <w:tcW w:w="1578" w:type="dxa"/>
            <w:vAlign w:val="center"/>
          </w:tcPr>
          <w:p w14:paraId="3CDAF10D">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最高限价</w:t>
            </w:r>
          </w:p>
        </w:tc>
        <w:tc>
          <w:tcPr>
            <w:tcW w:w="1038" w:type="dxa"/>
            <w:vAlign w:val="center"/>
          </w:tcPr>
          <w:p w14:paraId="1668D070">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说明</w:t>
            </w:r>
          </w:p>
        </w:tc>
      </w:tr>
      <w:tr w14:paraId="3F56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46" w:type="dxa"/>
            <w:vAlign w:val="center"/>
          </w:tcPr>
          <w:p w14:paraId="52962374">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r>
              <w:rPr>
                <w:rStyle w:val="460"/>
                <w:rFonts w:hint="eastAsia" w:ascii="仿宋" w:hAnsi="仿宋" w:eastAsia="仿宋" w:cs="仿宋"/>
                <w:b w:val="0"/>
                <w:bCs w:val="0"/>
                <w:color w:val="auto"/>
                <w:sz w:val="30"/>
                <w:szCs w:val="30"/>
                <w:highlight w:val="none"/>
                <w:vertAlign w:val="baseline"/>
              </w:rPr>
              <w:t>1</w:t>
            </w:r>
          </w:p>
        </w:tc>
        <w:tc>
          <w:tcPr>
            <w:tcW w:w="2673" w:type="dxa"/>
            <w:vAlign w:val="center"/>
          </w:tcPr>
          <w:p w14:paraId="29714399">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default" w:ascii="仿宋" w:hAnsi="仿宋" w:eastAsia="仿宋" w:cs="仿宋"/>
                <w:b w:val="0"/>
                <w:bCs w:val="0"/>
                <w:color w:val="auto"/>
                <w:sz w:val="30"/>
                <w:szCs w:val="30"/>
                <w:highlight w:val="none"/>
                <w:vertAlign w:val="baseline"/>
              </w:rPr>
              <w:t>案件代理费总报价</w:t>
            </w:r>
          </w:p>
        </w:tc>
        <w:tc>
          <w:tcPr>
            <w:tcW w:w="2132" w:type="dxa"/>
            <w:vAlign w:val="center"/>
          </w:tcPr>
          <w:p w14:paraId="07BA9E41">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c>
          <w:tcPr>
            <w:tcW w:w="828" w:type="dxa"/>
            <w:vAlign w:val="center"/>
          </w:tcPr>
          <w:p w14:paraId="1E87C5E7">
            <w:pPr>
              <w:keepNext w:val="0"/>
              <w:keepLines w:val="0"/>
              <w:suppressLineNumbers w:val="0"/>
              <w:adjustRightInd w:val="0"/>
              <w:spacing w:before="0" w:beforeAutospacing="0" w:after="0" w:afterAutospacing="0"/>
              <w:ind w:left="0" w:right="0"/>
              <w:jc w:val="center"/>
              <w:rPr>
                <w:rFonts w:hint="default" w:ascii="仿宋" w:hAnsi="仿宋" w:eastAsia="仿宋" w:cs="仿宋"/>
                <w:b w:val="0"/>
                <w:bCs w:val="0"/>
                <w:color w:val="auto"/>
                <w:sz w:val="28"/>
                <w:szCs w:val="28"/>
                <w:highlight w:val="none"/>
                <w:lang w:eastAsia="zh-CN"/>
              </w:rPr>
            </w:pPr>
            <w:r>
              <w:rPr>
                <w:rFonts w:hint="default" w:ascii="仿宋" w:hAnsi="仿宋" w:eastAsia="仿宋" w:cs="仿宋"/>
                <w:b w:val="0"/>
                <w:bCs w:val="0"/>
                <w:color w:val="auto"/>
                <w:sz w:val="28"/>
                <w:szCs w:val="28"/>
                <w:highlight w:val="none"/>
                <w:lang w:eastAsia="zh-CN"/>
              </w:rPr>
              <w:t>元</w:t>
            </w:r>
          </w:p>
        </w:tc>
        <w:tc>
          <w:tcPr>
            <w:tcW w:w="1578" w:type="dxa"/>
            <w:vAlign w:val="center"/>
          </w:tcPr>
          <w:p w14:paraId="3400EC3D">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lang w:val="en-US"/>
              </w:rPr>
            </w:pPr>
            <w:r>
              <w:rPr>
                <w:rFonts w:hint="eastAsia" w:ascii="仿宋" w:hAnsi="仿宋" w:eastAsia="仿宋" w:cs="仿宋"/>
                <w:color w:val="auto"/>
                <w:sz w:val="30"/>
                <w:szCs w:val="30"/>
                <w:highlight w:val="none"/>
                <w:u w:val="none"/>
                <w:lang w:val="en-US" w:eastAsia="zh-CN"/>
              </w:rPr>
              <w:t>195000</w:t>
            </w:r>
          </w:p>
        </w:tc>
        <w:tc>
          <w:tcPr>
            <w:tcW w:w="1038" w:type="dxa"/>
            <w:vAlign w:val="center"/>
          </w:tcPr>
          <w:p w14:paraId="53B7A35D">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r>
      <w:tr w14:paraId="0498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46" w:type="dxa"/>
            <w:vAlign w:val="center"/>
          </w:tcPr>
          <w:p w14:paraId="07781679">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r>
              <w:rPr>
                <w:rStyle w:val="460"/>
                <w:rFonts w:hint="eastAsia" w:ascii="仿宋" w:hAnsi="仿宋" w:eastAsia="仿宋" w:cs="仿宋"/>
                <w:b w:val="0"/>
                <w:bCs w:val="0"/>
                <w:color w:val="auto"/>
                <w:sz w:val="30"/>
                <w:szCs w:val="30"/>
                <w:highlight w:val="none"/>
                <w:vertAlign w:val="baseline"/>
              </w:rPr>
              <w:t>2</w:t>
            </w:r>
          </w:p>
        </w:tc>
        <w:tc>
          <w:tcPr>
            <w:tcW w:w="2673" w:type="dxa"/>
            <w:vAlign w:val="center"/>
          </w:tcPr>
          <w:p w14:paraId="6AFDF57B">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lang w:eastAsia="zh-CN"/>
              </w:rPr>
            </w:pPr>
            <w:r>
              <w:rPr>
                <w:rStyle w:val="460"/>
                <w:rFonts w:hint="eastAsia" w:ascii="仿宋" w:hAnsi="仿宋" w:eastAsia="仿宋" w:cs="仿宋"/>
                <w:b w:val="0"/>
                <w:bCs w:val="0"/>
                <w:color w:val="auto"/>
                <w:sz w:val="30"/>
                <w:szCs w:val="30"/>
                <w:highlight w:val="none"/>
                <w:vertAlign w:val="baseline"/>
                <w:lang w:val="en-US" w:eastAsia="zh-CN"/>
              </w:rPr>
              <w:t>定金</w:t>
            </w:r>
          </w:p>
        </w:tc>
        <w:tc>
          <w:tcPr>
            <w:tcW w:w="2132" w:type="dxa"/>
            <w:vAlign w:val="center"/>
          </w:tcPr>
          <w:p w14:paraId="70F6BFA1">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c>
          <w:tcPr>
            <w:tcW w:w="828" w:type="dxa"/>
            <w:vAlign w:val="center"/>
          </w:tcPr>
          <w:p w14:paraId="7D326DC2">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default" w:ascii="仿宋" w:hAnsi="仿宋" w:eastAsia="仿宋" w:cs="仿宋"/>
                <w:b w:val="0"/>
                <w:bCs w:val="0"/>
                <w:color w:val="auto"/>
                <w:sz w:val="30"/>
                <w:szCs w:val="30"/>
                <w:highlight w:val="none"/>
                <w:vertAlign w:val="baseline"/>
              </w:rPr>
              <w:t>%</w:t>
            </w:r>
          </w:p>
        </w:tc>
        <w:tc>
          <w:tcPr>
            <w:tcW w:w="1578" w:type="dxa"/>
            <w:vAlign w:val="center"/>
          </w:tcPr>
          <w:p w14:paraId="4968C43C">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eastAsia" w:ascii="仿宋" w:hAnsi="仿宋" w:eastAsia="仿宋" w:cs="仿宋"/>
                <w:b w:val="0"/>
                <w:bCs w:val="0"/>
                <w:color w:val="auto"/>
                <w:sz w:val="30"/>
                <w:szCs w:val="30"/>
                <w:highlight w:val="none"/>
                <w:vertAlign w:val="baseline"/>
                <w:lang w:val="en-US" w:eastAsia="zh-CN"/>
              </w:rPr>
              <w:t>15</w:t>
            </w:r>
            <w:r>
              <w:rPr>
                <w:rStyle w:val="460"/>
                <w:rFonts w:hint="default" w:ascii="仿宋" w:hAnsi="仿宋" w:eastAsia="仿宋" w:cs="仿宋"/>
                <w:b w:val="0"/>
                <w:bCs w:val="0"/>
                <w:color w:val="auto"/>
                <w:sz w:val="30"/>
                <w:szCs w:val="30"/>
                <w:highlight w:val="none"/>
                <w:vertAlign w:val="baseline"/>
              </w:rPr>
              <w:t>%</w:t>
            </w:r>
          </w:p>
        </w:tc>
        <w:tc>
          <w:tcPr>
            <w:tcW w:w="1038" w:type="dxa"/>
            <w:vAlign w:val="center"/>
          </w:tcPr>
          <w:p w14:paraId="13F67468">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r>
    </w:tbl>
    <w:p w14:paraId="566A9356">
      <w:pPr>
        <w:spacing w:line="360" w:lineRule="auto"/>
        <w:rPr>
          <w:rFonts w:hint="eastAsia" w:ascii="宋体" w:hAnsi="宋体" w:eastAsia="宋体" w:cs="Times New Roman"/>
          <w:b/>
          <w:color w:val="auto"/>
          <w:sz w:val="24"/>
          <w:szCs w:val="24"/>
          <w:highlight w:val="none"/>
        </w:rPr>
      </w:pPr>
    </w:p>
    <w:p w14:paraId="5142A04B">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26A16B1">
      <w:pPr>
        <w:rPr>
          <w:rFonts w:hint="eastAsia"/>
          <w:color w:val="auto"/>
          <w:highlight w:val="none"/>
        </w:rPr>
      </w:pPr>
    </w:p>
    <w:p w14:paraId="601B3732">
      <w:pPr>
        <w:rPr>
          <w:rFonts w:hint="eastAsia"/>
          <w:color w:val="auto"/>
          <w:highlight w:val="none"/>
        </w:rPr>
      </w:pPr>
    </w:p>
    <w:p w14:paraId="10A11DD2">
      <w:pPr>
        <w:rPr>
          <w:rFonts w:hint="eastAsia"/>
          <w:color w:val="auto"/>
          <w:highlight w:val="none"/>
        </w:rPr>
      </w:pPr>
    </w:p>
    <w:p w14:paraId="64F37D56">
      <w:pPr>
        <w:rPr>
          <w:rFonts w:hint="eastAsia"/>
          <w:color w:val="auto"/>
          <w:highlight w:val="none"/>
        </w:rPr>
      </w:pPr>
    </w:p>
    <w:p w14:paraId="6D3E9905">
      <w:pPr>
        <w:rPr>
          <w:rFonts w:hint="eastAsia"/>
          <w:color w:val="auto"/>
          <w:highlight w:val="none"/>
        </w:rPr>
      </w:pPr>
    </w:p>
    <w:p w14:paraId="53BE8CC6">
      <w:pPr>
        <w:rPr>
          <w:rFonts w:hint="eastAsia"/>
          <w:color w:val="auto"/>
          <w:highlight w:val="none"/>
        </w:rPr>
      </w:pPr>
    </w:p>
    <w:p w14:paraId="799C093A">
      <w:pPr>
        <w:rPr>
          <w:rFonts w:hint="eastAsia"/>
          <w:color w:val="auto"/>
          <w:highlight w:val="none"/>
        </w:rPr>
      </w:pPr>
    </w:p>
    <w:p w14:paraId="2C6EB933">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22CA1F5">
      <w:pPr>
        <w:spacing w:line="360" w:lineRule="auto"/>
        <w:ind w:firstLine="3561" w:firstLineChars="1696"/>
        <w:jc w:val="right"/>
        <w:rPr>
          <w:rFonts w:ascii="宋体" w:hAnsi="Times New Roman" w:eastAsia="宋体" w:cs="Times New Roman"/>
          <w:color w:val="auto"/>
          <w:szCs w:val="21"/>
          <w:highlight w:val="none"/>
        </w:rPr>
      </w:pPr>
    </w:p>
    <w:p w14:paraId="023AC79B">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579D9548">
      <w:pPr>
        <w:spacing w:line="360" w:lineRule="auto"/>
        <w:ind w:firstLine="3570" w:firstLineChars="1700"/>
        <w:jc w:val="right"/>
        <w:rPr>
          <w:rFonts w:ascii="宋体" w:hAnsi="Times New Roman" w:eastAsia="宋体" w:cs="Times New Roman"/>
          <w:color w:val="auto"/>
          <w:szCs w:val="21"/>
          <w:highlight w:val="none"/>
        </w:rPr>
      </w:pPr>
    </w:p>
    <w:p w14:paraId="01337C65">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5B41B8BE">
      <w:pPr>
        <w:rPr>
          <w:rFonts w:hint="eastAsia"/>
          <w:color w:val="auto"/>
          <w:highlight w:val="none"/>
        </w:rPr>
      </w:pPr>
    </w:p>
    <w:p w14:paraId="42D401EF">
      <w:pPr>
        <w:rPr>
          <w:rFonts w:hint="eastAsia"/>
          <w:color w:val="auto"/>
          <w:sz w:val="28"/>
          <w:szCs w:val="28"/>
          <w:highlight w:val="none"/>
        </w:rPr>
      </w:pPr>
      <w:r>
        <w:rPr>
          <w:rFonts w:hint="eastAsia"/>
          <w:color w:val="auto"/>
          <w:highlight w:val="none"/>
        </w:rPr>
        <w:br w:type="page"/>
      </w:r>
    </w:p>
    <w:bookmarkEnd w:id="83"/>
    <w:bookmarkEnd w:id="84"/>
    <w:p w14:paraId="16391EC0">
      <w:pPr>
        <w:keepNext/>
        <w:keepLines/>
        <w:widowControl w:val="0"/>
        <w:shd w:val="clear" w:color="auto" w:fill="FFFFFF"/>
        <w:wordWrap w:val="0"/>
        <w:spacing w:line="360" w:lineRule="exact"/>
        <w:jc w:val="center"/>
        <w:outlineLvl w:val="2"/>
        <w:rPr>
          <w:rFonts w:ascii="宋体" w:hAnsi="宋体" w:eastAsia="宋体" w:cs="宋体"/>
          <w:b/>
          <w:color w:val="auto"/>
          <w:kern w:val="2"/>
          <w:sz w:val="28"/>
          <w:szCs w:val="28"/>
          <w:highlight w:val="none"/>
          <w:bdr w:val="single" w:color="auto" w:sz="4" w:space="0"/>
          <w:shd w:val="clear" w:color="auto" w:fill="FFFFFF"/>
          <w:lang w:val="en-US" w:eastAsia="zh-CN" w:bidi="ar-SA"/>
        </w:rPr>
      </w:pPr>
      <w:r>
        <w:rPr>
          <w:rFonts w:hint="eastAsia" w:ascii="宋体" w:hAnsi="宋体" w:cs="宋体"/>
          <w:b/>
          <w:color w:val="auto"/>
          <w:kern w:val="2"/>
          <w:sz w:val="28"/>
          <w:szCs w:val="28"/>
          <w:highlight w:val="none"/>
          <w:shd w:val="clear" w:color="auto" w:fill="FFFFFF"/>
          <w:lang w:val="en-US" w:eastAsia="zh-CN" w:bidi="ar-SA"/>
        </w:rPr>
        <w:t>四</w:t>
      </w:r>
      <w:r>
        <w:rPr>
          <w:rFonts w:hint="eastAsia" w:ascii="宋体" w:hAnsi="宋体" w:eastAsia="宋体" w:cs="宋体"/>
          <w:b/>
          <w:color w:val="auto"/>
          <w:kern w:val="2"/>
          <w:sz w:val="28"/>
          <w:szCs w:val="28"/>
          <w:highlight w:val="none"/>
          <w:shd w:val="clear" w:color="auto" w:fill="FFFFFF"/>
          <w:lang w:val="en-US" w:eastAsia="zh-CN" w:bidi="ar-SA"/>
        </w:rPr>
        <w:t>、相关证明文件</w:t>
      </w:r>
    </w:p>
    <w:p w14:paraId="27D7AFC1">
      <w:pPr>
        <w:spacing w:line="360" w:lineRule="auto"/>
        <w:ind w:firstLine="420" w:firstLineChars="200"/>
        <w:rPr>
          <w:rFonts w:ascii="宋体" w:hAnsi="宋体" w:eastAsia="宋体" w:cs="宋体"/>
          <w:color w:val="auto"/>
          <w:szCs w:val="21"/>
          <w:highlight w:val="none"/>
        </w:rPr>
      </w:pPr>
    </w:p>
    <w:p w14:paraId="7DAA606B">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身份证明书（格式见附件）及其有效二代居民身份证；</w:t>
      </w:r>
    </w:p>
    <w:p w14:paraId="1A139C20">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授权委托书（格式见附件）及委托代理人有效二代居民身份证，若</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本人参与比选则不需此件；</w:t>
      </w:r>
    </w:p>
    <w:p w14:paraId="04515D10">
      <w:pPr>
        <w:spacing w:line="360" w:lineRule="auto"/>
        <w:ind w:firstLine="422" w:firstLineChars="200"/>
        <w:rPr>
          <w:rFonts w:hint="eastAsia" w:ascii="宋体" w:hAnsi="宋体" w:cs="Times New Roman"/>
          <w:b/>
          <w:bCs/>
          <w:color w:val="auto"/>
          <w:szCs w:val="21"/>
          <w:highlight w:val="none"/>
          <w:u w:val="none"/>
          <w:lang w:val="en-US" w:eastAsia="zh-CN"/>
        </w:rPr>
      </w:pPr>
      <w:r>
        <w:rPr>
          <w:rFonts w:hint="eastAsia" w:ascii="宋体" w:hAnsi="宋体" w:cs="Times New Roman"/>
          <w:b/>
          <w:bCs/>
          <w:color w:val="auto"/>
          <w:szCs w:val="21"/>
          <w:highlight w:val="none"/>
          <w:u w:val="none"/>
          <w:lang w:val="en-US" w:eastAsia="zh-CN"/>
        </w:rPr>
        <w:t>3</w:t>
      </w:r>
      <w:r>
        <w:rPr>
          <w:rFonts w:hint="eastAsia" w:ascii="宋体" w:hAnsi="宋体" w:eastAsia="宋体" w:cs="Times New Roman"/>
          <w:b/>
          <w:bCs/>
          <w:color w:val="auto"/>
          <w:szCs w:val="21"/>
          <w:highlight w:val="none"/>
          <w:u w:val="none"/>
          <w:lang w:val="en-US" w:eastAsia="zh-CN"/>
        </w:rPr>
        <w:t>、涉及评分的其他材料</w:t>
      </w:r>
      <w:r>
        <w:rPr>
          <w:rFonts w:hint="eastAsia" w:ascii="宋体" w:hAnsi="宋体" w:cs="Times New Roman"/>
          <w:b/>
          <w:bCs/>
          <w:color w:val="auto"/>
          <w:szCs w:val="21"/>
          <w:highlight w:val="none"/>
          <w:u w:val="none"/>
          <w:lang w:val="en-US" w:eastAsia="zh-CN"/>
        </w:rPr>
        <w:t>；</w:t>
      </w:r>
    </w:p>
    <w:p w14:paraId="4E9C88AF">
      <w:pPr>
        <w:spacing w:line="360" w:lineRule="auto"/>
        <w:ind w:firstLine="422" w:firstLineChars="200"/>
        <w:rPr>
          <w:rFonts w:hint="default" w:ascii="宋体" w:hAnsi="宋体" w:cs="Times New Roman"/>
          <w:b/>
          <w:bCs/>
          <w:color w:val="auto"/>
          <w:szCs w:val="21"/>
          <w:highlight w:val="none"/>
          <w:u w:val="none"/>
          <w:lang w:val="en-US" w:eastAsia="zh-CN"/>
        </w:rPr>
      </w:pPr>
      <w:r>
        <w:rPr>
          <w:rFonts w:hint="eastAsia" w:ascii="宋体" w:hAnsi="宋体" w:cs="Times New Roman"/>
          <w:b/>
          <w:bCs/>
          <w:color w:val="auto"/>
          <w:szCs w:val="21"/>
          <w:highlight w:val="none"/>
          <w:u w:val="none"/>
          <w:lang w:val="en-US" w:eastAsia="zh-CN"/>
        </w:rPr>
        <w:t>4、客观分自评评分表</w:t>
      </w:r>
    </w:p>
    <w:tbl>
      <w:tblPr>
        <w:tblStyle w:val="62"/>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176"/>
        <w:gridCol w:w="1933"/>
        <w:gridCol w:w="1245"/>
        <w:gridCol w:w="2895"/>
        <w:gridCol w:w="1170"/>
      </w:tblGrid>
      <w:tr w14:paraId="1C87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0" w:type="auto"/>
            <w:vAlign w:val="center"/>
          </w:tcPr>
          <w:p w14:paraId="275D24C3">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序号</w:t>
            </w:r>
          </w:p>
        </w:tc>
        <w:tc>
          <w:tcPr>
            <w:tcW w:w="0" w:type="auto"/>
            <w:vAlign w:val="center"/>
          </w:tcPr>
          <w:p w14:paraId="50247118">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lang w:eastAsia="zh-CN"/>
              </w:rPr>
            </w:pPr>
            <w:r>
              <w:rPr>
                <w:rFonts w:hint="eastAsia" w:ascii="宋体" w:hAnsi="宋体" w:eastAsia="宋体" w:cs="宋体"/>
                <w:b/>
                <w:bCs/>
                <w:color w:val="auto"/>
                <w:szCs w:val="20"/>
                <w:highlight w:val="none"/>
                <w:lang w:val="en-US" w:eastAsia="zh-CN"/>
              </w:rPr>
              <w:t>类别</w:t>
            </w:r>
          </w:p>
        </w:tc>
        <w:tc>
          <w:tcPr>
            <w:tcW w:w="1933" w:type="dxa"/>
            <w:vAlign w:val="center"/>
          </w:tcPr>
          <w:p w14:paraId="1A603496">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lang w:val="en-US" w:eastAsia="zh-CN"/>
              </w:rPr>
            </w:pPr>
            <w:r>
              <w:rPr>
                <w:rFonts w:hint="eastAsia" w:ascii="宋体" w:hAnsi="宋体" w:eastAsia="宋体" w:cs="宋体"/>
                <w:b/>
                <w:bCs/>
                <w:color w:val="auto"/>
                <w:szCs w:val="20"/>
                <w:highlight w:val="none"/>
                <w:lang w:val="en-US" w:eastAsia="zh-CN"/>
              </w:rPr>
              <w:t>评分内容</w:t>
            </w:r>
          </w:p>
        </w:tc>
        <w:tc>
          <w:tcPr>
            <w:tcW w:w="1245" w:type="dxa"/>
            <w:vAlign w:val="center"/>
          </w:tcPr>
          <w:p w14:paraId="6CC52604">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自评得分</w:t>
            </w:r>
          </w:p>
        </w:tc>
        <w:tc>
          <w:tcPr>
            <w:tcW w:w="2895" w:type="dxa"/>
            <w:vAlign w:val="center"/>
          </w:tcPr>
          <w:p w14:paraId="7FB8F42D">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证明材料在</w:t>
            </w:r>
            <w:r>
              <w:rPr>
                <w:rFonts w:hint="eastAsia" w:ascii="宋体" w:hAnsi="宋体" w:eastAsia="宋体" w:cs="宋体"/>
                <w:b/>
                <w:bCs/>
                <w:color w:val="auto"/>
                <w:szCs w:val="20"/>
                <w:highlight w:val="none"/>
                <w:lang w:val="en-US" w:eastAsia="zh-CN"/>
              </w:rPr>
              <w:t>参选</w:t>
            </w:r>
            <w:r>
              <w:rPr>
                <w:rFonts w:hint="eastAsia" w:ascii="宋体" w:hAnsi="宋体" w:eastAsia="宋体" w:cs="宋体"/>
                <w:b/>
                <w:bCs/>
                <w:color w:val="auto"/>
                <w:szCs w:val="20"/>
                <w:highlight w:val="none"/>
              </w:rPr>
              <w:t>文件中</w:t>
            </w:r>
          </w:p>
          <w:p w14:paraId="613DB88B">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对应页码（如有）</w:t>
            </w:r>
          </w:p>
        </w:tc>
        <w:tc>
          <w:tcPr>
            <w:tcW w:w="1170" w:type="dxa"/>
            <w:vAlign w:val="center"/>
          </w:tcPr>
          <w:p w14:paraId="382479DC">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备注</w:t>
            </w:r>
          </w:p>
        </w:tc>
      </w:tr>
      <w:tr w14:paraId="4BE6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restart"/>
            <w:vAlign w:val="center"/>
          </w:tcPr>
          <w:p w14:paraId="795E3B3D">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1</w:t>
            </w:r>
          </w:p>
        </w:tc>
        <w:tc>
          <w:tcPr>
            <w:tcW w:w="0" w:type="auto"/>
            <w:vMerge w:val="restart"/>
            <w:vAlign w:val="center"/>
          </w:tcPr>
          <w:p w14:paraId="5C3D63D6">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4"/>
                <w:highlight w:val="none"/>
              </w:rPr>
            </w:pPr>
            <w:r>
              <w:rPr>
                <w:rFonts w:hint="eastAsia" w:ascii="宋体" w:hAnsi="宋体" w:eastAsia="宋体" w:cs="宋体"/>
                <w:color w:val="auto"/>
                <w:sz w:val="24"/>
                <w:szCs w:val="24"/>
                <w:highlight w:val="none"/>
              </w:rPr>
              <w:t>服务能力</w:t>
            </w:r>
          </w:p>
        </w:tc>
        <w:tc>
          <w:tcPr>
            <w:tcW w:w="1933" w:type="dxa"/>
            <w:vAlign w:val="center"/>
          </w:tcPr>
          <w:p w14:paraId="71BC4761">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代理团队配置</w:t>
            </w:r>
          </w:p>
        </w:tc>
        <w:tc>
          <w:tcPr>
            <w:tcW w:w="1245" w:type="dxa"/>
            <w:vAlign w:val="center"/>
          </w:tcPr>
          <w:p w14:paraId="751F5864">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25FCC9AB">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170" w:type="dxa"/>
          </w:tcPr>
          <w:p w14:paraId="046014F0">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21B8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continue"/>
            <w:vAlign w:val="center"/>
          </w:tcPr>
          <w:p w14:paraId="073510D8">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Merge w:val="continue"/>
            <w:vAlign w:val="center"/>
          </w:tcPr>
          <w:p w14:paraId="572D6E6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p>
        </w:tc>
        <w:tc>
          <w:tcPr>
            <w:tcW w:w="1933" w:type="dxa"/>
            <w:vAlign w:val="center"/>
          </w:tcPr>
          <w:p w14:paraId="32C19D20">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同类案件经验</w:t>
            </w:r>
          </w:p>
        </w:tc>
        <w:tc>
          <w:tcPr>
            <w:tcW w:w="1245" w:type="dxa"/>
            <w:vAlign w:val="center"/>
          </w:tcPr>
          <w:p w14:paraId="0182670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2895" w:type="dxa"/>
            <w:vAlign w:val="center"/>
          </w:tcPr>
          <w:p w14:paraId="456E5CD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4E53562B">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122A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restart"/>
            <w:shd w:val="clear" w:color="auto" w:fill="auto"/>
            <w:vAlign w:val="center"/>
          </w:tcPr>
          <w:p w14:paraId="2FC66AE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Cs w:val="20"/>
                <w:highlight w:val="none"/>
              </w:rPr>
              <w:t>2</w:t>
            </w:r>
          </w:p>
        </w:tc>
        <w:tc>
          <w:tcPr>
            <w:tcW w:w="0" w:type="auto"/>
            <w:vMerge w:val="restart"/>
            <w:shd w:val="clear" w:color="auto" w:fill="auto"/>
            <w:vAlign w:val="center"/>
          </w:tcPr>
          <w:p w14:paraId="6DFCA70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合作适配</w:t>
            </w:r>
          </w:p>
        </w:tc>
        <w:tc>
          <w:tcPr>
            <w:tcW w:w="1933" w:type="dxa"/>
            <w:vAlign w:val="center"/>
          </w:tcPr>
          <w:p w14:paraId="7A432F13">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服务响应效率</w:t>
            </w:r>
          </w:p>
        </w:tc>
        <w:tc>
          <w:tcPr>
            <w:tcW w:w="1245" w:type="dxa"/>
            <w:vAlign w:val="center"/>
          </w:tcPr>
          <w:p w14:paraId="3551C5B1">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6695B10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19BFAFAD">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221D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continue"/>
            <w:vAlign w:val="center"/>
          </w:tcPr>
          <w:p w14:paraId="3AD76393">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Merge w:val="continue"/>
            <w:vAlign w:val="center"/>
          </w:tcPr>
          <w:p w14:paraId="3E45696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p>
        </w:tc>
        <w:tc>
          <w:tcPr>
            <w:tcW w:w="1933" w:type="dxa"/>
            <w:vAlign w:val="center"/>
          </w:tcPr>
          <w:p w14:paraId="49930568">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与采购人协作机制</w:t>
            </w:r>
          </w:p>
        </w:tc>
        <w:tc>
          <w:tcPr>
            <w:tcW w:w="1245" w:type="dxa"/>
            <w:vAlign w:val="center"/>
          </w:tcPr>
          <w:p w14:paraId="53E5E810">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5D41066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326BC4A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261F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continue"/>
            <w:vAlign w:val="center"/>
          </w:tcPr>
          <w:p w14:paraId="5A635F05">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Merge w:val="continue"/>
            <w:vAlign w:val="center"/>
          </w:tcPr>
          <w:p w14:paraId="5FB7392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p>
        </w:tc>
        <w:tc>
          <w:tcPr>
            <w:tcW w:w="1933" w:type="dxa"/>
            <w:vAlign w:val="center"/>
          </w:tcPr>
          <w:p w14:paraId="335E1BF4">
            <w:pPr>
              <w:pStyle w:val="1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结算方式适配性</w:t>
            </w:r>
          </w:p>
        </w:tc>
        <w:tc>
          <w:tcPr>
            <w:tcW w:w="1245" w:type="dxa"/>
            <w:vAlign w:val="center"/>
          </w:tcPr>
          <w:p w14:paraId="6BE17957">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3A90D33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44D782B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1F1F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Align w:val="center"/>
          </w:tcPr>
          <w:p w14:paraId="5598864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Align w:val="center"/>
          </w:tcPr>
          <w:p w14:paraId="44D5DF0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933" w:type="dxa"/>
            <w:vAlign w:val="center"/>
          </w:tcPr>
          <w:p w14:paraId="556F9521">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245" w:type="dxa"/>
            <w:vAlign w:val="center"/>
          </w:tcPr>
          <w:p w14:paraId="56DC225C">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127C1BF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529170DC">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bl>
    <w:p w14:paraId="12ED02BC">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lang w:val="en-US" w:eastAsia="zh-CN"/>
        </w:rPr>
        <w:t>参选人认为提供的其他材料；</w:t>
      </w:r>
    </w:p>
    <w:p w14:paraId="197A8E36">
      <w:pPr>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lang w:val="en-US" w:eastAsia="zh-CN"/>
        </w:rPr>
        <w:t>、须提供上述证明文件复印件或扫描件或影印件。</w:t>
      </w:r>
    </w:p>
    <w:p w14:paraId="77E818EA">
      <w:pPr>
        <w:spacing w:line="360" w:lineRule="auto"/>
        <w:ind w:left="368" w:leftChars="175"/>
        <w:rPr>
          <w:rFonts w:ascii="宋体" w:hAnsi="宋体" w:cs="宋体"/>
          <w:b/>
          <w:color w:val="auto"/>
          <w:spacing w:val="-4"/>
          <w:kern w:val="0"/>
          <w:szCs w:val="21"/>
          <w:highlight w:val="none"/>
        </w:rPr>
      </w:pPr>
    </w:p>
    <w:p w14:paraId="4304ADC4">
      <w:pPr>
        <w:rPr>
          <w:color w:val="auto"/>
          <w:highlight w:val="none"/>
        </w:rPr>
      </w:pPr>
      <w:r>
        <w:rPr>
          <w:rFonts w:ascii="宋体" w:hAnsi="宋体" w:cs="宋体"/>
          <w:b/>
          <w:color w:val="auto"/>
          <w:spacing w:val="-4"/>
          <w:kern w:val="0"/>
          <w:szCs w:val="21"/>
          <w:highlight w:val="none"/>
        </w:rPr>
        <w:br w:type="page"/>
      </w:r>
    </w:p>
    <w:p w14:paraId="738691E2">
      <w:pPr>
        <w:spacing w:line="360" w:lineRule="auto"/>
        <w:jc w:val="left"/>
        <w:rPr>
          <w:rFonts w:ascii="宋体" w:hAnsi="宋体" w:cs="Times New Roman"/>
          <w:b/>
          <w:bCs/>
          <w:color w:val="auto"/>
          <w:szCs w:val="21"/>
          <w:highlight w:val="none"/>
        </w:rPr>
      </w:pPr>
      <w:r>
        <w:rPr>
          <w:rFonts w:hint="eastAsia" w:ascii="宋体" w:hAnsi="宋体" w:cs="Times New Roman"/>
          <w:b/>
          <w:bCs/>
          <w:color w:val="auto"/>
          <w:szCs w:val="24"/>
          <w:highlight w:val="none"/>
        </w:rPr>
        <w:t>附件：</w:t>
      </w:r>
    </w:p>
    <w:p w14:paraId="60D08CAE">
      <w:pPr>
        <w:spacing w:line="360" w:lineRule="auto"/>
        <w:ind w:firstLine="413" w:firstLineChars="196"/>
        <w:jc w:val="center"/>
        <w:rPr>
          <w:rFonts w:hint="eastAsia" w:ascii="宋体" w:hAnsi="宋体" w:eastAsia="宋体" w:cs="宋体"/>
          <w:b/>
          <w:color w:val="auto"/>
          <w:szCs w:val="21"/>
          <w:highlight w:val="none"/>
        </w:rPr>
      </w:pPr>
    </w:p>
    <w:p w14:paraId="0C267E2F">
      <w:pPr>
        <w:spacing w:line="360" w:lineRule="auto"/>
        <w:ind w:firstLine="413" w:firstLineChars="196"/>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身份证明书</w:t>
      </w:r>
    </w:p>
    <w:p w14:paraId="19D0FE92">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参选人名称：</w:t>
      </w:r>
      <w:r>
        <w:rPr>
          <w:rFonts w:hint="eastAsia" w:ascii="宋体" w:hAnsi="宋体" w:eastAsia="宋体" w:cs="宋体"/>
          <w:color w:val="auto"/>
          <w:szCs w:val="21"/>
          <w:highlight w:val="none"/>
          <w:u w:val="single"/>
        </w:rPr>
        <w:t xml:space="preserve">                    </w:t>
      </w:r>
    </w:p>
    <w:p w14:paraId="43C08A11">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6D3379D8">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5EB500FD">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75E5BD8C">
      <w:pPr>
        <w:wordWrap w:val="0"/>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p>
    <w:p w14:paraId="2DE510C9">
      <w:pPr>
        <w:wordWrap w:val="0"/>
        <w:adjustRightInd w:val="0"/>
        <w:snapToGrid w:val="0"/>
        <w:spacing w:line="360" w:lineRule="auto"/>
        <w:ind w:firstLine="411" w:firstLineChars="196"/>
        <w:rPr>
          <w:rFonts w:ascii="Times New Roman" w:hAnsi="宋体" w:eastAsia="宋体" w:cs="Times New Roman"/>
          <w:color w:val="auto"/>
          <w:szCs w:val="21"/>
          <w:highlight w:val="none"/>
        </w:rPr>
      </w:pPr>
      <w:r>
        <w:rPr>
          <w:rFonts w:hint="eastAsia" w:ascii="Times New Roman" w:hAnsi="宋体" w:eastAsia="宋体" w:cs="Times New Roman"/>
          <w:color w:val="auto"/>
          <w:szCs w:val="21"/>
          <w:highlight w:val="none"/>
        </w:rPr>
        <w:t>联系方式（移动电话）：</w:t>
      </w:r>
      <w:r>
        <w:rPr>
          <w:rFonts w:hint="eastAsia" w:ascii="Times New Roman" w:hAnsi="宋体" w:eastAsia="宋体" w:cs="Times New Roman"/>
          <w:color w:val="auto"/>
          <w:szCs w:val="21"/>
          <w:highlight w:val="none"/>
          <w:u w:val="single"/>
        </w:rPr>
        <w:t xml:space="preserve">                 </w:t>
      </w:r>
    </w:p>
    <w:p w14:paraId="68792150">
      <w:pPr>
        <w:wordWrap w:val="0"/>
        <w:adjustRightInd w:val="0"/>
        <w:snapToGrid w:val="0"/>
        <w:spacing w:line="360" w:lineRule="auto"/>
        <w:ind w:firstLine="420" w:firstLineChars="200"/>
        <w:rPr>
          <w:rFonts w:ascii="宋体" w:hAnsi="Times New Roman" w:eastAsia="宋体" w:cs="宋体"/>
          <w:color w:val="auto"/>
          <w:szCs w:val="21"/>
          <w:highlight w:val="non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4742834E">
      <w:pPr>
        <w:wordWrap w:val="0"/>
        <w:adjustRightInd w:val="0"/>
        <w:snapToGrid w:val="0"/>
        <w:spacing w:line="360" w:lineRule="auto"/>
        <w:ind w:firstLine="411" w:firstLineChars="196"/>
        <w:rPr>
          <w:rFonts w:ascii="宋体" w:hAnsi="Times New Roman" w:eastAsia="宋体" w:cs="宋体"/>
          <w:color w:val="auto"/>
          <w:szCs w:val="21"/>
          <w:highlight w:val="none"/>
        </w:rPr>
      </w:pPr>
      <w:r>
        <w:rPr>
          <w:rFonts w:hint="eastAsia" w:ascii="宋体" w:hAnsi="宋体" w:eastAsia="宋体" w:cs="宋体"/>
          <w:color w:val="auto"/>
          <w:szCs w:val="21"/>
          <w:highlight w:val="none"/>
        </w:rPr>
        <w:t>特此证明</w:t>
      </w:r>
    </w:p>
    <w:p w14:paraId="69DD4388">
      <w:pPr>
        <w:wordWrap w:val="0"/>
        <w:adjustRightInd w:val="0"/>
        <w:snapToGrid w:val="0"/>
        <w:spacing w:line="360" w:lineRule="auto"/>
        <w:ind w:firstLine="4137" w:firstLineChars="197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0BD2B829">
      <w:pPr>
        <w:wordWrap w:val="0"/>
        <w:adjustRightInd w:val="0"/>
        <w:snapToGrid w:val="0"/>
        <w:spacing w:line="360" w:lineRule="auto"/>
        <w:ind w:right="360" w:firstLine="4851" w:firstLineChars="2310"/>
        <w:jc w:val="righ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DA741AA">
      <w:pPr>
        <w:pStyle w:val="82"/>
        <w:ind w:left="0" w:leftChars="0" w:firstLine="0" w:firstLineChars="0"/>
        <w:rPr>
          <w:color w:val="auto"/>
          <w:highlight w:val="none"/>
        </w:rPr>
      </w:pPr>
    </w:p>
    <w:p w14:paraId="3837105C">
      <w:pPr>
        <w:wordWrap w:val="0"/>
        <w:spacing w:line="360" w:lineRule="auto"/>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授权委托书</w:t>
      </w:r>
    </w:p>
    <w:p w14:paraId="376D4B7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（项目名称）参选文件、签订合同等一切事宜，其法律后果由我方承担。</w:t>
      </w:r>
    </w:p>
    <w:p w14:paraId="0A501F0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委托期限：</w:t>
      </w:r>
      <w:r>
        <w:rPr>
          <w:rFonts w:hint="eastAsia" w:ascii="宋体" w:hAnsi="宋体" w:eastAsia="宋体" w:cs="宋体"/>
          <w:color w:val="auto"/>
          <w:szCs w:val="21"/>
          <w:highlight w:val="none"/>
          <w:u w:val="single"/>
        </w:rPr>
        <w:t xml:space="preserve">              </w:t>
      </w:r>
    </w:p>
    <w:p w14:paraId="26ECD99A">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3168B4DB">
      <w:pPr>
        <w:wordWrap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ascii="宋体" w:hAnsi="宋体" w:eastAsia="宋体" w:cs="宋体"/>
          <w:color w:val="auto"/>
          <w:szCs w:val="21"/>
          <w:highlight w:val="none"/>
        </w:rPr>
        <w:t>_______</w:t>
      </w:r>
    </w:p>
    <w:p w14:paraId="663E4174">
      <w:pPr>
        <w:wordWrap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DCC86DC">
      <w:pPr>
        <w:wordWrap w:val="0"/>
        <w:spacing w:line="360" w:lineRule="auto"/>
        <w:ind w:firstLine="420" w:firstLineChars="200"/>
        <w:rPr>
          <w:rFonts w:ascii="Times New Roman" w:hAnsi="宋体" w:eastAsia="宋体" w:cs="Times New Roman"/>
          <w:color w:val="auto"/>
          <w:szCs w:val="21"/>
          <w:highlight w:val="none"/>
        </w:rPr>
      </w:pPr>
      <w:r>
        <w:rPr>
          <w:rFonts w:hint="eastAsia" w:ascii="宋体" w:hAnsi="宋体" w:eastAsia="宋体" w:cs="宋体"/>
          <w:color w:val="auto"/>
          <w:szCs w:val="21"/>
          <w:highlight w:val="none"/>
        </w:rPr>
        <w:t>联系方</w:t>
      </w:r>
      <w:r>
        <w:rPr>
          <w:rFonts w:hint="eastAsia" w:ascii="Times New Roman" w:hAnsi="宋体" w:eastAsia="宋体" w:cs="Times New Roman"/>
          <w:color w:val="auto"/>
          <w:szCs w:val="21"/>
          <w:highlight w:val="none"/>
        </w:rPr>
        <w:t>式（移动电话）</w:t>
      </w:r>
      <w:r>
        <w:rPr>
          <w:rFonts w:hint="eastAsia" w:ascii="宋体" w:hAnsi="宋体" w:eastAsia="宋体" w:cs="宋体"/>
          <w:color w:val="auto"/>
          <w:szCs w:val="21"/>
          <w:highlight w:val="none"/>
        </w:rPr>
        <w:t>：</w:t>
      </w:r>
      <w:r>
        <w:rPr>
          <w:rFonts w:hint="eastAsia" w:ascii="Times New Roman" w:hAnsi="宋体" w:eastAsia="宋体" w:cs="Times New Roman"/>
          <w:color w:val="auto"/>
          <w:szCs w:val="21"/>
          <w:highlight w:val="none"/>
          <w:u w:val="single"/>
        </w:rPr>
        <w:t xml:space="preserve">                   </w:t>
      </w:r>
    </w:p>
    <w:p w14:paraId="66B2F9A2">
      <w:pPr>
        <w:wordWrap w:val="0"/>
        <w:spacing w:line="360" w:lineRule="auto"/>
        <w:ind w:firstLine="420" w:firstLineChars="200"/>
        <w:rPr>
          <w:rFonts w:ascii="宋体" w:hAnsi="宋体" w:eastAsia="宋体" w:cs="宋体"/>
          <w:color w:val="auto"/>
          <w:szCs w:val="21"/>
          <w:highlight w:val="none"/>
          <w:u w:val="singl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5DCB7BE8">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（盖章）</w:t>
      </w:r>
    </w:p>
    <w:p w14:paraId="212B6121">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Times New Roman" w:hAnsi="宋体" w:eastAsia="宋体" w:cs="宋体"/>
          <w:color w:val="auto"/>
          <w:highlight w:val="none"/>
          <w:u w:val="single"/>
        </w:rPr>
        <w:t>签字或</w:t>
      </w:r>
      <w:r>
        <w:rPr>
          <w:rFonts w:hint="eastAsia" w:ascii="宋体" w:hAnsi="宋体" w:eastAsia="宋体" w:cs="宋体"/>
          <w:color w:val="auto"/>
          <w:szCs w:val="21"/>
          <w:highlight w:val="none"/>
          <w:u w:val="single"/>
        </w:rPr>
        <w:t>盖章）</w:t>
      </w:r>
    </w:p>
    <w:p w14:paraId="77886AFD">
      <w:pPr>
        <w:wordWrap w:val="0"/>
        <w:spacing w:line="360" w:lineRule="auto"/>
        <w:ind w:right="48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授权委托日期：  年  月  日</w:t>
      </w:r>
    </w:p>
    <w:p w14:paraId="4299CF48">
      <w:pPr>
        <w:wordWrap w:val="0"/>
        <w:spacing w:line="360" w:lineRule="auto"/>
        <w:ind w:right="480" w:firstLine="420" w:firstLineChars="200"/>
        <w:rPr>
          <w:rFonts w:ascii="宋体" w:hAnsi="宋体" w:cs="宋体"/>
          <w:color w:val="auto"/>
          <w:szCs w:val="21"/>
          <w:highlight w:val="none"/>
        </w:rPr>
      </w:pPr>
    </w:p>
    <w:sectPr>
      <w:footerReference r:id="rId7"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856F">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921"/>
      <w:docPartObj>
        <w:docPartGallery w:val="autotext"/>
      </w:docPartObj>
    </w:sdtPr>
    <w:sdtContent>
      <w:p w14:paraId="4AEB3D1A">
        <w:pPr>
          <w:pStyle w:val="38"/>
          <w:jc w:val="center"/>
        </w:pPr>
        <w:r>
          <w:fldChar w:fldCharType="begin"/>
        </w:r>
        <w:r>
          <w:instrText xml:space="preserve">PAGE   \* MERGEFORMAT</w:instrText>
        </w:r>
        <w:r>
          <w:fldChar w:fldCharType="separate"/>
        </w:r>
        <w:r>
          <w:rPr>
            <w:lang w:val="zh-CN"/>
          </w:rPr>
          <w:t>2</w:t>
        </w:r>
        <w:r>
          <w:fldChar w:fldCharType="end"/>
        </w:r>
      </w:p>
    </w:sdtContent>
  </w:sdt>
  <w:p w14:paraId="7B822EF9">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198"/>
      <w:docPartObj>
        <w:docPartGallery w:val="autotext"/>
      </w:docPartObj>
    </w:sdtPr>
    <w:sdtContent>
      <w:p w14:paraId="6352615A">
        <w:pPr>
          <w:pStyle w:val="38"/>
          <w:jc w:val="center"/>
        </w:pPr>
        <w:r>
          <w:fldChar w:fldCharType="begin"/>
        </w:r>
        <w:r>
          <w:instrText xml:space="preserve">PAGE   \* MERGEFORMAT</w:instrText>
        </w:r>
        <w:r>
          <w:fldChar w:fldCharType="separate"/>
        </w:r>
        <w:r>
          <w:rPr>
            <w:lang w:val="zh-CN"/>
          </w:rPr>
          <w:t>2</w:t>
        </w:r>
        <w:r>
          <w:fldChar w:fldCharType="end"/>
        </w:r>
      </w:p>
    </w:sdtContent>
  </w:sdt>
  <w:p w14:paraId="6EC54CBC">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CCCCA">
    <w:pPr>
      <w:pStyle w:val="39"/>
      <w:pBdr>
        <w:bottom w:val="single" w:color="auto" w:sz="4" w:space="1"/>
      </w:pBdr>
      <w:jc w:val="right"/>
    </w:pPr>
    <w:r>
      <w:rPr>
        <w:rFonts w:hint="eastAsia"/>
        <w:sz w:val="16"/>
        <w:szCs w:val="16"/>
        <w:lang w:eastAsia="zh-CN"/>
      </w:rPr>
      <w:t>安庆交投物流公司诉湖南众旭公司及张培军合同纠纷执行案件代理服务比选文件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4A517">
    <w:pPr>
      <w:pStyle w:val="39"/>
      <w:jc w:val="right"/>
      <w:rPr>
        <w:rFonts w:hint="eastAsia"/>
        <w:sz w:val="16"/>
        <w:szCs w:val="16"/>
        <w:lang w:eastAsia="zh-CN"/>
      </w:rPr>
    </w:pPr>
    <w:r>
      <w:rPr>
        <w:rFonts w:hint="eastAsia"/>
        <w:sz w:val="16"/>
        <w:szCs w:val="16"/>
        <w:lang w:eastAsia="zh-CN"/>
      </w:rPr>
      <w:t>安庆交投物流公司诉湖南众旭公司及张培军合同纠纷执行案件代理服务比选文件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3B8E65"/>
    <w:multiLevelType w:val="singleLevel"/>
    <w:tmpl w:val="B83B8E65"/>
    <w:lvl w:ilvl="0" w:tentative="0">
      <w:start w:val="1"/>
      <w:numFmt w:val="decimal"/>
      <w:suff w:val="nothing"/>
      <w:lvlText w:val="(%1)"/>
      <w:lvlJc w:val="left"/>
      <w:pPr>
        <w:ind w:left="0" w:leftChars="0" w:firstLine="0" w:firstLineChars="0"/>
      </w:pPr>
      <w:rPr>
        <w:rFonts w:hint="default"/>
      </w:rPr>
    </w:lvl>
  </w:abstractNum>
  <w:abstractNum w:abstractNumId="1">
    <w:nsid w:val="BF3D058B"/>
    <w:multiLevelType w:val="singleLevel"/>
    <w:tmpl w:val="BF3D058B"/>
    <w:lvl w:ilvl="0" w:tentative="0">
      <w:start w:val="3"/>
      <w:numFmt w:val="chineseCounting"/>
      <w:suff w:val="space"/>
      <w:lvlText w:val="第%1章"/>
      <w:lvlJc w:val="left"/>
      <w:rPr>
        <w:rFonts w:hint="eastAsia"/>
      </w:rPr>
    </w:lvl>
  </w:abstractNum>
  <w:abstractNum w:abstractNumId="2">
    <w:nsid w:val="C0B4D315"/>
    <w:multiLevelType w:val="singleLevel"/>
    <w:tmpl w:val="C0B4D315"/>
    <w:lvl w:ilvl="0" w:tentative="0">
      <w:start w:val="1"/>
      <w:numFmt w:val="chineseCounting"/>
      <w:suff w:val="space"/>
      <w:lvlText w:val="第%1章"/>
      <w:lvlJc w:val="left"/>
      <w:rPr>
        <w:rFonts w:hint="eastAsia"/>
      </w:rPr>
    </w:lvl>
  </w:abstractNum>
  <w:abstractNum w:abstractNumId="3">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4">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3"/>
  </w:num>
  <w:num w:numId="2">
    <w:abstractNumId w:val="4"/>
  </w:num>
  <w:num w:numId="3">
    <w:abstractNumId w:val="6"/>
  </w:num>
  <w:num w:numId="4">
    <w:abstractNumId w:val="7"/>
  </w:num>
  <w:num w:numId="5">
    <w:abstractNumId w:val="5"/>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A3F0D"/>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9637F"/>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4BAF"/>
    <w:rsid w:val="00FD6E5D"/>
    <w:rsid w:val="00FE506C"/>
    <w:rsid w:val="00FF22A3"/>
    <w:rsid w:val="00FF323D"/>
    <w:rsid w:val="01022145"/>
    <w:rsid w:val="014C4DA3"/>
    <w:rsid w:val="01527EDF"/>
    <w:rsid w:val="01535EB9"/>
    <w:rsid w:val="0191681C"/>
    <w:rsid w:val="019E06E3"/>
    <w:rsid w:val="01F53EB3"/>
    <w:rsid w:val="01FA7BF8"/>
    <w:rsid w:val="01FD0DAF"/>
    <w:rsid w:val="02060261"/>
    <w:rsid w:val="02287724"/>
    <w:rsid w:val="022E6257"/>
    <w:rsid w:val="02555ED9"/>
    <w:rsid w:val="0259356C"/>
    <w:rsid w:val="02742C96"/>
    <w:rsid w:val="029545F8"/>
    <w:rsid w:val="02B14DC7"/>
    <w:rsid w:val="02F94AB6"/>
    <w:rsid w:val="0319408F"/>
    <w:rsid w:val="032717F3"/>
    <w:rsid w:val="037261AB"/>
    <w:rsid w:val="0383243B"/>
    <w:rsid w:val="0385459C"/>
    <w:rsid w:val="038F71C9"/>
    <w:rsid w:val="03900CB8"/>
    <w:rsid w:val="03935BFE"/>
    <w:rsid w:val="03B66504"/>
    <w:rsid w:val="03B70FA8"/>
    <w:rsid w:val="03B81543"/>
    <w:rsid w:val="03EF1A15"/>
    <w:rsid w:val="03EF27C8"/>
    <w:rsid w:val="03F1273F"/>
    <w:rsid w:val="03F546A4"/>
    <w:rsid w:val="04197674"/>
    <w:rsid w:val="041E3B9F"/>
    <w:rsid w:val="044D094D"/>
    <w:rsid w:val="046441B2"/>
    <w:rsid w:val="04753845"/>
    <w:rsid w:val="050913A9"/>
    <w:rsid w:val="050A31D6"/>
    <w:rsid w:val="051557B4"/>
    <w:rsid w:val="051F656E"/>
    <w:rsid w:val="05500A87"/>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1F4914"/>
    <w:rsid w:val="093164D8"/>
    <w:rsid w:val="09521B8C"/>
    <w:rsid w:val="095F36DA"/>
    <w:rsid w:val="0983332C"/>
    <w:rsid w:val="09A278BC"/>
    <w:rsid w:val="09AF4121"/>
    <w:rsid w:val="09E919F8"/>
    <w:rsid w:val="0A256191"/>
    <w:rsid w:val="0A762256"/>
    <w:rsid w:val="0A933E5C"/>
    <w:rsid w:val="0AB614DF"/>
    <w:rsid w:val="0ABD4E90"/>
    <w:rsid w:val="0AC91212"/>
    <w:rsid w:val="0AD53626"/>
    <w:rsid w:val="0AD96F7B"/>
    <w:rsid w:val="0B024FEC"/>
    <w:rsid w:val="0B190E47"/>
    <w:rsid w:val="0B1E73EC"/>
    <w:rsid w:val="0B244FB8"/>
    <w:rsid w:val="0B3023B0"/>
    <w:rsid w:val="0B4E1717"/>
    <w:rsid w:val="0B656974"/>
    <w:rsid w:val="0BA92DF2"/>
    <w:rsid w:val="0BBA70A3"/>
    <w:rsid w:val="0BD32F41"/>
    <w:rsid w:val="0C210BDA"/>
    <w:rsid w:val="0C4E7E44"/>
    <w:rsid w:val="0C601702"/>
    <w:rsid w:val="0C665C1C"/>
    <w:rsid w:val="0D587134"/>
    <w:rsid w:val="0D835EB7"/>
    <w:rsid w:val="0D844B1B"/>
    <w:rsid w:val="0DB02216"/>
    <w:rsid w:val="0E0E5A47"/>
    <w:rsid w:val="0E1A3B33"/>
    <w:rsid w:val="0E1C7020"/>
    <w:rsid w:val="0E513821"/>
    <w:rsid w:val="0E59465B"/>
    <w:rsid w:val="0E6574A4"/>
    <w:rsid w:val="0F051BB9"/>
    <w:rsid w:val="0F323C9D"/>
    <w:rsid w:val="0F4A1640"/>
    <w:rsid w:val="0F8E2325"/>
    <w:rsid w:val="0FAB538A"/>
    <w:rsid w:val="0FD35E8A"/>
    <w:rsid w:val="0FE95356"/>
    <w:rsid w:val="100D14DA"/>
    <w:rsid w:val="102A4EC9"/>
    <w:rsid w:val="10745ABA"/>
    <w:rsid w:val="108005C5"/>
    <w:rsid w:val="10AB3F70"/>
    <w:rsid w:val="10C63759"/>
    <w:rsid w:val="10C90438"/>
    <w:rsid w:val="111B0252"/>
    <w:rsid w:val="114D7560"/>
    <w:rsid w:val="1161187F"/>
    <w:rsid w:val="11717F0E"/>
    <w:rsid w:val="11800D39"/>
    <w:rsid w:val="11A8682E"/>
    <w:rsid w:val="11B701C5"/>
    <w:rsid w:val="120E23C1"/>
    <w:rsid w:val="12354F5A"/>
    <w:rsid w:val="12914286"/>
    <w:rsid w:val="129B5577"/>
    <w:rsid w:val="12B654AE"/>
    <w:rsid w:val="12BF6C3A"/>
    <w:rsid w:val="13057218"/>
    <w:rsid w:val="131131FE"/>
    <w:rsid w:val="131F3FC3"/>
    <w:rsid w:val="132C1DDC"/>
    <w:rsid w:val="133236CD"/>
    <w:rsid w:val="133E598E"/>
    <w:rsid w:val="134912DD"/>
    <w:rsid w:val="13682AD5"/>
    <w:rsid w:val="137B5074"/>
    <w:rsid w:val="138959E3"/>
    <w:rsid w:val="13DC787E"/>
    <w:rsid w:val="13FC570D"/>
    <w:rsid w:val="140631C3"/>
    <w:rsid w:val="14135D3F"/>
    <w:rsid w:val="14211A7C"/>
    <w:rsid w:val="142D3EB0"/>
    <w:rsid w:val="143310E5"/>
    <w:rsid w:val="14747239"/>
    <w:rsid w:val="14764964"/>
    <w:rsid w:val="14771CDF"/>
    <w:rsid w:val="147C0B64"/>
    <w:rsid w:val="14964B92"/>
    <w:rsid w:val="14B80AD1"/>
    <w:rsid w:val="14C557AE"/>
    <w:rsid w:val="155362A8"/>
    <w:rsid w:val="15A34C73"/>
    <w:rsid w:val="15AE7982"/>
    <w:rsid w:val="15B31F59"/>
    <w:rsid w:val="15B34F99"/>
    <w:rsid w:val="15C745A0"/>
    <w:rsid w:val="15CD45BF"/>
    <w:rsid w:val="15E070C3"/>
    <w:rsid w:val="15E24861"/>
    <w:rsid w:val="15FA2BC8"/>
    <w:rsid w:val="15FF4448"/>
    <w:rsid w:val="161812A0"/>
    <w:rsid w:val="16473933"/>
    <w:rsid w:val="16766FAA"/>
    <w:rsid w:val="168669B4"/>
    <w:rsid w:val="16A910FE"/>
    <w:rsid w:val="16BA21D7"/>
    <w:rsid w:val="16C32FBA"/>
    <w:rsid w:val="16D301F3"/>
    <w:rsid w:val="16FF65AF"/>
    <w:rsid w:val="172907FA"/>
    <w:rsid w:val="17653798"/>
    <w:rsid w:val="17A20397"/>
    <w:rsid w:val="17A54DB5"/>
    <w:rsid w:val="17B23653"/>
    <w:rsid w:val="17C52D61"/>
    <w:rsid w:val="17D11706"/>
    <w:rsid w:val="180A2E6A"/>
    <w:rsid w:val="180C1DB8"/>
    <w:rsid w:val="181D2AAB"/>
    <w:rsid w:val="1821268E"/>
    <w:rsid w:val="183364E8"/>
    <w:rsid w:val="18590648"/>
    <w:rsid w:val="1867206B"/>
    <w:rsid w:val="18E67433"/>
    <w:rsid w:val="18FF04F5"/>
    <w:rsid w:val="19053D5D"/>
    <w:rsid w:val="191310CD"/>
    <w:rsid w:val="191D1EE7"/>
    <w:rsid w:val="19522AB9"/>
    <w:rsid w:val="19540444"/>
    <w:rsid w:val="19691EDC"/>
    <w:rsid w:val="19DB4ABE"/>
    <w:rsid w:val="1A427337"/>
    <w:rsid w:val="1A475CB0"/>
    <w:rsid w:val="1A6159EB"/>
    <w:rsid w:val="1A774C9C"/>
    <w:rsid w:val="1A826A8E"/>
    <w:rsid w:val="1AB31E5A"/>
    <w:rsid w:val="1ABA4CF6"/>
    <w:rsid w:val="1B1E62C5"/>
    <w:rsid w:val="1B324BB2"/>
    <w:rsid w:val="1B3E740A"/>
    <w:rsid w:val="1B522ECD"/>
    <w:rsid w:val="1B593EEC"/>
    <w:rsid w:val="1B8A679C"/>
    <w:rsid w:val="1B9708D8"/>
    <w:rsid w:val="1BA93D87"/>
    <w:rsid w:val="1BBB0703"/>
    <w:rsid w:val="1BC3580A"/>
    <w:rsid w:val="1BC80A07"/>
    <w:rsid w:val="1BEF4851"/>
    <w:rsid w:val="1BFF240F"/>
    <w:rsid w:val="1C1B6D10"/>
    <w:rsid w:val="1C6325C6"/>
    <w:rsid w:val="1C825622"/>
    <w:rsid w:val="1C861D86"/>
    <w:rsid w:val="1CC41839"/>
    <w:rsid w:val="1CED005C"/>
    <w:rsid w:val="1CF163A7"/>
    <w:rsid w:val="1D2D3883"/>
    <w:rsid w:val="1D3A5FA0"/>
    <w:rsid w:val="1D6F5C49"/>
    <w:rsid w:val="1D772D50"/>
    <w:rsid w:val="1D835251"/>
    <w:rsid w:val="1DC57394"/>
    <w:rsid w:val="1DCD4EF1"/>
    <w:rsid w:val="1E156B8A"/>
    <w:rsid w:val="1E1E0410"/>
    <w:rsid w:val="1E335D6C"/>
    <w:rsid w:val="1E3E386E"/>
    <w:rsid w:val="1E494C39"/>
    <w:rsid w:val="1E550BE9"/>
    <w:rsid w:val="1E94348E"/>
    <w:rsid w:val="1E9F255E"/>
    <w:rsid w:val="1F016D75"/>
    <w:rsid w:val="1F0B25BC"/>
    <w:rsid w:val="1F1F71FB"/>
    <w:rsid w:val="1F220E88"/>
    <w:rsid w:val="1F63494D"/>
    <w:rsid w:val="1F927BDC"/>
    <w:rsid w:val="1FD020F8"/>
    <w:rsid w:val="1FE20707"/>
    <w:rsid w:val="1FE64182"/>
    <w:rsid w:val="200C3C23"/>
    <w:rsid w:val="20281ADB"/>
    <w:rsid w:val="20325D43"/>
    <w:rsid w:val="203A2484"/>
    <w:rsid w:val="20CA3EEF"/>
    <w:rsid w:val="20E406FC"/>
    <w:rsid w:val="20F52170"/>
    <w:rsid w:val="213C22E6"/>
    <w:rsid w:val="213D2165"/>
    <w:rsid w:val="217C0935"/>
    <w:rsid w:val="21A717DE"/>
    <w:rsid w:val="21DE339D"/>
    <w:rsid w:val="21DE779E"/>
    <w:rsid w:val="21E07C0E"/>
    <w:rsid w:val="220F7F28"/>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42B66E0"/>
    <w:rsid w:val="24B46637"/>
    <w:rsid w:val="25016F3F"/>
    <w:rsid w:val="25276E09"/>
    <w:rsid w:val="252D4FEE"/>
    <w:rsid w:val="253B7530"/>
    <w:rsid w:val="254A62EC"/>
    <w:rsid w:val="255B6AB3"/>
    <w:rsid w:val="25B53949"/>
    <w:rsid w:val="2609783F"/>
    <w:rsid w:val="26103D41"/>
    <w:rsid w:val="26182BBE"/>
    <w:rsid w:val="2623548B"/>
    <w:rsid w:val="262461E3"/>
    <w:rsid w:val="26513FE9"/>
    <w:rsid w:val="267A330E"/>
    <w:rsid w:val="26CB1A16"/>
    <w:rsid w:val="26CF7759"/>
    <w:rsid w:val="26EA739B"/>
    <w:rsid w:val="26FA0C40"/>
    <w:rsid w:val="270C3BDB"/>
    <w:rsid w:val="2719399B"/>
    <w:rsid w:val="273977AC"/>
    <w:rsid w:val="27784ED8"/>
    <w:rsid w:val="27840459"/>
    <w:rsid w:val="27854579"/>
    <w:rsid w:val="27C02416"/>
    <w:rsid w:val="27C76EF3"/>
    <w:rsid w:val="27CE1D61"/>
    <w:rsid w:val="27E70E9B"/>
    <w:rsid w:val="282F4953"/>
    <w:rsid w:val="28332399"/>
    <w:rsid w:val="284877C3"/>
    <w:rsid w:val="285A0BC7"/>
    <w:rsid w:val="286A0B60"/>
    <w:rsid w:val="28BD335E"/>
    <w:rsid w:val="293B4D0E"/>
    <w:rsid w:val="294C32E2"/>
    <w:rsid w:val="29657F00"/>
    <w:rsid w:val="29A0126F"/>
    <w:rsid w:val="29AE7D3A"/>
    <w:rsid w:val="29C6111F"/>
    <w:rsid w:val="29D0219D"/>
    <w:rsid w:val="29D77EF3"/>
    <w:rsid w:val="29E51041"/>
    <w:rsid w:val="29F20600"/>
    <w:rsid w:val="2A0277C5"/>
    <w:rsid w:val="2A391286"/>
    <w:rsid w:val="2A494281"/>
    <w:rsid w:val="2A4F4886"/>
    <w:rsid w:val="2A7F5505"/>
    <w:rsid w:val="2ABA427C"/>
    <w:rsid w:val="2B0A2EA3"/>
    <w:rsid w:val="2B143B98"/>
    <w:rsid w:val="2B3F2753"/>
    <w:rsid w:val="2B406EFF"/>
    <w:rsid w:val="2B6F7BD4"/>
    <w:rsid w:val="2B720822"/>
    <w:rsid w:val="2BAE19C7"/>
    <w:rsid w:val="2BB87E35"/>
    <w:rsid w:val="2BCE32E3"/>
    <w:rsid w:val="2C067B37"/>
    <w:rsid w:val="2C5379A3"/>
    <w:rsid w:val="2C974875"/>
    <w:rsid w:val="2CAD335C"/>
    <w:rsid w:val="2CCB4009"/>
    <w:rsid w:val="2CF33FC6"/>
    <w:rsid w:val="2CFD4778"/>
    <w:rsid w:val="2D0B6185"/>
    <w:rsid w:val="2D216834"/>
    <w:rsid w:val="2D4F1E09"/>
    <w:rsid w:val="2D6D14C1"/>
    <w:rsid w:val="2D7D4451"/>
    <w:rsid w:val="2DC42A84"/>
    <w:rsid w:val="2DE24215"/>
    <w:rsid w:val="2DE60E0D"/>
    <w:rsid w:val="2DF751F3"/>
    <w:rsid w:val="2E033B56"/>
    <w:rsid w:val="2E891740"/>
    <w:rsid w:val="2EA953B6"/>
    <w:rsid w:val="2EB07040"/>
    <w:rsid w:val="2EC27624"/>
    <w:rsid w:val="2ED75A9F"/>
    <w:rsid w:val="2EFC4E63"/>
    <w:rsid w:val="2F4D56BE"/>
    <w:rsid w:val="2F5842D0"/>
    <w:rsid w:val="2F5A7523"/>
    <w:rsid w:val="2F7F5907"/>
    <w:rsid w:val="2FA13062"/>
    <w:rsid w:val="2FB641FC"/>
    <w:rsid w:val="2FE36FA0"/>
    <w:rsid w:val="30055F99"/>
    <w:rsid w:val="30280E73"/>
    <w:rsid w:val="302E56FD"/>
    <w:rsid w:val="303D02A2"/>
    <w:rsid w:val="30882C93"/>
    <w:rsid w:val="30EC0D77"/>
    <w:rsid w:val="314B586D"/>
    <w:rsid w:val="316F02B9"/>
    <w:rsid w:val="317C0BC3"/>
    <w:rsid w:val="31913E8E"/>
    <w:rsid w:val="31CB3665"/>
    <w:rsid w:val="31CE0296"/>
    <w:rsid w:val="31DA771B"/>
    <w:rsid w:val="32034DFD"/>
    <w:rsid w:val="3203562A"/>
    <w:rsid w:val="320D5A10"/>
    <w:rsid w:val="3240150B"/>
    <w:rsid w:val="325D52F8"/>
    <w:rsid w:val="32902492"/>
    <w:rsid w:val="32A45F3D"/>
    <w:rsid w:val="32A82827"/>
    <w:rsid w:val="32B53456"/>
    <w:rsid w:val="33111653"/>
    <w:rsid w:val="332B21BB"/>
    <w:rsid w:val="334A479D"/>
    <w:rsid w:val="33641B20"/>
    <w:rsid w:val="33751688"/>
    <w:rsid w:val="33CF29A4"/>
    <w:rsid w:val="33EE79F7"/>
    <w:rsid w:val="34193CA8"/>
    <w:rsid w:val="34196205"/>
    <w:rsid w:val="34425A0E"/>
    <w:rsid w:val="344D5DD6"/>
    <w:rsid w:val="344F2ED9"/>
    <w:rsid w:val="34711E4F"/>
    <w:rsid w:val="34733E19"/>
    <w:rsid w:val="34A93377"/>
    <w:rsid w:val="34F26786"/>
    <w:rsid w:val="34FC56F2"/>
    <w:rsid w:val="35026F4B"/>
    <w:rsid w:val="35102324"/>
    <w:rsid w:val="355C665B"/>
    <w:rsid w:val="356E638F"/>
    <w:rsid w:val="358C2142"/>
    <w:rsid w:val="35A65B28"/>
    <w:rsid w:val="35BD418B"/>
    <w:rsid w:val="35D2375F"/>
    <w:rsid w:val="35E52AF5"/>
    <w:rsid w:val="35F8221C"/>
    <w:rsid w:val="3600792F"/>
    <w:rsid w:val="360702B8"/>
    <w:rsid w:val="360F36CE"/>
    <w:rsid w:val="3623361D"/>
    <w:rsid w:val="363C15BE"/>
    <w:rsid w:val="364F21A6"/>
    <w:rsid w:val="365D365D"/>
    <w:rsid w:val="36633A19"/>
    <w:rsid w:val="37236989"/>
    <w:rsid w:val="37256F21"/>
    <w:rsid w:val="374D21A7"/>
    <w:rsid w:val="375743B3"/>
    <w:rsid w:val="3772660A"/>
    <w:rsid w:val="37A5537B"/>
    <w:rsid w:val="37D7646D"/>
    <w:rsid w:val="37E2358C"/>
    <w:rsid w:val="37F17C4E"/>
    <w:rsid w:val="37FE4100"/>
    <w:rsid w:val="385B1F69"/>
    <w:rsid w:val="385F4816"/>
    <w:rsid w:val="3870241E"/>
    <w:rsid w:val="38DD7AB3"/>
    <w:rsid w:val="38EE00C1"/>
    <w:rsid w:val="39035FE4"/>
    <w:rsid w:val="39553EE3"/>
    <w:rsid w:val="395A55A8"/>
    <w:rsid w:val="396310BC"/>
    <w:rsid w:val="39657E94"/>
    <w:rsid w:val="39721A80"/>
    <w:rsid w:val="39817C51"/>
    <w:rsid w:val="39A405D1"/>
    <w:rsid w:val="39A93CBE"/>
    <w:rsid w:val="39A9723F"/>
    <w:rsid w:val="39E474A4"/>
    <w:rsid w:val="39ED29BF"/>
    <w:rsid w:val="39F234CA"/>
    <w:rsid w:val="39F32DB4"/>
    <w:rsid w:val="3A267238"/>
    <w:rsid w:val="3A357430"/>
    <w:rsid w:val="3A5A447A"/>
    <w:rsid w:val="3A5C2DAD"/>
    <w:rsid w:val="3A6B503D"/>
    <w:rsid w:val="3A747630"/>
    <w:rsid w:val="3AE01E17"/>
    <w:rsid w:val="3AE710BD"/>
    <w:rsid w:val="3AF31761"/>
    <w:rsid w:val="3AF37A62"/>
    <w:rsid w:val="3AF63950"/>
    <w:rsid w:val="3B143534"/>
    <w:rsid w:val="3B1E43B3"/>
    <w:rsid w:val="3B2B3384"/>
    <w:rsid w:val="3B454DA1"/>
    <w:rsid w:val="3B505571"/>
    <w:rsid w:val="3B5B1163"/>
    <w:rsid w:val="3B9113BF"/>
    <w:rsid w:val="3BAE5737"/>
    <w:rsid w:val="3BC278C2"/>
    <w:rsid w:val="3BEB7484"/>
    <w:rsid w:val="3C2526F2"/>
    <w:rsid w:val="3C635EB1"/>
    <w:rsid w:val="3C8D359E"/>
    <w:rsid w:val="3CAB2861"/>
    <w:rsid w:val="3CE543D4"/>
    <w:rsid w:val="3CE57675"/>
    <w:rsid w:val="3D156C40"/>
    <w:rsid w:val="3D3108F0"/>
    <w:rsid w:val="3D6D11F5"/>
    <w:rsid w:val="3D743AA7"/>
    <w:rsid w:val="3D92643C"/>
    <w:rsid w:val="3DB72FC9"/>
    <w:rsid w:val="3DBE69D1"/>
    <w:rsid w:val="3E016A21"/>
    <w:rsid w:val="3E0E6961"/>
    <w:rsid w:val="3E4F3DC9"/>
    <w:rsid w:val="3E6108DC"/>
    <w:rsid w:val="3EA971BA"/>
    <w:rsid w:val="3ECD05CA"/>
    <w:rsid w:val="3ED03C16"/>
    <w:rsid w:val="3EF773F5"/>
    <w:rsid w:val="3F035D9A"/>
    <w:rsid w:val="3F1C5008"/>
    <w:rsid w:val="3F2F6B8F"/>
    <w:rsid w:val="3F4D4E3D"/>
    <w:rsid w:val="3F542383"/>
    <w:rsid w:val="3F835F13"/>
    <w:rsid w:val="3F841982"/>
    <w:rsid w:val="3F9D520F"/>
    <w:rsid w:val="3FA96891"/>
    <w:rsid w:val="3FAC01DF"/>
    <w:rsid w:val="3FDE3B17"/>
    <w:rsid w:val="3FE12CBD"/>
    <w:rsid w:val="3FF73B50"/>
    <w:rsid w:val="409A021C"/>
    <w:rsid w:val="40C32F32"/>
    <w:rsid w:val="40CB0356"/>
    <w:rsid w:val="41194293"/>
    <w:rsid w:val="413744B8"/>
    <w:rsid w:val="416A0352"/>
    <w:rsid w:val="41747D82"/>
    <w:rsid w:val="4258398A"/>
    <w:rsid w:val="42586A54"/>
    <w:rsid w:val="429628AA"/>
    <w:rsid w:val="42B26B5F"/>
    <w:rsid w:val="42B4172C"/>
    <w:rsid w:val="42C37256"/>
    <w:rsid w:val="42ED4D97"/>
    <w:rsid w:val="42F51E9D"/>
    <w:rsid w:val="431412A9"/>
    <w:rsid w:val="43210EE4"/>
    <w:rsid w:val="436274D2"/>
    <w:rsid w:val="43C63BD6"/>
    <w:rsid w:val="441E71D2"/>
    <w:rsid w:val="445241CE"/>
    <w:rsid w:val="44774400"/>
    <w:rsid w:val="44A83362"/>
    <w:rsid w:val="44C9432E"/>
    <w:rsid w:val="44FD397C"/>
    <w:rsid w:val="452913FC"/>
    <w:rsid w:val="455920A4"/>
    <w:rsid w:val="45AD6A5F"/>
    <w:rsid w:val="45F75F2C"/>
    <w:rsid w:val="45F85A36"/>
    <w:rsid w:val="4618037D"/>
    <w:rsid w:val="46212B20"/>
    <w:rsid w:val="464C6002"/>
    <w:rsid w:val="465E6206"/>
    <w:rsid w:val="46944856"/>
    <w:rsid w:val="46BC2BD8"/>
    <w:rsid w:val="46D36999"/>
    <w:rsid w:val="472E158C"/>
    <w:rsid w:val="473954E9"/>
    <w:rsid w:val="473D1787"/>
    <w:rsid w:val="477A116A"/>
    <w:rsid w:val="478B2DD0"/>
    <w:rsid w:val="479C6D8B"/>
    <w:rsid w:val="47A9421E"/>
    <w:rsid w:val="47C50090"/>
    <w:rsid w:val="47DB5B06"/>
    <w:rsid w:val="47E80223"/>
    <w:rsid w:val="47EE4E56"/>
    <w:rsid w:val="47EF638A"/>
    <w:rsid w:val="47F97336"/>
    <w:rsid w:val="480706A9"/>
    <w:rsid w:val="48160B49"/>
    <w:rsid w:val="482173AE"/>
    <w:rsid w:val="4860600B"/>
    <w:rsid w:val="48636034"/>
    <w:rsid w:val="488B4B77"/>
    <w:rsid w:val="48B7790B"/>
    <w:rsid w:val="48E549E9"/>
    <w:rsid w:val="49033566"/>
    <w:rsid w:val="492E2E2E"/>
    <w:rsid w:val="492E43F8"/>
    <w:rsid w:val="49394063"/>
    <w:rsid w:val="4A0977B8"/>
    <w:rsid w:val="4A1D0657"/>
    <w:rsid w:val="4A317C5F"/>
    <w:rsid w:val="4A464AE8"/>
    <w:rsid w:val="4A560B18"/>
    <w:rsid w:val="4A7933B4"/>
    <w:rsid w:val="4AD36F68"/>
    <w:rsid w:val="4ADB4211"/>
    <w:rsid w:val="4ADD7DE7"/>
    <w:rsid w:val="4AEF7951"/>
    <w:rsid w:val="4AFD5D93"/>
    <w:rsid w:val="4B367F93"/>
    <w:rsid w:val="4B6E3924"/>
    <w:rsid w:val="4B86222C"/>
    <w:rsid w:val="4BA12BC2"/>
    <w:rsid w:val="4BBE0575"/>
    <w:rsid w:val="4BC211D2"/>
    <w:rsid w:val="4BE5149F"/>
    <w:rsid w:val="4BFC24EE"/>
    <w:rsid w:val="4BFE5973"/>
    <w:rsid w:val="4C224242"/>
    <w:rsid w:val="4C3D1913"/>
    <w:rsid w:val="4C40385D"/>
    <w:rsid w:val="4C485734"/>
    <w:rsid w:val="4CCD64F4"/>
    <w:rsid w:val="4CE92A73"/>
    <w:rsid w:val="4D092279"/>
    <w:rsid w:val="4D0D7563"/>
    <w:rsid w:val="4D1A0E7E"/>
    <w:rsid w:val="4D317F76"/>
    <w:rsid w:val="4D331F40"/>
    <w:rsid w:val="4D3B084B"/>
    <w:rsid w:val="4D530AA8"/>
    <w:rsid w:val="4D7E572D"/>
    <w:rsid w:val="4DA27269"/>
    <w:rsid w:val="4DEF6893"/>
    <w:rsid w:val="4E0C71FC"/>
    <w:rsid w:val="4E402B66"/>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352C4"/>
    <w:rsid w:val="51BA2F76"/>
    <w:rsid w:val="52220DD4"/>
    <w:rsid w:val="52320A18"/>
    <w:rsid w:val="529A036B"/>
    <w:rsid w:val="52A34AB6"/>
    <w:rsid w:val="52E07E04"/>
    <w:rsid w:val="53063385"/>
    <w:rsid w:val="53412BBB"/>
    <w:rsid w:val="53500FF5"/>
    <w:rsid w:val="53530C46"/>
    <w:rsid w:val="53B611D5"/>
    <w:rsid w:val="53CB255A"/>
    <w:rsid w:val="53EB29D5"/>
    <w:rsid w:val="5418171E"/>
    <w:rsid w:val="54240A2E"/>
    <w:rsid w:val="54333F25"/>
    <w:rsid w:val="543A0953"/>
    <w:rsid w:val="54635240"/>
    <w:rsid w:val="5510685A"/>
    <w:rsid w:val="551D56FC"/>
    <w:rsid w:val="554671C6"/>
    <w:rsid w:val="5552584C"/>
    <w:rsid w:val="556D1D67"/>
    <w:rsid w:val="557D0725"/>
    <w:rsid w:val="55BB4671"/>
    <w:rsid w:val="55FE7A11"/>
    <w:rsid w:val="561D553B"/>
    <w:rsid w:val="562D6C09"/>
    <w:rsid w:val="56321E1B"/>
    <w:rsid w:val="568D3428"/>
    <w:rsid w:val="56982E14"/>
    <w:rsid w:val="56A774E2"/>
    <w:rsid w:val="56B05C18"/>
    <w:rsid w:val="57213788"/>
    <w:rsid w:val="57366542"/>
    <w:rsid w:val="575D5514"/>
    <w:rsid w:val="57793128"/>
    <w:rsid w:val="57831D16"/>
    <w:rsid w:val="579F706F"/>
    <w:rsid w:val="57D528CD"/>
    <w:rsid w:val="57E227D2"/>
    <w:rsid w:val="57EE22E8"/>
    <w:rsid w:val="57FA3D86"/>
    <w:rsid w:val="58015C98"/>
    <w:rsid w:val="581F559B"/>
    <w:rsid w:val="58236478"/>
    <w:rsid w:val="585B5276"/>
    <w:rsid w:val="588E54CA"/>
    <w:rsid w:val="58922210"/>
    <w:rsid w:val="58A9755A"/>
    <w:rsid w:val="58AE5938"/>
    <w:rsid w:val="590C3FF5"/>
    <w:rsid w:val="59407F54"/>
    <w:rsid w:val="596A2319"/>
    <w:rsid w:val="597E1677"/>
    <w:rsid w:val="59823E17"/>
    <w:rsid w:val="59851D75"/>
    <w:rsid w:val="59937919"/>
    <w:rsid w:val="59E92304"/>
    <w:rsid w:val="59FF543B"/>
    <w:rsid w:val="5A317655"/>
    <w:rsid w:val="5A3572F7"/>
    <w:rsid w:val="5A386DE8"/>
    <w:rsid w:val="5A3C6C73"/>
    <w:rsid w:val="5A635C5A"/>
    <w:rsid w:val="5AB02E22"/>
    <w:rsid w:val="5AD81D9A"/>
    <w:rsid w:val="5ADC209B"/>
    <w:rsid w:val="5B26691A"/>
    <w:rsid w:val="5B3C6463"/>
    <w:rsid w:val="5B5E28C5"/>
    <w:rsid w:val="5B6D2AE6"/>
    <w:rsid w:val="5B745BFD"/>
    <w:rsid w:val="5B7B595E"/>
    <w:rsid w:val="5B9900F2"/>
    <w:rsid w:val="5BA34735"/>
    <w:rsid w:val="5BF467EC"/>
    <w:rsid w:val="5C043425"/>
    <w:rsid w:val="5C11169E"/>
    <w:rsid w:val="5C25339C"/>
    <w:rsid w:val="5C3230A8"/>
    <w:rsid w:val="5C323CC9"/>
    <w:rsid w:val="5C34538D"/>
    <w:rsid w:val="5C441A74"/>
    <w:rsid w:val="5C447DD1"/>
    <w:rsid w:val="5C574268"/>
    <w:rsid w:val="5C6B5BC5"/>
    <w:rsid w:val="5CA66E29"/>
    <w:rsid w:val="5CB86213"/>
    <w:rsid w:val="5CBF2962"/>
    <w:rsid w:val="5D530D5F"/>
    <w:rsid w:val="5D9D79EF"/>
    <w:rsid w:val="5DA707E9"/>
    <w:rsid w:val="5DB70229"/>
    <w:rsid w:val="5DE11544"/>
    <w:rsid w:val="5DEE3CCB"/>
    <w:rsid w:val="5DF21B98"/>
    <w:rsid w:val="5E1216FE"/>
    <w:rsid w:val="5E3308A2"/>
    <w:rsid w:val="5E575A76"/>
    <w:rsid w:val="5E5B09E5"/>
    <w:rsid w:val="5E60690D"/>
    <w:rsid w:val="5E68756F"/>
    <w:rsid w:val="5E7F77FB"/>
    <w:rsid w:val="5EAE4DD9"/>
    <w:rsid w:val="5EB804F7"/>
    <w:rsid w:val="5F2B6984"/>
    <w:rsid w:val="5F4158B1"/>
    <w:rsid w:val="5F6150CD"/>
    <w:rsid w:val="5F6D7533"/>
    <w:rsid w:val="5F987E63"/>
    <w:rsid w:val="5FCB28E4"/>
    <w:rsid w:val="5FCF7853"/>
    <w:rsid w:val="5FD52766"/>
    <w:rsid w:val="5FE5531C"/>
    <w:rsid w:val="5FF46D11"/>
    <w:rsid w:val="60384AA2"/>
    <w:rsid w:val="603E27C8"/>
    <w:rsid w:val="6093514A"/>
    <w:rsid w:val="60BA6EBD"/>
    <w:rsid w:val="610417D1"/>
    <w:rsid w:val="610B7004"/>
    <w:rsid w:val="6122434D"/>
    <w:rsid w:val="614F7E1C"/>
    <w:rsid w:val="61706E67"/>
    <w:rsid w:val="617B022B"/>
    <w:rsid w:val="61B42238"/>
    <w:rsid w:val="61F01D56"/>
    <w:rsid w:val="62233ED9"/>
    <w:rsid w:val="62247EF5"/>
    <w:rsid w:val="62CF4061"/>
    <w:rsid w:val="631430B3"/>
    <w:rsid w:val="637C5F97"/>
    <w:rsid w:val="638A11D4"/>
    <w:rsid w:val="63F41F58"/>
    <w:rsid w:val="63F76584"/>
    <w:rsid w:val="641212B3"/>
    <w:rsid w:val="644C3BBB"/>
    <w:rsid w:val="64B04A7C"/>
    <w:rsid w:val="64F32289"/>
    <w:rsid w:val="65045518"/>
    <w:rsid w:val="653F54CE"/>
    <w:rsid w:val="654752D4"/>
    <w:rsid w:val="65822F09"/>
    <w:rsid w:val="65965996"/>
    <w:rsid w:val="659730E5"/>
    <w:rsid w:val="65B53340"/>
    <w:rsid w:val="65C82F60"/>
    <w:rsid w:val="65CE0D2C"/>
    <w:rsid w:val="65DF280D"/>
    <w:rsid w:val="663E0D58"/>
    <w:rsid w:val="66846410"/>
    <w:rsid w:val="66A24F5B"/>
    <w:rsid w:val="66A6332B"/>
    <w:rsid w:val="66FD6D51"/>
    <w:rsid w:val="671F6E1E"/>
    <w:rsid w:val="672F0A3C"/>
    <w:rsid w:val="67453492"/>
    <w:rsid w:val="67A02C6C"/>
    <w:rsid w:val="67E71B6D"/>
    <w:rsid w:val="67EF6CEE"/>
    <w:rsid w:val="67FF20E2"/>
    <w:rsid w:val="68306BC4"/>
    <w:rsid w:val="688073EB"/>
    <w:rsid w:val="68842FD3"/>
    <w:rsid w:val="689C2C37"/>
    <w:rsid w:val="68A2014F"/>
    <w:rsid w:val="68BF6DF6"/>
    <w:rsid w:val="68C43E52"/>
    <w:rsid w:val="68F55EA4"/>
    <w:rsid w:val="690B1A91"/>
    <w:rsid w:val="69201173"/>
    <w:rsid w:val="692B215E"/>
    <w:rsid w:val="698C3515"/>
    <w:rsid w:val="698E432E"/>
    <w:rsid w:val="69992B92"/>
    <w:rsid w:val="69D41F5D"/>
    <w:rsid w:val="69E9103A"/>
    <w:rsid w:val="6A9040D6"/>
    <w:rsid w:val="6AC50223"/>
    <w:rsid w:val="6AD26CD2"/>
    <w:rsid w:val="6B016D82"/>
    <w:rsid w:val="6B2D6EEB"/>
    <w:rsid w:val="6B317586"/>
    <w:rsid w:val="6B5F5D4D"/>
    <w:rsid w:val="6B685053"/>
    <w:rsid w:val="6BAA790A"/>
    <w:rsid w:val="6BAF4A30"/>
    <w:rsid w:val="6BB93969"/>
    <w:rsid w:val="6BC06C3D"/>
    <w:rsid w:val="6C0D4AD4"/>
    <w:rsid w:val="6C3D5F2F"/>
    <w:rsid w:val="6C575222"/>
    <w:rsid w:val="6C5A0E3F"/>
    <w:rsid w:val="6C6770B8"/>
    <w:rsid w:val="6C71768C"/>
    <w:rsid w:val="6CA125CA"/>
    <w:rsid w:val="6CB22DA1"/>
    <w:rsid w:val="6CB46566"/>
    <w:rsid w:val="6CC03E6D"/>
    <w:rsid w:val="6CD363C3"/>
    <w:rsid w:val="6CD526FE"/>
    <w:rsid w:val="6D3451EC"/>
    <w:rsid w:val="6D8855DB"/>
    <w:rsid w:val="6DE360A7"/>
    <w:rsid w:val="6DEE5CE3"/>
    <w:rsid w:val="6E245261"/>
    <w:rsid w:val="6E2D3C69"/>
    <w:rsid w:val="6EA57E47"/>
    <w:rsid w:val="6EB736CD"/>
    <w:rsid w:val="6ECE2BD2"/>
    <w:rsid w:val="6ED468F0"/>
    <w:rsid w:val="6EFF182A"/>
    <w:rsid w:val="6F011A46"/>
    <w:rsid w:val="6F33171B"/>
    <w:rsid w:val="6F7044D6"/>
    <w:rsid w:val="6F965673"/>
    <w:rsid w:val="6F9E54E7"/>
    <w:rsid w:val="6FBB10C2"/>
    <w:rsid w:val="6FDB730A"/>
    <w:rsid w:val="6FDD7DBD"/>
    <w:rsid w:val="700A4B8C"/>
    <w:rsid w:val="70227CFD"/>
    <w:rsid w:val="70334E10"/>
    <w:rsid w:val="70756248"/>
    <w:rsid w:val="707A11F3"/>
    <w:rsid w:val="707F2C23"/>
    <w:rsid w:val="709C6F93"/>
    <w:rsid w:val="70A90AD2"/>
    <w:rsid w:val="71031D5F"/>
    <w:rsid w:val="71056959"/>
    <w:rsid w:val="713C0F09"/>
    <w:rsid w:val="71567C44"/>
    <w:rsid w:val="715D0F71"/>
    <w:rsid w:val="71756B0D"/>
    <w:rsid w:val="717F5B7A"/>
    <w:rsid w:val="71866233"/>
    <w:rsid w:val="719721EE"/>
    <w:rsid w:val="71D12840"/>
    <w:rsid w:val="71DA1240"/>
    <w:rsid w:val="71EF48DF"/>
    <w:rsid w:val="72475D22"/>
    <w:rsid w:val="725400DF"/>
    <w:rsid w:val="7270363A"/>
    <w:rsid w:val="72955F39"/>
    <w:rsid w:val="72BC3722"/>
    <w:rsid w:val="72CE4767"/>
    <w:rsid w:val="72D20B62"/>
    <w:rsid w:val="731E506B"/>
    <w:rsid w:val="73372E32"/>
    <w:rsid w:val="73400CFB"/>
    <w:rsid w:val="734A2124"/>
    <w:rsid w:val="734C3231"/>
    <w:rsid w:val="73A017A5"/>
    <w:rsid w:val="73CE48E4"/>
    <w:rsid w:val="73E37359"/>
    <w:rsid w:val="73E55A30"/>
    <w:rsid w:val="73E86D31"/>
    <w:rsid w:val="73F25C64"/>
    <w:rsid w:val="7445675C"/>
    <w:rsid w:val="745771EB"/>
    <w:rsid w:val="74675EA7"/>
    <w:rsid w:val="7474601E"/>
    <w:rsid w:val="747D01F0"/>
    <w:rsid w:val="74934EEE"/>
    <w:rsid w:val="74A34E73"/>
    <w:rsid w:val="74B97E59"/>
    <w:rsid w:val="74C40EAA"/>
    <w:rsid w:val="755778E6"/>
    <w:rsid w:val="758F7D6B"/>
    <w:rsid w:val="75A153E9"/>
    <w:rsid w:val="75A44ED9"/>
    <w:rsid w:val="75C16B30"/>
    <w:rsid w:val="75DC08C0"/>
    <w:rsid w:val="75F565F2"/>
    <w:rsid w:val="75FA6B3E"/>
    <w:rsid w:val="760B6D06"/>
    <w:rsid w:val="764F12E9"/>
    <w:rsid w:val="76530DD9"/>
    <w:rsid w:val="7658375B"/>
    <w:rsid w:val="7672338B"/>
    <w:rsid w:val="767D7F65"/>
    <w:rsid w:val="76856640"/>
    <w:rsid w:val="76A809F9"/>
    <w:rsid w:val="76C31579"/>
    <w:rsid w:val="77197752"/>
    <w:rsid w:val="774150D6"/>
    <w:rsid w:val="77494B12"/>
    <w:rsid w:val="776E39F1"/>
    <w:rsid w:val="77856B44"/>
    <w:rsid w:val="77A70D03"/>
    <w:rsid w:val="77C35511"/>
    <w:rsid w:val="77C67389"/>
    <w:rsid w:val="77CE573C"/>
    <w:rsid w:val="77DA51F2"/>
    <w:rsid w:val="78127750"/>
    <w:rsid w:val="782E0F03"/>
    <w:rsid w:val="78593AF3"/>
    <w:rsid w:val="78742588"/>
    <w:rsid w:val="787A3E9B"/>
    <w:rsid w:val="787B5781"/>
    <w:rsid w:val="78B76110"/>
    <w:rsid w:val="78C733B9"/>
    <w:rsid w:val="79250FDE"/>
    <w:rsid w:val="792B6F2B"/>
    <w:rsid w:val="794F7C90"/>
    <w:rsid w:val="79864F50"/>
    <w:rsid w:val="79AB2884"/>
    <w:rsid w:val="79B7167F"/>
    <w:rsid w:val="79C124FE"/>
    <w:rsid w:val="79D7619B"/>
    <w:rsid w:val="79E1494E"/>
    <w:rsid w:val="79E14EC0"/>
    <w:rsid w:val="79FA7343"/>
    <w:rsid w:val="79FC26F3"/>
    <w:rsid w:val="7A08406B"/>
    <w:rsid w:val="7A173293"/>
    <w:rsid w:val="7A251E31"/>
    <w:rsid w:val="7A382CBF"/>
    <w:rsid w:val="7A643FFA"/>
    <w:rsid w:val="7A6D1D3E"/>
    <w:rsid w:val="7A811750"/>
    <w:rsid w:val="7A831561"/>
    <w:rsid w:val="7AB160CE"/>
    <w:rsid w:val="7AB67B89"/>
    <w:rsid w:val="7AB8722A"/>
    <w:rsid w:val="7AD040D4"/>
    <w:rsid w:val="7AD972A3"/>
    <w:rsid w:val="7AFD4FEE"/>
    <w:rsid w:val="7B17441B"/>
    <w:rsid w:val="7B1E128A"/>
    <w:rsid w:val="7B206841"/>
    <w:rsid w:val="7B292109"/>
    <w:rsid w:val="7B2A11CE"/>
    <w:rsid w:val="7B861AB8"/>
    <w:rsid w:val="7BBB0959"/>
    <w:rsid w:val="7BCE0366"/>
    <w:rsid w:val="7BDA3403"/>
    <w:rsid w:val="7BEB0B45"/>
    <w:rsid w:val="7BF02C26"/>
    <w:rsid w:val="7C030BAC"/>
    <w:rsid w:val="7C556F2D"/>
    <w:rsid w:val="7CB579CC"/>
    <w:rsid w:val="7D1868D9"/>
    <w:rsid w:val="7D24527D"/>
    <w:rsid w:val="7D27773C"/>
    <w:rsid w:val="7D3356C7"/>
    <w:rsid w:val="7D3D1976"/>
    <w:rsid w:val="7D422172"/>
    <w:rsid w:val="7D4713B5"/>
    <w:rsid w:val="7D5976B6"/>
    <w:rsid w:val="7D6A3904"/>
    <w:rsid w:val="7D92368A"/>
    <w:rsid w:val="7DA07E94"/>
    <w:rsid w:val="7DA16F04"/>
    <w:rsid w:val="7DB36601"/>
    <w:rsid w:val="7E2D0162"/>
    <w:rsid w:val="7E321CD4"/>
    <w:rsid w:val="7E646068"/>
    <w:rsid w:val="7E9E0362"/>
    <w:rsid w:val="7EA3546E"/>
    <w:rsid w:val="7EB33EA8"/>
    <w:rsid w:val="7ED6280D"/>
    <w:rsid w:val="7F06620E"/>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link w:val="199"/>
    <w:autoRedefine/>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4">
    <w:name w:val="heading 2"/>
    <w:basedOn w:val="1"/>
    <w:next w:val="5"/>
    <w:link w:val="168"/>
    <w:autoRedefine/>
    <w:qFormat/>
    <w:uiPriority w:val="0"/>
    <w:pPr>
      <w:keepNext/>
      <w:keepLines/>
      <w:spacing w:before="120" w:after="120" w:line="360" w:lineRule="exact"/>
      <w:jc w:val="center"/>
      <w:outlineLvl w:val="1"/>
    </w:pPr>
    <w:rPr>
      <w:rFonts w:ascii="宋体" w:hAnsi="宋体"/>
      <w:b/>
      <w:sz w:val="24"/>
      <w:szCs w:val="24"/>
    </w:rPr>
  </w:style>
  <w:style w:type="paragraph" w:styleId="9">
    <w:name w:val="heading 3"/>
    <w:basedOn w:val="1"/>
    <w:next w:val="1"/>
    <w:link w:val="212"/>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10">
    <w:name w:val="heading 4"/>
    <w:basedOn w:val="1"/>
    <w:next w:val="3"/>
    <w:link w:val="97"/>
    <w:autoRedefine/>
    <w:qFormat/>
    <w:uiPriority w:val="0"/>
    <w:pPr>
      <w:keepNext/>
      <w:keepLines/>
      <w:spacing w:before="120" w:after="120"/>
      <w:outlineLvl w:val="3"/>
    </w:pPr>
    <w:rPr>
      <w:rFonts w:ascii="Arial" w:hAnsi="Arial" w:eastAsia="黑体"/>
      <w:b/>
      <w:sz w:val="20"/>
    </w:rPr>
  </w:style>
  <w:style w:type="paragraph" w:styleId="11">
    <w:name w:val="heading 5"/>
    <w:basedOn w:val="1"/>
    <w:next w:val="5"/>
    <w:link w:val="87"/>
    <w:autoRedefine/>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2">
    <w:name w:val="heading 6"/>
    <w:basedOn w:val="1"/>
    <w:next w:val="1"/>
    <w:link w:val="131"/>
    <w:autoRedefine/>
    <w:qFormat/>
    <w:uiPriority w:val="0"/>
    <w:pPr>
      <w:keepNext/>
      <w:keepLines/>
      <w:spacing w:before="240" w:after="64" w:line="319" w:lineRule="auto"/>
      <w:outlineLvl w:val="5"/>
    </w:pPr>
    <w:rPr>
      <w:rFonts w:ascii="Arial" w:hAnsi="Arial" w:eastAsia="黑体"/>
      <w:b/>
      <w:bCs/>
      <w:sz w:val="24"/>
      <w:szCs w:val="24"/>
    </w:rPr>
  </w:style>
  <w:style w:type="paragraph" w:styleId="13">
    <w:name w:val="heading 7"/>
    <w:basedOn w:val="1"/>
    <w:next w:val="1"/>
    <w:link w:val="146"/>
    <w:autoRedefine/>
    <w:qFormat/>
    <w:uiPriority w:val="0"/>
    <w:pPr>
      <w:keepNext/>
      <w:keepLines/>
      <w:spacing w:before="240" w:after="64" w:line="319" w:lineRule="auto"/>
      <w:outlineLvl w:val="6"/>
    </w:pPr>
    <w:rPr>
      <w:b/>
      <w:bCs/>
      <w:sz w:val="24"/>
      <w:szCs w:val="24"/>
    </w:rPr>
  </w:style>
  <w:style w:type="paragraph" w:styleId="14">
    <w:name w:val="heading 8"/>
    <w:basedOn w:val="1"/>
    <w:next w:val="1"/>
    <w:link w:val="160"/>
    <w:autoRedefine/>
    <w:qFormat/>
    <w:uiPriority w:val="0"/>
    <w:pPr>
      <w:keepNext/>
      <w:keepLines/>
      <w:spacing w:before="240" w:after="64" w:line="319" w:lineRule="auto"/>
      <w:outlineLvl w:val="7"/>
    </w:pPr>
    <w:rPr>
      <w:rFonts w:ascii="Arial" w:hAnsi="Arial" w:eastAsia="黑体"/>
      <w:sz w:val="24"/>
      <w:szCs w:val="24"/>
    </w:rPr>
  </w:style>
  <w:style w:type="paragraph" w:styleId="15">
    <w:name w:val="heading 9"/>
    <w:basedOn w:val="1"/>
    <w:next w:val="1"/>
    <w:link w:val="166"/>
    <w:autoRedefine/>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autoRedefine/>
    <w:semiHidden/>
    <w:unhideWhenUsed/>
    <w:qFormat/>
    <w:uiPriority w:val="1"/>
  </w:style>
  <w:style w:type="table" w:default="1" w:styleId="6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464"/>
    <w:autoRedefine/>
    <w:qFormat/>
    <w:uiPriority w:val="0"/>
    <w:rPr>
      <w:rFonts w:ascii="楷体_GB2312" w:hAnsi="Arial" w:eastAsia="楷体_GB2312"/>
      <w:sz w:val="20"/>
    </w:rPr>
  </w:style>
  <w:style w:type="paragraph" w:styleId="5">
    <w:name w:val="Normal Indent"/>
    <w:basedOn w:val="1"/>
    <w:next w:val="6"/>
    <w:autoRedefine/>
    <w:qFormat/>
    <w:uiPriority w:val="0"/>
    <w:pPr>
      <w:ind w:firstLine="420"/>
    </w:pPr>
  </w:style>
  <w:style w:type="paragraph" w:styleId="6">
    <w:name w:val="Body Text First Indent 2"/>
    <w:basedOn w:val="7"/>
    <w:autoRedefine/>
    <w:unhideWhenUsed/>
    <w:qFormat/>
    <w:uiPriority w:val="99"/>
    <w:pPr>
      <w:spacing w:after="120"/>
      <w:ind w:left="420" w:leftChars="200" w:firstLine="420"/>
    </w:pPr>
    <w:rPr>
      <w:sz w:val="21"/>
      <w:szCs w:val="24"/>
    </w:rPr>
  </w:style>
  <w:style w:type="paragraph" w:styleId="7">
    <w:name w:val="Body Text Indent"/>
    <w:basedOn w:val="1"/>
    <w:next w:val="8"/>
    <w:link w:val="178"/>
    <w:autoRedefine/>
    <w:qFormat/>
    <w:uiPriority w:val="0"/>
    <w:pPr>
      <w:ind w:firstLine="645"/>
    </w:pPr>
    <w:rPr>
      <w:sz w:val="20"/>
    </w:rPr>
  </w:style>
  <w:style w:type="paragraph" w:styleId="8">
    <w:name w:val="envelope return"/>
    <w:basedOn w:val="1"/>
    <w:autoRedefine/>
    <w:unhideWhenUsed/>
    <w:qFormat/>
    <w:uiPriority w:val="99"/>
    <w:pPr>
      <w:snapToGrid w:val="0"/>
    </w:pPr>
    <w:rPr>
      <w:rFonts w:hint="eastAsia" w:ascii="Arial" w:hAnsi="Arial"/>
    </w:rPr>
  </w:style>
  <w:style w:type="paragraph" w:styleId="16">
    <w:name w:val="List 3"/>
    <w:basedOn w:val="1"/>
    <w:autoRedefine/>
    <w:qFormat/>
    <w:uiPriority w:val="0"/>
    <w:pPr>
      <w:ind w:left="1260" w:hanging="420"/>
    </w:pPr>
  </w:style>
  <w:style w:type="paragraph" w:styleId="17">
    <w:name w:val="toc 7"/>
    <w:basedOn w:val="1"/>
    <w:next w:val="1"/>
    <w:autoRedefine/>
    <w:qFormat/>
    <w:uiPriority w:val="0"/>
    <w:pPr>
      <w:ind w:left="1260"/>
      <w:jc w:val="left"/>
    </w:pPr>
    <w:rPr>
      <w:sz w:val="18"/>
    </w:rPr>
  </w:style>
  <w:style w:type="paragraph" w:styleId="18">
    <w:name w:val="List Number 2"/>
    <w:basedOn w:val="1"/>
    <w:autoRedefine/>
    <w:qFormat/>
    <w:uiPriority w:val="0"/>
    <w:pPr>
      <w:tabs>
        <w:tab w:val="left" w:pos="1440"/>
      </w:tabs>
      <w:spacing w:line="360" w:lineRule="auto"/>
      <w:ind w:left="1440" w:hanging="1440"/>
    </w:pPr>
    <w:rPr>
      <w:sz w:val="24"/>
      <w:szCs w:val="24"/>
    </w:rPr>
  </w:style>
  <w:style w:type="paragraph" w:styleId="19">
    <w:name w:val="index 8"/>
    <w:basedOn w:val="1"/>
    <w:next w:val="1"/>
    <w:autoRedefine/>
    <w:qFormat/>
    <w:uiPriority w:val="0"/>
    <w:pPr>
      <w:ind w:left="2940"/>
    </w:pPr>
  </w:style>
  <w:style w:type="paragraph" w:styleId="20">
    <w:name w:val="List Number"/>
    <w:basedOn w:val="1"/>
    <w:autoRedefine/>
    <w:qFormat/>
    <w:uiPriority w:val="0"/>
    <w:pPr>
      <w:tabs>
        <w:tab w:val="left" w:pos="2952"/>
      </w:tabs>
      <w:ind w:left="2952" w:hanging="432"/>
    </w:pPr>
    <w:rPr>
      <w:szCs w:val="24"/>
    </w:rPr>
  </w:style>
  <w:style w:type="paragraph" w:styleId="21">
    <w:name w:val="index 5"/>
    <w:basedOn w:val="1"/>
    <w:next w:val="1"/>
    <w:autoRedefine/>
    <w:qFormat/>
    <w:uiPriority w:val="0"/>
    <w:pPr>
      <w:ind w:left="1680"/>
    </w:pPr>
  </w:style>
  <w:style w:type="paragraph" w:styleId="22">
    <w:name w:val="Document Map"/>
    <w:basedOn w:val="1"/>
    <w:link w:val="205"/>
    <w:autoRedefine/>
    <w:qFormat/>
    <w:uiPriority w:val="0"/>
    <w:pPr>
      <w:shd w:val="clear" w:color="auto" w:fill="000080"/>
    </w:pPr>
    <w:rPr>
      <w:rFonts w:ascii="宋体"/>
      <w:sz w:val="18"/>
      <w:szCs w:val="18"/>
    </w:rPr>
  </w:style>
  <w:style w:type="paragraph" w:styleId="23">
    <w:name w:val="annotation text"/>
    <w:basedOn w:val="1"/>
    <w:link w:val="137"/>
    <w:autoRedefine/>
    <w:qFormat/>
    <w:uiPriority w:val="99"/>
    <w:pPr>
      <w:jc w:val="left"/>
    </w:pPr>
    <w:rPr>
      <w:sz w:val="20"/>
    </w:rPr>
  </w:style>
  <w:style w:type="paragraph" w:styleId="24">
    <w:name w:val="index 6"/>
    <w:basedOn w:val="1"/>
    <w:next w:val="1"/>
    <w:autoRedefine/>
    <w:qFormat/>
    <w:uiPriority w:val="0"/>
    <w:pPr>
      <w:ind w:left="2100"/>
    </w:pPr>
  </w:style>
  <w:style w:type="paragraph" w:styleId="25">
    <w:name w:val="Salutation"/>
    <w:basedOn w:val="1"/>
    <w:next w:val="1"/>
    <w:link w:val="201"/>
    <w:autoRedefine/>
    <w:qFormat/>
    <w:uiPriority w:val="0"/>
    <w:rPr>
      <w:rFonts w:ascii="仿宋_GB2312" w:eastAsia="仿宋_GB2312"/>
      <w:sz w:val="20"/>
    </w:rPr>
  </w:style>
  <w:style w:type="paragraph" w:styleId="26">
    <w:name w:val="Body Text 3"/>
    <w:basedOn w:val="1"/>
    <w:link w:val="98"/>
    <w:autoRedefine/>
    <w:qFormat/>
    <w:uiPriority w:val="0"/>
    <w:rPr>
      <w:rFonts w:ascii="仿宋_GB2312" w:hAnsi="Arial" w:eastAsia="仿宋_GB2312"/>
      <w:sz w:val="20"/>
    </w:rPr>
  </w:style>
  <w:style w:type="paragraph" w:styleId="27">
    <w:name w:val="List Bullet 2"/>
    <w:basedOn w:val="1"/>
    <w:autoRedefine/>
    <w:semiHidden/>
    <w:unhideWhenUsed/>
    <w:qFormat/>
    <w:uiPriority w:val="99"/>
    <w:pPr>
      <w:numPr>
        <w:ilvl w:val="0"/>
        <w:numId w:val="1"/>
      </w:numPr>
    </w:pPr>
  </w:style>
  <w:style w:type="paragraph" w:styleId="28">
    <w:name w:val="index 4"/>
    <w:basedOn w:val="1"/>
    <w:next w:val="1"/>
    <w:autoRedefine/>
    <w:qFormat/>
    <w:uiPriority w:val="0"/>
    <w:pPr>
      <w:ind w:left="1260"/>
    </w:pPr>
  </w:style>
  <w:style w:type="paragraph" w:styleId="29">
    <w:name w:val="toc 5"/>
    <w:basedOn w:val="1"/>
    <w:next w:val="1"/>
    <w:autoRedefine/>
    <w:qFormat/>
    <w:uiPriority w:val="0"/>
    <w:pPr>
      <w:ind w:left="840"/>
      <w:jc w:val="left"/>
    </w:pPr>
    <w:rPr>
      <w:sz w:val="18"/>
    </w:rPr>
  </w:style>
  <w:style w:type="paragraph" w:styleId="30">
    <w:name w:val="toc 3"/>
    <w:basedOn w:val="1"/>
    <w:next w:val="1"/>
    <w:autoRedefine/>
    <w:qFormat/>
    <w:uiPriority w:val="39"/>
    <w:pPr>
      <w:ind w:left="420"/>
      <w:jc w:val="left"/>
    </w:pPr>
    <w:rPr>
      <w:i/>
      <w:sz w:val="20"/>
    </w:rPr>
  </w:style>
  <w:style w:type="paragraph" w:styleId="31">
    <w:name w:val="Plain Text"/>
    <w:basedOn w:val="1"/>
    <w:link w:val="130"/>
    <w:autoRedefine/>
    <w:qFormat/>
    <w:uiPriority w:val="99"/>
    <w:rPr>
      <w:rFonts w:ascii="宋体" w:hAnsi="Courier New" w:cs="Courier New"/>
      <w:szCs w:val="21"/>
    </w:rPr>
  </w:style>
  <w:style w:type="paragraph" w:styleId="32">
    <w:name w:val="toc 8"/>
    <w:basedOn w:val="1"/>
    <w:next w:val="1"/>
    <w:autoRedefine/>
    <w:qFormat/>
    <w:uiPriority w:val="0"/>
    <w:pPr>
      <w:ind w:left="1470"/>
      <w:jc w:val="left"/>
    </w:pPr>
    <w:rPr>
      <w:sz w:val="18"/>
    </w:rPr>
  </w:style>
  <w:style w:type="paragraph" w:styleId="33">
    <w:name w:val="index 3"/>
    <w:basedOn w:val="1"/>
    <w:next w:val="1"/>
    <w:autoRedefine/>
    <w:qFormat/>
    <w:uiPriority w:val="0"/>
    <w:pPr>
      <w:ind w:left="840"/>
    </w:pPr>
  </w:style>
  <w:style w:type="paragraph" w:styleId="34">
    <w:name w:val="Date"/>
    <w:basedOn w:val="1"/>
    <w:next w:val="1"/>
    <w:link w:val="149"/>
    <w:autoRedefine/>
    <w:qFormat/>
    <w:uiPriority w:val="0"/>
    <w:pPr>
      <w:ind w:left="100" w:leftChars="2500"/>
    </w:pPr>
    <w:rPr>
      <w:sz w:val="20"/>
    </w:rPr>
  </w:style>
  <w:style w:type="paragraph" w:styleId="35">
    <w:name w:val="Body Text Indent 2"/>
    <w:basedOn w:val="1"/>
    <w:link w:val="172"/>
    <w:autoRedefine/>
    <w:qFormat/>
    <w:uiPriority w:val="0"/>
    <w:pPr>
      <w:ind w:left="630" w:firstLine="645"/>
    </w:pPr>
    <w:rPr>
      <w:sz w:val="20"/>
    </w:rPr>
  </w:style>
  <w:style w:type="paragraph" w:styleId="36">
    <w:name w:val="endnote text"/>
    <w:basedOn w:val="1"/>
    <w:link w:val="215"/>
    <w:autoRedefine/>
    <w:qFormat/>
    <w:uiPriority w:val="0"/>
    <w:pPr>
      <w:snapToGrid w:val="0"/>
      <w:jc w:val="left"/>
    </w:pPr>
    <w:rPr>
      <w:kern w:val="0"/>
      <w:sz w:val="24"/>
      <w:szCs w:val="24"/>
    </w:rPr>
  </w:style>
  <w:style w:type="paragraph" w:styleId="37">
    <w:name w:val="Balloon Text"/>
    <w:basedOn w:val="1"/>
    <w:link w:val="214"/>
    <w:autoRedefine/>
    <w:qFormat/>
    <w:uiPriority w:val="0"/>
    <w:rPr>
      <w:sz w:val="18"/>
      <w:szCs w:val="18"/>
    </w:rPr>
  </w:style>
  <w:style w:type="paragraph" w:styleId="38">
    <w:name w:val="footer"/>
    <w:basedOn w:val="1"/>
    <w:link w:val="207"/>
    <w:autoRedefine/>
    <w:qFormat/>
    <w:uiPriority w:val="99"/>
    <w:pPr>
      <w:tabs>
        <w:tab w:val="center" w:pos="4153"/>
        <w:tab w:val="right" w:pos="8306"/>
      </w:tabs>
      <w:snapToGrid w:val="0"/>
      <w:jc w:val="left"/>
    </w:pPr>
    <w:rPr>
      <w:sz w:val="18"/>
      <w:szCs w:val="18"/>
    </w:rPr>
  </w:style>
  <w:style w:type="paragraph" w:styleId="39">
    <w:name w:val="header"/>
    <w:basedOn w:val="1"/>
    <w:link w:val="143"/>
    <w:autoRedefine/>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autoRedefine/>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autoRedefine/>
    <w:qFormat/>
    <w:uiPriority w:val="39"/>
    <w:pPr>
      <w:spacing w:before="120" w:after="120"/>
      <w:jc w:val="left"/>
    </w:pPr>
    <w:rPr>
      <w:b/>
      <w:caps/>
      <w:sz w:val="20"/>
    </w:rPr>
  </w:style>
  <w:style w:type="paragraph" w:styleId="42">
    <w:name w:val="toc 4"/>
    <w:basedOn w:val="1"/>
    <w:next w:val="1"/>
    <w:autoRedefine/>
    <w:qFormat/>
    <w:uiPriority w:val="0"/>
    <w:pPr>
      <w:ind w:left="630"/>
      <w:jc w:val="left"/>
    </w:pPr>
    <w:rPr>
      <w:sz w:val="18"/>
    </w:rPr>
  </w:style>
  <w:style w:type="paragraph" w:styleId="43">
    <w:name w:val="index heading"/>
    <w:basedOn w:val="1"/>
    <w:next w:val="44"/>
    <w:autoRedefine/>
    <w:qFormat/>
    <w:uiPriority w:val="0"/>
  </w:style>
  <w:style w:type="paragraph" w:styleId="44">
    <w:name w:val="index 1"/>
    <w:basedOn w:val="1"/>
    <w:next w:val="1"/>
    <w:autoRedefine/>
    <w:qFormat/>
    <w:uiPriority w:val="0"/>
    <w:rPr>
      <w:rFonts w:ascii="仿宋_GB2312" w:hAnsi="宋体" w:eastAsia="仿宋_GB2312"/>
      <w:sz w:val="30"/>
      <w:szCs w:val="24"/>
    </w:rPr>
  </w:style>
  <w:style w:type="paragraph" w:styleId="45">
    <w:name w:val="Subtitle"/>
    <w:basedOn w:val="1"/>
    <w:next w:val="1"/>
    <w:link w:val="89"/>
    <w:autoRedefine/>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autoRedefine/>
    <w:qFormat/>
    <w:uiPriority w:val="0"/>
    <w:pPr>
      <w:snapToGrid w:val="0"/>
      <w:jc w:val="left"/>
    </w:pPr>
    <w:rPr>
      <w:sz w:val="18"/>
      <w:szCs w:val="18"/>
    </w:rPr>
  </w:style>
  <w:style w:type="paragraph" w:styleId="47">
    <w:name w:val="toc 6"/>
    <w:basedOn w:val="1"/>
    <w:next w:val="1"/>
    <w:autoRedefine/>
    <w:qFormat/>
    <w:uiPriority w:val="0"/>
    <w:pPr>
      <w:ind w:left="1050"/>
      <w:jc w:val="left"/>
    </w:pPr>
    <w:rPr>
      <w:sz w:val="18"/>
    </w:rPr>
  </w:style>
  <w:style w:type="paragraph" w:styleId="48">
    <w:name w:val="Body Text Indent 3"/>
    <w:basedOn w:val="1"/>
    <w:link w:val="122"/>
    <w:autoRedefine/>
    <w:qFormat/>
    <w:uiPriority w:val="0"/>
    <w:pPr>
      <w:ind w:left="645" w:firstLine="645"/>
    </w:pPr>
    <w:rPr>
      <w:sz w:val="16"/>
      <w:szCs w:val="16"/>
    </w:rPr>
  </w:style>
  <w:style w:type="paragraph" w:styleId="49">
    <w:name w:val="index 7"/>
    <w:basedOn w:val="1"/>
    <w:next w:val="1"/>
    <w:autoRedefine/>
    <w:qFormat/>
    <w:uiPriority w:val="0"/>
    <w:pPr>
      <w:ind w:left="2520"/>
    </w:pPr>
  </w:style>
  <w:style w:type="paragraph" w:styleId="50">
    <w:name w:val="index 9"/>
    <w:basedOn w:val="1"/>
    <w:next w:val="1"/>
    <w:autoRedefine/>
    <w:qFormat/>
    <w:uiPriority w:val="0"/>
    <w:pPr>
      <w:ind w:left="3360"/>
    </w:pPr>
  </w:style>
  <w:style w:type="paragraph" w:styleId="51">
    <w:name w:val="table of figures"/>
    <w:basedOn w:val="1"/>
    <w:next w:val="1"/>
    <w:autoRedefine/>
    <w:qFormat/>
    <w:uiPriority w:val="0"/>
    <w:pPr>
      <w:ind w:left="840" w:hanging="420"/>
    </w:pPr>
  </w:style>
  <w:style w:type="paragraph" w:styleId="52">
    <w:name w:val="toc 2"/>
    <w:basedOn w:val="1"/>
    <w:next w:val="1"/>
    <w:autoRedefine/>
    <w:qFormat/>
    <w:uiPriority w:val="0"/>
    <w:pPr>
      <w:ind w:left="210"/>
      <w:jc w:val="left"/>
    </w:pPr>
    <w:rPr>
      <w:smallCaps/>
      <w:sz w:val="20"/>
    </w:rPr>
  </w:style>
  <w:style w:type="paragraph" w:styleId="53">
    <w:name w:val="toc 9"/>
    <w:basedOn w:val="1"/>
    <w:next w:val="1"/>
    <w:autoRedefine/>
    <w:qFormat/>
    <w:uiPriority w:val="0"/>
    <w:pPr>
      <w:ind w:left="1680"/>
      <w:jc w:val="left"/>
    </w:pPr>
    <w:rPr>
      <w:sz w:val="18"/>
    </w:rPr>
  </w:style>
  <w:style w:type="paragraph" w:styleId="54">
    <w:name w:val="Body Text 2"/>
    <w:basedOn w:val="1"/>
    <w:link w:val="182"/>
    <w:autoRedefine/>
    <w:qFormat/>
    <w:uiPriority w:val="0"/>
    <w:pPr>
      <w:widowControl/>
      <w:jc w:val="center"/>
    </w:pPr>
    <w:rPr>
      <w:rFonts w:ascii="楷体_GB2312" w:eastAsia="楷体_GB2312"/>
      <w:sz w:val="20"/>
    </w:rPr>
  </w:style>
  <w:style w:type="paragraph" w:styleId="55">
    <w:name w:val="HTML Preformatted"/>
    <w:basedOn w:val="1"/>
    <w:link w:val="17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autoRedefine/>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autoRedefine/>
    <w:qFormat/>
    <w:uiPriority w:val="0"/>
    <w:pPr>
      <w:ind w:left="420"/>
    </w:pPr>
  </w:style>
  <w:style w:type="paragraph" w:styleId="58">
    <w:name w:val="Title"/>
    <w:basedOn w:val="1"/>
    <w:next w:val="1"/>
    <w:link w:val="179"/>
    <w:autoRedefine/>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59">
    <w:name w:val="annotation subject"/>
    <w:basedOn w:val="23"/>
    <w:next w:val="23"/>
    <w:link w:val="153"/>
    <w:autoRedefine/>
    <w:qFormat/>
    <w:uiPriority w:val="0"/>
    <w:rPr>
      <w:b/>
      <w:bCs/>
    </w:rPr>
  </w:style>
  <w:style w:type="paragraph" w:styleId="60">
    <w:name w:val="Body Text First Indent"/>
    <w:basedOn w:val="3"/>
    <w:link w:val="114"/>
    <w:autoRedefine/>
    <w:qFormat/>
    <w:uiPriority w:val="0"/>
    <w:pPr>
      <w:spacing w:after="120"/>
      <w:ind w:firstLine="420" w:firstLineChars="100"/>
    </w:pPr>
    <w:rPr>
      <w:rFonts w:ascii="Times New Roman" w:hAnsi="Times New Roman" w:eastAsia="宋体"/>
      <w:sz w:val="24"/>
      <w:szCs w:val="24"/>
    </w:rPr>
  </w:style>
  <w:style w:type="table" w:styleId="62">
    <w:name w:val="Table Grid"/>
    <w:basedOn w:val="6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autoRedefine/>
    <w:qFormat/>
    <w:uiPriority w:val="0"/>
    <w:rPr>
      <w:b/>
      <w:bCs/>
    </w:rPr>
  </w:style>
  <w:style w:type="character" w:styleId="65">
    <w:name w:val="endnote reference"/>
    <w:basedOn w:val="63"/>
    <w:autoRedefine/>
    <w:qFormat/>
    <w:uiPriority w:val="0"/>
    <w:rPr>
      <w:vertAlign w:val="superscript"/>
    </w:rPr>
  </w:style>
  <w:style w:type="character" w:styleId="66">
    <w:name w:val="page number"/>
    <w:basedOn w:val="63"/>
    <w:autoRedefine/>
    <w:qFormat/>
    <w:uiPriority w:val="0"/>
    <w:rPr>
      <w:rFonts w:cs="Times New Roman"/>
    </w:rPr>
  </w:style>
  <w:style w:type="character" w:styleId="67">
    <w:name w:val="FollowedHyperlink"/>
    <w:basedOn w:val="63"/>
    <w:autoRedefine/>
    <w:qFormat/>
    <w:uiPriority w:val="0"/>
    <w:rPr>
      <w:color w:val="800080"/>
      <w:u w:val="single"/>
    </w:rPr>
  </w:style>
  <w:style w:type="character" w:styleId="68">
    <w:name w:val="Emphasis"/>
    <w:basedOn w:val="63"/>
    <w:autoRedefine/>
    <w:qFormat/>
    <w:uiPriority w:val="0"/>
    <w:rPr>
      <w:b/>
      <w:i/>
      <w:spacing w:val="10"/>
      <w:shd w:val="clear" w:color="auto" w:fill="auto"/>
    </w:rPr>
  </w:style>
  <w:style w:type="character" w:styleId="69">
    <w:name w:val="line number"/>
    <w:basedOn w:val="63"/>
    <w:autoRedefine/>
    <w:qFormat/>
    <w:uiPriority w:val="0"/>
    <w:rPr>
      <w:rFonts w:cs="Times New Roman"/>
    </w:rPr>
  </w:style>
  <w:style w:type="character" w:styleId="70">
    <w:name w:val="HTML Definition"/>
    <w:basedOn w:val="63"/>
    <w:autoRedefine/>
    <w:semiHidden/>
    <w:unhideWhenUsed/>
    <w:qFormat/>
    <w:uiPriority w:val="99"/>
    <w:rPr>
      <w:i/>
      <w:iCs/>
    </w:rPr>
  </w:style>
  <w:style w:type="character" w:styleId="71">
    <w:name w:val="HTML Typewriter"/>
    <w:basedOn w:val="63"/>
    <w:autoRedefine/>
    <w:qFormat/>
    <w:uiPriority w:val="0"/>
    <w:rPr>
      <w:rFonts w:ascii="宋体" w:hAnsi="宋体" w:eastAsia="宋体"/>
      <w:sz w:val="24"/>
    </w:rPr>
  </w:style>
  <w:style w:type="character" w:styleId="72">
    <w:name w:val="HTML Acronym"/>
    <w:basedOn w:val="63"/>
    <w:autoRedefine/>
    <w:semiHidden/>
    <w:unhideWhenUsed/>
    <w:qFormat/>
    <w:uiPriority w:val="99"/>
  </w:style>
  <w:style w:type="character" w:styleId="73">
    <w:name w:val="HTML Variable"/>
    <w:basedOn w:val="63"/>
    <w:autoRedefine/>
    <w:semiHidden/>
    <w:unhideWhenUsed/>
    <w:qFormat/>
    <w:uiPriority w:val="99"/>
  </w:style>
  <w:style w:type="character" w:styleId="74">
    <w:name w:val="Hyperlink"/>
    <w:basedOn w:val="63"/>
    <w:autoRedefine/>
    <w:qFormat/>
    <w:uiPriority w:val="99"/>
    <w:rPr>
      <w:color w:val="0000FF"/>
      <w:u w:val="single"/>
    </w:rPr>
  </w:style>
  <w:style w:type="character" w:styleId="75">
    <w:name w:val="HTML Code"/>
    <w:basedOn w:val="63"/>
    <w:autoRedefine/>
    <w:semiHidden/>
    <w:unhideWhenUsed/>
    <w:qFormat/>
    <w:uiPriority w:val="99"/>
    <w:rPr>
      <w:rFonts w:hint="default" w:ascii="monospace" w:hAnsi="monospace" w:eastAsia="monospace" w:cs="monospace"/>
      <w:sz w:val="21"/>
      <w:szCs w:val="21"/>
    </w:rPr>
  </w:style>
  <w:style w:type="character" w:styleId="76">
    <w:name w:val="annotation reference"/>
    <w:basedOn w:val="63"/>
    <w:autoRedefine/>
    <w:qFormat/>
    <w:uiPriority w:val="99"/>
    <w:rPr>
      <w:sz w:val="21"/>
    </w:rPr>
  </w:style>
  <w:style w:type="character" w:styleId="77">
    <w:name w:val="HTML Cite"/>
    <w:basedOn w:val="63"/>
    <w:autoRedefine/>
    <w:semiHidden/>
    <w:unhideWhenUsed/>
    <w:qFormat/>
    <w:uiPriority w:val="99"/>
  </w:style>
  <w:style w:type="character" w:styleId="78">
    <w:name w:val="footnote reference"/>
    <w:basedOn w:val="63"/>
    <w:autoRedefine/>
    <w:qFormat/>
    <w:uiPriority w:val="0"/>
    <w:rPr>
      <w:vertAlign w:val="superscript"/>
    </w:rPr>
  </w:style>
  <w:style w:type="character" w:styleId="79">
    <w:name w:val="HTML Keyboard"/>
    <w:basedOn w:val="63"/>
    <w:autoRedefine/>
    <w:semiHidden/>
    <w:unhideWhenUsed/>
    <w:qFormat/>
    <w:uiPriority w:val="99"/>
    <w:rPr>
      <w:rFonts w:hint="default" w:ascii="monospace" w:hAnsi="monospace" w:eastAsia="monospace" w:cs="monospace"/>
      <w:sz w:val="21"/>
      <w:szCs w:val="21"/>
    </w:rPr>
  </w:style>
  <w:style w:type="character" w:styleId="80">
    <w:name w:val="HTML Sample"/>
    <w:basedOn w:val="63"/>
    <w:autoRedefine/>
    <w:qFormat/>
    <w:uiPriority w:val="0"/>
    <w:rPr>
      <w:rFonts w:ascii="Courier New" w:hAnsi="宋体" w:eastAsia="宋体"/>
    </w:rPr>
  </w:style>
  <w:style w:type="paragraph" w:customStyle="1" w:styleId="8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7"/>
    <w:autoRedefine/>
    <w:qFormat/>
    <w:uiPriority w:val="0"/>
    <w:pPr>
      <w:spacing w:beforeLines="50" w:after="10"/>
      <w:ind w:firstLine="490" w:firstLineChars="175"/>
      <w:jc w:val="left"/>
    </w:pPr>
  </w:style>
  <w:style w:type="paragraph" w:customStyle="1" w:styleId="83">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84">
    <w:name w:val="页脚 Char1"/>
    <w:basedOn w:val="63"/>
    <w:autoRedefine/>
    <w:qFormat/>
    <w:uiPriority w:val="0"/>
    <w:rPr>
      <w:rFonts w:cs="Times New Roman"/>
      <w:kern w:val="2"/>
      <w:sz w:val="18"/>
      <w:szCs w:val="18"/>
    </w:rPr>
  </w:style>
  <w:style w:type="character" w:customStyle="1" w:styleId="85">
    <w:name w:val="正文文本 字符"/>
    <w:basedOn w:val="63"/>
    <w:link w:val="3"/>
    <w:autoRedefine/>
    <w:qFormat/>
    <w:uiPriority w:val="0"/>
    <w:rPr>
      <w:rFonts w:ascii="楷体_GB2312" w:hAnsi="Arial" w:eastAsia="楷体_GB2312" w:cs="Times New Roman"/>
      <w:sz w:val="20"/>
      <w:szCs w:val="20"/>
    </w:rPr>
  </w:style>
  <w:style w:type="character" w:customStyle="1" w:styleId="86">
    <w:name w:val="Body Text Indent 2 Char"/>
    <w:autoRedefine/>
    <w:qFormat/>
    <w:uiPriority w:val="0"/>
    <w:rPr>
      <w:rFonts w:ascii="Arial" w:hAnsi="Arial" w:eastAsia="仿宋_GB2312"/>
      <w:sz w:val="32"/>
    </w:rPr>
  </w:style>
  <w:style w:type="character" w:customStyle="1" w:styleId="87">
    <w:name w:val="标题 5 字符"/>
    <w:basedOn w:val="63"/>
    <w:link w:val="11"/>
    <w:autoRedefine/>
    <w:qFormat/>
    <w:uiPriority w:val="0"/>
    <w:rPr>
      <w:rFonts w:ascii="黑体" w:hAnsi="Times New Roman" w:eastAsia="黑体" w:cs="Times New Roman"/>
      <w:b/>
      <w:color w:val="000000"/>
      <w:kern w:val="0"/>
      <w:sz w:val="20"/>
      <w:szCs w:val="20"/>
    </w:rPr>
  </w:style>
  <w:style w:type="character" w:customStyle="1" w:styleId="88">
    <w:name w:val="Body Text Indent 3 Char1"/>
    <w:basedOn w:val="63"/>
    <w:autoRedefine/>
    <w:qFormat/>
    <w:uiPriority w:val="0"/>
    <w:rPr>
      <w:rFonts w:ascii="Times New Roman" w:hAnsi="Times New Roman"/>
      <w:kern w:val="2"/>
      <w:sz w:val="16"/>
      <w:szCs w:val="16"/>
    </w:rPr>
  </w:style>
  <w:style w:type="character" w:customStyle="1" w:styleId="89">
    <w:name w:val="副标题 字符"/>
    <w:basedOn w:val="63"/>
    <w:link w:val="45"/>
    <w:autoRedefine/>
    <w:qFormat/>
    <w:uiPriority w:val="0"/>
    <w:rPr>
      <w:rFonts w:ascii="Cambria" w:hAnsi="Cambria" w:eastAsia="宋体" w:cs="Times New Roman"/>
      <w:i/>
      <w:iCs/>
      <w:spacing w:val="13"/>
      <w:kern w:val="0"/>
      <w:sz w:val="24"/>
      <w:szCs w:val="24"/>
      <w:lang w:eastAsia="en-US"/>
    </w:rPr>
  </w:style>
  <w:style w:type="character" w:customStyle="1" w:styleId="90">
    <w:name w:val="listbenefit"/>
    <w:autoRedefine/>
    <w:qFormat/>
    <w:uiPriority w:val="0"/>
  </w:style>
  <w:style w:type="character" w:customStyle="1" w:styleId="91">
    <w:name w:val="Char Char27"/>
    <w:autoRedefine/>
    <w:qFormat/>
    <w:uiPriority w:val="0"/>
    <w:rPr>
      <w:b/>
      <w:kern w:val="44"/>
      <w:sz w:val="44"/>
    </w:rPr>
  </w:style>
  <w:style w:type="character" w:customStyle="1" w:styleId="92">
    <w:name w:val="param-value"/>
    <w:basedOn w:val="63"/>
    <w:autoRedefine/>
    <w:qFormat/>
    <w:uiPriority w:val="0"/>
    <w:rPr>
      <w:rFonts w:cs="Times New Roman"/>
    </w:rPr>
  </w:style>
  <w:style w:type="character" w:customStyle="1" w:styleId="93">
    <w:name w:val="纯文本 Char Char Char1"/>
    <w:autoRedefine/>
    <w:qFormat/>
    <w:uiPriority w:val="0"/>
    <w:rPr>
      <w:rFonts w:ascii="宋体" w:hAnsi="Courier New" w:eastAsia="宋体"/>
      <w:kern w:val="2"/>
      <w:sz w:val="21"/>
      <w:lang w:val="en-US" w:eastAsia="zh-CN"/>
    </w:rPr>
  </w:style>
  <w:style w:type="character" w:customStyle="1" w:styleId="94">
    <w:name w:val="apple-converted-space"/>
    <w:basedOn w:val="63"/>
    <w:autoRedefine/>
    <w:qFormat/>
    <w:uiPriority w:val="0"/>
    <w:rPr>
      <w:rFonts w:cs="Times New Roman"/>
    </w:rPr>
  </w:style>
  <w:style w:type="character" w:customStyle="1" w:styleId="95">
    <w:name w:val="Char Char29"/>
    <w:autoRedefine/>
    <w:qFormat/>
    <w:uiPriority w:val="0"/>
    <w:rPr>
      <w:rFonts w:ascii="Times New Roman" w:hAnsi="Times New Roman" w:eastAsia="宋体"/>
      <w:b/>
      <w:kern w:val="44"/>
      <w:sz w:val="44"/>
    </w:rPr>
  </w:style>
  <w:style w:type="character" w:customStyle="1" w:styleId="96">
    <w:name w:val="标题 3 Char"/>
    <w:basedOn w:val="63"/>
    <w:autoRedefine/>
    <w:qFormat/>
    <w:uiPriority w:val="0"/>
    <w:rPr>
      <w:rFonts w:ascii="Times New Roman" w:hAnsi="Times New Roman" w:eastAsia="宋体" w:cs="Times New Roman"/>
      <w:b/>
      <w:bCs/>
      <w:sz w:val="32"/>
      <w:szCs w:val="32"/>
    </w:rPr>
  </w:style>
  <w:style w:type="character" w:customStyle="1" w:styleId="97">
    <w:name w:val="标题 4 字符"/>
    <w:basedOn w:val="63"/>
    <w:link w:val="10"/>
    <w:autoRedefine/>
    <w:qFormat/>
    <w:uiPriority w:val="0"/>
    <w:rPr>
      <w:rFonts w:ascii="Arial" w:hAnsi="Arial" w:eastAsia="黑体" w:cs="Times New Roman"/>
      <w:b/>
      <w:sz w:val="20"/>
      <w:szCs w:val="20"/>
    </w:rPr>
  </w:style>
  <w:style w:type="character" w:customStyle="1" w:styleId="98">
    <w:name w:val="正文文本 3 字符"/>
    <w:basedOn w:val="63"/>
    <w:link w:val="26"/>
    <w:autoRedefine/>
    <w:qFormat/>
    <w:uiPriority w:val="0"/>
    <w:rPr>
      <w:rFonts w:ascii="仿宋_GB2312" w:hAnsi="Arial" w:eastAsia="仿宋_GB2312" w:cs="Times New Roman"/>
      <w:sz w:val="20"/>
      <w:szCs w:val="20"/>
    </w:rPr>
  </w:style>
  <w:style w:type="character" w:customStyle="1" w:styleId="99">
    <w:name w:val="正文文本缩进 Char"/>
    <w:basedOn w:val="63"/>
    <w:autoRedefine/>
    <w:qFormat/>
    <w:uiPriority w:val="0"/>
    <w:rPr>
      <w:rFonts w:ascii="Times New Roman" w:hAnsi="Times New Roman" w:eastAsia="宋体" w:cs="Times New Roman"/>
      <w:sz w:val="20"/>
      <w:szCs w:val="20"/>
    </w:rPr>
  </w:style>
  <w:style w:type="character" w:customStyle="1" w:styleId="100">
    <w:name w:val="Plain Text Char"/>
    <w:autoRedefine/>
    <w:qFormat/>
    <w:uiPriority w:val="0"/>
    <w:rPr>
      <w:rFonts w:ascii="宋体" w:hAnsi="Courier New"/>
    </w:rPr>
  </w:style>
  <w:style w:type="character" w:customStyle="1" w:styleId="101">
    <w:name w:val="HTML 预设格式 Char"/>
    <w:basedOn w:val="63"/>
    <w:autoRedefine/>
    <w:qFormat/>
    <w:uiPriority w:val="0"/>
    <w:rPr>
      <w:rFonts w:ascii="Courier New" w:hAnsi="Courier New" w:eastAsia="宋体" w:cs="Courier New"/>
      <w:sz w:val="20"/>
      <w:szCs w:val="20"/>
    </w:rPr>
  </w:style>
  <w:style w:type="character" w:customStyle="1" w:styleId="102">
    <w:name w:val="批注文字 Char Char"/>
    <w:autoRedefine/>
    <w:qFormat/>
    <w:uiPriority w:val="0"/>
    <w:rPr>
      <w:rFonts w:eastAsia="宋体"/>
      <w:kern w:val="2"/>
      <w:sz w:val="21"/>
      <w:lang w:val="en-US" w:eastAsia="zh-CN"/>
    </w:rPr>
  </w:style>
  <w:style w:type="character" w:customStyle="1" w:styleId="103">
    <w:name w:val="Body Text Indent Char"/>
    <w:autoRedefine/>
    <w:qFormat/>
    <w:uiPriority w:val="0"/>
    <w:rPr>
      <w:rFonts w:ascii="楷体_GB2312" w:eastAsia="楷体_GB2312"/>
      <w:sz w:val="32"/>
    </w:rPr>
  </w:style>
  <w:style w:type="character" w:customStyle="1" w:styleId="104">
    <w:name w:val="已访问的超链接1"/>
    <w:autoRedefine/>
    <w:qFormat/>
    <w:uiPriority w:val="0"/>
    <w:rPr>
      <w:color w:val="auto"/>
      <w:u w:val="none"/>
    </w:rPr>
  </w:style>
  <w:style w:type="character" w:customStyle="1" w:styleId="105">
    <w:name w:val="纯文本 Char Char Char"/>
    <w:autoRedefine/>
    <w:qFormat/>
    <w:uiPriority w:val="0"/>
    <w:rPr>
      <w:rFonts w:ascii="宋体" w:hAnsi="Courier New" w:eastAsia="宋体"/>
      <w:kern w:val="2"/>
      <w:sz w:val="21"/>
      <w:lang w:val="en-US" w:eastAsia="zh-CN"/>
    </w:rPr>
  </w:style>
  <w:style w:type="character" w:customStyle="1" w:styleId="106">
    <w:name w:val="普通文字1 Char"/>
    <w:autoRedefine/>
    <w:qFormat/>
    <w:uiPriority w:val="0"/>
    <w:rPr>
      <w:rFonts w:ascii="宋体" w:eastAsia="宋体"/>
      <w:kern w:val="2"/>
      <w:sz w:val="21"/>
      <w:lang w:val="en-US" w:eastAsia="zh-CN"/>
    </w:rPr>
  </w:style>
  <w:style w:type="character" w:customStyle="1" w:styleId="107">
    <w:name w:val="Comment Subject Char"/>
    <w:autoRedefine/>
    <w:qFormat/>
    <w:uiPriority w:val="0"/>
    <w:rPr>
      <w:b/>
    </w:rPr>
  </w:style>
  <w:style w:type="character" w:customStyle="1" w:styleId="108">
    <w:name w:val="Char Char28"/>
    <w:autoRedefine/>
    <w:qFormat/>
    <w:uiPriority w:val="0"/>
    <w:rPr>
      <w:rFonts w:ascii="Arial" w:hAnsi="Arial" w:eastAsia="黑体"/>
      <w:b/>
      <w:sz w:val="32"/>
    </w:rPr>
  </w:style>
  <w:style w:type="character" w:customStyle="1" w:styleId="109">
    <w:name w:val="Char Char23"/>
    <w:autoRedefine/>
    <w:qFormat/>
    <w:uiPriority w:val="0"/>
    <w:rPr>
      <w:rFonts w:ascii="Arial" w:hAnsi="Arial" w:eastAsia="黑体"/>
      <w:b/>
      <w:kern w:val="2"/>
      <w:sz w:val="24"/>
    </w:rPr>
  </w:style>
  <w:style w:type="character" w:customStyle="1" w:styleId="110">
    <w:name w:val="Char Char21"/>
    <w:autoRedefine/>
    <w:qFormat/>
    <w:uiPriority w:val="0"/>
    <w:rPr>
      <w:rFonts w:ascii="Arial" w:hAnsi="Arial" w:eastAsia="黑体"/>
      <w:kern w:val="2"/>
      <w:sz w:val="24"/>
    </w:rPr>
  </w:style>
  <w:style w:type="character" w:customStyle="1" w:styleId="111">
    <w:name w:val="Char Char2"/>
    <w:autoRedefine/>
    <w:qFormat/>
    <w:uiPriority w:val="0"/>
    <w:rPr>
      <w:rFonts w:ascii="宋体" w:hAnsi="Courier New" w:eastAsia="宋体"/>
      <w:kern w:val="2"/>
      <w:sz w:val="21"/>
      <w:lang w:val="en-US" w:eastAsia="zh-CN"/>
    </w:rPr>
  </w:style>
  <w:style w:type="character" w:customStyle="1" w:styleId="112">
    <w:name w:val="t1"/>
    <w:autoRedefine/>
    <w:qFormat/>
    <w:uiPriority w:val="0"/>
  </w:style>
  <w:style w:type="character" w:customStyle="1" w:styleId="113">
    <w:name w:val="华宇段落1 Char Char Char"/>
    <w:autoRedefine/>
    <w:qFormat/>
    <w:uiPriority w:val="0"/>
    <w:rPr>
      <w:rFonts w:eastAsia="宋体"/>
      <w:kern w:val="2"/>
      <w:sz w:val="24"/>
      <w:lang w:val="en-US" w:eastAsia="zh-CN"/>
    </w:rPr>
  </w:style>
  <w:style w:type="character" w:customStyle="1" w:styleId="114">
    <w:name w:val="正文文本首行缩进 字符"/>
    <w:basedOn w:val="85"/>
    <w:link w:val="60"/>
    <w:autoRedefine/>
    <w:qFormat/>
    <w:uiPriority w:val="0"/>
    <w:rPr>
      <w:rFonts w:ascii="Times New Roman" w:hAnsi="Times New Roman" w:eastAsia="宋体" w:cs="Times New Roman"/>
      <w:sz w:val="24"/>
      <w:szCs w:val="24"/>
    </w:rPr>
  </w:style>
  <w:style w:type="character" w:customStyle="1" w:styleId="115">
    <w:name w:val="纯文本 Char1"/>
    <w:autoRedefine/>
    <w:qFormat/>
    <w:uiPriority w:val="0"/>
    <w:rPr>
      <w:rFonts w:ascii="宋体" w:hAnsi="Courier New"/>
      <w:kern w:val="2"/>
      <w:sz w:val="21"/>
    </w:rPr>
  </w:style>
  <w:style w:type="character" w:customStyle="1" w:styleId="116">
    <w:name w:val="textcontents"/>
    <w:basedOn w:val="63"/>
    <w:autoRedefine/>
    <w:qFormat/>
    <w:uiPriority w:val="0"/>
    <w:rPr>
      <w:rFonts w:cs="Times New Roman"/>
    </w:rPr>
  </w:style>
  <w:style w:type="character" w:customStyle="1" w:styleId="117">
    <w:name w:val="Intense Quote Char2"/>
    <w:basedOn w:val="63"/>
    <w:autoRedefine/>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autoRedefine/>
    <w:qFormat/>
    <w:uiPriority w:val="0"/>
    <w:rPr>
      <w:rFonts w:ascii="宋体" w:hAnsi="Courier New" w:eastAsia="宋体" w:cs="Courier New"/>
      <w:sz w:val="21"/>
      <w:szCs w:val="21"/>
    </w:rPr>
  </w:style>
  <w:style w:type="character" w:customStyle="1" w:styleId="119">
    <w:name w:val="我的正文 Char Char"/>
    <w:link w:val="120"/>
    <w:autoRedefine/>
    <w:qFormat/>
    <w:uiPriority w:val="0"/>
    <w:rPr>
      <w:rFonts w:ascii="宋体" w:eastAsia="宋体"/>
      <w:sz w:val="21"/>
    </w:rPr>
  </w:style>
  <w:style w:type="paragraph" w:customStyle="1" w:styleId="120">
    <w:name w:val="我的正文"/>
    <w:basedOn w:val="1"/>
    <w:link w:val="119"/>
    <w:autoRedefine/>
    <w:qFormat/>
    <w:uiPriority w:val="0"/>
    <w:pPr>
      <w:widowControl/>
      <w:spacing w:line="360" w:lineRule="auto"/>
      <w:ind w:firstLine="420"/>
      <w:jc w:val="left"/>
    </w:pPr>
    <w:rPr>
      <w:rFonts w:ascii="宋体" w:hAnsi="Calibri"/>
      <w:kern w:val="0"/>
    </w:rPr>
  </w:style>
  <w:style w:type="character" w:customStyle="1" w:styleId="121">
    <w:name w:val="Title Char"/>
    <w:autoRedefine/>
    <w:qFormat/>
    <w:uiPriority w:val="0"/>
    <w:rPr>
      <w:rFonts w:eastAsia="黑体"/>
      <w:b/>
      <w:sz w:val="28"/>
      <w:lang w:val="en-GB"/>
    </w:rPr>
  </w:style>
  <w:style w:type="character" w:customStyle="1" w:styleId="122">
    <w:name w:val="正文文本缩进 3 字符"/>
    <w:basedOn w:val="63"/>
    <w:link w:val="48"/>
    <w:autoRedefine/>
    <w:qFormat/>
    <w:uiPriority w:val="0"/>
    <w:rPr>
      <w:rFonts w:ascii="Times New Roman" w:hAnsi="Times New Roman" w:eastAsia="宋体" w:cs="Times New Roman"/>
      <w:sz w:val="16"/>
      <w:szCs w:val="16"/>
    </w:rPr>
  </w:style>
  <w:style w:type="character" w:customStyle="1" w:styleId="123">
    <w:name w:val="Title1 Char"/>
    <w:autoRedefine/>
    <w:qFormat/>
    <w:uiPriority w:val="0"/>
    <w:rPr>
      <w:rFonts w:eastAsia="宋体"/>
      <w:b/>
      <w:kern w:val="44"/>
      <w:sz w:val="44"/>
      <w:lang w:val="en-US" w:eastAsia="zh-CN"/>
    </w:rPr>
  </w:style>
  <w:style w:type="character" w:customStyle="1" w:styleId="124">
    <w:name w:val="content"/>
    <w:basedOn w:val="63"/>
    <w:autoRedefine/>
    <w:qFormat/>
    <w:uiPriority w:val="0"/>
    <w:rPr>
      <w:rFonts w:cs="Times New Roman"/>
    </w:rPr>
  </w:style>
  <w:style w:type="character" w:customStyle="1" w:styleId="125">
    <w:name w:val="Char Char17"/>
    <w:autoRedefine/>
    <w:qFormat/>
    <w:uiPriority w:val="0"/>
    <w:rPr>
      <w:rFonts w:ascii="宋体" w:hAnsi="Courier New"/>
      <w:kern w:val="2"/>
      <w:sz w:val="21"/>
    </w:rPr>
  </w:style>
  <w:style w:type="character" w:customStyle="1" w:styleId="126">
    <w:name w:val="标准小四 Char Char"/>
    <w:autoRedefine/>
    <w:qFormat/>
    <w:uiPriority w:val="0"/>
    <w:rPr>
      <w:rFonts w:ascii="Arial" w:hAnsi="Arial" w:eastAsia="宋体"/>
      <w:kern w:val="2"/>
      <w:sz w:val="21"/>
      <w:lang w:val="en-US" w:eastAsia="zh-CN"/>
    </w:rPr>
  </w:style>
  <w:style w:type="character" w:customStyle="1" w:styleId="127">
    <w:name w:val="样式 宋体 小四"/>
    <w:autoRedefine/>
    <w:qFormat/>
    <w:uiPriority w:val="0"/>
    <w:rPr>
      <w:rFonts w:ascii="宋体" w:eastAsia="宋体"/>
      <w:sz w:val="24"/>
    </w:rPr>
  </w:style>
  <w:style w:type="character" w:customStyle="1" w:styleId="128">
    <w:name w:val="ih151"/>
    <w:autoRedefine/>
    <w:qFormat/>
    <w:uiPriority w:val="0"/>
    <w:rPr>
      <w:color w:val="666666"/>
      <w:sz w:val="18"/>
      <w:u w:val="none"/>
    </w:rPr>
  </w:style>
  <w:style w:type="character" w:customStyle="1" w:styleId="129">
    <w:name w:val="style13"/>
    <w:autoRedefine/>
    <w:qFormat/>
    <w:uiPriority w:val="0"/>
    <w:rPr>
      <w:sz w:val="18"/>
    </w:rPr>
  </w:style>
  <w:style w:type="character" w:customStyle="1" w:styleId="130">
    <w:name w:val="纯文本 字符"/>
    <w:basedOn w:val="63"/>
    <w:link w:val="31"/>
    <w:autoRedefine/>
    <w:qFormat/>
    <w:uiPriority w:val="99"/>
    <w:rPr>
      <w:rFonts w:ascii="宋体" w:hAnsi="Courier New" w:cs="Courier New"/>
      <w:kern w:val="2"/>
      <w:sz w:val="21"/>
      <w:szCs w:val="21"/>
    </w:rPr>
  </w:style>
  <w:style w:type="character" w:customStyle="1" w:styleId="131">
    <w:name w:val="标题 6 字符"/>
    <w:basedOn w:val="63"/>
    <w:link w:val="12"/>
    <w:autoRedefine/>
    <w:qFormat/>
    <w:uiPriority w:val="0"/>
    <w:rPr>
      <w:rFonts w:ascii="Arial" w:hAnsi="Arial" w:eastAsia="黑体" w:cs="Times New Roman"/>
      <w:b/>
      <w:bCs/>
      <w:sz w:val="24"/>
      <w:szCs w:val="24"/>
    </w:rPr>
  </w:style>
  <w:style w:type="character" w:customStyle="1" w:styleId="132">
    <w:name w:val="style131"/>
    <w:autoRedefine/>
    <w:qFormat/>
    <w:uiPriority w:val="0"/>
    <w:rPr>
      <w:sz w:val="18"/>
    </w:rPr>
  </w:style>
  <w:style w:type="character" w:customStyle="1" w:styleId="133">
    <w:name w:val="Char Char25"/>
    <w:autoRedefine/>
    <w:qFormat/>
    <w:uiPriority w:val="0"/>
    <w:rPr>
      <w:rFonts w:ascii="Arial" w:hAnsi="Arial" w:eastAsia="黑体"/>
      <w:b/>
      <w:kern w:val="2"/>
      <w:sz w:val="28"/>
    </w:rPr>
  </w:style>
  <w:style w:type="character" w:customStyle="1" w:styleId="134">
    <w:name w:val="不明显强调1"/>
    <w:basedOn w:val="63"/>
    <w:autoRedefine/>
    <w:qFormat/>
    <w:uiPriority w:val="0"/>
    <w:rPr>
      <w:i/>
    </w:rPr>
  </w:style>
  <w:style w:type="character" w:customStyle="1" w:styleId="135">
    <w:name w:val="标准文本 Char Char"/>
    <w:autoRedefine/>
    <w:qFormat/>
    <w:uiPriority w:val="0"/>
    <w:rPr>
      <w:rFonts w:eastAsia="宋体"/>
      <w:kern w:val="2"/>
      <w:sz w:val="24"/>
      <w:lang w:val="en-US" w:eastAsia="zh-CN"/>
    </w:rPr>
  </w:style>
  <w:style w:type="character" w:customStyle="1" w:styleId="136">
    <w:name w:val="Comment Subject Char1"/>
    <w:basedOn w:val="137"/>
    <w:autoRedefine/>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3"/>
    <w:autoRedefine/>
    <w:qFormat/>
    <w:uiPriority w:val="99"/>
    <w:rPr>
      <w:rFonts w:ascii="Times New Roman" w:hAnsi="Times New Roman" w:eastAsia="宋体" w:cs="Times New Roman"/>
      <w:sz w:val="20"/>
      <w:szCs w:val="20"/>
    </w:rPr>
  </w:style>
  <w:style w:type="character" w:customStyle="1" w:styleId="138">
    <w:name w:val="normalfont1"/>
    <w:autoRedefine/>
    <w:qFormat/>
    <w:uiPriority w:val="0"/>
    <w:rPr>
      <w:rFonts w:ascii="??" w:hAnsi="??"/>
      <w:sz w:val="18"/>
      <w:u w:val="none"/>
    </w:rPr>
  </w:style>
  <w:style w:type="character" w:customStyle="1" w:styleId="139">
    <w:name w:val="小四 段落 宋体 Char Char Char Char Char Char Char Char"/>
    <w:autoRedefine/>
    <w:qFormat/>
    <w:uiPriority w:val="0"/>
    <w:rPr>
      <w:rFonts w:eastAsia="宋体"/>
      <w:kern w:val="2"/>
      <w:sz w:val="24"/>
      <w:lang w:val="en-US" w:eastAsia="zh-CN"/>
    </w:rPr>
  </w:style>
  <w:style w:type="character" w:customStyle="1" w:styleId="140">
    <w:name w:val="签名 字符"/>
    <w:basedOn w:val="63"/>
    <w:link w:val="40"/>
    <w:autoRedefine/>
    <w:qFormat/>
    <w:uiPriority w:val="0"/>
    <w:rPr>
      <w:rFonts w:ascii="Times New Roman" w:hAnsi="Times New Roman" w:eastAsia="仿宋_GB2312" w:cs="Times New Roman"/>
      <w:kern w:val="0"/>
      <w:sz w:val="20"/>
      <w:szCs w:val="20"/>
    </w:rPr>
  </w:style>
  <w:style w:type="character" w:customStyle="1" w:styleId="141">
    <w:name w:val="标题 Char1"/>
    <w:autoRedefine/>
    <w:qFormat/>
    <w:uiPriority w:val="0"/>
    <w:rPr>
      <w:rFonts w:ascii="Cambria" w:eastAsia="宋体"/>
      <w:b/>
      <w:sz w:val="32"/>
    </w:rPr>
  </w:style>
  <w:style w:type="character" w:customStyle="1" w:styleId="142">
    <w:name w:val="脚注文本 字符"/>
    <w:basedOn w:val="63"/>
    <w:link w:val="46"/>
    <w:autoRedefine/>
    <w:qFormat/>
    <w:uiPriority w:val="0"/>
    <w:rPr>
      <w:rFonts w:ascii="Times New Roman" w:hAnsi="Times New Roman" w:eastAsia="宋体" w:cs="Times New Roman"/>
      <w:sz w:val="18"/>
      <w:szCs w:val="18"/>
    </w:rPr>
  </w:style>
  <w:style w:type="character" w:customStyle="1" w:styleId="143">
    <w:name w:val="页眉 字符"/>
    <w:basedOn w:val="63"/>
    <w:link w:val="39"/>
    <w:autoRedefine/>
    <w:qFormat/>
    <w:uiPriority w:val="99"/>
    <w:rPr>
      <w:rFonts w:cs="Times New Roman"/>
      <w:sz w:val="18"/>
      <w:szCs w:val="18"/>
    </w:rPr>
  </w:style>
  <w:style w:type="character" w:customStyle="1" w:styleId="144">
    <w:name w:val="Quote Char Char"/>
    <w:autoRedefine/>
    <w:qFormat/>
    <w:uiPriority w:val="0"/>
    <w:rPr>
      <w:rFonts w:ascii="Calibri" w:hAnsi="Calibri"/>
      <w:i/>
      <w:sz w:val="22"/>
      <w:lang w:eastAsia="en-US"/>
    </w:rPr>
  </w:style>
  <w:style w:type="character" w:customStyle="1" w:styleId="145">
    <w:name w:val="content_lineheight1"/>
    <w:basedOn w:val="63"/>
    <w:autoRedefine/>
    <w:qFormat/>
    <w:uiPriority w:val="0"/>
    <w:rPr>
      <w:rFonts w:cs="Times New Roman"/>
    </w:rPr>
  </w:style>
  <w:style w:type="character" w:customStyle="1" w:styleId="146">
    <w:name w:val="标题 7 字符"/>
    <w:basedOn w:val="63"/>
    <w:link w:val="13"/>
    <w:autoRedefine/>
    <w:qFormat/>
    <w:uiPriority w:val="0"/>
    <w:rPr>
      <w:rFonts w:ascii="Times New Roman" w:hAnsi="Times New Roman" w:eastAsia="宋体" w:cs="Times New Roman"/>
      <w:b/>
      <w:bCs/>
      <w:sz w:val="24"/>
      <w:szCs w:val="24"/>
    </w:rPr>
  </w:style>
  <w:style w:type="character" w:customStyle="1" w:styleId="147">
    <w:name w:val="Title Char1"/>
    <w:basedOn w:val="63"/>
    <w:autoRedefine/>
    <w:qFormat/>
    <w:uiPriority w:val="0"/>
    <w:rPr>
      <w:rFonts w:ascii="Cambria" w:hAnsi="Cambria" w:cs="Times New Roman"/>
      <w:b/>
      <w:bCs/>
      <w:kern w:val="2"/>
      <w:sz w:val="32"/>
      <w:szCs w:val="32"/>
    </w:rPr>
  </w:style>
  <w:style w:type="character" w:customStyle="1" w:styleId="148">
    <w:name w:val="正文 + 宋体 Char"/>
    <w:autoRedefine/>
    <w:qFormat/>
    <w:uiPriority w:val="0"/>
    <w:rPr>
      <w:rFonts w:eastAsia="宋体"/>
      <w:kern w:val="2"/>
      <w:sz w:val="24"/>
      <w:lang w:val="en-US" w:eastAsia="zh-CN"/>
    </w:rPr>
  </w:style>
  <w:style w:type="character" w:customStyle="1" w:styleId="149">
    <w:name w:val="日期 字符"/>
    <w:basedOn w:val="63"/>
    <w:link w:val="34"/>
    <w:autoRedefine/>
    <w:qFormat/>
    <w:uiPriority w:val="0"/>
    <w:rPr>
      <w:rFonts w:ascii="Times New Roman" w:hAnsi="Times New Roman" w:eastAsia="宋体" w:cs="Times New Roman"/>
      <w:sz w:val="20"/>
      <w:szCs w:val="20"/>
    </w:rPr>
  </w:style>
  <w:style w:type="character" w:customStyle="1" w:styleId="150">
    <w:name w:val="特点 Char1"/>
    <w:autoRedefine/>
    <w:qFormat/>
    <w:uiPriority w:val="0"/>
    <w:rPr>
      <w:rFonts w:eastAsia="宋体"/>
      <w:kern w:val="2"/>
      <w:sz w:val="21"/>
      <w:lang w:val="en-US" w:eastAsia="zh-CN"/>
    </w:rPr>
  </w:style>
  <w:style w:type="character" w:customStyle="1" w:styleId="151">
    <w:name w:val="表格抬头 Char Char"/>
    <w:link w:val="152"/>
    <w:autoRedefine/>
    <w:qFormat/>
    <w:uiPriority w:val="0"/>
    <w:rPr>
      <w:rFonts w:ascii="黑体" w:eastAsia="黑体"/>
      <w:b/>
    </w:rPr>
  </w:style>
  <w:style w:type="paragraph" w:customStyle="1" w:styleId="152">
    <w:name w:val="表格抬头"/>
    <w:basedOn w:val="1"/>
    <w:link w:val="151"/>
    <w:autoRedefine/>
    <w:qFormat/>
    <w:uiPriority w:val="0"/>
    <w:pPr>
      <w:jc w:val="center"/>
    </w:pPr>
    <w:rPr>
      <w:rFonts w:ascii="黑体" w:hAnsi="Calibri" w:eastAsia="黑体"/>
      <w:b/>
      <w:kern w:val="0"/>
      <w:sz w:val="20"/>
    </w:rPr>
  </w:style>
  <w:style w:type="character" w:customStyle="1" w:styleId="153">
    <w:name w:val="批注主题 字符"/>
    <w:basedOn w:val="137"/>
    <w:link w:val="59"/>
    <w:autoRedefine/>
    <w:qFormat/>
    <w:uiPriority w:val="0"/>
    <w:rPr>
      <w:rFonts w:ascii="Times New Roman" w:hAnsi="Times New Roman" w:eastAsia="宋体" w:cs="Times New Roman"/>
      <w:b/>
      <w:bCs/>
      <w:sz w:val="20"/>
      <w:szCs w:val="20"/>
    </w:rPr>
  </w:style>
  <w:style w:type="character" w:customStyle="1" w:styleId="154">
    <w:name w:val="HTML Preformatted Char"/>
    <w:autoRedefine/>
    <w:qFormat/>
    <w:uiPriority w:val="0"/>
    <w:rPr>
      <w:rFonts w:ascii="黑体" w:hAnsi="Courier New" w:eastAsia="黑体"/>
    </w:rPr>
  </w:style>
  <w:style w:type="character" w:customStyle="1" w:styleId="155">
    <w:name w:val="h Char Char"/>
    <w:autoRedefine/>
    <w:qFormat/>
    <w:uiPriority w:val="0"/>
    <w:rPr>
      <w:rFonts w:eastAsia="宋体"/>
      <w:kern w:val="2"/>
      <w:sz w:val="18"/>
      <w:lang w:val="en-US" w:eastAsia="zh-CN"/>
    </w:rPr>
  </w:style>
  <w:style w:type="character" w:customStyle="1" w:styleId="156">
    <w:name w:val="subtitle1"/>
    <w:autoRedefine/>
    <w:qFormat/>
    <w:uiPriority w:val="0"/>
    <w:rPr>
      <w:rFonts w:ascii="Georgia" w:hAnsi="Georgia"/>
      <w:b/>
      <w:color w:val="666666"/>
      <w:sz w:val="18"/>
    </w:rPr>
  </w:style>
  <w:style w:type="character" w:customStyle="1" w:styleId="157">
    <w:name w:val="样式 非加粗"/>
    <w:autoRedefine/>
    <w:qFormat/>
    <w:uiPriority w:val="0"/>
    <w:rPr>
      <w:rFonts w:eastAsia="宋体"/>
      <w:sz w:val="28"/>
    </w:rPr>
  </w:style>
  <w:style w:type="character" w:customStyle="1" w:styleId="158">
    <w:name w:val="小四 段落 宋体 Char Char Char Char Char"/>
    <w:link w:val="159"/>
    <w:autoRedefine/>
    <w:qFormat/>
    <w:uiPriority w:val="0"/>
    <w:rPr>
      <w:rFonts w:eastAsia="宋体"/>
      <w:kern w:val="2"/>
      <w:sz w:val="24"/>
      <w:lang w:val="en-US" w:eastAsia="zh-CN"/>
    </w:rPr>
  </w:style>
  <w:style w:type="paragraph" w:customStyle="1" w:styleId="159">
    <w:name w:val="小四 段落 宋体"/>
    <w:basedOn w:val="20"/>
    <w:link w:val="158"/>
    <w:autoRedefine/>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4"/>
    <w:autoRedefine/>
    <w:qFormat/>
    <w:uiPriority w:val="0"/>
    <w:rPr>
      <w:rFonts w:ascii="Arial" w:hAnsi="Arial" w:eastAsia="黑体" w:cs="Times New Roman"/>
      <w:sz w:val="24"/>
      <w:szCs w:val="24"/>
    </w:rPr>
  </w:style>
  <w:style w:type="character" w:customStyle="1" w:styleId="161">
    <w:name w:val="Document Map Char"/>
    <w:autoRedefine/>
    <w:qFormat/>
    <w:uiPriority w:val="0"/>
    <w:rPr>
      <w:shd w:val="clear" w:color="auto" w:fill="000080"/>
    </w:rPr>
  </w:style>
  <w:style w:type="character" w:customStyle="1" w:styleId="162">
    <w:name w:val="para_small"/>
    <w:basedOn w:val="63"/>
    <w:autoRedefine/>
    <w:qFormat/>
    <w:uiPriority w:val="0"/>
    <w:rPr>
      <w:rFonts w:cs="Times New Roman"/>
    </w:rPr>
  </w:style>
  <w:style w:type="character" w:customStyle="1" w:styleId="163">
    <w:name w:val="2nd level Char"/>
    <w:autoRedefine/>
    <w:qFormat/>
    <w:uiPriority w:val="0"/>
    <w:rPr>
      <w:rFonts w:ascii="Arial" w:hAnsi="Arial" w:eastAsia="黑体"/>
      <w:b/>
      <w:kern w:val="2"/>
      <w:sz w:val="32"/>
      <w:lang w:val="en-US" w:eastAsia="zh-CN"/>
    </w:rPr>
  </w:style>
  <w:style w:type="character" w:customStyle="1" w:styleId="164">
    <w:name w:val="小四 段落 宋体 Char Char Char Char1"/>
    <w:autoRedefine/>
    <w:qFormat/>
    <w:uiPriority w:val="0"/>
    <w:rPr>
      <w:rFonts w:eastAsia="宋体"/>
      <w:kern w:val="2"/>
      <w:sz w:val="24"/>
      <w:lang w:val="en-US" w:eastAsia="zh-CN"/>
    </w:rPr>
  </w:style>
  <w:style w:type="character" w:customStyle="1" w:styleId="165">
    <w:name w:val="Body Text Indent 2 Char1"/>
    <w:basedOn w:val="63"/>
    <w:autoRedefine/>
    <w:qFormat/>
    <w:uiPriority w:val="0"/>
    <w:rPr>
      <w:rFonts w:ascii="Times New Roman" w:hAnsi="Times New Roman"/>
      <w:kern w:val="2"/>
      <w:sz w:val="21"/>
    </w:rPr>
  </w:style>
  <w:style w:type="character" w:customStyle="1" w:styleId="166">
    <w:name w:val="标题 9 字符"/>
    <w:basedOn w:val="63"/>
    <w:link w:val="15"/>
    <w:autoRedefine/>
    <w:qFormat/>
    <w:uiPriority w:val="0"/>
    <w:rPr>
      <w:rFonts w:ascii="Arial" w:hAnsi="Arial" w:eastAsia="黑体" w:cs="Times New Roman"/>
      <w:sz w:val="21"/>
      <w:szCs w:val="21"/>
    </w:rPr>
  </w:style>
  <w:style w:type="character" w:customStyle="1" w:styleId="167">
    <w:name w:val="明显强调1"/>
    <w:basedOn w:val="63"/>
    <w:autoRedefine/>
    <w:qFormat/>
    <w:uiPriority w:val="0"/>
    <w:rPr>
      <w:b/>
    </w:rPr>
  </w:style>
  <w:style w:type="character" w:customStyle="1" w:styleId="168">
    <w:name w:val="标题 2 字符"/>
    <w:basedOn w:val="63"/>
    <w:link w:val="4"/>
    <w:autoRedefine/>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autoRedefine/>
    <w:qFormat/>
    <w:uiPriority w:val="0"/>
    <w:rPr>
      <w:rFonts w:eastAsia="宋体"/>
      <w:b/>
      <w:kern w:val="2"/>
      <w:sz w:val="32"/>
      <w:lang w:val="en-US" w:eastAsia="zh-CN"/>
    </w:rPr>
  </w:style>
  <w:style w:type="character" w:customStyle="1" w:styleId="170">
    <w:name w:val="Quote Char2"/>
    <w:basedOn w:val="63"/>
    <w:autoRedefine/>
    <w:qFormat/>
    <w:uiPriority w:val="0"/>
    <w:rPr>
      <w:rFonts w:ascii="Times New Roman" w:hAnsi="Times New Roman" w:eastAsia="宋体" w:cs="Times New Roman"/>
      <w:i/>
      <w:iCs/>
      <w:color w:val="000000"/>
      <w:sz w:val="20"/>
      <w:szCs w:val="20"/>
    </w:rPr>
  </w:style>
  <w:style w:type="character" w:customStyle="1" w:styleId="171">
    <w:name w:val="小四 段落 宋体 Char Char Char1"/>
    <w:autoRedefine/>
    <w:qFormat/>
    <w:uiPriority w:val="0"/>
    <w:rPr>
      <w:rFonts w:ascii="宋体" w:hAnsi="宋体" w:eastAsia="宋体"/>
      <w:kern w:val="2"/>
      <w:sz w:val="24"/>
      <w:lang w:val="en-US" w:eastAsia="zh-CN"/>
    </w:rPr>
  </w:style>
  <w:style w:type="character" w:customStyle="1" w:styleId="172">
    <w:name w:val="正文文本缩进 2 字符"/>
    <w:basedOn w:val="63"/>
    <w:link w:val="35"/>
    <w:autoRedefine/>
    <w:qFormat/>
    <w:uiPriority w:val="0"/>
    <w:rPr>
      <w:rFonts w:ascii="Times New Roman" w:hAnsi="Times New Roman" w:eastAsia="宋体" w:cs="Times New Roman"/>
      <w:sz w:val="20"/>
      <w:szCs w:val="20"/>
    </w:rPr>
  </w:style>
  <w:style w:type="character" w:customStyle="1" w:styleId="173">
    <w:name w:val="Quote Char1"/>
    <w:basedOn w:val="63"/>
    <w:link w:val="174"/>
    <w:autoRedefine/>
    <w:qFormat/>
    <w:uiPriority w:val="0"/>
    <w:rPr>
      <w:rFonts w:ascii="Times New Roman" w:hAnsi="Times New Roman"/>
      <w:i/>
      <w:iCs/>
      <w:color w:val="000000"/>
      <w:kern w:val="2"/>
      <w:sz w:val="21"/>
    </w:rPr>
  </w:style>
  <w:style w:type="paragraph" w:customStyle="1" w:styleId="174">
    <w:name w:val="引用1"/>
    <w:basedOn w:val="1"/>
    <w:next w:val="1"/>
    <w:link w:val="173"/>
    <w:autoRedefine/>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autoRedefine/>
    <w:qFormat/>
    <w:uiPriority w:val="0"/>
    <w:rPr>
      <w:rFonts w:ascii="宋体" w:hAnsi="Times New Roman" w:eastAsia="宋体" w:cs="Times New Roman"/>
      <w:sz w:val="18"/>
      <w:szCs w:val="18"/>
    </w:rPr>
  </w:style>
  <w:style w:type="character" w:customStyle="1" w:styleId="176">
    <w:name w:val="HTML 预设格式 字符"/>
    <w:basedOn w:val="63"/>
    <w:link w:val="55"/>
    <w:autoRedefine/>
    <w:qFormat/>
    <w:uiPriority w:val="0"/>
    <w:rPr>
      <w:rFonts w:ascii="Courier New" w:hAnsi="Courier New" w:cs="Courier New"/>
      <w:kern w:val="2"/>
    </w:rPr>
  </w:style>
  <w:style w:type="character" w:customStyle="1" w:styleId="177">
    <w:name w:val="标准文本 Char Char Char"/>
    <w:autoRedefine/>
    <w:qFormat/>
    <w:uiPriority w:val="0"/>
    <w:rPr>
      <w:rFonts w:eastAsia="宋体"/>
      <w:kern w:val="2"/>
      <w:sz w:val="24"/>
      <w:lang w:val="en-US" w:eastAsia="zh-CN"/>
    </w:rPr>
  </w:style>
  <w:style w:type="character" w:customStyle="1" w:styleId="178">
    <w:name w:val="正文文本缩进 字符"/>
    <w:basedOn w:val="63"/>
    <w:link w:val="7"/>
    <w:autoRedefine/>
    <w:qFormat/>
    <w:uiPriority w:val="0"/>
    <w:rPr>
      <w:rFonts w:ascii="Times New Roman" w:hAnsi="Times New Roman"/>
      <w:kern w:val="2"/>
      <w:sz w:val="21"/>
    </w:rPr>
  </w:style>
  <w:style w:type="character" w:customStyle="1" w:styleId="179">
    <w:name w:val="标题 字符"/>
    <w:basedOn w:val="63"/>
    <w:link w:val="58"/>
    <w:autoRedefine/>
    <w:qFormat/>
    <w:uiPriority w:val="0"/>
    <w:rPr>
      <w:rFonts w:ascii="Cambria" w:hAnsi="Cambria" w:eastAsia="宋体" w:cs="Times New Roman"/>
      <w:b/>
      <w:bCs/>
      <w:sz w:val="32"/>
      <w:szCs w:val="32"/>
    </w:rPr>
  </w:style>
  <w:style w:type="character" w:customStyle="1" w:styleId="180">
    <w:name w:val="纯文本 Char Char"/>
    <w:autoRedefine/>
    <w:qFormat/>
    <w:uiPriority w:val="0"/>
    <w:rPr>
      <w:rFonts w:ascii="宋体" w:hAnsi="Courier New" w:eastAsia="宋体"/>
      <w:kern w:val="2"/>
      <w:sz w:val="21"/>
      <w:lang w:val="en-US" w:eastAsia="zh-CN"/>
    </w:rPr>
  </w:style>
  <w:style w:type="character" w:customStyle="1" w:styleId="181">
    <w:name w:val="case31"/>
    <w:autoRedefine/>
    <w:qFormat/>
    <w:uiPriority w:val="0"/>
    <w:rPr>
      <w:sz w:val="21"/>
    </w:rPr>
  </w:style>
  <w:style w:type="character" w:customStyle="1" w:styleId="182">
    <w:name w:val="正文文本 2 字符"/>
    <w:basedOn w:val="63"/>
    <w:link w:val="54"/>
    <w:autoRedefine/>
    <w:qFormat/>
    <w:uiPriority w:val="0"/>
    <w:rPr>
      <w:rFonts w:ascii="楷体_GB2312" w:hAnsi="Times New Roman" w:eastAsia="楷体_GB2312" w:cs="Times New Roman"/>
      <w:sz w:val="20"/>
      <w:szCs w:val="20"/>
    </w:rPr>
  </w:style>
  <w:style w:type="character" w:customStyle="1" w:styleId="183">
    <w:name w:val="标题 3 Char Char"/>
    <w:autoRedefine/>
    <w:qFormat/>
    <w:uiPriority w:val="0"/>
    <w:rPr>
      <w:rFonts w:eastAsia="仿宋_GB2312"/>
      <w:b/>
      <w:kern w:val="2"/>
      <w:sz w:val="32"/>
      <w:lang w:val="en-US" w:eastAsia="zh-CN"/>
    </w:rPr>
  </w:style>
  <w:style w:type="character" w:customStyle="1" w:styleId="184">
    <w:name w:val="正文缩进 Char1"/>
    <w:link w:val="185"/>
    <w:autoRedefine/>
    <w:qFormat/>
    <w:uiPriority w:val="0"/>
    <w:rPr>
      <w:rFonts w:ascii="Times New Roman" w:hAnsi="Times New Roman" w:eastAsia="宋体"/>
      <w:kern w:val="0"/>
      <w:sz w:val="20"/>
    </w:rPr>
  </w:style>
  <w:style w:type="paragraph" w:customStyle="1" w:styleId="185">
    <w:name w:val="正文缩进1"/>
    <w:basedOn w:val="1"/>
    <w:link w:val="184"/>
    <w:autoRedefine/>
    <w:qFormat/>
    <w:uiPriority w:val="0"/>
    <w:pPr>
      <w:ind w:firstLine="420"/>
    </w:pPr>
    <w:rPr>
      <w:kern w:val="0"/>
      <w:sz w:val="20"/>
    </w:rPr>
  </w:style>
  <w:style w:type="character" w:customStyle="1" w:styleId="186">
    <w:name w:val="新图表正文 Char Char"/>
    <w:link w:val="187"/>
    <w:autoRedefine/>
    <w:qFormat/>
    <w:uiPriority w:val="0"/>
    <w:rPr>
      <w:rFonts w:ascii="宋体" w:hAnsi="宋体"/>
      <w:kern w:val="2"/>
      <w:sz w:val="18"/>
      <w:szCs w:val="21"/>
      <w:lang w:val="en-US" w:eastAsia="zh-CN" w:bidi="ar-SA"/>
    </w:rPr>
  </w:style>
  <w:style w:type="paragraph" w:customStyle="1" w:styleId="187">
    <w:name w:val="新图表正文"/>
    <w:link w:val="186"/>
    <w:autoRedefine/>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autoRedefine/>
    <w:qFormat/>
    <w:uiPriority w:val="0"/>
    <w:rPr>
      <w:rFonts w:eastAsia="宋体"/>
      <w:kern w:val="2"/>
      <w:sz w:val="24"/>
      <w:lang w:val="en-US" w:eastAsia="zh-CN"/>
    </w:rPr>
  </w:style>
  <w:style w:type="character" w:customStyle="1" w:styleId="189">
    <w:name w:val="Intense Quote Char1"/>
    <w:basedOn w:val="63"/>
    <w:link w:val="190"/>
    <w:autoRedefine/>
    <w:qFormat/>
    <w:uiPriority w:val="0"/>
    <w:rPr>
      <w:rFonts w:ascii="Times New Roman" w:hAnsi="Times New Roman"/>
      <w:b/>
      <w:bCs/>
      <w:i/>
      <w:iCs/>
      <w:color w:val="4F81BD"/>
      <w:kern w:val="2"/>
      <w:sz w:val="21"/>
    </w:rPr>
  </w:style>
  <w:style w:type="paragraph" w:customStyle="1" w:styleId="190">
    <w:name w:val="明显引用1"/>
    <w:basedOn w:val="1"/>
    <w:next w:val="1"/>
    <w:link w:val="189"/>
    <w:autoRedefine/>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autoRedefine/>
    <w:qFormat/>
    <w:uiPriority w:val="0"/>
    <w:rPr>
      <w:rFonts w:ascii="Arial" w:hAnsi="Arial" w:eastAsia="黑体"/>
      <w:kern w:val="2"/>
      <w:sz w:val="21"/>
    </w:rPr>
  </w:style>
  <w:style w:type="character" w:customStyle="1" w:styleId="192">
    <w:name w:val="No Spacing Char Char"/>
    <w:link w:val="193"/>
    <w:autoRedefine/>
    <w:qFormat/>
    <w:uiPriority w:val="0"/>
    <w:rPr>
      <w:rFonts w:eastAsia="微软雅黑"/>
      <w:kern w:val="2"/>
      <w:sz w:val="24"/>
      <w:szCs w:val="22"/>
      <w:lang w:val="en-US" w:eastAsia="zh-CN" w:bidi="ar-SA"/>
    </w:rPr>
  </w:style>
  <w:style w:type="paragraph" w:customStyle="1" w:styleId="193">
    <w:name w:val="无间隔2"/>
    <w:link w:val="192"/>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autoRedefine/>
    <w:qFormat/>
    <w:uiPriority w:val="0"/>
    <w:rPr>
      <w:rFonts w:eastAsia="宋体"/>
      <w:kern w:val="2"/>
      <w:sz w:val="24"/>
      <w:lang w:val="en-US" w:eastAsia="zh-CN"/>
    </w:rPr>
  </w:style>
  <w:style w:type="character" w:customStyle="1" w:styleId="195">
    <w:name w:val="3zw"/>
    <w:basedOn w:val="63"/>
    <w:autoRedefine/>
    <w:qFormat/>
    <w:uiPriority w:val="0"/>
    <w:rPr>
      <w:rFonts w:cs="Times New Roman"/>
    </w:rPr>
  </w:style>
  <w:style w:type="character" w:customStyle="1" w:styleId="196">
    <w:name w:val="Intense Quote Char Char"/>
    <w:autoRedefine/>
    <w:qFormat/>
    <w:uiPriority w:val="0"/>
    <w:rPr>
      <w:rFonts w:ascii="Calibri" w:hAnsi="Calibri"/>
      <w:b/>
      <w:i/>
      <w:sz w:val="22"/>
      <w:lang w:eastAsia="en-US"/>
    </w:rPr>
  </w:style>
  <w:style w:type="character" w:customStyle="1" w:styleId="197">
    <w:name w:val="Body Text Indent 3 Char"/>
    <w:autoRedefine/>
    <w:qFormat/>
    <w:uiPriority w:val="0"/>
    <w:rPr>
      <w:rFonts w:ascii="Arial" w:hAnsi="Arial" w:eastAsia="仿宋_GB2312"/>
      <w:color w:val="FFFF00"/>
      <w:sz w:val="32"/>
    </w:rPr>
  </w:style>
  <w:style w:type="character" w:customStyle="1" w:styleId="198">
    <w:name w:val="A2"/>
    <w:autoRedefine/>
    <w:qFormat/>
    <w:uiPriority w:val="0"/>
    <w:rPr>
      <w:color w:val="000000"/>
      <w:sz w:val="18"/>
    </w:rPr>
  </w:style>
  <w:style w:type="character" w:customStyle="1" w:styleId="199">
    <w:name w:val="标题 1 字符"/>
    <w:basedOn w:val="63"/>
    <w:link w:val="2"/>
    <w:autoRedefine/>
    <w:qFormat/>
    <w:uiPriority w:val="0"/>
    <w:rPr>
      <w:rFonts w:ascii="黑体" w:hAnsi="Times New Roman" w:eastAsia="黑体" w:cs="Times New Roman"/>
      <w:b/>
      <w:kern w:val="44"/>
      <w:sz w:val="28"/>
      <w:szCs w:val="28"/>
    </w:rPr>
  </w:style>
  <w:style w:type="character" w:customStyle="1" w:styleId="200">
    <w:name w:val="明显参考1"/>
    <w:basedOn w:val="63"/>
    <w:autoRedefine/>
    <w:qFormat/>
    <w:uiPriority w:val="0"/>
    <w:rPr>
      <w:smallCaps/>
      <w:spacing w:val="5"/>
      <w:u w:val="single"/>
    </w:rPr>
  </w:style>
  <w:style w:type="character" w:customStyle="1" w:styleId="201">
    <w:name w:val="称呼 字符"/>
    <w:basedOn w:val="63"/>
    <w:link w:val="25"/>
    <w:autoRedefine/>
    <w:qFormat/>
    <w:uiPriority w:val="0"/>
    <w:rPr>
      <w:rFonts w:ascii="仿宋_GB2312" w:hAnsi="Times New Roman" w:eastAsia="仿宋_GB2312" w:cs="Times New Roman"/>
      <w:sz w:val="20"/>
      <w:szCs w:val="20"/>
    </w:rPr>
  </w:style>
  <w:style w:type="character" w:customStyle="1" w:styleId="202">
    <w:name w:val="111111 Char Char"/>
    <w:link w:val="203"/>
    <w:autoRedefine/>
    <w:qFormat/>
    <w:uiPriority w:val="0"/>
    <w:rPr>
      <w:rFonts w:ascii="宋体" w:hAnsi="宋体" w:eastAsia="黑体"/>
      <w:b/>
      <w:sz w:val="21"/>
    </w:rPr>
  </w:style>
  <w:style w:type="paragraph" w:customStyle="1" w:styleId="203">
    <w:name w:val="111111"/>
    <w:basedOn w:val="1"/>
    <w:link w:val="202"/>
    <w:autoRedefine/>
    <w:qFormat/>
    <w:uiPriority w:val="0"/>
    <w:pPr>
      <w:spacing w:before="120" w:after="120"/>
      <w:jc w:val="center"/>
    </w:pPr>
    <w:rPr>
      <w:rFonts w:ascii="宋体" w:hAnsi="宋体" w:eastAsia="黑体"/>
      <w:b/>
      <w:kern w:val="0"/>
    </w:rPr>
  </w:style>
  <w:style w:type="character" w:customStyle="1" w:styleId="204">
    <w:name w:val="小四 段落 宋体 Char1"/>
    <w:autoRedefine/>
    <w:qFormat/>
    <w:uiPriority w:val="0"/>
    <w:rPr>
      <w:rFonts w:eastAsia="宋体"/>
      <w:kern w:val="2"/>
      <w:sz w:val="24"/>
      <w:lang w:val="en-US" w:eastAsia="zh-CN"/>
    </w:rPr>
  </w:style>
  <w:style w:type="character" w:customStyle="1" w:styleId="205">
    <w:name w:val="文档结构图 字符"/>
    <w:basedOn w:val="63"/>
    <w:link w:val="22"/>
    <w:autoRedefine/>
    <w:qFormat/>
    <w:uiPriority w:val="0"/>
    <w:rPr>
      <w:rFonts w:ascii="Times New Roman" w:hAnsi="Times New Roman"/>
      <w:kern w:val="2"/>
      <w:sz w:val="16"/>
      <w:szCs w:val="0"/>
    </w:rPr>
  </w:style>
  <w:style w:type="character" w:customStyle="1" w:styleId="206">
    <w:name w:val="title_emph1"/>
    <w:autoRedefine/>
    <w:qFormat/>
    <w:uiPriority w:val="0"/>
    <w:rPr>
      <w:rFonts w:ascii="Arial"/>
      <w:b/>
      <w:sz w:val="18"/>
    </w:rPr>
  </w:style>
  <w:style w:type="character" w:customStyle="1" w:styleId="207">
    <w:name w:val="页脚 字符"/>
    <w:basedOn w:val="63"/>
    <w:link w:val="38"/>
    <w:autoRedefine/>
    <w:qFormat/>
    <w:uiPriority w:val="99"/>
    <w:rPr>
      <w:rFonts w:cs="Times New Roman"/>
      <w:sz w:val="18"/>
      <w:szCs w:val="18"/>
    </w:rPr>
  </w:style>
  <w:style w:type="character" w:customStyle="1" w:styleId="208">
    <w:name w:val="书籍标题1"/>
    <w:basedOn w:val="63"/>
    <w:autoRedefine/>
    <w:qFormat/>
    <w:uiPriority w:val="0"/>
    <w:rPr>
      <w:i/>
      <w:smallCaps/>
      <w:spacing w:val="5"/>
    </w:rPr>
  </w:style>
  <w:style w:type="character" w:customStyle="1" w:styleId="209">
    <w:name w:val="不明显参考1"/>
    <w:basedOn w:val="63"/>
    <w:autoRedefine/>
    <w:qFormat/>
    <w:uiPriority w:val="0"/>
    <w:rPr>
      <w:smallCaps/>
    </w:rPr>
  </w:style>
  <w:style w:type="character" w:customStyle="1" w:styleId="210">
    <w:name w:val="样式 首行缩进:  2 字符 Char Char"/>
    <w:link w:val="211"/>
    <w:autoRedefine/>
    <w:qFormat/>
    <w:uiPriority w:val="0"/>
    <w:rPr>
      <w:sz w:val="24"/>
    </w:rPr>
  </w:style>
  <w:style w:type="paragraph" w:customStyle="1" w:styleId="211">
    <w:name w:val="样式 首行缩进:  2 字符"/>
    <w:basedOn w:val="1"/>
    <w:link w:val="210"/>
    <w:autoRedefine/>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9"/>
    <w:autoRedefine/>
    <w:qFormat/>
    <w:uiPriority w:val="0"/>
    <w:rPr>
      <w:rFonts w:ascii="宋体" w:hAnsi="宋体" w:eastAsia="宋体"/>
      <w:b/>
      <w:sz w:val="21"/>
      <w:shd w:val="clear" w:color="auto" w:fill="FFFFFF"/>
    </w:rPr>
  </w:style>
  <w:style w:type="character" w:customStyle="1" w:styleId="213">
    <w:name w:val="Char Char22"/>
    <w:autoRedefine/>
    <w:qFormat/>
    <w:uiPriority w:val="0"/>
    <w:rPr>
      <w:b/>
      <w:kern w:val="2"/>
      <w:sz w:val="24"/>
    </w:rPr>
  </w:style>
  <w:style w:type="character" w:customStyle="1" w:styleId="214">
    <w:name w:val="批注框文本 字符"/>
    <w:basedOn w:val="63"/>
    <w:link w:val="37"/>
    <w:autoRedefine/>
    <w:qFormat/>
    <w:uiPriority w:val="0"/>
    <w:rPr>
      <w:rFonts w:ascii="Times New Roman" w:hAnsi="Times New Roman" w:eastAsia="宋体" w:cs="Times New Roman"/>
      <w:sz w:val="18"/>
      <w:szCs w:val="18"/>
    </w:rPr>
  </w:style>
  <w:style w:type="character" w:customStyle="1" w:styleId="215">
    <w:name w:val="尾注文本 字符"/>
    <w:basedOn w:val="63"/>
    <w:link w:val="36"/>
    <w:autoRedefine/>
    <w:qFormat/>
    <w:uiPriority w:val="0"/>
    <w:rPr>
      <w:rFonts w:ascii="Times New Roman" w:hAnsi="Times New Roman" w:eastAsia="宋体" w:cs="Times New Roman"/>
      <w:kern w:val="0"/>
      <w:sz w:val="24"/>
      <w:szCs w:val="24"/>
    </w:rPr>
  </w:style>
  <w:style w:type="character" w:customStyle="1" w:styleId="216">
    <w:name w:val="point_normal1"/>
    <w:autoRedefine/>
    <w:qFormat/>
    <w:uiPriority w:val="0"/>
    <w:rPr>
      <w:rFonts w:ascii="Arial" w:hAnsi="Arial"/>
      <w:sz w:val="18"/>
    </w:rPr>
  </w:style>
  <w:style w:type="character" w:customStyle="1" w:styleId="217">
    <w:name w:val="Char Char26"/>
    <w:autoRedefine/>
    <w:qFormat/>
    <w:uiPriority w:val="0"/>
    <w:rPr>
      <w:b/>
      <w:kern w:val="2"/>
      <w:sz w:val="32"/>
    </w:rPr>
  </w:style>
  <w:style w:type="character" w:customStyle="1" w:styleId="218">
    <w:name w:val="Char Char24"/>
    <w:autoRedefine/>
    <w:qFormat/>
    <w:uiPriority w:val="0"/>
    <w:rPr>
      <w:b/>
      <w:kern w:val="2"/>
      <w:sz w:val="28"/>
    </w:rPr>
  </w:style>
  <w:style w:type="character" w:customStyle="1" w:styleId="219">
    <w:name w:val="concon"/>
    <w:autoRedefine/>
    <w:qFormat/>
    <w:uiPriority w:val="0"/>
  </w:style>
  <w:style w:type="paragraph" w:customStyle="1" w:styleId="220">
    <w:name w:val="标准文本"/>
    <w:basedOn w:val="1"/>
    <w:autoRedefine/>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222">
    <w:name w:val="列出段落2"/>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autoRedefine/>
    <w:qFormat/>
    <w:uiPriority w:val="0"/>
    <w:pPr>
      <w:spacing w:after="284"/>
    </w:pPr>
    <w:rPr>
      <w:rFonts w:eastAsia="宋体"/>
      <w:b w:val="0"/>
    </w:rPr>
  </w:style>
  <w:style w:type="paragraph" w:customStyle="1" w:styleId="224">
    <w:name w:val="flName"/>
    <w:basedOn w:val="225"/>
    <w:autoRedefine/>
    <w:qFormat/>
    <w:uiPriority w:val="0"/>
    <w:pPr>
      <w:spacing w:before="0" w:line="113" w:lineRule="atLeast"/>
    </w:pPr>
  </w:style>
  <w:style w:type="paragraph" w:customStyle="1" w:styleId="225">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autoRedefine/>
    <w:qFormat/>
    <w:uiPriority w:val="0"/>
    <w:pPr>
      <w:spacing w:line="360" w:lineRule="auto"/>
      <w:ind w:firstLine="200" w:firstLineChars="200"/>
    </w:pPr>
    <w:rPr>
      <w:bCs/>
      <w:sz w:val="24"/>
      <w:szCs w:val="24"/>
    </w:rPr>
  </w:style>
  <w:style w:type="paragraph" w:customStyle="1" w:styleId="227">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autoRedefine/>
    <w:qFormat/>
    <w:uiPriority w:val="0"/>
    <w:pPr>
      <w:tabs>
        <w:tab w:val="left" w:pos="360"/>
      </w:tabs>
      <w:ind w:left="200" w:hanging="200" w:hangingChars="200"/>
    </w:pPr>
    <w:rPr>
      <w:sz w:val="24"/>
      <w:szCs w:val="24"/>
    </w:rPr>
  </w:style>
  <w:style w:type="paragraph" w:customStyle="1" w:styleId="229">
    <w:name w:val="greytypebeni"/>
    <w:basedOn w:val="1"/>
    <w:autoRedefine/>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autoRedefine/>
    <w:qFormat/>
    <w:uiPriority w:val="0"/>
    <w:rPr>
      <w:rFonts w:ascii="Tahoma" w:hAnsi="Tahoma"/>
      <w:sz w:val="24"/>
    </w:rPr>
  </w:style>
  <w:style w:type="paragraph" w:customStyle="1" w:styleId="231">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32">
    <w:name w:val="Char Char1"/>
    <w:basedOn w:val="1"/>
    <w:autoRedefine/>
    <w:qFormat/>
    <w:uiPriority w:val="0"/>
    <w:rPr>
      <w:rFonts w:ascii="Tahoma" w:hAnsi="Tahoma" w:cs="Tahoma"/>
      <w:sz w:val="24"/>
    </w:rPr>
  </w:style>
  <w:style w:type="paragraph" w:customStyle="1" w:styleId="233">
    <w:name w:val="小四 段落 宋体 Char Char Char"/>
    <w:basedOn w:val="20"/>
    <w:autoRedefine/>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autoRedefine/>
    <w:qFormat/>
    <w:uiPriority w:val="0"/>
    <w:pPr>
      <w:ind w:firstLine="420" w:firstLineChars="200"/>
    </w:pPr>
    <w:rPr>
      <w:rFonts w:ascii="Calibri" w:hAnsi="Calibri"/>
      <w:szCs w:val="22"/>
    </w:rPr>
  </w:style>
  <w:style w:type="paragraph" w:customStyle="1" w:styleId="23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22"/>
    <w:autoRedefine/>
    <w:qFormat/>
    <w:uiPriority w:val="0"/>
  </w:style>
  <w:style w:type="paragraph" w:customStyle="1" w:styleId="240">
    <w:name w:val="样式 样式 首行缩进:  2 字符 + 行距: 1.5 倍行距"/>
    <w:basedOn w:val="1"/>
    <w:autoRedefine/>
    <w:qFormat/>
    <w:uiPriority w:val="0"/>
    <w:pPr>
      <w:spacing w:line="360" w:lineRule="auto"/>
      <w:ind w:firstLine="470" w:firstLineChars="196"/>
    </w:pPr>
    <w:rPr>
      <w:sz w:val="24"/>
    </w:rPr>
  </w:style>
  <w:style w:type="paragraph" w:customStyle="1" w:styleId="241">
    <w:name w:val="正文11"/>
    <w:basedOn w:val="1"/>
    <w:next w:val="1"/>
    <w:autoRedefine/>
    <w:qFormat/>
    <w:uiPriority w:val="0"/>
    <w:pPr>
      <w:spacing w:before="156" w:line="360" w:lineRule="auto"/>
      <w:ind w:firstLine="510" w:firstLineChars="200"/>
    </w:pPr>
    <w:rPr>
      <w:sz w:val="24"/>
    </w:rPr>
  </w:style>
  <w:style w:type="paragraph" w:customStyle="1" w:styleId="242">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autoRedefine/>
    <w:qFormat/>
    <w:uiPriority w:val="0"/>
    <w:rPr>
      <w:rFonts w:ascii="Tahoma" w:hAnsi="Tahoma"/>
      <w:sz w:val="24"/>
    </w:rPr>
  </w:style>
  <w:style w:type="paragraph" w:customStyle="1" w:styleId="244">
    <w:name w:val="丁华正文"/>
    <w:basedOn w:val="48"/>
    <w:autoRedefine/>
    <w:qFormat/>
    <w:uiPriority w:val="0"/>
    <w:pPr>
      <w:adjustRightInd w:val="0"/>
      <w:snapToGrid w:val="0"/>
      <w:spacing w:line="360" w:lineRule="auto"/>
      <w:ind w:left="0" w:firstLine="510"/>
    </w:pPr>
    <w:rPr>
      <w:sz w:val="24"/>
    </w:rPr>
  </w:style>
  <w:style w:type="paragraph" w:customStyle="1" w:styleId="245">
    <w:name w:val="正文 居中"/>
    <w:basedOn w:val="1"/>
    <w:autoRedefine/>
    <w:qFormat/>
    <w:uiPriority w:val="0"/>
    <w:pPr>
      <w:spacing w:line="360" w:lineRule="auto"/>
      <w:jc w:val="center"/>
    </w:pPr>
    <w:rPr>
      <w:sz w:val="24"/>
    </w:rPr>
  </w:style>
  <w:style w:type="paragraph" w:customStyle="1" w:styleId="246">
    <w:name w:val="Char Char3"/>
    <w:basedOn w:val="1"/>
    <w:autoRedefine/>
    <w:qFormat/>
    <w:uiPriority w:val="0"/>
    <w:rPr>
      <w:rFonts w:ascii="Tahoma" w:hAnsi="Tahoma" w:cs="Tahoma"/>
      <w:sz w:val="24"/>
    </w:rPr>
  </w:style>
  <w:style w:type="paragraph" w:customStyle="1" w:styleId="247">
    <w:name w:val="Char Char Char Char Char"/>
    <w:basedOn w:val="1"/>
    <w:autoRedefine/>
    <w:qFormat/>
    <w:uiPriority w:val="0"/>
    <w:rPr>
      <w:rFonts w:ascii="Tahoma" w:hAnsi="Tahoma"/>
      <w:sz w:val="24"/>
    </w:rPr>
  </w:style>
  <w:style w:type="paragraph" w:customStyle="1" w:styleId="24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autoRedefine/>
    <w:qFormat/>
    <w:uiPriority w:val="0"/>
    <w:rPr>
      <w:rFonts w:ascii="Tahoma" w:hAnsi="Tahoma" w:cs="Tahoma"/>
      <w:sz w:val="24"/>
    </w:rPr>
  </w:style>
  <w:style w:type="paragraph" w:customStyle="1" w:styleId="250">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251">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22"/>
    <w:autoRedefine/>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autoRedefine/>
    <w:qFormat/>
    <w:uiPriority w:val="0"/>
    <w:pPr>
      <w:spacing w:line="360" w:lineRule="auto"/>
      <w:ind w:firstLine="480" w:firstLineChars="200"/>
    </w:pPr>
    <w:rPr>
      <w:rFonts w:ascii="Arial" w:hAnsi="Arial"/>
      <w:sz w:val="24"/>
      <w:szCs w:val="21"/>
    </w:rPr>
  </w:style>
  <w:style w:type="paragraph" w:customStyle="1" w:styleId="2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autoRedefine/>
    <w:qFormat/>
    <w:uiPriority w:val="0"/>
    <w:rPr>
      <w:rFonts w:ascii="Tahoma" w:hAnsi="Tahoma"/>
      <w:sz w:val="24"/>
    </w:rPr>
  </w:style>
  <w:style w:type="paragraph" w:customStyle="1" w:styleId="25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autoRedefine/>
    <w:qFormat/>
    <w:uiPriority w:val="0"/>
    <w:rPr>
      <w:sz w:val="24"/>
      <w:szCs w:val="24"/>
    </w:rPr>
  </w:style>
  <w:style w:type="paragraph" w:customStyle="1" w:styleId="260">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autoRedefine/>
    <w:qFormat/>
    <w:uiPriority w:val="0"/>
    <w:pPr>
      <w:tabs>
        <w:tab w:val="left" w:pos="693"/>
      </w:tabs>
      <w:ind w:left="482"/>
      <w:outlineLvl w:val="0"/>
    </w:pPr>
    <w:rPr>
      <w:color w:val="000000"/>
      <w:sz w:val="24"/>
      <w:szCs w:val="24"/>
    </w:rPr>
  </w:style>
  <w:style w:type="paragraph" w:customStyle="1" w:styleId="263">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265">
    <w:name w:val="正文表标题"/>
    <w:next w:val="257"/>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autoRedefine/>
    <w:qFormat/>
    <w:uiPriority w:val="0"/>
  </w:style>
  <w:style w:type="paragraph" w:customStyle="1" w:styleId="267">
    <w:name w:val="Char Char Char1"/>
    <w:basedOn w:val="22"/>
    <w:autoRedefine/>
    <w:qFormat/>
    <w:uiPriority w:val="0"/>
    <w:pPr>
      <w:spacing w:line="436" w:lineRule="exact"/>
    </w:pPr>
    <w:rPr>
      <w:szCs w:val="24"/>
    </w:rPr>
  </w:style>
  <w:style w:type="paragraph" w:customStyle="1" w:styleId="268">
    <w:name w:val="表格1"/>
    <w:basedOn w:val="1"/>
    <w:autoRedefine/>
    <w:qFormat/>
    <w:uiPriority w:val="0"/>
    <w:pPr>
      <w:adjustRightInd w:val="0"/>
      <w:textAlignment w:val="baseline"/>
    </w:pPr>
    <w:rPr>
      <w:rFonts w:ascii="宋体"/>
      <w:kern w:val="24"/>
      <w:szCs w:val="21"/>
    </w:rPr>
  </w:style>
  <w:style w:type="paragraph" w:customStyle="1" w:styleId="269">
    <w:name w:val="项目符号：一级"/>
    <w:basedOn w:val="263"/>
    <w:next w:val="263"/>
    <w:autoRedefine/>
    <w:qFormat/>
    <w:uiPriority w:val="0"/>
    <w:pPr>
      <w:ind w:right="-134" w:rightChars="-64"/>
    </w:pPr>
    <w:rPr>
      <w:bCs w:val="0"/>
    </w:rPr>
  </w:style>
  <w:style w:type="paragraph" w:customStyle="1" w:styleId="27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autoRedefine/>
    <w:qFormat/>
    <w:uiPriority w:val="0"/>
    <w:rPr>
      <w:rFonts w:ascii="Tahoma" w:hAnsi="Tahoma" w:cs="Tahoma"/>
      <w:sz w:val="24"/>
    </w:rPr>
  </w:style>
  <w:style w:type="paragraph" w:customStyle="1" w:styleId="272">
    <w:name w:val="样式 标题 2第一章 标题 2Heading 2 HiddenHeading 2 CCBSheading 2H2h2..."/>
    <w:basedOn w:val="4"/>
    <w:autoRedefine/>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autoRedefine/>
    <w:qFormat/>
    <w:uiPriority w:val="0"/>
    <w:pPr>
      <w:spacing w:after="120"/>
      <w:ind w:left="420" w:leftChars="200"/>
    </w:pPr>
    <w:rPr>
      <w:szCs w:val="24"/>
    </w:rPr>
  </w:style>
  <w:style w:type="paragraph" w:customStyle="1" w:styleId="27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autoRedefine/>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autoRedefine/>
    <w:qFormat/>
    <w:uiPriority w:val="0"/>
    <w:pPr>
      <w:jc w:val="left"/>
    </w:pPr>
    <w:rPr>
      <w:rFonts w:ascii="Tahoma" w:hAnsi="Tahoma"/>
      <w:sz w:val="24"/>
    </w:rPr>
  </w:style>
  <w:style w:type="paragraph" w:customStyle="1" w:styleId="27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autoRedefine/>
    <w:qFormat/>
    <w:uiPriority w:val="0"/>
    <w:pPr>
      <w:spacing w:line="300" w:lineRule="atLeast"/>
    </w:pPr>
    <w:rPr>
      <w:sz w:val="18"/>
      <w:szCs w:val="24"/>
    </w:rPr>
  </w:style>
  <w:style w:type="paragraph" w:customStyle="1" w:styleId="279">
    <w:name w:val="样式3"/>
    <w:basedOn w:val="1"/>
    <w:next w:val="1"/>
    <w:autoRedefine/>
    <w:qFormat/>
    <w:uiPriority w:val="0"/>
    <w:pPr>
      <w:spacing w:line="360" w:lineRule="auto"/>
    </w:pPr>
  </w:style>
  <w:style w:type="paragraph" w:customStyle="1" w:styleId="280">
    <w:name w:val="无间隔1"/>
    <w:autoRedefine/>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84">
    <w:name w:val="正文2"/>
    <w:basedOn w:val="1"/>
    <w:autoRedefine/>
    <w:qFormat/>
    <w:uiPriority w:val="0"/>
    <w:pPr>
      <w:spacing w:before="156" w:line="360" w:lineRule="auto"/>
      <w:ind w:firstLine="510" w:firstLineChars="200"/>
    </w:pPr>
    <w:rPr>
      <w:sz w:val="24"/>
    </w:rPr>
  </w:style>
  <w:style w:type="paragraph" w:customStyle="1" w:styleId="285">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autoRedefine/>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290">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autoRedefine/>
    <w:qFormat/>
    <w:uiPriority w:val="0"/>
    <w:pPr>
      <w:tabs>
        <w:tab w:val="left" w:pos="360"/>
      </w:tabs>
      <w:ind w:left="360" w:hanging="360" w:hangingChars="200"/>
    </w:pPr>
    <w:rPr>
      <w:sz w:val="24"/>
      <w:szCs w:val="24"/>
    </w:rPr>
  </w:style>
  <w:style w:type="paragraph" w:customStyle="1" w:styleId="292">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297">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autoRedefine/>
    <w:qFormat/>
    <w:uiPriority w:val="0"/>
    <w:rPr>
      <w:rFonts w:ascii="Tahoma" w:hAnsi="Tahoma" w:cs="Tahoma"/>
      <w:sz w:val="24"/>
    </w:rPr>
  </w:style>
  <w:style w:type="paragraph" w:customStyle="1" w:styleId="299">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301">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10"/>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autoRedefine/>
    <w:qFormat/>
    <w:uiPriority w:val="0"/>
    <w:rPr>
      <w:rFonts w:ascii="宋体" w:hAnsi="宋体" w:cs="宋体"/>
      <w:kern w:val="0"/>
      <w:sz w:val="24"/>
      <w:u w:color="000000"/>
    </w:rPr>
  </w:style>
  <w:style w:type="paragraph" w:customStyle="1" w:styleId="30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9"/>
    <w:autoRedefine/>
    <w:qFormat/>
    <w:uiPriority w:val="0"/>
    <w:pPr>
      <w:keepNext w:val="0"/>
      <w:keepLines w:val="0"/>
      <w:spacing w:line="360" w:lineRule="auto"/>
    </w:pPr>
    <w:rPr>
      <w:rFonts w:eastAsia="仿宋_GB2312"/>
      <w:b w:val="0"/>
      <w:bCs/>
      <w:sz w:val="30"/>
      <w:szCs w:val="32"/>
    </w:rPr>
  </w:style>
  <w:style w:type="paragraph" w:customStyle="1" w:styleId="310">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autoRedefine/>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autoRedefine/>
    <w:qFormat/>
    <w:uiPriority w:val="0"/>
    <w:pPr>
      <w:adjustRightInd w:val="0"/>
      <w:spacing w:line="360" w:lineRule="auto"/>
      <w:textAlignment w:val="baseline"/>
    </w:pPr>
    <w:rPr>
      <w:b/>
      <w:bCs/>
      <w:sz w:val="28"/>
      <w:szCs w:val="21"/>
    </w:rPr>
  </w:style>
  <w:style w:type="paragraph" w:customStyle="1" w:styleId="31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3"/>
    <w:autoRedefine/>
    <w:qFormat/>
    <w:uiPriority w:val="0"/>
    <w:rPr>
      <w:rFonts w:ascii="楷体_GB2312" w:hAnsi="Arial" w:eastAsia="楷体_GB2312"/>
      <w:sz w:val="28"/>
    </w:rPr>
  </w:style>
  <w:style w:type="paragraph" w:customStyle="1" w:styleId="3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22"/>
    <w:autoRedefine/>
    <w:qFormat/>
    <w:uiPriority w:val="0"/>
    <w:rPr>
      <w:rFonts w:ascii="Tahoma" w:hAnsi="Tahoma"/>
      <w:sz w:val="24"/>
      <w:szCs w:val="24"/>
    </w:rPr>
  </w:style>
  <w:style w:type="paragraph" w:customStyle="1" w:styleId="32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autoRedefine/>
    <w:qFormat/>
    <w:uiPriority w:val="0"/>
    <w:pPr>
      <w:spacing w:line="460" w:lineRule="exact"/>
      <w:ind w:firstLine="480"/>
    </w:pPr>
    <w:rPr>
      <w:sz w:val="24"/>
    </w:rPr>
  </w:style>
  <w:style w:type="paragraph" w:customStyle="1" w:styleId="327">
    <w:name w:val="列出段落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autoRedefine/>
    <w:qFormat/>
    <w:uiPriority w:val="0"/>
    <w:pPr>
      <w:widowControl/>
      <w:spacing w:before="100" w:beforeAutospacing="1" w:after="100" w:afterAutospacing="1"/>
      <w:jc w:val="left"/>
    </w:pPr>
    <w:rPr>
      <w:b/>
      <w:bCs/>
      <w:kern w:val="0"/>
      <w:sz w:val="20"/>
    </w:rPr>
  </w:style>
  <w:style w:type="paragraph" w:customStyle="1" w:styleId="331">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autoRedefine/>
    <w:qFormat/>
    <w:uiPriority w:val="0"/>
    <w:rPr>
      <w:rFonts w:ascii="Tahoma" w:hAnsi="Tahoma"/>
      <w:sz w:val="24"/>
    </w:rPr>
  </w:style>
  <w:style w:type="paragraph" w:customStyle="1" w:styleId="333">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autoRedefine/>
    <w:qFormat/>
    <w:uiPriority w:val="0"/>
    <w:pPr>
      <w:spacing w:line="360" w:lineRule="auto"/>
      <w:ind w:left="200" w:leftChars="200"/>
    </w:pPr>
    <w:rPr>
      <w:rFonts w:ascii="宋体" w:hAnsi="宋体"/>
      <w:b/>
      <w:sz w:val="24"/>
      <w:szCs w:val="24"/>
    </w:rPr>
  </w:style>
  <w:style w:type="paragraph" w:customStyle="1" w:styleId="335">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autoRedefine/>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autoRedefine/>
    <w:qFormat/>
    <w:uiPriority w:val="0"/>
    <w:pPr>
      <w:spacing w:line="360" w:lineRule="auto"/>
    </w:pPr>
    <w:rPr>
      <w:rFonts w:eastAsia="仿宋_GB2312"/>
      <w:sz w:val="24"/>
      <w:szCs w:val="24"/>
    </w:rPr>
  </w:style>
  <w:style w:type="paragraph" w:customStyle="1" w:styleId="341">
    <w:name w:val="正文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20"/>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7"/>
    <w:autoRedefine/>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autoRedefine/>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autoRedefin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autoRedefine/>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4"/>
    <w:next w:val="244"/>
    <w:autoRedefine/>
    <w:qFormat/>
    <w:uiPriority w:val="0"/>
    <w:pPr>
      <w:numPr>
        <w:ilvl w:val="1"/>
        <w:numId w:val="4"/>
      </w:numPr>
      <w:spacing w:line="413" w:lineRule="auto"/>
    </w:pPr>
    <w:rPr>
      <w:rFonts w:ascii="Arial" w:hAnsi="Arial" w:eastAsia="黑体"/>
      <w:b w:val="0"/>
      <w:sz w:val="28"/>
      <w:szCs w:val="20"/>
    </w:rPr>
  </w:style>
  <w:style w:type="paragraph" w:customStyle="1" w:styleId="35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autoRedefine/>
    <w:qFormat/>
    <w:uiPriority w:val="0"/>
    <w:pPr>
      <w:spacing w:afterLines="50" w:line="360" w:lineRule="auto"/>
    </w:pPr>
    <w:rPr>
      <w:rFonts w:ascii="Tahoma" w:hAnsi="Tahoma"/>
      <w:sz w:val="24"/>
    </w:rPr>
  </w:style>
  <w:style w:type="paragraph" w:customStyle="1" w:styleId="358">
    <w:name w:val="项目符号，二级"/>
    <w:basedOn w:val="263"/>
    <w:next w:val="263"/>
    <w:autoRedefine/>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autoRedefine/>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autoRedefine/>
    <w:qFormat/>
    <w:uiPriority w:val="0"/>
    <w:rPr>
      <w:rFonts w:ascii="Tahoma" w:hAnsi="Tahoma" w:cs="Tahoma"/>
      <w:sz w:val="24"/>
    </w:rPr>
  </w:style>
  <w:style w:type="paragraph" w:customStyle="1" w:styleId="361">
    <w:name w:val="Char Char Char Char Char1"/>
    <w:basedOn w:val="1"/>
    <w:autoRedefine/>
    <w:qFormat/>
    <w:uiPriority w:val="0"/>
    <w:rPr>
      <w:rFonts w:ascii="Tahoma" w:hAnsi="Tahoma" w:cs="Tahoma"/>
      <w:sz w:val="24"/>
    </w:rPr>
  </w:style>
  <w:style w:type="paragraph" w:customStyle="1" w:styleId="362">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365">
    <w:name w:val="样式1"/>
    <w:basedOn w:val="1"/>
    <w:autoRedefine/>
    <w:qFormat/>
    <w:uiPriority w:val="0"/>
    <w:pPr>
      <w:spacing w:line="300" w:lineRule="auto"/>
      <w:ind w:firstLine="480" w:firstLineChars="200"/>
    </w:pPr>
    <w:rPr>
      <w:sz w:val="24"/>
      <w:szCs w:val="24"/>
    </w:rPr>
  </w:style>
  <w:style w:type="paragraph" w:customStyle="1" w:styleId="366">
    <w:name w:val="Bullets L1"/>
    <w:basedOn w:val="1"/>
    <w:autoRedefine/>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autoRedefine/>
    <w:qFormat/>
    <w:uiPriority w:val="0"/>
    <w:pPr>
      <w:spacing w:line="360" w:lineRule="auto"/>
      <w:ind w:firstLine="480"/>
    </w:pPr>
    <w:rPr>
      <w:rFonts w:cs="宋体"/>
      <w:sz w:val="24"/>
    </w:rPr>
  </w:style>
  <w:style w:type="paragraph" w:customStyle="1" w:styleId="370">
    <w:name w:val="Char2"/>
    <w:basedOn w:val="1"/>
    <w:autoRedefine/>
    <w:qFormat/>
    <w:uiPriority w:val="0"/>
    <w:rPr>
      <w:rFonts w:ascii="Tahoma" w:hAnsi="Tahoma" w:cs="仿宋_GB2312"/>
      <w:sz w:val="24"/>
      <w:szCs w:val="28"/>
    </w:rPr>
  </w:style>
  <w:style w:type="paragraph" w:customStyle="1" w:styleId="371">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374">
    <w:name w:val="论文正文"/>
    <w:basedOn w:val="35"/>
    <w:autoRedefine/>
    <w:qFormat/>
    <w:uiPriority w:val="0"/>
    <w:pPr>
      <w:spacing w:line="360" w:lineRule="auto"/>
      <w:ind w:left="0" w:firstLine="200" w:firstLineChars="200"/>
      <w:jc w:val="left"/>
    </w:pPr>
    <w:rPr>
      <w:sz w:val="28"/>
      <w:szCs w:val="24"/>
    </w:rPr>
  </w:style>
  <w:style w:type="paragraph" w:customStyle="1" w:styleId="375">
    <w:name w:val="列出段落3"/>
    <w:basedOn w:val="1"/>
    <w:autoRedefine/>
    <w:qFormat/>
    <w:uiPriority w:val="0"/>
    <w:pPr>
      <w:ind w:firstLine="420" w:firstLineChars="200"/>
    </w:pPr>
    <w:rPr>
      <w:szCs w:val="24"/>
    </w:rPr>
  </w:style>
  <w:style w:type="paragraph" w:customStyle="1" w:styleId="376">
    <w:name w:val="丁华标题1"/>
    <w:basedOn w:val="2"/>
    <w:next w:val="244"/>
    <w:autoRedefine/>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autoRedefine/>
    <w:qFormat/>
    <w:uiPriority w:val="0"/>
    <w:pPr>
      <w:tabs>
        <w:tab w:val="left" w:pos="1620"/>
      </w:tabs>
      <w:adjustRightInd w:val="0"/>
      <w:jc w:val="center"/>
    </w:pPr>
    <w:rPr>
      <w:bCs/>
      <w:color w:val="000000"/>
      <w:szCs w:val="22"/>
    </w:rPr>
  </w:style>
  <w:style w:type="paragraph" w:customStyle="1" w:styleId="378">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autoRedefine/>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9"/>
    <w:autoRedefine/>
    <w:qFormat/>
    <w:uiPriority w:val="0"/>
    <w:pPr>
      <w:spacing w:beforeLines="50" w:afterLines="50"/>
      <w:jc w:val="left"/>
    </w:pPr>
    <w:rPr>
      <w:rFonts w:cs="宋体"/>
      <w:bCs/>
      <w:sz w:val="30"/>
    </w:rPr>
  </w:style>
  <w:style w:type="paragraph" w:customStyle="1" w:styleId="383">
    <w:name w:val="Char Char Char Char Char Char Char Char Char Char Char1"/>
    <w:basedOn w:val="1"/>
    <w:autoRedefine/>
    <w:qFormat/>
    <w:uiPriority w:val="0"/>
    <w:rPr>
      <w:rFonts w:ascii="Tahoma" w:hAnsi="Tahoma"/>
      <w:sz w:val="24"/>
    </w:rPr>
  </w:style>
  <w:style w:type="paragraph" w:customStyle="1" w:styleId="384">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385">
    <w:name w:val="font14"/>
    <w:basedOn w:val="1"/>
    <w:autoRedefine/>
    <w:qFormat/>
    <w:uiPriority w:val="0"/>
    <w:pPr>
      <w:widowControl/>
      <w:spacing w:before="100" w:beforeAutospacing="1" w:after="100" w:afterAutospacing="1"/>
      <w:jc w:val="left"/>
    </w:pPr>
    <w:rPr>
      <w:kern w:val="0"/>
      <w:sz w:val="36"/>
      <w:szCs w:val="36"/>
    </w:rPr>
  </w:style>
  <w:style w:type="paragraph" w:customStyle="1" w:styleId="38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88">
    <w:name w:val="Test2"/>
    <w:basedOn w:val="4"/>
    <w:autoRedefine/>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92">
    <w:name w:val="Default Text"/>
    <w:basedOn w:val="1"/>
    <w:autoRedefine/>
    <w:qFormat/>
    <w:uiPriority w:val="0"/>
    <w:pPr>
      <w:widowControl/>
      <w:jc w:val="left"/>
    </w:pPr>
    <w:rPr>
      <w:kern w:val="0"/>
      <w:sz w:val="24"/>
      <w:lang w:eastAsia="en-US"/>
    </w:rPr>
  </w:style>
  <w:style w:type="paragraph" w:customStyle="1" w:styleId="39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autoRedefine/>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autoRedefine/>
    <w:qFormat/>
    <w:uiPriority w:val="0"/>
    <w:pPr>
      <w:widowControl/>
      <w:tabs>
        <w:tab w:val="left" w:pos="2240"/>
      </w:tabs>
      <w:ind w:hanging="420"/>
      <w:outlineLvl w:val="3"/>
    </w:pPr>
    <w:rPr>
      <w:rFonts w:eastAsia="黑体"/>
      <w:kern w:val="0"/>
    </w:rPr>
  </w:style>
  <w:style w:type="paragraph" w:customStyle="1" w:styleId="398">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autoRedefine/>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autoRedefine/>
    <w:qFormat/>
    <w:uiPriority w:val="0"/>
    <w:pPr>
      <w:spacing w:line="360" w:lineRule="auto"/>
      <w:ind w:firstLine="420" w:firstLineChars="200"/>
    </w:pPr>
    <w:rPr>
      <w:szCs w:val="24"/>
    </w:rPr>
  </w:style>
  <w:style w:type="paragraph" w:customStyle="1" w:styleId="402">
    <w:name w:val="Char Char Char Char Char Char Char Char1"/>
    <w:basedOn w:val="1"/>
    <w:autoRedefine/>
    <w:qFormat/>
    <w:uiPriority w:val="0"/>
    <w:rPr>
      <w:rFonts w:ascii="Tahoma" w:hAnsi="Tahoma" w:cs="Tahoma"/>
      <w:sz w:val="24"/>
    </w:rPr>
  </w:style>
  <w:style w:type="paragraph" w:customStyle="1" w:styleId="403">
    <w:name w:val="Char Char Char Char1"/>
    <w:basedOn w:val="22"/>
    <w:autoRedefine/>
    <w:qFormat/>
    <w:uiPriority w:val="0"/>
    <w:pPr>
      <w:adjustRightInd w:val="0"/>
      <w:snapToGrid w:val="0"/>
      <w:spacing w:line="360" w:lineRule="auto"/>
    </w:pPr>
    <w:rPr>
      <w:rFonts w:ascii="Tahoma" w:hAnsi="Tahoma"/>
      <w:sz w:val="24"/>
      <w:szCs w:val="24"/>
    </w:rPr>
  </w:style>
  <w:style w:type="paragraph" w:customStyle="1" w:styleId="404">
    <w:name w:val="正文1"/>
    <w:basedOn w:val="1"/>
    <w:autoRedefine/>
    <w:qFormat/>
    <w:uiPriority w:val="0"/>
    <w:rPr>
      <w:rFonts w:ascii="Calibri" w:hAnsi="Calibri" w:eastAsia="Times New Roman" w:cs="宋体"/>
      <w:kern w:val="0"/>
      <w:lang w:val="zh-CN"/>
    </w:rPr>
  </w:style>
  <w:style w:type="paragraph" w:customStyle="1" w:styleId="405">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autoRedefine/>
    <w:qFormat/>
    <w:uiPriority w:val="0"/>
    <w:rPr>
      <w:rFonts w:ascii="Calibri" w:hAnsi="Calibri" w:eastAsia="Times New Roman" w:cs="宋体"/>
      <w:kern w:val="0"/>
      <w:lang w:val="zh-CN"/>
    </w:rPr>
  </w:style>
  <w:style w:type="paragraph" w:customStyle="1" w:styleId="408">
    <w:name w:val="纯文本1"/>
    <w:basedOn w:val="1"/>
    <w:autoRedefine/>
    <w:qFormat/>
    <w:uiPriority w:val="0"/>
    <w:pPr>
      <w:adjustRightInd w:val="0"/>
      <w:textAlignment w:val="baseline"/>
    </w:pPr>
    <w:rPr>
      <w:rFonts w:ascii="宋体" w:hAnsi="宋体" w:eastAsia="楷体_GB2312" w:cs="宋体"/>
      <w:sz w:val="28"/>
    </w:rPr>
  </w:style>
  <w:style w:type="paragraph" w:customStyle="1" w:styleId="409">
    <w:name w:val="正文lzq"/>
    <w:basedOn w:val="1"/>
    <w:autoRedefine/>
    <w:qFormat/>
    <w:uiPriority w:val="0"/>
    <w:pPr>
      <w:adjustRightInd w:val="0"/>
      <w:spacing w:line="360" w:lineRule="auto"/>
      <w:ind w:firstLine="480"/>
      <w:textAlignment w:val="baseline"/>
    </w:pPr>
    <w:rPr>
      <w:kern w:val="0"/>
      <w:sz w:val="24"/>
    </w:rPr>
  </w:style>
  <w:style w:type="paragraph" w:customStyle="1" w:styleId="410">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autoRedefine/>
    <w:qFormat/>
    <w:uiPriority w:val="0"/>
    <w:rPr>
      <w:rFonts w:ascii="Tahoma" w:hAnsi="Tahoma"/>
      <w:sz w:val="24"/>
    </w:rPr>
  </w:style>
  <w:style w:type="paragraph" w:customStyle="1" w:styleId="412">
    <w:name w:val="Char Char Char"/>
    <w:basedOn w:val="1"/>
    <w:autoRedefine/>
    <w:qFormat/>
    <w:uiPriority w:val="0"/>
    <w:rPr>
      <w:rFonts w:ascii="Tahoma" w:hAnsi="Tahoma"/>
      <w:sz w:val="24"/>
    </w:rPr>
  </w:style>
  <w:style w:type="paragraph" w:customStyle="1" w:styleId="413">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autoRedefine/>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autoRedefine/>
    <w:qFormat/>
    <w:uiPriority w:val="0"/>
    <w:pPr>
      <w:outlineLvl w:val="1"/>
    </w:pPr>
    <w:rPr>
      <w:rFonts w:ascii="仿宋_GB2312" w:hAnsi="宋体" w:eastAsia="仿宋_GB2312"/>
      <w:kern w:val="28"/>
      <w:sz w:val="28"/>
      <w:szCs w:val="24"/>
    </w:rPr>
  </w:style>
  <w:style w:type="paragraph" w:customStyle="1" w:styleId="417">
    <w:name w:val="文档正文"/>
    <w:basedOn w:val="1"/>
    <w:autoRedefine/>
    <w:qFormat/>
    <w:uiPriority w:val="0"/>
    <w:pPr>
      <w:spacing w:line="360" w:lineRule="auto"/>
    </w:pPr>
    <w:rPr>
      <w:rFonts w:ascii="宋体" w:hAnsi="宋体"/>
      <w:b/>
      <w:bCs/>
      <w:szCs w:val="24"/>
    </w:rPr>
  </w:style>
  <w:style w:type="paragraph" w:customStyle="1" w:styleId="418">
    <w:name w:val="Char Char Char Char Char Char Char Char Char Char Char"/>
    <w:basedOn w:val="1"/>
    <w:autoRedefine/>
    <w:qFormat/>
    <w:uiPriority w:val="0"/>
    <w:rPr>
      <w:rFonts w:ascii="Tahoma" w:hAnsi="Tahoma" w:cs="Tahoma"/>
      <w:sz w:val="24"/>
    </w:rPr>
  </w:style>
  <w:style w:type="paragraph" w:customStyle="1" w:styleId="419">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11"/>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autoRedefine/>
    <w:semiHidden/>
    <w:qFormat/>
    <w:uiPriority w:val="99"/>
    <w:rPr>
      <w:rFonts w:ascii="Times New Roman" w:hAnsi="Times New Roman" w:eastAsia="宋体" w:cs="Times New Roman"/>
      <w:szCs w:val="24"/>
    </w:rPr>
  </w:style>
  <w:style w:type="paragraph" w:styleId="423">
    <w:name w:val="List Paragraph"/>
    <w:basedOn w:val="1"/>
    <w:autoRedefine/>
    <w:qFormat/>
    <w:uiPriority w:val="99"/>
    <w:pPr>
      <w:ind w:firstLine="420" w:firstLineChars="200"/>
    </w:pPr>
    <w:rPr>
      <w:szCs w:val="24"/>
    </w:rPr>
  </w:style>
  <w:style w:type="paragraph" w:customStyle="1" w:styleId="424">
    <w:name w:val="二级无"/>
    <w:basedOn w:val="1"/>
    <w:autoRedefine/>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autoRedefine/>
    <w:qFormat/>
    <w:uiPriority w:val="0"/>
    <w:rPr>
      <w:rFonts w:hint="eastAsia" w:ascii="宋体" w:hAnsi="宋体" w:eastAsia="宋体" w:cs="宋体"/>
      <w:color w:val="000000"/>
      <w:sz w:val="24"/>
      <w:szCs w:val="24"/>
      <w:u w:val="none"/>
    </w:rPr>
  </w:style>
  <w:style w:type="character" w:customStyle="1" w:styleId="426">
    <w:name w:val="font31"/>
    <w:basedOn w:val="63"/>
    <w:autoRedefine/>
    <w:qFormat/>
    <w:uiPriority w:val="0"/>
    <w:rPr>
      <w:rFonts w:hint="default" w:ascii="楷体_GB2312" w:eastAsia="楷体_GB2312" w:cs="楷体_GB2312"/>
      <w:color w:val="000000"/>
      <w:sz w:val="24"/>
      <w:szCs w:val="24"/>
      <w:u w:val="none"/>
    </w:rPr>
  </w:style>
  <w:style w:type="character" w:customStyle="1" w:styleId="427">
    <w:name w:val="tit"/>
    <w:basedOn w:val="63"/>
    <w:autoRedefine/>
    <w:qFormat/>
    <w:uiPriority w:val="0"/>
    <w:rPr>
      <w:color w:val="333333"/>
      <w:sz w:val="24"/>
      <w:szCs w:val="24"/>
    </w:rPr>
  </w:style>
  <w:style w:type="character" w:customStyle="1" w:styleId="428">
    <w:name w:val="img_title18"/>
    <w:basedOn w:val="63"/>
    <w:autoRedefine/>
    <w:qFormat/>
    <w:uiPriority w:val="0"/>
    <w:rPr>
      <w:vanish/>
    </w:rPr>
  </w:style>
  <w:style w:type="character" w:customStyle="1" w:styleId="429">
    <w:name w:val="nostart"/>
    <w:basedOn w:val="63"/>
    <w:autoRedefine/>
    <w:qFormat/>
    <w:uiPriority w:val="0"/>
    <w:rPr>
      <w:rFonts w:ascii="Arial" w:hAnsi="Arial" w:cs="Arial"/>
      <w:color w:val="DD0000"/>
      <w:sz w:val="19"/>
      <w:szCs w:val="19"/>
    </w:rPr>
  </w:style>
  <w:style w:type="character" w:customStyle="1" w:styleId="430">
    <w:name w:val="starting"/>
    <w:basedOn w:val="63"/>
    <w:autoRedefine/>
    <w:qFormat/>
    <w:uiPriority w:val="0"/>
    <w:rPr>
      <w:color w:val="13844D"/>
    </w:rPr>
  </w:style>
  <w:style w:type="character" w:customStyle="1" w:styleId="431">
    <w:name w:val="hit"/>
    <w:basedOn w:val="63"/>
    <w:autoRedefine/>
    <w:qFormat/>
    <w:uiPriority w:val="0"/>
  </w:style>
  <w:style w:type="character" w:customStyle="1" w:styleId="432">
    <w:name w:val="c3"/>
    <w:basedOn w:val="63"/>
    <w:autoRedefine/>
    <w:qFormat/>
    <w:uiPriority w:val="0"/>
  </w:style>
  <w:style w:type="character" w:customStyle="1" w:styleId="433">
    <w:name w:val="over8"/>
    <w:basedOn w:val="63"/>
    <w:autoRedefine/>
    <w:qFormat/>
    <w:uiPriority w:val="0"/>
    <w:rPr>
      <w:color w:val="999999"/>
      <w:sz w:val="19"/>
      <w:szCs w:val="19"/>
    </w:rPr>
  </w:style>
  <w:style w:type="character" w:customStyle="1" w:styleId="434">
    <w:name w:val="right4"/>
    <w:basedOn w:val="63"/>
    <w:autoRedefine/>
    <w:qFormat/>
    <w:uiPriority w:val="0"/>
    <w:rPr>
      <w:color w:val="A1A1A1"/>
    </w:rPr>
  </w:style>
  <w:style w:type="character" w:customStyle="1" w:styleId="435">
    <w:name w:val="msg-box8"/>
    <w:basedOn w:val="63"/>
    <w:autoRedefine/>
    <w:qFormat/>
    <w:uiPriority w:val="0"/>
  </w:style>
  <w:style w:type="character" w:customStyle="1" w:styleId="436">
    <w:name w:val="c2"/>
    <w:basedOn w:val="63"/>
    <w:autoRedefine/>
    <w:qFormat/>
    <w:uiPriority w:val="0"/>
  </w:style>
  <w:style w:type="character" w:customStyle="1" w:styleId="437">
    <w:name w:val="c1"/>
    <w:basedOn w:val="63"/>
    <w:autoRedefine/>
    <w:qFormat/>
    <w:uiPriority w:val="0"/>
  </w:style>
  <w:style w:type="character" w:customStyle="1" w:styleId="438">
    <w:name w:val="tit4"/>
    <w:basedOn w:val="63"/>
    <w:autoRedefine/>
    <w:qFormat/>
    <w:uiPriority w:val="0"/>
    <w:rPr>
      <w:color w:val="333333"/>
      <w:sz w:val="24"/>
      <w:szCs w:val="24"/>
    </w:rPr>
  </w:style>
  <w:style w:type="character" w:customStyle="1" w:styleId="439">
    <w:name w:val="starting8"/>
    <w:basedOn w:val="63"/>
    <w:autoRedefine/>
    <w:qFormat/>
    <w:uiPriority w:val="0"/>
    <w:rPr>
      <w:color w:val="13844D"/>
    </w:rPr>
  </w:style>
  <w:style w:type="character" w:customStyle="1" w:styleId="440">
    <w:name w:val="nostart8"/>
    <w:basedOn w:val="63"/>
    <w:autoRedefine/>
    <w:qFormat/>
    <w:uiPriority w:val="0"/>
    <w:rPr>
      <w:color w:val="DD0000"/>
    </w:rPr>
  </w:style>
  <w:style w:type="character" w:customStyle="1" w:styleId="441">
    <w:name w:val="over"/>
    <w:basedOn w:val="63"/>
    <w:autoRedefine/>
    <w:qFormat/>
    <w:uiPriority w:val="0"/>
    <w:rPr>
      <w:color w:val="999999"/>
      <w:sz w:val="19"/>
      <w:szCs w:val="19"/>
    </w:rPr>
  </w:style>
  <w:style w:type="character" w:customStyle="1" w:styleId="442">
    <w:name w:val="msg-box"/>
    <w:basedOn w:val="63"/>
    <w:autoRedefine/>
    <w:qFormat/>
    <w:uiPriority w:val="0"/>
  </w:style>
  <w:style w:type="character" w:customStyle="1" w:styleId="443">
    <w:name w:val="img_title"/>
    <w:basedOn w:val="63"/>
    <w:autoRedefine/>
    <w:qFormat/>
    <w:uiPriority w:val="0"/>
    <w:rPr>
      <w:vanish/>
    </w:rPr>
  </w:style>
  <w:style w:type="character" w:customStyle="1" w:styleId="444">
    <w:name w:val="right3"/>
    <w:basedOn w:val="63"/>
    <w:autoRedefine/>
    <w:qFormat/>
    <w:uiPriority w:val="0"/>
    <w:rPr>
      <w:color w:val="A1A1A1"/>
    </w:rPr>
  </w:style>
  <w:style w:type="character" w:customStyle="1" w:styleId="445">
    <w:name w:val="right"/>
    <w:basedOn w:val="63"/>
    <w:autoRedefine/>
    <w:qFormat/>
    <w:uiPriority w:val="0"/>
    <w:rPr>
      <w:color w:val="A1A1A1"/>
    </w:rPr>
  </w:style>
  <w:style w:type="character" w:customStyle="1" w:styleId="446">
    <w:name w:val="starting7"/>
    <w:basedOn w:val="63"/>
    <w:autoRedefine/>
    <w:qFormat/>
    <w:uiPriority w:val="0"/>
    <w:rPr>
      <w:color w:val="13844D"/>
    </w:rPr>
  </w:style>
  <w:style w:type="character" w:customStyle="1" w:styleId="447">
    <w:name w:val="tit3"/>
    <w:basedOn w:val="63"/>
    <w:autoRedefine/>
    <w:qFormat/>
    <w:uiPriority w:val="0"/>
    <w:rPr>
      <w:color w:val="333333"/>
      <w:sz w:val="24"/>
      <w:szCs w:val="24"/>
    </w:rPr>
  </w:style>
  <w:style w:type="character" w:customStyle="1" w:styleId="448">
    <w:name w:val="nostart5"/>
    <w:basedOn w:val="63"/>
    <w:autoRedefine/>
    <w:qFormat/>
    <w:uiPriority w:val="0"/>
    <w:rPr>
      <w:color w:val="DD0000"/>
    </w:rPr>
  </w:style>
  <w:style w:type="character" w:customStyle="1" w:styleId="449">
    <w:name w:val="starting5"/>
    <w:basedOn w:val="63"/>
    <w:autoRedefine/>
    <w:qFormat/>
    <w:uiPriority w:val="0"/>
    <w:rPr>
      <w:color w:val="13844D"/>
    </w:rPr>
  </w:style>
  <w:style w:type="paragraph" w:customStyle="1" w:styleId="450">
    <w:name w:val="Body Text First Indent 21"/>
    <w:basedOn w:val="451"/>
    <w:autoRedefine/>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autoRedefine/>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autoRedefine/>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autoRedefine/>
    <w:qFormat/>
    <w:uiPriority w:val="0"/>
  </w:style>
  <w:style w:type="character" w:customStyle="1" w:styleId="454">
    <w:name w:val="layui-layer-tabnow"/>
    <w:basedOn w:val="63"/>
    <w:autoRedefine/>
    <w:qFormat/>
    <w:uiPriority w:val="0"/>
    <w:rPr>
      <w:bdr w:val="single" w:color="CCCCCC" w:sz="6" w:space="0"/>
      <w:shd w:val="clear" w:color="auto" w:fill="FFFFFF"/>
    </w:rPr>
  </w:style>
  <w:style w:type="character" w:customStyle="1" w:styleId="455">
    <w:name w:val="font41"/>
    <w:basedOn w:val="63"/>
    <w:autoRedefine/>
    <w:qFormat/>
    <w:uiPriority w:val="0"/>
    <w:rPr>
      <w:rFonts w:hint="eastAsia" w:ascii="宋体" w:hAnsi="宋体" w:eastAsia="宋体" w:cs="宋体"/>
      <w:color w:val="000000"/>
      <w:sz w:val="22"/>
      <w:szCs w:val="22"/>
      <w:u w:val="none"/>
    </w:rPr>
  </w:style>
  <w:style w:type="character" w:customStyle="1" w:styleId="456">
    <w:name w:val="font51"/>
    <w:basedOn w:val="63"/>
    <w:autoRedefine/>
    <w:qFormat/>
    <w:uiPriority w:val="0"/>
    <w:rPr>
      <w:rFonts w:hint="eastAsia" w:ascii="宋体" w:hAnsi="宋体" w:eastAsia="宋体" w:cs="宋体"/>
      <w:color w:val="000000"/>
      <w:sz w:val="24"/>
      <w:szCs w:val="24"/>
      <w:u w:val="none"/>
    </w:rPr>
  </w:style>
  <w:style w:type="character" w:customStyle="1" w:styleId="457">
    <w:name w:val="font112"/>
    <w:basedOn w:val="63"/>
    <w:qFormat/>
    <w:uiPriority w:val="0"/>
    <w:rPr>
      <w:rFonts w:hint="eastAsia" w:ascii="宋体" w:hAnsi="宋体" w:eastAsia="宋体" w:cs="宋体"/>
      <w:color w:val="000000"/>
      <w:sz w:val="22"/>
      <w:szCs w:val="22"/>
      <w:u w:val="none"/>
    </w:rPr>
  </w:style>
  <w:style w:type="character" w:customStyle="1" w:styleId="458">
    <w:name w:val="font141"/>
    <w:basedOn w:val="63"/>
    <w:qFormat/>
    <w:uiPriority w:val="0"/>
    <w:rPr>
      <w:rFonts w:hint="eastAsia" w:ascii="宋体" w:hAnsi="宋体" w:eastAsia="宋体" w:cs="宋体"/>
      <w:color w:val="FF0000"/>
      <w:sz w:val="22"/>
      <w:szCs w:val="22"/>
      <w:u w:val="none"/>
    </w:rPr>
  </w:style>
  <w:style w:type="paragraph" w:customStyle="1" w:styleId="459">
    <w:name w:val="_Style 13"/>
    <w:qFormat/>
    <w:uiPriority w:val="0"/>
    <w:pPr>
      <w:spacing w:before="120" w:after="120" w:line="288" w:lineRule="auto"/>
      <w:ind w:left="0"/>
      <w:jc w:val="left"/>
    </w:pPr>
    <w:rPr>
      <w:rFonts w:ascii="Arial" w:hAnsi="Arial" w:eastAsia="等线" w:cs="Arial"/>
      <w:sz w:val="22"/>
      <w:szCs w:val="22"/>
    </w:rPr>
  </w:style>
  <w:style w:type="character" w:customStyle="1" w:styleId="460">
    <w:name w:val="NormalCharacter"/>
    <w:link w:val="461"/>
    <w:qFormat/>
    <w:uiPriority w:val="0"/>
  </w:style>
  <w:style w:type="paragraph" w:customStyle="1" w:styleId="461">
    <w:name w:val="UserStyle_0"/>
    <w:basedOn w:val="1"/>
    <w:link w:val="460"/>
    <w:qFormat/>
    <w:uiPriority w:val="0"/>
    <w:pPr>
      <w:spacing w:line="600" w:lineRule="exact"/>
      <w:jc w:val="both"/>
      <w:textAlignment w:val="baseline"/>
    </w:pPr>
  </w:style>
  <w:style w:type="paragraph" w:customStyle="1" w:styleId="462">
    <w:name w:val="Source Code"/>
    <w:basedOn w:val="1"/>
    <w:link w:val="463"/>
    <w:qFormat/>
    <w:uiPriority w:val="0"/>
    <w:pPr>
      <w:wordWrap w:val="0"/>
    </w:pPr>
  </w:style>
  <w:style w:type="character" w:customStyle="1" w:styleId="463">
    <w:name w:val="Verbatim Char"/>
    <w:basedOn w:val="464"/>
    <w:link w:val="462"/>
    <w:qFormat/>
    <w:uiPriority w:val="0"/>
  </w:style>
  <w:style w:type="character" w:customStyle="1" w:styleId="464">
    <w:name w:val="Body Text Char"/>
    <w:basedOn w:val="63"/>
    <w:link w:val="3"/>
    <w:qFormat/>
    <w:uiPriority w:val="0"/>
  </w:style>
  <w:style w:type="paragraph" w:customStyle="1" w:styleId="465">
    <w:name w:val="First Paragraph"/>
    <w:basedOn w:val="3"/>
    <w:next w:val="3"/>
    <w:qFormat/>
    <w:uiPriority w:val="0"/>
  </w:style>
  <w:style w:type="paragraph" w:customStyle="1" w:styleId="466">
    <w:name w:val="Compact"/>
    <w:basedOn w:val="3"/>
    <w:qFormat/>
    <w:uiPriority w:val="0"/>
    <w:pPr>
      <w:spacing w:before="36" w:after="36"/>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35</Pages>
  <Words>12851</Words>
  <Characters>13797</Characters>
  <Lines>69</Lines>
  <Paragraphs>19</Paragraphs>
  <TotalTime>2</TotalTime>
  <ScaleCrop>false</ScaleCrop>
  <LinksUpToDate>false</LinksUpToDate>
  <CharactersWithSpaces>14102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w'w</cp:lastModifiedBy>
  <cp:lastPrinted>2026-07-29T00:46:00Z</cp:lastPrinted>
  <dcterms:modified xsi:type="dcterms:W3CDTF">2026-09-14T08:48:49Z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689A5D6F56494EF8B9938D2DDBB29BDB_13</vt:lpwstr>
  </property>
  <property fmtid="{D5CDD505-2E9C-101B-9397-08002B2CF9AE}" pid="4" name="KSOTemplateDocerSaveRecord">
    <vt:lpwstr>eyJoZGlkIjoiYTVmZDRhYjViM2UzMjA2ZDliOTFkYTE2OTJjMTg3MGMiLCJ1c2VySWQiOiI1MDM3OTU2NDYifQ==</vt:lpwstr>
  </property>
</Properties>
</file>