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6810DA">
      <w:pPr>
        <w:spacing w:line="480" w:lineRule="exact"/>
        <w:rPr>
          <w:rFonts w:ascii="宋体"/>
          <w:color w:val="auto"/>
          <w:sz w:val="36"/>
          <w:szCs w:val="36"/>
          <w:highlight w:val="none"/>
        </w:rPr>
      </w:pPr>
    </w:p>
    <w:p w14:paraId="595B5E79">
      <w:pPr>
        <w:pStyle w:val="82"/>
        <w:spacing w:before="120"/>
        <w:ind w:firstLine="0" w:firstLineChars="0"/>
        <w:jc w:val="center"/>
        <w:rPr>
          <w:rFonts w:hint="eastAsia" w:ascii="仿宋_GB2312" w:hAnsi="宋体" w:eastAsia="仿宋_GB2312"/>
          <w:b/>
          <w:color w:val="auto"/>
          <w:sz w:val="48"/>
          <w:szCs w:val="48"/>
          <w:highlight w:val="none"/>
          <w:lang w:eastAsia="zh-CN"/>
        </w:rPr>
      </w:pPr>
      <w:r>
        <w:rPr>
          <w:rFonts w:hint="eastAsia" w:ascii="仿宋_GB2312" w:hAnsi="宋体" w:eastAsia="仿宋_GB2312"/>
          <w:b/>
          <w:color w:val="auto"/>
          <w:sz w:val="48"/>
          <w:szCs w:val="48"/>
          <w:highlight w:val="none"/>
          <w:lang w:eastAsia="zh-CN"/>
        </w:rPr>
        <w:t>安庆市石门湖港输送皮带采购项目</w:t>
      </w:r>
    </w:p>
    <w:p w14:paraId="21443BA6">
      <w:pPr>
        <w:pStyle w:val="82"/>
        <w:spacing w:before="120"/>
        <w:ind w:firstLine="0" w:firstLineChars="0"/>
        <w:jc w:val="center"/>
        <w:rPr>
          <w:rFonts w:hint="eastAsia" w:ascii="仿宋_GB2312" w:hAnsi="宋体" w:eastAsia="仿宋_GB2312"/>
          <w:b/>
          <w:color w:val="auto"/>
          <w:sz w:val="48"/>
          <w:szCs w:val="48"/>
          <w:highlight w:val="none"/>
        </w:rPr>
      </w:pPr>
    </w:p>
    <w:p w14:paraId="51B1142A">
      <w:pPr>
        <w:pStyle w:val="82"/>
        <w:spacing w:before="120"/>
        <w:ind w:firstLine="0" w:firstLineChars="0"/>
        <w:rPr>
          <w:color w:val="auto"/>
          <w:highlight w:val="none"/>
        </w:rPr>
      </w:pPr>
    </w:p>
    <w:p w14:paraId="115F6654">
      <w:pPr>
        <w:pStyle w:val="82"/>
        <w:spacing w:before="120"/>
        <w:ind w:firstLine="350"/>
        <w:rPr>
          <w:color w:val="auto"/>
          <w:highlight w:val="none"/>
        </w:rPr>
      </w:pPr>
    </w:p>
    <w:p w14:paraId="13E55A8B">
      <w:pPr>
        <w:spacing w:line="480" w:lineRule="exact"/>
        <w:jc w:val="center"/>
        <w:rPr>
          <w:rFonts w:hint="eastAsia"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60CF388C">
      <w:pPr>
        <w:pStyle w:val="82"/>
        <w:spacing w:before="120"/>
        <w:ind w:firstLine="350"/>
        <w:rPr>
          <w:color w:val="auto"/>
          <w:highlight w:val="none"/>
        </w:rPr>
      </w:pPr>
    </w:p>
    <w:p w14:paraId="08B93997">
      <w:pPr>
        <w:pStyle w:val="82"/>
        <w:spacing w:before="120"/>
        <w:ind w:firstLine="350"/>
        <w:rPr>
          <w:color w:val="auto"/>
          <w:highlight w:val="none"/>
        </w:rPr>
      </w:pPr>
    </w:p>
    <w:p w14:paraId="44E30A75">
      <w:pPr>
        <w:spacing w:line="480" w:lineRule="exact"/>
        <w:jc w:val="center"/>
        <w:rPr>
          <w:rFonts w:ascii="宋体" w:cs="宋体"/>
          <w:b/>
          <w:bCs/>
          <w:color w:val="auto"/>
          <w:sz w:val="48"/>
          <w:szCs w:val="48"/>
          <w:highlight w:val="none"/>
        </w:rPr>
      </w:pPr>
    </w:p>
    <w:p w14:paraId="5514F19C">
      <w:pPr>
        <w:pStyle w:val="82"/>
        <w:spacing w:before="120"/>
        <w:ind w:firstLine="350"/>
        <w:rPr>
          <w:color w:val="auto"/>
          <w:highlight w:val="none"/>
        </w:rPr>
      </w:pPr>
    </w:p>
    <w:p w14:paraId="1F85D5F9">
      <w:pPr>
        <w:spacing w:line="480" w:lineRule="exact"/>
        <w:jc w:val="center"/>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AQJK-CG-2026-089</w:t>
      </w:r>
    </w:p>
    <w:p w14:paraId="6C6E854D">
      <w:pPr>
        <w:spacing w:line="480" w:lineRule="exact"/>
        <w:rPr>
          <w:rFonts w:hint="eastAsia" w:ascii="宋体" w:hAnsi="宋体" w:cs="仿宋_GB2312"/>
          <w:color w:val="auto"/>
          <w:szCs w:val="21"/>
          <w:highlight w:val="none"/>
        </w:rPr>
      </w:pPr>
    </w:p>
    <w:p w14:paraId="66FCBEA0">
      <w:pPr>
        <w:pStyle w:val="82"/>
        <w:spacing w:before="120"/>
        <w:ind w:firstLine="0" w:firstLineChars="0"/>
        <w:rPr>
          <w:color w:val="auto"/>
          <w:highlight w:val="none"/>
        </w:rPr>
      </w:pPr>
    </w:p>
    <w:p w14:paraId="0929F072">
      <w:pPr>
        <w:pStyle w:val="82"/>
        <w:spacing w:before="120"/>
        <w:ind w:firstLine="0" w:firstLineChars="0"/>
        <w:rPr>
          <w:color w:val="auto"/>
          <w:highlight w:val="none"/>
        </w:rPr>
      </w:pPr>
    </w:p>
    <w:p w14:paraId="28FA039B">
      <w:pPr>
        <w:pStyle w:val="82"/>
        <w:spacing w:before="120"/>
        <w:ind w:firstLine="0" w:firstLineChars="0"/>
        <w:rPr>
          <w:color w:val="auto"/>
          <w:highlight w:val="none"/>
        </w:rPr>
      </w:pPr>
    </w:p>
    <w:p w14:paraId="1A692202">
      <w:pPr>
        <w:pStyle w:val="82"/>
        <w:spacing w:before="120"/>
        <w:ind w:firstLine="0" w:firstLineChars="0"/>
        <w:rPr>
          <w:color w:val="auto"/>
          <w:highlight w:val="none"/>
        </w:rPr>
      </w:pPr>
    </w:p>
    <w:p w14:paraId="4E4A7241">
      <w:pPr>
        <w:spacing w:line="480" w:lineRule="exact"/>
        <w:rPr>
          <w:rFonts w:hint="eastAsia" w:ascii="宋体" w:hAnsi="宋体" w:cs="仿宋_GB2312"/>
          <w:color w:val="auto"/>
          <w:szCs w:val="21"/>
          <w:highlight w:val="none"/>
        </w:rPr>
      </w:pPr>
    </w:p>
    <w:p w14:paraId="190E050D">
      <w:pPr>
        <w:spacing w:line="360" w:lineRule="auto"/>
        <w:jc w:val="center"/>
        <w:rPr>
          <w:rFonts w:hint="eastAsia" w:ascii="宋体" w:hAnsi="宋体" w:cs="仿宋_GB2312"/>
          <w:b/>
          <w:color w:val="auto"/>
          <w:szCs w:val="21"/>
          <w:highlight w:val="none"/>
        </w:rPr>
      </w:pPr>
      <w:r>
        <w:rPr>
          <w:rFonts w:hint="eastAsia" w:ascii="宋体" w:hAnsi="宋体" w:cs="仿宋_GB2312"/>
          <w:b/>
          <w:color w:val="auto"/>
          <w:sz w:val="30"/>
          <w:szCs w:val="30"/>
          <w:highlight w:val="none"/>
        </w:rPr>
        <w:t>采购人：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安庆市通源港务有限公司</w:t>
      </w:r>
      <w:r>
        <w:rPr>
          <w:rFonts w:hint="eastAsia" w:ascii="宋体" w:hAnsi="宋体" w:cs="仿宋_GB2312"/>
          <w:b/>
          <w:color w:val="auto"/>
          <w:sz w:val="30"/>
          <w:szCs w:val="30"/>
          <w:highlight w:val="none"/>
          <w:u w:val="single"/>
        </w:rPr>
        <w:t xml:space="preserve">    </w:t>
      </w:r>
    </w:p>
    <w:p w14:paraId="49E48A9B">
      <w:pPr>
        <w:pStyle w:val="82"/>
        <w:spacing w:before="120"/>
        <w:ind w:firstLine="350"/>
        <w:rPr>
          <w:color w:val="auto"/>
          <w:highlight w:val="none"/>
        </w:rPr>
      </w:pPr>
    </w:p>
    <w:p w14:paraId="5FA62FB4">
      <w:pPr>
        <w:pStyle w:val="82"/>
        <w:spacing w:before="120"/>
        <w:ind w:firstLine="350"/>
        <w:rPr>
          <w:color w:val="auto"/>
          <w:highlight w:val="none"/>
        </w:rPr>
      </w:pPr>
    </w:p>
    <w:p w14:paraId="0580EC9A">
      <w:pPr>
        <w:pStyle w:val="82"/>
        <w:spacing w:before="120"/>
        <w:ind w:firstLine="350"/>
        <w:rPr>
          <w:color w:val="auto"/>
          <w:highlight w:val="none"/>
        </w:rPr>
      </w:pPr>
    </w:p>
    <w:p w14:paraId="3E018C1D">
      <w:pPr>
        <w:pStyle w:val="82"/>
        <w:spacing w:before="120"/>
        <w:ind w:firstLine="350"/>
        <w:rPr>
          <w:color w:val="auto"/>
          <w:highlight w:val="none"/>
        </w:rPr>
      </w:pPr>
    </w:p>
    <w:p w14:paraId="5C6908E7">
      <w:pPr>
        <w:pStyle w:val="82"/>
        <w:spacing w:before="120"/>
        <w:ind w:firstLine="350"/>
        <w:rPr>
          <w:color w:val="auto"/>
          <w:highlight w:val="none"/>
        </w:rPr>
      </w:pPr>
    </w:p>
    <w:p w14:paraId="448773FD">
      <w:pPr>
        <w:pStyle w:val="82"/>
        <w:spacing w:before="120"/>
        <w:ind w:firstLine="350"/>
        <w:rPr>
          <w:color w:val="auto"/>
          <w:highlight w:val="none"/>
        </w:rPr>
      </w:pPr>
    </w:p>
    <w:p w14:paraId="1B79843C">
      <w:pPr>
        <w:spacing w:line="360" w:lineRule="auto"/>
        <w:rPr>
          <w:rFonts w:hint="eastAsia" w:ascii="宋体" w:hAnsi="宋体" w:cs="仿宋_GB2312"/>
          <w:b/>
          <w:color w:val="auto"/>
          <w:sz w:val="24"/>
          <w:highlight w:val="none"/>
        </w:rPr>
      </w:pPr>
    </w:p>
    <w:p w14:paraId="1FD2A4AD">
      <w:pPr>
        <w:spacing w:line="360" w:lineRule="auto"/>
        <w:jc w:val="center"/>
        <w:rPr>
          <w:rFonts w:hint="eastAsia" w:ascii="宋体" w:hAnsi="宋体" w:cs="仿宋_GB2312"/>
          <w:b/>
          <w:color w:val="auto"/>
          <w:sz w:val="24"/>
          <w:highlight w:val="none"/>
          <w:u w:val="single"/>
        </w:rPr>
      </w:pPr>
      <w:r>
        <w:rPr>
          <w:rFonts w:hint="eastAsia" w:ascii="宋体" w:hAnsi="宋体" w:cs="仿宋_GB2312"/>
          <w:b/>
          <w:color w:val="auto"/>
          <w:sz w:val="30"/>
          <w:szCs w:val="30"/>
          <w:highlight w:val="none"/>
        </w:rPr>
        <w:t>安庆市交通控股集团有限公司集采中心</w:t>
      </w:r>
    </w:p>
    <w:p w14:paraId="6F044122">
      <w:pPr>
        <w:spacing w:line="480" w:lineRule="exact"/>
        <w:rPr>
          <w:rFonts w:hint="eastAsia" w:ascii="宋体" w:hAnsi="宋体" w:cs="仿宋_GB2312"/>
          <w:color w:val="auto"/>
          <w:szCs w:val="21"/>
          <w:highlight w:val="none"/>
        </w:rPr>
      </w:pPr>
    </w:p>
    <w:p w14:paraId="1143AFB6">
      <w:pPr>
        <w:spacing w:line="480" w:lineRule="exact"/>
        <w:rPr>
          <w:rFonts w:hint="eastAsia" w:ascii="宋体" w:hAnsi="宋体" w:cs="仿宋_GB2312"/>
          <w:color w:val="auto"/>
          <w:szCs w:val="21"/>
          <w:highlight w:val="none"/>
        </w:rPr>
      </w:pPr>
    </w:p>
    <w:p w14:paraId="6CB8A46B">
      <w:pPr>
        <w:pStyle w:val="82"/>
        <w:spacing w:before="120"/>
        <w:ind w:firstLine="0" w:firstLineChars="0"/>
        <w:rPr>
          <w:rFonts w:hint="eastAsia" w:ascii="宋体" w:hAnsi="宋体" w:cs="仿宋_GB2312"/>
          <w:color w:val="auto"/>
          <w:szCs w:val="21"/>
          <w:highlight w:val="none"/>
        </w:rPr>
      </w:pPr>
    </w:p>
    <w:p w14:paraId="02888BC5">
      <w:pPr>
        <w:spacing w:line="480" w:lineRule="exact"/>
        <w:jc w:val="center"/>
        <w:rPr>
          <w:rFonts w:hint="eastAsia"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日期：二〇二六年</w:t>
      </w:r>
      <w:r>
        <w:rPr>
          <w:rFonts w:hint="eastAsia" w:ascii="宋体" w:hAnsi="宋体" w:cs="仿宋_GB2312"/>
          <w:color w:val="auto"/>
          <w:sz w:val="32"/>
          <w:szCs w:val="32"/>
          <w:highlight w:val="none"/>
          <w:lang w:val="en-US" w:eastAsia="zh-CN"/>
        </w:rPr>
        <w:t>九</w:t>
      </w:r>
      <w:r>
        <w:rPr>
          <w:rFonts w:hint="eastAsia" w:ascii="宋体" w:hAnsi="宋体" w:cs="仿宋_GB2312"/>
          <w:color w:val="auto"/>
          <w:sz w:val="32"/>
          <w:szCs w:val="32"/>
          <w:highlight w:val="none"/>
        </w:rPr>
        <w:t>月</w:t>
      </w:r>
    </w:p>
    <w:p w14:paraId="4B66B173">
      <w:pPr>
        <w:spacing w:line="960" w:lineRule="auto"/>
        <w:jc w:val="center"/>
        <w:rPr>
          <w:rFonts w:hint="eastAsia" w:ascii="宋体" w:hAnsi="宋体"/>
          <w:b/>
          <w:color w:val="auto"/>
          <w:sz w:val="44"/>
          <w:szCs w:val="44"/>
          <w:highlight w:val="none"/>
          <w:lang w:val="zh-CN"/>
        </w:rPr>
      </w:pPr>
      <w:r>
        <w:rPr>
          <w:rFonts w:hint="eastAsia" w:ascii="宋体" w:hAnsi="宋体"/>
          <w:b/>
          <w:color w:val="auto"/>
          <w:sz w:val="44"/>
          <w:szCs w:val="44"/>
          <w:highlight w:val="none"/>
          <w:lang w:val="zh-CN"/>
        </w:rPr>
        <w:t>目</w:t>
      </w:r>
      <w:r>
        <w:rPr>
          <w:rFonts w:hint="eastAsia" w:ascii="宋体" w:hAnsi="宋体"/>
          <w:b/>
          <w:color w:val="auto"/>
          <w:sz w:val="44"/>
          <w:szCs w:val="44"/>
          <w:highlight w:val="none"/>
        </w:rPr>
        <w:t xml:space="preserve">  </w:t>
      </w:r>
      <w:r>
        <w:rPr>
          <w:rFonts w:hint="eastAsia" w:ascii="宋体" w:hAnsi="宋体"/>
          <w:b/>
          <w:color w:val="auto"/>
          <w:sz w:val="44"/>
          <w:szCs w:val="44"/>
          <w:highlight w:val="none"/>
          <w:lang w:val="zh-CN"/>
        </w:rPr>
        <w:t>录</w:t>
      </w:r>
    </w:p>
    <w:p w14:paraId="3DB25B0D">
      <w:pPr>
        <w:pStyle w:val="41"/>
        <w:tabs>
          <w:tab w:val="left" w:pos="1260"/>
          <w:tab w:val="right" w:leader="dot" w:pos="9060"/>
        </w:tabs>
        <w:spacing w:before="312" w:beforeLines="100" w:after="0" w:line="600" w:lineRule="exact"/>
        <w:jc w:val="both"/>
        <w:rPr>
          <w:b w:val="0"/>
          <w:caps w:val="0"/>
          <w:color w:val="auto"/>
          <w:sz w:val="30"/>
          <w:szCs w:val="30"/>
          <w:highlight w:val="none"/>
        </w:rPr>
      </w:pPr>
      <w:bookmarkStart w:id="0" w:name="_Toc23467"/>
      <w:bookmarkStart w:id="1" w:name="_Toc54941328"/>
      <w:bookmarkStart w:id="2" w:name="_Toc21464"/>
      <w:bookmarkStart w:id="3" w:name="_Toc439316870"/>
      <w:r>
        <w:rPr>
          <w:rFonts w:hint="eastAsia" w:ascii="宋体" w:hAnsi="宋体" w:cs="宋体"/>
          <w:b w:val="0"/>
          <w:bCs/>
          <w:color w:val="auto"/>
          <w:sz w:val="32"/>
          <w:szCs w:val="32"/>
          <w:highlight w:val="none"/>
        </w:rPr>
        <w:fldChar w:fldCharType="begin"/>
      </w:r>
      <w:r>
        <w:rPr>
          <w:rFonts w:hint="eastAsia" w:ascii="宋体" w:hAnsi="宋体" w:cs="宋体"/>
          <w:b w:val="0"/>
          <w:bCs/>
          <w:color w:val="auto"/>
          <w:sz w:val="32"/>
          <w:szCs w:val="32"/>
          <w:highlight w:val="none"/>
        </w:rPr>
        <w:instrText xml:space="preserve">TOC \o "1-1" \h \u </w:instrText>
      </w:r>
      <w:r>
        <w:rPr>
          <w:rFonts w:hint="eastAsia" w:ascii="宋体" w:hAnsi="宋体" w:cs="宋体"/>
          <w:b w:val="0"/>
          <w:bCs/>
          <w:color w:val="auto"/>
          <w:sz w:val="32"/>
          <w:szCs w:val="32"/>
          <w:highlight w:val="none"/>
        </w:rPr>
        <w:fldChar w:fldCharType="separate"/>
      </w:r>
      <w:r>
        <w:rPr>
          <w:color w:val="auto"/>
          <w:highlight w:val="none"/>
        </w:rPr>
        <w:fldChar w:fldCharType="begin"/>
      </w:r>
      <w:r>
        <w:rPr>
          <w:color w:val="auto"/>
          <w:highlight w:val="none"/>
        </w:rPr>
        <w:instrText xml:space="preserve"> HYPERLINK \l "_Toc27214" </w:instrText>
      </w:r>
      <w:r>
        <w:rPr>
          <w:color w:val="auto"/>
          <w:highlight w:val="none"/>
        </w:rPr>
        <w:fldChar w:fldCharType="separate"/>
      </w:r>
      <w:r>
        <w:rPr>
          <w:rFonts w:hint="eastAsia"/>
          <w:b w:val="0"/>
          <w:caps w:val="0"/>
          <w:color w:val="auto"/>
          <w:sz w:val="30"/>
          <w:szCs w:val="30"/>
          <w:highlight w:val="none"/>
        </w:rPr>
        <w:t xml:space="preserve">第一章 </w:t>
      </w:r>
      <w:r>
        <w:rPr>
          <w:rFonts w:hint="eastAsia"/>
          <w:b w:val="0"/>
          <w:caps w:val="0"/>
          <w:color w:val="auto"/>
          <w:sz w:val="30"/>
          <w:szCs w:val="30"/>
          <w:highlight w:val="none"/>
        </w:rPr>
        <w:fldChar w:fldCharType="end"/>
      </w:r>
      <w:r>
        <w:rPr>
          <w:color w:val="auto"/>
          <w:highlight w:val="none"/>
        </w:rPr>
        <w:fldChar w:fldCharType="begin"/>
      </w:r>
      <w:r>
        <w:rPr>
          <w:color w:val="auto"/>
          <w:highlight w:val="none"/>
        </w:rPr>
        <w:instrText xml:space="preserve"> HYPERLINK \l "_Toc12179" </w:instrText>
      </w:r>
      <w:r>
        <w:rPr>
          <w:color w:val="auto"/>
          <w:highlight w:val="none"/>
        </w:rPr>
        <w:fldChar w:fldCharType="separate"/>
      </w:r>
      <w:r>
        <w:rPr>
          <w:rFonts w:hint="eastAsia"/>
          <w:b w:val="0"/>
          <w:caps w:val="0"/>
          <w:color w:val="auto"/>
          <w:sz w:val="30"/>
          <w:szCs w:val="30"/>
          <w:highlight w:val="none"/>
        </w:rPr>
        <w:t>比选公告</w:t>
      </w:r>
      <w:r>
        <w:rPr>
          <w:rFonts w:hint="eastAsia"/>
          <w:b w:val="0"/>
          <w:caps w:val="0"/>
          <w:color w:val="auto"/>
          <w:sz w:val="30"/>
          <w:szCs w:val="30"/>
          <w:highlight w:val="none"/>
        </w:rPr>
        <w:tab/>
      </w:r>
      <w:r>
        <w:rPr>
          <w:rFonts w:hint="eastAsia"/>
          <w:b w:val="0"/>
          <w:caps w:val="0"/>
          <w:color w:val="auto"/>
          <w:sz w:val="30"/>
          <w:szCs w:val="30"/>
          <w:highlight w:val="none"/>
        </w:rPr>
        <w:t>1</w:t>
      </w:r>
      <w:r>
        <w:rPr>
          <w:rFonts w:hint="eastAsia"/>
          <w:b w:val="0"/>
          <w:caps w:val="0"/>
          <w:color w:val="auto"/>
          <w:sz w:val="30"/>
          <w:szCs w:val="30"/>
          <w:highlight w:val="none"/>
        </w:rPr>
        <w:fldChar w:fldCharType="end"/>
      </w:r>
    </w:p>
    <w:p w14:paraId="7E5BDD22">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"_Toc30195" </w:instrText>
      </w:r>
      <w:r>
        <w:rPr>
          <w:color w:val="auto"/>
          <w:highlight w:val="none"/>
        </w:rPr>
        <w:fldChar w:fldCharType="separate"/>
      </w:r>
      <w:r>
        <w:rPr>
          <w:rFonts w:hint="eastAsia"/>
          <w:b w:val="0"/>
          <w:caps w:val="0"/>
          <w:color w:val="auto"/>
          <w:sz w:val="30"/>
          <w:szCs w:val="30"/>
          <w:highlight w:val="none"/>
        </w:rPr>
        <w:t>第二章 比选须知</w:t>
      </w:r>
      <w:r>
        <w:rPr>
          <w:rFonts w:hint="eastAsia"/>
          <w:b w:val="0"/>
          <w:caps w:val="0"/>
          <w:color w:val="auto"/>
          <w:sz w:val="30"/>
          <w:szCs w:val="30"/>
          <w:highlight w:val="none"/>
        </w:rPr>
        <w:tab/>
      </w:r>
      <w:r>
        <w:rPr>
          <w:rFonts w:hint="eastAsia"/>
          <w:b w:val="0"/>
          <w:caps w:val="0"/>
          <w:color w:val="auto"/>
          <w:sz w:val="30"/>
          <w:szCs w:val="30"/>
          <w:highlight w:val="none"/>
        </w:rPr>
        <w:t>5</w:t>
      </w:r>
      <w:r>
        <w:rPr>
          <w:rFonts w:hint="eastAsia"/>
          <w:b w:val="0"/>
          <w:caps w:val="0"/>
          <w:color w:val="auto"/>
          <w:sz w:val="30"/>
          <w:szCs w:val="30"/>
          <w:highlight w:val="none"/>
        </w:rPr>
        <w:fldChar w:fldCharType="end"/>
      </w:r>
    </w:p>
    <w:p w14:paraId="253F5245">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"_Toc1529" </w:instrText>
      </w:r>
      <w:r>
        <w:rPr>
          <w:color w:val="auto"/>
          <w:highlight w:val="none"/>
        </w:rPr>
        <w:fldChar w:fldCharType="separate"/>
      </w:r>
      <w:r>
        <w:rPr>
          <w:rFonts w:hint="eastAsia"/>
          <w:b w:val="0"/>
          <w:caps w:val="0"/>
          <w:color w:val="auto"/>
          <w:sz w:val="30"/>
          <w:szCs w:val="30"/>
          <w:highlight w:val="none"/>
        </w:rPr>
        <w:t>第三章 项目需求及</w:t>
      </w:r>
      <w:r>
        <w:rPr>
          <w:rFonts w:hint="eastAsia"/>
          <w:b w:val="0"/>
          <w:caps w:val="0"/>
          <w:color w:val="auto"/>
          <w:sz w:val="30"/>
          <w:szCs w:val="30"/>
          <w:highlight w:val="none"/>
          <w:lang w:val="zh-CN"/>
        </w:rPr>
        <w:t>技术要求</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_Toc1529 \h </w:instrText>
      </w:r>
      <w:r>
        <w:rPr>
          <w:rFonts w:hint="eastAsia"/>
          <w:b w:val="0"/>
          <w:caps w:val="0"/>
          <w:color w:val="auto"/>
          <w:sz w:val="30"/>
          <w:szCs w:val="30"/>
          <w:highlight w:val="none"/>
        </w:rPr>
        <w:fldChar w:fldCharType="separate"/>
      </w:r>
      <w:r>
        <w:rPr>
          <w:rFonts w:hint="eastAsia"/>
          <w:b w:val="0"/>
          <w:caps w:val="0"/>
          <w:color w:val="auto"/>
          <w:sz w:val="30"/>
          <w:szCs w:val="30"/>
          <w:highlight w:val="none"/>
        </w:rPr>
        <w:t>1</w:t>
      </w:r>
      <w:r>
        <w:rPr>
          <w:rFonts w:hint="eastAsia"/>
          <w:b w:val="0"/>
          <w:caps w:val="0"/>
          <w:color w:val="auto"/>
          <w:sz w:val="30"/>
          <w:szCs w:val="30"/>
          <w:highlight w:val="none"/>
          <w:lang w:val="en-US" w:eastAsia="zh-CN"/>
        </w:rPr>
        <w:t>7</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943F0B8">
      <w:pPr>
        <w:pStyle w:val="41"/>
        <w:tabs>
          <w:tab w:val="left" w:pos="1260"/>
          <w:tab w:val="right" w:leader="dot" w:pos="9060"/>
        </w:tabs>
        <w:spacing w:before="312" w:beforeLines="100" w:after="0" w:line="600" w:lineRule="exact"/>
        <w:jc w:val="both"/>
        <w:rPr>
          <w:b w:val="0"/>
          <w:caps w:val="0"/>
          <w:color w:val="auto"/>
          <w:sz w:val="30"/>
          <w:szCs w:val="30"/>
          <w:highlight w:val="none"/>
        </w:rPr>
      </w:pPr>
      <w:r>
        <w:rPr>
          <w:color w:val="auto"/>
          <w:highlight w:val="none"/>
        </w:rPr>
        <w:fldChar w:fldCharType="begin"/>
      </w:r>
      <w:r>
        <w:rPr>
          <w:color w:val="auto"/>
          <w:highlight w:val="none"/>
        </w:rPr>
        <w:instrText xml:space="preserve"> HYPERLINK \l "_Toc31586" </w:instrText>
      </w:r>
      <w:r>
        <w:rPr>
          <w:color w:val="auto"/>
          <w:highlight w:val="none"/>
        </w:rPr>
        <w:fldChar w:fldCharType="separate"/>
      </w:r>
      <w:r>
        <w:rPr>
          <w:rFonts w:hint="eastAsia"/>
          <w:b w:val="0"/>
          <w:caps w:val="0"/>
          <w:color w:val="auto"/>
          <w:sz w:val="30"/>
          <w:szCs w:val="30"/>
          <w:highlight w:val="none"/>
        </w:rPr>
        <w:t>第四章 合同主要条款</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_Toc31586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22</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0E76798B">
      <w:pPr>
        <w:pStyle w:val="41"/>
        <w:tabs>
          <w:tab w:val="left" w:pos="1260"/>
          <w:tab w:val="right" w:leader="dot" w:pos="9060"/>
        </w:tabs>
        <w:spacing w:before="312" w:beforeLines="100" w:after="0" w:line="600" w:lineRule="exact"/>
        <w:jc w:val="both"/>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"_Toc32231" </w:instrText>
      </w:r>
      <w:r>
        <w:rPr>
          <w:color w:val="auto"/>
          <w:highlight w:val="none"/>
        </w:rPr>
        <w:fldChar w:fldCharType="separate"/>
      </w:r>
      <w:r>
        <w:rPr>
          <w:rFonts w:hint="eastAsia"/>
          <w:b w:val="0"/>
          <w:caps w:val="0"/>
          <w:color w:val="auto"/>
          <w:sz w:val="30"/>
          <w:szCs w:val="30"/>
          <w:highlight w:val="none"/>
          <w:lang w:val="zh-CN"/>
        </w:rPr>
        <w:t>第</w:t>
      </w:r>
      <w:r>
        <w:rPr>
          <w:rFonts w:hint="eastAsia"/>
          <w:b w:val="0"/>
          <w:caps w:val="0"/>
          <w:color w:val="auto"/>
          <w:sz w:val="30"/>
          <w:szCs w:val="30"/>
          <w:highlight w:val="none"/>
        </w:rPr>
        <w:t>五</w:t>
      </w:r>
      <w:r>
        <w:rPr>
          <w:rFonts w:hint="eastAsia"/>
          <w:b w:val="0"/>
          <w:caps w:val="0"/>
          <w:color w:val="auto"/>
          <w:sz w:val="30"/>
          <w:szCs w:val="30"/>
          <w:highlight w:val="none"/>
          <w:lang w:val="zh-CN"/>
        </w:rPr>
        <w:t xml:space="preserve">章 </w:t>
      </w:r>
      <w:r>
        <w:rPr>
          <w:rFonts w:hint="eastAsia"/>
          <w:b w:val="0"/>
          <w:caps w:val="0"/>
          <w:color w:val="auto"/>
          <w:sz w:val="30"/>
          <w:szCs w:val="30"/>
          <w:highlight w:val="none"/>
        </w:rPr>
        <w:t>参选文件格式</w:t>
      </w:r>
      <w:r>
        <w:rPr>
          <w:rFonts w:hint="eastAsia"/>
          <w:b w:val="0"/>
          <w:caps w:val="0"/>
          <w:color w:val="auto"/>
          <w:sz w:val="30"/>
          <w:szCs w:val="30"/>
          <w:highlight w:val="none"/>
        </w:rPr>
        <w:tab/>
      </w:r>
      <w:r>
        <w:rPr>
          <w:rFonts w:hint="eastAsia"/>
          <w:b w:val="0"/>
          <w:caps w:val="0"/>
          <w:color w:val="auto"/>
          <w:sz w:val="30"/>
          <w:szCs w:val="30"/>
          <w:highlight w:val="none"/>
        </w:rPr>
        <w:fldChar w:fldCharType="begin"/>
      </w:r>
      <w:r>
        <w:rPr>
          <w:rFonts w:hint="eastAsia"/>
          <w:b w:val="0"/>
          <w:caps w:val="0"/>
          <w:color w:val="auto"/>
          <w:sz w:val="30"/>
          <w:szCs w:val="30"/>
          <w:highlight w:val="none"/>
        </w:rPr>
        <w:instrText xml:space="preserve"> PAGEREF _Toc32231 \h </w:instrText>
      </w:r>
      <w:r>
        <w:rPr>
          <w:rFonts w:hint="eastAsia"/>
          <w:b w:val="0"/>
          <w:caps w:val="0"/>
          <w:color w:val="auto"/>
          <w:sz w:val="30"/>
          <w:szCs w:val="30"/>
          <w:highlight w:val="none"/>
        </w:rPr>
        <w:fldChar w:fldCharType="separate"/>
      </w:r>
      <w:r>
        <w:rPr>
          <w:rFonts w:hint="eastAsia"/>
          <w:b w:val="0"/>
          <w:caps w:val="0"/>
          <w:color w:val="auto"/>
          <w:sz w:val="30"/>
          <w:szCs w:val="30"/>
          <w:highlight w:val="none"/>
          <w:lang w:val="en-US" w:eastAsia="zh-CN"/>
        </w:rPr>
        <w:t>24</w:t>
      </w:r>
      <w:r>
        <w:rPr>
          <w:rFonts w:hint="eastAsia"/>
          <w:b w:val="0"/>
          <w:caps w:val="0"/>
          <w:color w:val="auto"/>
          <w:sz w:val="30"/>
          <w:szCs w:val="30"/>
          <w:highlight w:val="none"/>
        </w:rPr>
        <w:fldChar w:fldCharType="end"/>
      </w:r>
      <w:r>
        <w:rPr>
          <w:rFonts w:hint="eastAsia"/>
          <w:b w:val="0"/>
          <w:caps w:val="0"/>
          <w:color w:val="auto"/>
          <w:sz w:val="30"/>
          <w:szCs w:val="30"/>
          <w:highlight w:val="none"/>
        </w:rPr>
        <w:fldChar w:fldCharType="end"/>
      </w:r>
    </w:p>
    <w:p w14:paraId="722193E6">
      <w:pPr>
        <w:pStyle w:val="30"/>
        <w:tabs>
          <w:tab w:val="right" w:leader="dot" w:pos="9060"/>
        </w:tabs>
        <w:spacing w:before="156" w:beforeLines="50" w:after="156" w:afterLines="50" w:line="360" w:lineRule="exact"/>
        <w:ind w:left="0"/>
        <w:jc w:val="center"/>
        <w:outlineLvl w:val="0"/>
        <w:rPr>
          <w:rFonts w:hint="eastAsia" w:ascii="黑体" w:hAnsi="黑体" w:eastAsia="黑体" w:cs="黑体"/>
          <w:bCs/>
          <w:color w:val="auto"/>
          <w:szCs w:val="32"/>
          <w:highlight w:val="none"/>
        </w:rPr>
      </w:pPr>
      <w:r>
        <w:rPr>
          <w:rFonts w:hint="eastAsia" w:ascii="宋体" w:hAnsi="宋体" w:cs="宋体"/>
          <w:bCs/>
          <w:color w:val="auto"/>
          <w:sz w:val="32"/>
          <w:szCs w:val="32"/>
          <w:highlight w:val="none"/>
        </w:rPr>
        <w:fldChar w:fldCharType="end"/>
      </w:r>
      <w:bookmarkEnd w:id="0"/>
      <w:bookmarkEnd w:id="1"/>
      <w:bookmarkEnd w:id="2"/>
      <w:bookmarkStart w:id="4" w:name="_Toc27214"/>
    </w:p>
    <w:p w14:paraId="0D33C68F">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sectPr>
          <w:headerReference r:id="rId8" w:type="first"/>
          <w:footerReference r:id="rId10" w:type="first"/>
          <w:headerReference r:id="rId7" w:type="default"/>
          <w:footerReference r:id="rId9" w:type="default"/>
          <w:pgSz w:w="11906" w:h="16838"/>
          <w:pgMar w:top="1440" w:right="1587" w:bottom="1440" w:left="1587" w:header="851" w:footer="992" w:gutter="0"/>
          <w:cols w:space="0" w:num="1"/>
          <w:titlePg/>
          <w:docGrid w:type="lines" w:linePitch="312" w:charSpace="0"/>
        </w:sectPr>
      </w:pPr>
    </w:p>
    <w:p w14:paraId="165513EC">
      <w:pPr>
        <w:pStyle w:val="30"/>
        <w:tabs>
          <w:tab w:val="right" w:leader="dot" w:pos="9060"/>
        </w:tabs>
        <w:spacing w:before="156" w:beforeLines="50" w:after="156" w:afterLines="50" w:line="360" w:lineRule="exact"/>
        <w:ind w:left="0"/>
        <w:jc w:val="center"/>
        <w:outlineLvl w:val="0"/>
        <w:rPr>
          <w:rFonts w:ascii="Arial" w:hAnsi="Arial" w:eastAsia="黑体"/>
          <w:b/>
          <w:i w:val="0"/>
          <w:color w:val="auto"/>
          <w:sz w:val="32"/>
          <w:szCs w:val="32"/>
          <w:highlight w:val="none"/>
        </w:rPr>
      </w:pPr>
      <w:r>
        <w:rPr>
          <w:rFonts w:hint="eastAsia" w:ascii="Arial" w:hAnsi="Arial" w:eastAsia="黑体"/>
          <w:b/>
          <w:i w:val="0"/>
          <w:color w:val="auto"/>
          <w:sz w:val="32"/>
          <w:szCs w:val="32"/>
          <w:highlight w:val="none"/>
        </w:rPr>
        <w:t xml:space="preserve">第一章 </w:t>
      </w:r>
      <w:bookmarkEnd w:id="4"/>
      <w:bookmarkStart w:id="5" w:name="_Toc12179"/>
      <w:r>
        <w:rPr>
          <w:rFonts w:hint="eastAsia" w:ascii="Arial" w:hAnsi="Arial" w:eastAsia="黑体"/>
          <w:b/>
          <w:i w:val="0"/>
          <w:color w:val="auto"/>
          <w:sz w:val="32"/>
          <w:szCs w:val="32"/>
          <w:highlight w:val="none"/>
          <w:lang w:eastAsia="zh-CN"/>
        </w:rPr>
        <w:t>安庆市石门湖港输送皮带采购项目</w:t>
      </w:r>
      <w:r>
        <w:rPr>
          <w:rFonts w:hint="eastAsia" w:ascii="Arial" w:hAnsi="Arial" w:eastAsia="黑体"/>
          <w:b/>
          <w:i w:val="0"/>
          <w:color w:val="auto"/>
          <w:sz w:val="32"/>
          <w:szCs w:val="32"/>
          <w:highlight w:val="none"/>
        </w:rPr>
        <w:t>比选公告</w:t>
      </w:r>
      <w:bookmarkEnd w:id="5"/>
    </w:p>
    <w:p w14:paraId="58EA1282">
      <w:pPr>
        <w:ind w:firstLine="560" w:firstLineChars="200"/>
        <w:rPr>
          <w:rFonts w:hint="eastAsia" w:ascii="仿宋" w:hAnsi="仿宋" w:eastAsia="仿宋"/>
          <w:b/>
          <w:bCs/>
          <w:color w:val="auto"/>
          <w:sz w:val="28"/>
          <w:szCs w:val="28"/>
          <w:highlight w:val="none"/>
        </w:rPr>
      </w:pPr>
      <w:bookmarkStart w:id="6" w:name="_Toc28359089"/>
      <w:bookmarkStart w:id="7" w:name="_Toc35393629"/>
      <w:bookmarkStart w:id="8" w:name="_Toc28359012"/>
      <w:bookmarkStart w:id="9" w:name="_Toc35393798"/>
      <w:r>
        <w:rPr>
          <w:rFonts w:hint="eastAsia" w:ascii="仿宋" w:hAnsi="仿宋" w:eastAsia="仿宋"/>
          <w:color w:val="auto"/>
          <w:sz w:val="28"/>
          <w:szCs w:val="28"/>
          <w:highlight w:val="none"/>
        </w:rPr>
        <w:t>安庆市交通控股集团有限公司集采中心受</w:t>
      </w:r>
      <w:r>
        <w:rPr>
          <w:rFonts w:hint="eastAsia" w:ascii="仿宋" w:hAnsi="仿宋" w:eastAsia="仿宋"/>
          <w:color w:val="auto"/>
          <w:sz w:val="28"/>
          <w:szCs w:val="28"/>
          <w:highlight w:val="none"/>
          <w:lang w:eastAsia="zh-CN"/>
        </w:rPr>
        <w:t>安庆市通源港务有限公司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安庆市石门湖港输送皮带采购项目</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AQJK-CG-2026-089</w:t>
      </w:r>
      <w:r>
        <w:rPr>
          <w:rFonts w:hint="eastAsia" w:ascii="仿宋" w:hAnsi="仿宋" w:eastAsia="仿宋"/>
          <w:color w:val="auto"/>
          <w:sz w:val="28"/>
          <w:szCs w:val="28"/>
          <w:highlight w:val="none"/>
        </w:rPr>
        <w:t>）进行比选。</w:t>
      </w:r>
    </w:p>
    <w:p w14:paraId="26D4F3E6">
      <w:pPr>
        <w:spacing w:line="560" w:lineRule="exac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529D7CE5">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AQJK-CG-2026-089</w:t>
      </w:r>
    </w:p>
    <w:p w14:paraId="7ECD3BD3">
      <w:pPr>
        <w:spacing w:line="480" w:lineRule="atLeas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lang w:eastAsia="zh-CN"/>
        </w:rPr>
        <w:t>安庆市石门湖港输送皮带采购项目</w:t>
      </w:r>
    </w:p>
    <w:p w14:paraId="2F28234F">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评标办法：最低投标价法</w:t>
      </w:r>
    </w:p>
    <w:p w14:paraId="7265D293">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采购数量：输送带总长</w:t>
      </w:r>
      <w:r>
        <w:rPr>
          <w:rFonts w:hint="eastAsia" w:ascii="仿宋" w:hAnsi="仿宋" w:eastAsia="仿宋"/>
          <w:color w:val="auto"/>
          <w:sz w:val="28"/>
          <w:szCs w:val="28"/>
          <w:highlight w:val="none"/>
          <w:lang w:val="en-US" w:eastAsia="zh-CN"/>
        </w:rPr>
        <w:t>1124</w:t>
      </w:r>
      <w:r>
        <w:rPr>
          <w:rFonts w:hint="eastAsia" w:ascii="仿宋" w:hAnsi="仿宋" w:eastAsia="仿宋"/>
          <w:color w:val="auto"/>
          <w:sz w:val="28"/>
          <w:szCs w:val="28"/>
          <w:highlight w:val="none"/>
        </w:rPr>
        <w:t>米，带宽 1.2 米</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分期供货</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第一期</w:t>
      </w:r>
      <w:r>
        <w:rPr>
          <w:rFonts w:hint="eastAsia" w:ascii="仿宋" w:hAnsi="仿宋" w:eastAsia="仿宋"/>
          <w:color w:val="auto"/>
          <w:sz w:val="28"/>
          <w:szCs w:val="28"/>
          <w:highlight w:val="none"/>
        </w:rPr>
        <w:t>输送带总长 525 米，带宽 1.2 米</w:t>
      </w:r>
    </w:p>
    <w:p w14:paraId="60C51FA0">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最高投标限价：</w:t>
      </w:r>
      <w:r>
        <w:rPr>
          <w:rFonts w:hint="eastAsia" w:ascii="仿宋" w:hAnsi="仿宋" w:eastAsia="仿宋"/>
          <w:color w:val="auto"/>
          <w:sz w:val="28"/>
          <w:szCs w:val="28"/>
          <w:highlight w:val="none"/>
          <w:lang w:val="en-US" w:eastAsia="zh-CN"/>
        </w:rPr>
        <w:t>430元/米</w:t>
      </w:r>
    </w:p>
    <w:p w14:paraId="055B21D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资金来源：企业自筹</w:t>
      </w:r>
    </w:p>
    <w:p w14:paraId="142DA0A7">
      <w:pPr>
        <w:spacing w:line="560" w:lineRule="exact"/>
        <w:ind w:firstLine="560" w:firstLineChars="200"/>
        <w:rPr>
          <w:rFonts w:hint="eastAsia"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6"/>
    <w:bookmarkEnd w:id="7"/>
    <w:bookmarkEnd w:id="8"/>
    <w:bookmarkEnd w:id="9"/>
    <w:p w14:paraId="4D9B4077">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本项目实行资格准入制，参选人须同时满足以下全部条件，方可进入后续评审环节，任一条件不满足按无效投标处理：</w:t>
      </w:r>
    </w:p>
    <w:p w14:paraId="552FB328">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（一）主体资质要求</w:t>
      </w:r>
    </w:p>
    <w:p w14:paraId="3ADA5669">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1.参选人须为中华人民共和国境内依法注册的独立法人，持有有效营业执照，具备独立承担民事责任的能力；</w:t>
      </w:r>
    </w:p>
    <w:p w14:paraId="0FD1185B">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2.参选人经营范围须包含输送带或橡胶制品的生产或销售，具备相应的供货能力；</w:t>
      </w:r>
    </w:p>
    <w:p w14:paraId="193001DC">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3.参选人</w:t>
      </w:r>
      <w:r>
        <w:rPr>
          <w:rFonts w:hint="eastAsia" w:ascii="仿宋_GB2312" w:hAnsi="仿宋_GB2312" w:eastAsia="仿宋_GB2312" w:cs="仿宋_GB2312"/>
          <w:color w:val="auto"/>
          <w:sz w:val="28"/>
          <w:szCs w:val="28"/>
          <w:highlight w:val="none"/>
          <w:lang w:val="en-US" w:eastAsia="zh-CN"/>
        </w:rPr>
        <w:t>近 3 年（自2023年8月31日以来）</w:t>
      </w:r>
      <w:r>
        <w:rPr>
          <w:rFonts w:hint="eastAsia" w:ascii="仿宋_GB2312" w:hAnsi="仿宋_GB2312" w:eastAsia="仿宋_GB2312" w:cs="仿宋_GB2312"/>
          <w:color w:val="auto"/>
          <w:sz w:val="28"/>
          <w:szCs w:val="28"/>
          <w:highlight w:val="none"/>
          <w:lang w:val="en-US" w:eastAsia="zh-CN"/>
        </w:rPr>
        <w:t>无重大产品质量责任事故、无重大违法失信记录，未被列入失信被执行人、重大税收违法失信主体及政府采购严重违法失信行为记录名单(</w:t>
      </w:r>
      <w:r>
        <w:rPr>
          <w:rFonts w:hint="eastAsia" w:ascii="仿宋_GB2312" w:hAnsi="仿宋_GB2312" w:eastAsia="仿宋_GB2312" w:cs="仿宋_GB2312"/>
          <w:b/>
          <w:bCs/>
          <w:color w:val="auto"/>
          <w:sz w:val="28"/>
          <w:szCs w:val="28"/>
          <w:highlight w:val="none"/>
          <w:lang w:val="en-US" w:eastAsia="zh-CN"/>
        </w:rPr>
        <w:t>参选人需在参选文件中提供相关承诺</w:t>
      </w:r>
      <w:r>
        <w:rPr>
          <w:rFonts w:hint="eastAsia" w:ascii="仿宋_GB2312" w:hAnsi="仿宋_GB2312" w:eastAsia="仿宋_GB2312" w:cs="仿宋_GB2312"/>
          <w:color w:val="auto"/>
          <w:sz w:val="28"/>
          <w:szCs w:val="28"/>
          <w:highlight w:val="none"/>
          <w:lang w:val="en-US" w:eastAsia="zh-CN"/>
        </w:rPr>
        <w:t>）。</w:t>
      </w:r>
    </w:p>
    <w:p w14:paraId="324649D4">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（二）品牌授权与检测要求</w:t>
      </w:r>
    </w:p>
    <w:p w14:paraId="73B045AA">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1.生产厂商直接投标的，须提供营业执照及生产资质证明；代理商投标的，须提供生产厂商针对本项目出具的有效授权委托书；</w:t>
      </w:r>
    </w:p>
    <w:p w14:paraId="0718C61C">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2.参选人须提供所投产品</w:t>
      </w:r>
      <w:r>
        <w:rPr>
          <w:rFonts w:hint="eastAsia" w:ascii="仿宋_GB2312" w:hAnsi="仿宋_GB2312" w:eastAsia="仿宋_GB2312" w:cs="仿宋_GB2312"/>
          <w:color w:val="auto"/>
          <w:sz w:val="28"/>
          <w:szCs w:val="28"/>
          <w:highlight w:val="none"/>
          <w:lang w:val="en-US" w:eastAsia="zh-CN"/>
        </w:rPr>
        <w:t>近 2 年(自2024年8月31日以来）</w:t>
      </w:r>
      <w:r>
        <w:rPr>
          <w:rFonts w:hint="eastAsia" w:ascii="仿宋_GB2312" w:hAnsi="仿宋_GB2312" w:eastAsia="仿宋_GB2312" w:cs="仿宋_GB2312"/>
          <w:color w:val="auto"/>
          <w:sz w:val="28"/>
          <w:szCs w:val="28"/>
          <w:highlight w:val="none"/>
          <w:lang w:val="en-US" w:eastAsia="zh-CN"/>
        </w:rPr>
        <w:t>内由具备 CMA 或 CNAS 资质的第三方检测机构出具的产品检测报告</w:t>
      </w:r>
      <w:r>
        <w:rPr>
          <w:rFonts w:hint="eastAsia" w:ascii="仿宋_GB2312" w:hAnsi="仿宋_GB2312" w:eastAsia="仿宋_GB2312" w:cs="仿宋_GB2312"/>
          <w:color w:val="auto"/>
          <w:sz w:val="28"/>
          <w:szCs w:val="28"/>
          <w:highlight w:val="none"/>
          <w:lang w:val="en-US" w:eastAsia="zh-CN"/>
        </w:rPr>
        <w:t>复印件</w:t>
      </w:r>
      <w:r>
        <w:rPr>
          <w:rFonts w:hint="eastAsia" w:ascii="仿宋_GB2312" w:hAnsi="仿宋_GB2312" w:eastAsia="仿宋_GB2312" w:cs="仿宋_GB2312"/>
          <w:color w:val="auto"/>
          <w:sz w:val="28"/>
          <w:szCs w:val="28"/>
          <w:highlight w:val="none"/>
          <w:lang w:val="en-US" w:eastAsia="zh-CN"/>
        </w:rPr>
        <w:t>，检测项目须覆盖本清单第三条全部技术参数。</w:t>
      </w:r>
    </w:p>
    <w:p w14:paraId="21A28CED">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（三）业绩要求</w:t>
      </w:r>
    </w:p>
    <w:p w14:paraId="1D7B2156">
      <w:pPr>
        <w:spacing w:line="480" w:lineRule="atLeas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参选人</w:t>
      </w:r>
      <w:r>
        <w:rPr>
          <w:rFonts w:hint="eastAsia" w:ascii="仿宋_GB2312" w:hAnsi="仿宋_GB2312" w:eastAsia="仿宋_GB2312" w:cs="仿宋_GB2312"/>
          <w:color w:val="auto"/>
          <w:sz w:val="28"/>
          <w:szCs w:val="28"/>
          <w:highlight w:val="none"/>
          <w:lang w:val="en-US" w:eastAsia="zh-CN"/>
        </w:rPr>
        <w:t>近 3 年（自2023年8月31日以来）</w:t>
      </w:r>
      <w:r>
        <w:rPr>
          <w:rFonts w:hint="eastAsia" w:ascii="仿宋_GB2312" w:hAnsi="仿宋_GB2312" w:eastAsia="仿宋_GB2312" w:cs="仿宋_GB2312"/>
          <w:color w:val="auto"/>
          <w:sz w:val="28"/>
          <w:szCs w:val="28"/>
          <w:highlight w:val="none"/>
          <w:lang w:val="en-US" w:eastAsia="zh-CN"/>
        </w:rPr>
        <w:t>须具有同类输送带供货业绩，须提供合同关键页复印件（含供需双方、产品名称、规格型号、数量、签订时间），材料不全不予认定。</w:t>
      </w:r>
    </w:p>
    <w:p w14:paraId="69696BDA">
      <w:pPr>
        <w:spacing w:line="480" w:lineRule="atLeas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（四）</w:t>
      </w:r>
      <w:r>
        <w:rPr>
          <w:rFonts w:ascii="仿宋_GB2312" w:hAnsi="仿宋_GB2312" w:eastAsia="仿宋_GB2312" w:cs="仿宋_GB2312"/>
          <w:color w:val="auto"/>
          <w:sz w:val="28"/>
          <w:szCs w:val="28"/>
          <w:highlight w:val="none"/>
        </w:rPr>
        <w:t>参选人有以下情形不得参与本次比选活动：</w:t>
      </w:r>
    </w:p>
    <w:p w14:paraId="0C5B811C">
      <w:pPr>
        <w:numPr>
          <w:ilvl w:val="0"/>
          <w:numId w:val="0"/>
        </w:numPr>
        <w:tabs>
          <w:tab w:val="left" w:pos="0"/>
        </w:tabs>
        <w:ind w:left="0" w:leftChars="0" w:firstLine="560" w:firstLineChars="200"/>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1</w:t>
      </w:r>
      <w:r>
        <w:rPr>
          <w:rFonts w:hint="eastAsia" w:ascii="仿宋_GB2312" w:hAnsi="仿宋_GB2312" w:eastAsia="仿宋_GB2312" w:cs="仿宋_GB2312"/>
          <w:color w:val="auto"/>
          <w:kern w:val="2"/>
          <w:sz w:val="28"/>
          <w:szCs w:val="28"/>
          <w:highlight w:val="none"/>
          <w:lang w:val="en-US" w:eastAsia="zh-CN" w:bidi="ar-SA"/>
        </w:rPr>
        <w:t>.</w:t>
      </w:r>
      <w:r>
        <w:rPr>
          <w:rFonts w:ascii="仿宋_GB2312" w:hAnsi="仿宋_GB2312" w:eastAsia="仿宋_GB2312" w:cs="仿宋_GB2312"/>
          <w:color w:val="auto"/>
          <w:sz w:val="28"/>
          <w:szCs w:val="28"/>
          <w:highlight w:val="none"/>
        </w:rPr>
        <w:t>被列入安庆市交通控股集团有限公司黑名单管理系统；</w:t>
      </w:r>
    </w:p>
    <w:p w14:paraId="2D74CCC4">
      <w:pPr>
        <w:numPr>
          <w:ilvl w:val="0"/>
          <w:numId w:val="0"/>
        </w:numPr>
        <w:tabs>
          <w:tab w:val="left" w:pos="0"/>
        </w:tabs>
        <w:ind w:left="0" w:leftChars="0" w:firstLine="560" w:firstLineChars="200"/>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2</w:t>
      </w:r>
      <w:r>
        <w:rPr>
          <w:rFonts w:hint="eastAsia" w:ascii="仿宋_GB2312" w:hAnsi="仿宋_GB2312" w:eastAsia="仿宋_GB2312" w:cs="仿宋_GB2312"/>
          <w:color w:val="auto"/>
          <w:kern w:val="2"/>
          <w:sz w:val="28"/>
          <w:szCs w:val="28"/>
          <w:highlight w:val="none"/>
          <w:lang w:val="en-US" w:eastAsia="zh-CN" w:bidi="ar-SA"/>
        </w:rPr>
        <w:t>.</w:t>
      </w:r>
      <w:r>
        <w:rPr>
          <w:rFonts w:ascii="仿宋_GB2312" w:hAnsi="仿宋_GB2312" w:eastAsia="仿宋_GB2312" w:cs="仿宋_GB2312"/>
          <w:color w:val="auto"/>
          <w:sz w:val="28"/>
          <w:szCs w:val="28"/>
          <w:highlight w:val="none"/>
        </w:rPr>
        <w:t>在安庆市交通控股集团有限公司处罚限制期限内的投标人或参选人；</w:t>
      </w:r>
    </w:p>
    <w:p w14:paraId="74E03A84">
      <w:pPr>
        <w:numPr>
          <w:ilvl w:val="0"/>
          <w:numId w:val="0"/>
        </w:numPr>
        <w:tabs>
          <w:tab w:val="left" w:pos="0"/>
        </w:tabs>
        <w:ind w:left="0" w:leftChars="0" w:firstLine="560" w:firstLineChars="200"/>
        <w:rPr>
          <w:rFonts w:hint="eastAsia" w:ascii="仿宋_GB2312" w:hAnsi="仿宋_GB2312" w:eastAsia="仿宋_GB2312" w:cs="仿宋_GB2312"/>
          <w:color w:val="auto"/>
          <w:sz w:val="28"/>
          <w:szCs w:val="28"/>
          <w:highlight w:val="none"/>
        </w:rPr>
      </w:pPr>
      <w:r>
        <w:rPr>
          <w:rFonts w:hint="default" w:ascii="仿宋_GB2312" w:hAnsi="仿宋_GB2312" w:eastAsia="仿宋_GB2312" w:cs="仿宋_GB2312"/>
          <w:color w:val="auto"/>
          <w:kern w:val="2"/>
          <w:sz w:val="28"/>
          <w:szCs w:val="28"/>
          <w:highlight w:val="none"/>
          <w:lang w:val="en-US" w:eastAsia="zh-CN" w:bidi="ar-SA"/>
        </w:rPr>
        <w:t>3</w:t>
      </w:r>
      <w:r>
        <w:rPr>
          <w:rFonts w:hint="eastAsia" w:ascii="仿宋_GB2312" w:hAnsi="仿宋_GB2312" w:eastAsia="仿宋_GB2312" w:cs="仿宋_GB2312"/>
          <w:color w:val="auto"/>
          <w:kern w:val="2"/>
          <w:sz w:val="28"/>
          <w:szCs w:val="28"/>
          <w:highlight w:val="none"/>
          <w:lang w:val="en-US" w:eastAsia="zh-CN" w:bidi="ar-SA"/>
        </w:rPr>
        <w:t>.</w:t>
      </w:r>
      <w:r>
        <w:rPr>
          <w:rFonts w:ascii="仿宋_GB2312" w:hAnsi="仿宋_GB2312" w:eastAsia="仿宋_GB2312" w:cs="仿宋_GB2312"/>
          <w:color w:val="auto"/>
          <w:sz w:val="28"/>
          <w:szCs w:val="28"/>
          <w:highlight w:val="none"/>
        </w:rPr>
        <w:t>前期参与安庆市交通控股集团有限公司组织的招标采购活动获得</w:t>
      </w:r>
      <w:r>
        <w:rPr>
          <w:rFonts w:hint="eastAsia" w:ascii="仿宋_GB2312" w:hAnsi="仿宋_GB2312" w:eastAsia="仿宋_GB2312" w:cs="仿宋_GB2312"/>
          <w:color w:val="auto"/>
          <w:sz w:val="28"/>
          <w:szCs w:val="28"/>
          <w:highlight w:val="none"/>
          <w:lang w:eastAsia="zh-CN"/>
        </w:rPr>
        <w:t>成交候选人</w:t>
      </w:r>
      <w:r>
        <w:rPr>
          <w:rFonts w:ascii="仿宋_GB2312" w:hAnsi="仿宋_GB2312" w:eastAsia="仿宋_GB2312" w:cs="仿宋_GB2312"/>
          <w:color w:val="auto"/>
          <w:sz w:val="28"/>
          <w:szCs w:val="28"/>
          <w:highlight w:val="none"/>
        </w:rPr>
        <w:t>资格而放弃中标资格不签订合同的投标人或参选人，在处罚期内的投标人或参选人不得参与本次比选活动。</w:t>
      </w:r>
    </w:p>
    <w:p w14:paraId="5931C673">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65970437">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日17点30分前，每天上午8:00至12:00，下午14:30至17:30（北京时间，法定节假日除外）登录安庆市交通控股集团有限公司集采平台（http://jc.zh0556.com/）获取比选文件。</w:t>
      </w:r>
    </w:p>
    <w:p w14:paraId="6D89950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5227590E">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color w:val="auto"/>
          <w:highlight w:val="none"/>
        </w:rPr>
        <w:fldChar w:fldCharType="begin"/>
      </w:r>
      <w:r>
        <w:rPr>
          <w:color w:val="auto"/>
          <w:highlight w:val="none"/>
        </w:rPr>
        <w:instrText xml:space="preserve"> HYPERLINK "mailto:将" </w:instrText>
      </w:r>
      <w:r>
        <w:rPr>
          <w:color w:val="auto"/>
          <w:highlight w:val="none"/>
        </w:rPr>
        <w:fldChar w:fldCharType="separate"/>
      </w:r>
      <w:r>
        <w:rPr>
          <w:rFonts w:hint="eastAsia" w:ascii="仿宋" w:hAnsi="仿宋" w:eastAsia="仿宋"/>
          <w:color w:val="auto"/>
          <w:sz w:val="28"/>
          <w:szCs w:val="28"/>
          <w:highlight w:val="none"/>
        </w:rPr>
        <w:t>将“确定参与比选的函”盖供应商公章在2026年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日17点30分前发邮箱1179928670@qq.com（报名截止后发送，报名无效。）</w:t>
      </w:r>
      <w:r>
        <w:rPr>
          <w:rFonts w:hint="eastAsia" w:ascii="仿宋" w:hAnsi="仿宋" w:eastAsia="仿宋"/>
          <w:color w:val="auto"/>
          <w:sz w:val="28"/>
          <w:szCs w:val="28"/>
          <w:highlight w:val="none"/>
        </w:rPr>
        <w:fldChar w:fldCharType="end"/>
      </w:r>
    </w:p>
    <w:p w14:paraId="4A903F62">
      <w:pPr>
        <w:spacing w:line="480" w:lineRule="atLeast"/>
        <w:ind w:firstLine="560" w:firstLineChars="200"/>
        <w:rPr>
          <w:rFonts w:eastAsia="仿宋"/>
          <w:color w:val="auto"/>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4.已发确认参与函，而放弃参加比选的参选人，须在比选时间截止日前一天以公司名义向1179928670@qq.com发送放弃参与函（格式自拟）。否则采购管理人将予拉入集团黑名单处理。</w:t>
      </w:r>
    </w:p>
    <w:p w14:paraId="1ADC6F8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15AED7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w:t>
      </w: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7</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10</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0</w:t>
      </w:r>
      <w:r>
        <w:rPr>
          <w:rFonts w:hint="eastAsia" w:ascii="仿宋" w:hAnsi="仿宋" w:eastAsia="仿宋"/>
          <w:color w:val="auto"/>
          <w:sz w:val="28"/>
          <w:szCs w:val="28"/>
          <w:highlight w:val="none"/>
        </w:rPr>
        <w:t>0分</w:t>
      </w:r>
    </w:p>
    <w:p w14:paraId="6F8B141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458F7A1F">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2C4CCC2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1940ECA8">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2.本项目比选实行纸质参选，比选活动线下完成。比选时参选人需要按时到达比选现场进行签到并递交</w:t>
      </w:r>
      <w:r>
        <w:rPr>
          <w:rFonts w:hint="eastAsia" w:ascii="仿宋" w:hAnsi="仿宋" w:eastAsia="仿宋"/>
          <w:color w:val="auto"/>
          <w:sz w:val="28"/>
          <w:szCs w:val="28"/>
          <w:highlight w:val="none"/>
          <w:lang w:eastAsia="zh-CN"/>
        </w:rPr>
        <w:t>参选</w:t>
      </w:r>
      <w:r>
        <w:rPr>
          <w:rFonts w:hint="eastAsia" w:ascii="仿宋" w:hAnsi="仿宋" w:eastAsia="仿宋"/>
          <w:color w:val="auto"/>
          <w:sz w:val="28"/>
          <w:szCs w:val="28"/>
          <w:highlight w:val="none"/>
        </w:rPr>
        <w:t>文件，因参选人未按时到达比选现场，则视为主动放弃，对比选造成的不利后果由其自行承担。</w:t>
      </w:r>
    </w:p>
    <w:p w14:paraId="6AC39F80">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6DCAF3B9">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w:t>
      </w:r>
      <w:r>
        <w:rPr>
          <w:rFonts w:hint="eastAsia" w:ascii="仿宋" w:hAnsi="仿宋" w:eastAsia="仿宋"/>
          <w:color w:val="auto"/>
          <w:sz w:val="28"/>
          <w:szCs w:val="28"/>
          <w:highlight w:val="none"/>
          <w:lang w:eastAsia="zh-CN"/>
        </w:rPr>
        <w:t>成交候选人</w:t>
      </w:r>
      <w:r>
        <w:rPr>
          <w:rFonts w:hint="eastAsia" w:ascii="仿宋" w:hAnsi="仿宋" w:eastAsia="仿宋"/>
          <w:color w:val="auto"/>
          <w:sz w:val="28"/>
          <w:szCs w:val="28"/>
          <w:highlight w:val="none"/>
        </w:rPr>
        <w:t>名单顺序依次确定其他</w:t>
      </w:r>
      <w:r>
        <w:rPr>
          <w:rFonts w:hint="eastAsia" w:ascii="仿宋" w:hAnsi="仿宋" w:eastAsia="仿宋"/>
          <w:color w:val="auto"/>
          <w:sz w:val="28"/>
          <w:szCs w:val="28"/>
          <w:highlight w:val="none"/>
          <w:lang w:eastAsia="zh-CN"/>
        </w:rPr>
        <w:t>成交候选人</w:t>
      </w:r>
      <w:r>
        <w:rPr>
          <w:rFonts w:hint="eastAsia" w:ascii="仿宋" w:hAnsi="仿宋" w:eastAsia="仿宋"/>
          <w:color w:val="auto"/>
          <w:sz w:val="28"/>
          <w:szCs w:val="28"/>
          <w:highlight w:val="none"/>
        </w:rPr>
        <w:t>为中标人，或重新比选。）</w:t>
      </w:r>
    </w:p>
    <w:p w14:paraId="1DF4F493">
      <w:pPr>
        <w:spacing w:line="480" w:lineRule="atLeast"/>
        <w:ind w:firstLine="560" w:firstLineChars="200"/>
        <w:rPr>
          <w:rFonts w:hint="eastAsia" w:ascii="黑体" w:hAnsi="黑体" w:eastAsia="黑体" w:cs="宋体"/>
          <w:bCs/>
          <w:color w:val="auto"/>
          <w:sz w:val="28"/>
          <w:szCs w:val="28"/>
          <w:highlight w:val="none"/>
        </w:rPr>
      </w:pPr>
      <w:bookmarkStart w:id="10" w:name="_Toc35393805"/>
      <w:bookmarkStart w:id="11" w:name="_Toc35393636"/>
      <w:bookmarkStart w:id="12" w:name="_Toc28359095"/>
      <w:bookmarkStart w:id="13" w:name="_Toc28359018"/>
      <w:r>
        <w:rPr>
          <w:rFonts w:hint="eastAsia" w:ascii="黑体" w:hAnsi="黑体" w:eastAsia="黑体" w:cs="宋体"/>
          <w:bCs/>
          <w:color w:val="auto"/>
          <w:sz w:val="28"/>
          <w:szCs w:val="28"/>
          <w:highlight w:val="none"/>
        </w:rPr>
        <w:t>六、凡对本次比选提出询问，请按以下方式联系</w:t>
      </w:r>
      <w:bookmarkEnd w:id="10"/>
      <w:bookmarkEnd w:id="11"/>
      <w:bookmarkEnd w:id="12"/>
      <w:bookmarkEnd w:id="13"/>
    </w:p>
    <w:p w14:paraId="59576253">
      <w:pPr>
        <w:spacing w:line="480" w:lineRule="atLeast"/>
        <w:ind w:firstLine="560" w:firstLineChars="200"/>
        <w:rPr>
          <w:rFonts w:hint="eastAsia" w:ascii="仿宋" w:hAnsi="仿宋" w:eastAsia="仿宋"/>
          <w:color w:val="auto"/>
          <w:sz w:val="28"/>
          <w:szCs w:val="28"/>
          <w:highlight w:val="none"/>
        </w:rPr>
      </w:pPr>
      <w:bookmarkStart w:id="14" w:name="_Toc28359096"/>
      <w:bookmarkStart w:id="15" w:name="_Toc35393637"/>
      <w:bookmarkStart w:id="16" w:name="_Toc28359019"/>
      <w:bookmarkStart w:id="17" w:name="_Toc35393806"/>
      <w:r>
        <w:rPr>
          <w:rFonts w:hint="eastAsia" w:ascii="仿宋" w:hAnsi="仿宋" w:eastAsia="仿宋"/>
          <w:color w:val="auto"/>
          <w:sz w:val="28"/>
          <w:szCs w:val="28"/>
          <w:highlight w:val="none"/>
        </w:rPr>
        <w:t>1.采购人信息</w:t>
      </w:r>
      <w:bookmarkEnd w:id="14"/>
      <w:bookmarkEnd w:id="15"/>
      <w:bookmarkEnd w:id="16"/>
      <w:bookmarkEnd w:id="17"/>
    </w:p>
    <w:p w14:paraId="0863E977">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olor w:val="auto"/>
          <w:sz w:val="28"/>
          <w:szCs w:val="28"/>
          <w:highlight w:val="none"/>
          <w:lang w:eastAsia="zh-CN"/>
        </w:rPr>
        <w:t>安庆市通源港务有限公司</w:t>
      </w:r>
    </w:p>
    <w:p w14:paraId="7C002F80">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安徽省安庆市怀宁县月山镇奇隆村团结组</w:t>
      </w:r>
      <w:r>
        <w:rPr>
          <w:rFonts w:hint="eastAsia" w:ascii="仿宋" w:hAnsi="仿宋" w:eastAsia="仿宋" w:cs="仿宋"/>
          <w:bCs/>
          <w:color w:val="auto"/>
          <w:sz w:val="28"/>
          <w:szCs w:val="28"/>
          <w:highlight w:val="none"/>
        </w:rPr>
        <w:t xml:space="preserve"> </w:t>
      </w:r>
    </w:p>
    <w:p w14:paraId="0B84C243">
      <w:pPr>
        <w:ind w:firstLine="560" w:firstLineChars="200"/>
        <w:rPr>
          <w:rFonts w:hint="eastAsia" w:ascii="仿宋" w:hAnsi="仿宋" w:eastAsia="仿宋" w:cs="仿宋"/>
          <w:color w:val="auto"/>
          <w:sz w:val="30"/>
          <w:szCs w:val="30"/>
          <w:highlight w:val="none"/>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 xml:space="preserve"> 胡亚骏</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 xml:space="preserve"> </w:t>
      </w:r>
    </w:p>
    <w:p w14:paraId="4D5BFE83">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联系方式：</w:t>
      </w:r>
      <w:r>
        <w:rPr>
          <w:rFonts w:hint="eastAsia" w:ascii="仿宋" w:hAnsi="仿宋" w:eastAsia="仿宋" w:cs="仿宋"/>
          <w:color w:val="auto"/>
          <w:sz w:val="30"/>
          <w:szCs w:val="30"/>
          <w:highlight w:val="none"/>
          <w:lang w:val="en-US" w:eastAsia="zh-CN"/>
        </w:rPr>
        <w:t xml:space="preserve">18955636195 </w:t>
      </w:r>
      <w:r>
        <w:rPr>
          <w:rFonts w:hint="eastAsia" w:ascii="仿宋" w:hAnsi="仿宋" w:eastAsia="仿宋" w:cs="仿宋"/>
          <w:color w:val="auto"/>
          <w:sz w:val="30"/>
          <w:szCs w:val="30"/>
          <w:highlight w:val="none"/>
        </w:rPr>
        <w:t xml:space="preserve"> </w:t>
      </w:r>
    </w:p>
    <w:p w14:paraId="149B1653">
      <w:pPr>
        <w:spacing w:line="480" w:lineRule="atLeast"/>
        <w:ind w:firstLine="560" w:firstLineChars="200"/>
        <w:rPr>
          <w:rFonts w:hint="eastAsia" w:ascii="仿宋" w:hAnsi="仿宋" w:eastAsia="仿宋" w:cs="仿宋"/>
          <w:bCs/>
          <w:color w:val="auto"/>
          <w:sz w:val="28"/>
          <w:szCs w:val="28"/>
          <w:highlight w:val="none"/>
        </w:rPr>
      </w:pPr>
    </w:p>
    <w:p w14:paraId="5D3FCCBE">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2.采购管理部门信息</w:t>
      </w:r>
    </w:p>
    <w:p w14:paraId="739E771A">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名    称：安庆市交通控股集团有限公司集采中心</w:t>
      </w:r>
    </w:p>
    <w:p w14:paraId="214C17BC">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7F37415D">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 系 人：王欣怡</w:t>
      </w:r>
    </w:p>
    <w:p w14:paraId="05D3843A">
      <w:pPr>
        <w:spacing w:line="480" w:lineRule="atLeast"/>
        <w:ind w:firstLine="565" w:firstLineChars="202"/>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联系方式：0556-5990510</w:t>
      </w:r>
    </w:p>
    <w:p w14:paraId="1E8446DE">
      <w:pPr>
        <w:rPr>
          <w:rFonts w:hint="eastAsia" w:ascii="仿宋" w:hAnsi="仿宋" w:eastAsia="仿宋"/>
          <w:color w:val="auto"/>
          <w:sz w:val="32"/>
          <w:szCs w:val="32"/>
          <w:highlight w:val="none"/>
        </w:rPr>
      </w:pPr>
      <w:r>
        <w:rPr>
          <w:rFonts w:hint="eastAsia" w:ascii="仿宋" w:hAnsi="仿宋" w:eastAsia="仿宋"/>
          <w:color w:val="auto"/>
          <w:sz w:val="32"/>
          <w:szCs w:val="32"/>
          <w:highlight w:val="none"/>
        </w:rPr>
        <w:br w:type="page"/>
      </w:r>
    </w:p>
    <w:p w14:paraId="539F630D">
      <w:pPr>
        <w:rPr>
          <w:rFonts w:hint="eastAsia" w:ascii="仿宋" w:hAnsi="仿宋" w:eastAsia="仿宋"/>
          <w:color w:val="auto"/>
          <w:sz w:val="32"/>
          <w:szCs w:val="32"/>
          <w:highlight w:val="none"/>
        </w:rPr>
      </w:pPr>
    </w:p>
    <w:p w14:paraId="24A7D09A">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54FA667B">
      <w:pPr>
        <w:keepNext/>
        <w:keepLines/>
        <w:spacing w:before="340" w:after="330" w:line="579" w:lineRule="auto"/>
        <w:jc w:val="center"/>
        <w:rPr>
          <w:rFonts w:hint="eastAsia" w:ascii="宋体" w:hAnsi="宋体" w:cs="宋体"/>
          <w:b/>
          <w:bCs/>
          <w:color w:val="auto"/>
          <w:kern w:val="44"/>
          <w:sz w:val="44"/>
          <w:szCs w:val="44"/>
          <w:highlight w:val="none"/>
        </w:rPr>
      </w:pPr>
      <w:bookmarkStart w:id="18" w:name="_Toc8351"/>
      <w:bookmarkStart w:id="19" w:name="_Toc13660"/>
      <w:r>
        <w:rPr>
          <w:rFonts w:hint="eastAsia" w:ascii="宋体" w:hAnsi="宋体" w:cs="宋体"/>
          <w:b/>
          <w:bCs/>
          <w:color w:val="auto"/>
          <w:kern w:val="44"/>
          <w:sz w:val="44"/>
          <w:szCs w:val="44"/>
          <w:highlight w:val="none"/>
        </w:rPr>
        <w:t>确定参与比选的函</w:t>
      </w:r>
      <w:bookmarkEnd w:id="18"/>
      <w:bookmarkEnd w:id="19"/>
    </w:p>
    <w:p w14:paraId="253A61EA">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安庆市交通控股集团有限公司集采中心：</w:t>
      </w:r>
    </w:p>
    <w:p w14:paraId="4BCB10B2">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安庆市石门湖港输送皮带采购项目</w:t>
      </w:r>
      <w:r>
        <w:rPr>
          <w:rFonts w:hint="eastAsia" w:ascii="仿宋" w:hAnsi="仿宋" w:eastAsia="仿宋" w:cs="仿宋"/>
          <w:color w:val="auto"/>
          <w:sz w:val="32"/>
          <w:szCs w:val="32"/>
          <w:highlight w:val="none"/>
        </w:rPr>
        <w:t>，并承诺按比选文件的要求，按时参与比选开标。</w:t>
      </w:r>
    </w:p>
    <w:p w14:paraId="484C4977">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1AB3B0A">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1104BC30">
      <w:pPr>
        <w:ind w:firstLine="640"/>
        <w:rPr>
          <w:rFonts w:hint="eastAsia" w:ascii="仿宋" w:hAnsi="仿宋" w:eastAsia="仿宋" w:cs="仿宋"/>
          <w:color w:val="auto"/>
          <w:sz w:val="32"/>
          <w:szCs w:val="32"/>
          <w:highlight w:val="none"/>
        </w:rPr>
      </w:pPr>
    </w:p>
    <w:p w14:paraId="7DB430D6">
      <w:pPr>
        <w:pStyle w:val="81"/>
        <w:rPr>
          <w:rFonts w:hint="eastAsia" w:ascii="仿宋" w:hAnsi="仿宋" w:eastAsia="仿宋" w:cs="仿宋"/>
          <w:color w:val="auto"/>
          <w:sz w:val="32"/>
          <w:szCs w:val="32"/>
          <w:highlight w:val="none"/>
        </w:rPr>
      </w:pPr>
    </w:p>
    <w:p w14:paraId="04C272D0">
      <w:pPr>
        <w:pStyle w:val="81"/>
        <w:rPr>
          <w:rFonts w:hint="eastAsia" w:ascii="仿宋" w:hAnsi="仿宋" w:eastAsia="仿宋" w:cs="仿宋"/>
          <w:color w:val="auto"/>
          <w:sz w:val="32"/>
          <w:szCs w:val="32"/>
          <w:highlight w:val="none"/>
        </w:rPr>
      </w:pPr>
    </w:p>
    <w:p w14:paraId="32BB4CC9">
      <w:pPr>
        <w:pStyle w:val="81"/>
        <w:rPr>
          <w:rFonts w:hint="eastAsia" w:ascii="仿宋" w:hAnsi="仿宋" w:eastAsia="仿宋" w:cs="仿宋"/>
          <w:color w:val="auto"/>
          <w:sz w:val="32"/>
          <w:szCs w:val="32"/>
          <w:highlight w:val="none"/>
        </w:rPr>
      </w:pPr>
    </w:p>
    <w:p w14:paraId="567D8FD6">
      <w:pPr>
        <w:ind w:firstLine="64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单位名称（盖章）</w:t>
      </w:r>
    </w:p>
    <w:p w14:paraId="2A03F643">
      <w:pPr>
        <w:ind w:firstLine="640"/>
        <w:jc w:val="righ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750B22EE">
      <w:pPr>
        <w:rPr>
          <w:rFonts w:hint="eastAsia" w:ascii="宋体" w:hAnsi="宋体" w:cs="宋体"/>
          <w:b/>
          <w:bCs/>
          <w:color w:val="auto"/>
          <w:sz w:val="28"/>
          <w:szCs w:val="28"/>
          <w:highlight w:val="none"/>
        </w:rPr>
      </w:pPr>
      <w:r>
        <w:rPr>
          <w:rFonts w:ascii="宋体" w:hAnsi="宋体" w:cs="宋体"/>
          <w:b/>
          <w:bCs/>
          <w:color w:val="auto"/>
          <w:sz w:val="28"/>
          <w:szCs w:val="28"/>
          <w:highlight w:val="none"/>
        </w:rPr>
        <w:br w:type="page"/>
      </w:r>
    </w:p>
    <w:p w14:paraId="47480650">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20" w:name="_Toc30195"/>
      <w:bookmarkStart w:id="21" w:name="_Toc54941329"/>
      <w:bookmarkStart w:id="22" w:name="_Toc26069"/>
      <w:r>
        <w:rPr>
          <w:rFonts w:hint="eastAsia" w:ascii="Arial" w:hAnsi="Arial"/>
          <w:color w:val="auto"/>
          <w:kern w:val="2"/>
          <w:sz w:val="32"/>
          <w:szCs w:val="32"/>
          <w:highlight w:val="none"/>
        </w:rPr>
        <w:t>第二章  比选须知</w:t>
      </w:r>
      <w:bookmarkEnd w:id="3"/>
      <w:bookmarkEnd w:id="20"/>
      <w:bookmarkEnd w:id="21"/>
      <w:bookmarkEnd w:id="22"/>
    </w:p>
    <w:p w14:paraId="3126FCA9">
      <w:pPr>
        <w:pStyle w:val="3"/>
        <w:rPr>
          <w:rFonts w:hint="eastAsia" w:cs="Tahoma"/>
          <w:bCs/>
          <w:color w:val="auto"/>
          <w:kern w:val="0"/>
          <w:sz w:val="32"/>
          <w:szCs w:val="32"/>
          <w:highlight w:val="none"/>
        </w:rPr>
      </w:pPr>
      <w:bookmarkStart w:id="23" w:name="_Toc17862"/>
      <w:bookmarkStart w:id="24" w:name="_Toc439316871"/>
      <w:bookmarkStart w:id="25" w:name="_Toc54941330"/>
      <w:r>
        <w:rPr>
          <w:rFonts w:hint="eastAsia" w:cs="Tahoma"/>
          <w:bCs/>
          <w:color w:val="auto"/>
          <w:kern w:val="0"/>
          <w:sz w:val="32"/>
          <w:szCs w:val="32"/>
          <w:highlight w:val="none"/>
        </w:rPr>
        <w:t>（一） 参选人须知前附表</w:t>
      </w:r>
      <w:bookmarkEnd w:id="23"/>
      <w:bookmarkEnd w:id="24"/>
      <w:bookmarkEnd w:id="25"/>
    </w:p>
    <w:p w14:paraId="3FB7B1D1">
      <w:pPr>
        <w:pStyle w:val="7"/>
        <w:rPr>
          <w:color w:val="auto"/>
          <w:highlight w:val="none"/>
        </w:rPr>
      </w:pPr>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66266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52D7147">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tcPr>
          <w:p w14:paraId="3B5F55CF">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vAlign w:val="center"/>
          </w:tcPr>
          <w:p w14:paraId="536BB5B3">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42D00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519" w:type="dxa"/>
            <w:tcBorders>
              <w:top w:val="single" w:color="auto" w:sz="4" w:space="0"/>
              <w:bottom w:val="single" w:color="auto" w:sz="4" w:space="0"/>
              <w:right w:val="single" w:color="auto" w:sz="4" w:space="0"/>
            </w:tcBorders>
            <w:vAlign w:val="center"/>
          </w:tcPr>
          <w:p w14:paraId="69B6A1D0">
            <w:pPr>
              <w:spacing w:line="420" w:lineRule="exact"/>
              <w:jc w:val="center"/>
              <w:rPr>
                <w:rFonts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vAlign w:val="center"/>
          </w:tcPr>
          <w:p w14:paraId="1E6A8FD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vAlign w:val="center"/>
          </w:tcPr>
          <w:p w14:paraId="791C03F0">
            <w:pPr>
              <w:spacing w:line="420" w:lineRule="exact"/>
              <w:jc w:val="left"/>
              <w:rPr>
                <w:rFonts w:hint="eastAsia" w:eastAsia="宋体"/>
                <w:color w:val="auto"/>
                <w:szCs w:val="21"/>
                <w:highlight w:val="none"/>
                <w:lang w:eastAsia="zh-CN"/>
              </w:rPr>
            </w:pPr>
            <w:r>
              <w:rPr>
                <w:rFonts w:hint="eastAsia"/>
                <w:color w:val="auto"/>
                <w:szCs w:val="21"/>
                <w:highlight w:val="none"/>
                <w:lang w:eastAsia="zh-CN"/>
              </w:rPr>
              <w:t>安庆市石门湖港输送皮带采购项目</w:t>
            </w:r>
          </w:p>
        </w:tc>
      </w:tr>
      <w:tr w14:paraId="1132CF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vAlign w:val="center"/>
          </w:tcPr>
          <w:p w14:paraId="416353E8">
            <w:pPr>
              <w:spacing w:line="42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vAlign w:val="center"/>
          </w:tcPr>
          <w:p w14:paraId="1A96CCD7">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vAlign w:val="center"/>
          </w:tcPr>
          <w:p w14:paraId="263D1A9D">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AQJK-CG-2026-089</w:t>
            </w:r>
          </w:p>
        </w:tc>
      </w:tr>
      <w:tr w14:paraId="6729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vAlign w:val="center"/>
          </w:tcPr>
          <w:p w14:paraId="65609217">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vAlign w:val="center"/>
          </w:tcPr>
          <w:p w14:paraId="44D15D03">
            <w:pPr>
              <w:spacing w:line="420" w:lineRule="exact"/>
              <w:jc w:val="center"/>
              <w:rPr>
                <w:rFonts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vAlign w:val="center"/>
          </w:tcPr>
          <w:p w14:paraId="2EEA2212">
            <w:pPr>
              <w:widowControl/>
              <w:snapToGrid w:val="0"/>
              <w:spacing w:line="420" w:lineRule="exact"/>
              <w:rPr>
                <w:rFonts w:hint="eastAsia" w:eastAsia="宋体"/>
                <w:color w:val="auto"/>
                <w:szCs w:val="21"/>
                <w:highlight w:val="none"/>
                <w:lang w:eastAsia="zh-CN"/>
              </w:rPr>
            </w:pPr>
            <w:r>
              <w:rPr>
                <w:rFonts w:hint="eastAsia"/>
                <w:color w:val="auto"/>
                <w:highlight w:val="none"/>
                <w:lang w:eastAsia="zh-CN"/>
              </w:rPr>
              <w:t>安庆市通源港务有限公司</w:t>
            </w:r>
          </w:p>
        </w:tc>
      </w:tr>
      <w:tr w14:paraId="5AA76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8F17D07">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vAlign w:val="center"/>
          </w:tcPr>
          <w:p w14:paraId="73565A18">
            <w:pPr>
              <w:spacing w:line="420" w:lineRule="exact"/>
              <w:jc w:val="center"/>
              <w:rPr>
                <w:rFonts w:ascii="宋体"/>
                <w:color w:val="auto"/>
                <w:szCs w:val="21"/>
                <w:highlight w:val="none"/>
              </w:rPr>
            </w:pPr>
            <w:r>
              <w:rPr>
                <w:rFonts w:hint="eastAsia" w:ascii="宋体" w:hAnsi="宋体" w:cs="宋体"/>
                <w:color w:val="auto"/>
                <w:szCs w:val="21"/>
                <w:highlight w:val="none"/>
              </w:rPr>
              <w:t>采购管理部门</w:t>
            </w:r>
          </w:p>
        </w:tc>
        <w:tc>
          <w:tcPr>
            <w:tcW w:w="6356" w:type="dxa"/>
            <w:tcBorders>
              <w:top w:val="single" w:color="auto" w:sz="4" w:space="0"/>
              <w:left w:val="single" w:color="auto" w:sz="4" w:space="0"/>
              <w:bottom w:val="single" w:color="auto" w:sz="4" w:space="0"/>
            </w:tcBorders>
            <w:vAlign w:val="center"/>
          </w:tcPr>
          <w:p w14:paraId="52CB41C7">
            <w:pPr>
              <w:spacing w:line="420" w:lineRule="exact"/>
              <w:jc w:val="left"/>
              <w:rPr>
                <w:rFonts w:ascii="宋体" w:cs="宋体"/>
                <w:color w:val="auto"/>
                <w:kern w:val="0"/>
                <w:szCs w:val="21"/>
                <w:highlight w:val="none"/>
              </w:rPr>
            </w:pPr>
            <w:r>
              <w:rPr>
                <w:rFonts w:hint="eastAsia"/>
                <w:color w:val="auto"/>
                <w:szCs w:val="21"/>
                <w:highlight w:val="none"/>
              </w:rPr>
              <w:t>安庆市交通控股集团有限公司集采中心</w:t>
            </w:r>
          </w:p>
        </w:tc>
      </w:tr>
      <w:tr w14:paraId="2CE29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24B0561">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vAlign w:val="center"/>
          </w:tcPr>
          <w:p w14:paraId="731A435C">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vAlign w:val="center"/>
          </w:tcPr>
          <w:p w14:paraId="51971A8E">
            <w:pPr>
              <w:spacing w:line="420" w:lineRule="exact"/>
              <w:rPr>
                <w:color w:val="auto"/>
                <w:szCs w:val="21"/>
                <w:highlight w:val="none"/>
              </w:rPr>
            </w:pPr>
            <w:r>
              <w:rPr>
                <w:rFonts w:hint="eastAsia"/>
                <w:color w:val="auto"/>
                <w:szCs w:val="21"/>
                <w:highlight w:val="none"/>
              </w:rPr>
              <w:t>自筹</w:t>
            </w:r>
          </w:p>
        </w:tc>
      </w:tr>
      <w:tr w14:paraId="53E12C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vAlign w:val="center"/>
          </w:tcPr>
          <w:p w14:paraId="0BB1891A">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vAlign w:val="center"/>
          </w:tcPr>
          <w:p w14:paraId="34E55215">
            <w:pPr>
              <w:spacing w:line="420" w:lineRule="exact"/>
              <w:jc w:val="center"/>
              <w:rPr>
                <w:color w:val="auto"/>
                <w:szCs w:val="21"/>
                <w:highlight w:val="none"/>
              </w:rPr>
            </w:pPr>
            <w:r>
              <w:rPr>
                <w:rFonts w:hint="eastAsia" w:ascii="宋体"/>
                <w:color w:val="auto"/>
                <w:szCs w:val="21"/>
                <w:highlight w:val="none"/>
              </w:rPr>
              <w:t>最高投标限价</w:t>
            </w:r>
          </w:p>
        </w:tc>
        <w:tc>
          <w:tcPr>
            <w:tcW w:w="6356" w:type="dxa"/>
            <w:tcBorders>
              <w:top w:val="single" w:color="auto" w:sz="4" w:space="0"/>
              <w:left w:val="single" w:color="auto" w:sz="4" w:space="0"/>
              <w:bottom w:val="single" w:color="auto" w:sz="4" w:space="0"/>
            </w:tcBorders>
            <w:vAlign w:val="center"/>
          </w:tcPr>
          <w:p w14:paraId="5C8ACCD7">
            <w:pPr>
              <w:widowControl/>
              <w:jc w:val="left"/>
              <w:textAlignment w:val="center"/>
              <w:rPr>
                <w:color w:val="auto"/>
                <w:szCs w:val="21"/>
                <w:highlight w:val="none"/>
              </w:rPr>
            </w:pPr>
            <w:r>
              <w:rPr>
                <w:rFonts w:hint="eastAsia"/>
                <w:color w:val="auto"/>
                <w:szCs w:val="21"/>
                <w:highlight w:val="none"/>
                <w:lang w:val="en-US" w:eastAsia="zh-CN"/>
              </w:rPr>
              <w:t>430元/米</w:t>
            </w:r>
          </w:p>
        </w:tc>
      </w:tr>
      <w:tr w14:paraId="036D9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8C7C820">
            <w:pPr>
              <w:spacing w:line="420" w:lineRule="exact"/>
              <w:jc w:val="center"/>
              <w:rPr>
                <w:rFonts w:hint="eastAsia" w:ascii="宋体" w:eastAsia="宋体"/>
                <w:color w:val="auto"/>
                <w:szCs w:val="21"/>
                <w:highlight w:val="none"/>
                <w:lang w:eastAsia="zh-CN"/>
              </w:rPr>
            </w:pPr>
            <w:r>
              <w:rPr>
                <w:rFonts w:hint="eastAsia" w:ascii="宋体"/>
                <w:color w:val="auto"/>
                <w:szCs w:val="21"/>
                <w:highlight w:val="none"/>
                <w:lang w:val="en-US" w:eastAsia="zh-CN"/>
              </w:rPr>
              <w:t>7</w:t>
            </w:r>
          </w:p>
        </w:tc>
        <w:tc>
          <w:tcPr>
            <w:tcW w:w="2125" w:type="dxa"/>
            <w:tcBorders>
              <w:top w:val="single" w:color="auto" w:sz="4" w:space="0"/>
              <w:left w:val="single" w:color="auto" w:sz="4" w:space="0"/>
              <w:bottom w:val="single" w:color="auto" w:sz="4" w:space="0"/>
              <w:right w:val="single" w:color="auto" w:sz="4" w:space="0"/>
            </w:tcBorders>
            <w:vAlign w:val="center"/>
          </w:tcPr>
          <w:p w14:paraId="53556B0F">
            <w:pPr>
              <w:spacing w:line="420" w:lineRule="exact"/>
              <w:jc w:val="center"/>
              <w:rPr>
                <w:color w:val="auto"/>
                <w:szCs w:val="21"/>
                <w:highlight w:val="none"/>
              </w:rPr>
            </w:pPr>
            <w:r>
              <w:rPr>
                <w:rFonts w:hint="eastAsia"/>
                <w:color w:val="auto"/>
                <w:szCs w:val="21"/>
                <w:highlight w:val="none"/>
              </w:rPr>
              <w:t>资格条件</w:t>
            </w:r>
          </w:p>
        </w:tc>
        <w:tc>
          <w:tcPr>
            <w:tcW w:w="6356" w:type="dxa"/>
            <w:tcBorders>
              <w:top w:val="single" w:color="auto" w:sz="4" w:space="0"/>
              <w:left w:val="single" w:color="auto" w:sz="4" w:space="0"/>
              <w:bottom w:val="single" w:color="auto" w:sz="4" w:space="0"/>
            </w:tcBorders>
            <w:vAlign w:val="center"/>
          </w:tcPr>
          <w:p w14:paraId="0EF90CD2">
            <w:pPr>
              <w:spacing w:line="420" w:lineRule="exact"/>
              <w:rPr>
                <w:color w:val="auto"/>
                <w:highlight w:val="none"/>
              </w:rPr>
            </w:pPr>
            <w:r>
              <w:rPr>
                <w:rFonts w:hint="eastAsia"/>
                <w:color w:val="auto"/>
                <w:highlight w:val="none"/>
              </w:rPr>
              <w:t>详见比选公告</w:t>
            </w:r>
          </w:p>
        </w:tc>
      </w:tr>
      <w:tr w14:paraId="19EF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F317705">
            <w:pPr>
              <w:spacing w:line="420" w:lineRule="exact"/>
              <w:jc w:val="center"/>
              <w:rPr>
                <w:rFonts w:hint="eastAsia" w:ascii="宋体" w:eastAsia="宋体"/>
                <w:color w:val="auto"/>
                <w:szCs w:val="21"/>
                <w:highlight w:val="none"/>
                <w:lang w:eastAsia="zh-CN"/>
              </w:rPr>
            </w:pPr>
            <w:r>
              <w:rPr>
                <w:rFonts w:hint="eastAsia" w:ascii="宋体"/>
                <w:color w:val="auto"/>
                <w:szCs w:val="21"/>
                <w:highlight w:val="none"/>
                <w:lang w:val="en-US" w:eastAsia="zh-CN"/>
              </w:rPr>
              <w:t>8</w:t>
            </w:r>
          </w:p>
        </w:tc>
        <w:tc>
          <w:tcPr>
            <w:tcW w:w="2125" w:type="dxa"/>
            <w:tcBorders>
              <w:top w:val="single" w:color="auto" w:sz="4" w:space="0"/>
              <w:left w:val="single" w:color="auto" w:sz="4" w:space="0"/>
              <w:bottom w:val="single" w:color="auto" w:sz="4" w:space="0"/>
              <w:right w:val="single" w:color="auto" w:sz="4" w:space="0"/>
            </w:tcBorders>
            <w:vAlign w:val="center"/>
          </w:tcPr>
          <w:p w14:paraId="47AFBC9A">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vAlign w:val="center"/>
          </w:tcPr>
          <w:p w14:paraId="3BE34C38">
            <w:pPr>
              <w:spacing w:line="420" w:lineRule="exact"/>
              <w:rPr>
                <w:rFonts w:ascii="宋体"/>
                <w:color w:val="auto"/>
                <w:szCs w:val="21"/>
                <w:highlight w:val="none"/>
              </w:rPr>
            </w:pPr>
            <w:r>
              <w:rPr>
                <w:rFonts w:hint="eastAsia" w:ascii="宋体"/>
                <w:color w:val="auto"/>
                <w:szCs w:val="21"/>
                <w:highlight w:val="none"/>
              </w:rPr>
              <w:t>资格后审</w:t>
            </w:r>
          </w:p>
        </w:tc>
      </w:tr>
      <w:tr w14:paraId="0F0A5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E8711CC">
            <w:pPr>
              <w:spacing w:line="420" w:lineRule="exact"/>
              <w:jc w:val="center"/>
              <w:rPr>
                <w:rFonts w:hint="eastAsia" w:ascii="宋体" w:eastAsia="宋体"/>
                <w:color w:val="auto"/>
                <w:szCs w:val="21"/>
                <w:highlight w:val="none"/>
                <w:lang w:eastAsia="zh-CN"/>
              </w:rPr>
            </w:pPr>
            <w:r>
              <w:rPr>
                <w:rFonts w:hint="eastAsia" w:ascii="宋体"/>
                <w:color w:val="auto"/>
                <w:szCs w:val="21"/>
                <w:highlight w:val="none"/>
                <w:lang w:val="en-US" w:eastAsia="zh-CN"/>
              </w:rPr>
              <w:t>9</w:t>
            </w:r>
          </w:p>
        </w:tc>
        <w:tc>
          <w:tcPr>
            <w:tcW w:w="2125" w:type="dxa"/>
            <w:tcBorders>
              <w:top w:val="single" w:color="auto" w:sz="4" w:space="0"/>
              <w:left w:val="single" w:color="auto" w:sz="4" w:space="0"/>
              <w:bottom w:val="single" w:color="auto" w:sz="4" w:space="0"/>
              <w:right w:val="single" w:color="auto" w:sz="4" w:space="0"/>
            </w:tcBorders>
            <w:vAlign w:val="center"/>
          </w:tcPr>
          <w:p w14:paraId="3EC27668">
            <w:pPr>
              <w:spacing w:line="420" w:lineRule="exact"/>
              <w:jc w:val="center"/>
              <w:rPr>
                <w:rFonts w:ascii="宋体"/>
                <w:color w:val="auto"/>
                <w:szCs w:val="21"/>
                <w:highlight w:val="none"/>
              </w:rPr>
            </w:pPr>
            <w:r>
              <w:rPr>
                <w:rFonts w:hint="eastAsia" w:ascii="宋体" w:hAnsi="宋体"/>
                <w:color w:val="auto"/>
                <w:szCs w:val="21"/>
                <w:highlight w:val="none"/>
              </w:rPr>
              <w:t>招标方式</w:t>
            </w:r>
          </w:p>
        </w:tc>
        <w:tc>
          <w:tcPr>
            <w:tcW w:w="6356" w:type="dxa"/>
            <w:tcBorders>
              <w:top w:val="single" w:color="auto" w:sz="4" w:space="0"/>
              <w:left w:val="single" w:color="auto" w:sz="4" w:space="0"/>
              <w:bottom w:val="single" w:color="auto" w:sz="4" w:space="0"/>
            </w:tcBorders>
            <w:vAlign w:val="center"/>
          </w:tcPr>
          <w:p w14:paraId="45454F92">
            <w:pPr>
              <w:spacing w:line="420" w:lineRule="exact"/>
              <w:rPr>
                <w:rFonts w:ascii="宋体"/>
                <w:color w:val="auto"/>
                <w:szCs w:val="21"/>
                <w:highlight w:val="none"/>
              </w:rPr>
            </w:pPr>
            <w:r>
              <w:rPr>
                <w:rFonts w:hint="eastAsia" w:ascii="宋体" w:hAnsi="宋体"/>
                <w:color w:val="auto"/>
                <w:szCs w:val="21"/>
                <w:highlight w:val="none"/>
              </w:rPr>
              <w:t>比选招标</w:t>
            </w:r>
          </w:p>
        </w:tc>
      </w:tr>
      <w:tr w14:paraId="5EFA6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1B54A2E0">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10</w:t>
            </w:r>
          </w:p>
        </w:tc>
        <w:tc>
          <w:tcPr>
            <w:tcW w:w="2125" w:type="dxa"/>
            <w:tcBorders>
              <w:top w:val="single" w:color="auto" w:sz="4" w:space="0"/>
              <w:left w:val="single" w:color="auto" w:sz="4" w:space="0"/>
              <w:bottom w:val="single" w:color="auto" w:sz="4" w:space="0"/>
              <w:right w:val="single" w:color="auto" w:sz="4" w:space="0"/>
            </w:tcBorders>
            <w:vAlign w:val="center"/>
          </w:tcPr>
          <w:p w14:paraId="18F91CFB">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vAlign w:val="center"/>
          </w:tcPr>
          <w:p w14:paraId="27D9861A">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3F7367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65F50CA">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11</w:t>
            </w:r>
          </w:p>
        </w:tc>
        <w:tc>
          <w:tcPr>
            <w:tcW w:w="2125" w:type="dxa"/>
            <w:tcBorders>
              <w:top w:val="single" w:color="auto" w:sz="4" w:space="0"/>
              <w:left w:val="single" w:color="auto" w:sz="4" w:space="0"/>
              <w:bottom w:val="single" w:color="auto" w:sz="4" w:space="0"/>
              <w:right w:val="single" w:color="auto" w:sz="4" w:space="0"/>
            </w:tcBorders>
            <w:vAlign w:val="center"/>
          </w:tcPr>
          <w:p w14:paraId="51AB2C73">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vAlign w:val="center"/>
          </w:tcPr>
          <w:p w14:paraId="2ED5142A">
            <w:pPr>
              <w:spacing w:line="420" w:lineRule="exact"/>
              <w:rPr>
                <w:color w:val="auto"/>
                <w:highlight w:val="none"/>
              </w:rPr>
            </w:pPr>
            <w:r>
              <w:rPr>
                <w:rFonts w:hint="eastAsia"/>
                <w:color w:val="auto"/>
                <w:highlight w:val="none"/>
              </w:rPr>
              <w:t>本项目不收取</w:t>
            </w:r>
          </w:p>
        </w:tc>
      </w:tr>
      <w:tr w14:paraId="7818E6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95D1836">
            <w:pPr>
              <w:spacing w:line="420" w:lineRule="exact"/>
              <w:jc w:val="center"/>
              <w:rPr>
                <w:rFonts w:hint="default" w:ascii="宋体" w:eastAsia="宋体"/>
                <w:color w:val="auto"/>
                <w:szCs w:val="21"/>
                <w:highlight w:val="none"/>
                <w:lang w:val="en-US" w:eastAsia="zh-CN"/>
              </w:rPr>
            </w:pPr>
            <w:r>
              <w:rPr>
                <w:rFonts w:hint="eastAsia" w:ascii="宋体" w:hAnsi="宋体" w:cs="宋体"/>
                <w:color w:val="auto"/>
                <w:szCs w:val="21"/>
                <w:highlight w:val="none"/>
                <w:lang w:val="en-US" w:eastAsia="zh-CN"/>
              </w:rPr>
              <w:t>12</w:t>
            </w:r>
          </w:p>
        </w:tc>
        <w:tc>
          <w:tcPr>
            <w:tcW w:w="2125" w:type="dxa"/>
            <w:tcBorders>
              <w:top w:val="single" w:color="auto" w:sz="4" w:space="0"/>
              <w:left w:val="single" w:color="auto" w:sz="4" w:space="0"/>
              <w:bottom w:val="single" w:color="auto" w:sz="4" w:space="0"/>
              <w:right w:val="single" w:color="auto" w:sz="4" w:space="0"/>
            </w:tcBorders>
            <w:vAlign w:val="center"/>
          </w:tcPr>
          <w:p w14:paraId="1376AA95">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vAlign w:val="center"/>
          </w:tcPr>
          <w:p w14:paraId="4A7ADD3C">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66862F18">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w:t>
            </w:r>
            <w:r>
              <w:rPr>
                <w:rFonts w:hint="eastAsia" w:ascii="宋体" w:hAnsi="宋体" w:cs="宋体"/>
                <w:color w:val="auto"/>
                <w:sz w:val="21"/>
                <w:szCs w:val="21"/>
                <w:highlight w:val="none"/>
              </w:rPr>
              <w:t>参选人应将参选文件的正本和副本同时装于一个袋内。</w:t>
            </w:r>
            <w:r>
              <w:rPr>
                <w:rFonts w:hint="eastAsia" w:ascii="宋体" w:hAnsi="宋体" w:cs="宋体"/>
                <w:b/>
                <w:bCs/>
                <w:color w:val="auto"/>
                <w:sz w:val="21"/>
                <w:szCs w:val="21"/>
                <w:highlight w:val="none"/>
              </w:rPr>
              <w:t>包装密封，并于密封袋上加盖单位公章。密封袋上须写明：项目名称、供应商名称、项目编号。</w:t>
            </w:r>
          </w:p>
          <w:p w14:paraId="44C9A5E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06EF58C2">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272CADEB">
            <w:pPr>
              <w:pStyle w:val="19"/>
              <w:widowControl/>
              <w:spacing w:line="420" w:lineRule="exact"/>
              <w:jc w:val="both"/>
              <w:rPr>
                <w:rFonts w:hint="eastAsia" w:ascii="宋体" w:hAnsi="宋体" w:cs="宋体"/>
                <w:color w:val="auto"/>
                <w:sz w:val="21"/>
                <w:szCs w:val="21"/>
                <w:highlight w:val="none"/>
              </w:rPr>
            </w:pPr>
            <w:r>
              <w:rPr>
                <w:rFonts w:hint="eastAsia" w:ascii="宋体" w:hAnsi="宋体" w:cs="宋体"/>
                <w:b/>
                <w:bCs/>
                <w:color w:val="auto"/>
                <w:sz w:val="21"/>
                <w:szCs w:val="21"/>
                <w:highlight w:val="none"/>
              </w:rPr>
              <w:t>5.</w:t>
            </w:r>
            <w:r>
              <w:rPr>
                <w:rFonts w:hint="eastAsia" w:ascii="宋体" w:hAnsi="宋体" w:cs="宋体"/>
                <w:color w:val="auto"/>
                <w:sz w:val="21"/>
                <w:szCs w:val="21"/>
                <w:highlight w:val="none"/>
              </w:rPr>
              <w:t>参选人须在递交参选文件截止时间前，到达比选地点现场递交参选文件。</w:t>
            </w:r>
          </w:p>
        </w:tc>
      </w:tr>
      <w:tr w14:paraId="75EC5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6E6250D9">
            <w:pPr>
              <w:spacing w:line="42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2125" w:type="dxa"/>
            <w:tcBorders>
              <w:top w:val="single" w:color="auto" w:sz="4" w:space="0"/>
              <w:left w:val="single" w:color="auto" w:sz="4" w:space="0"/>
              <w:bottom w:val="single" w:color="auto" w:sz="4" w:space="0"/>
              <w:right w:val="single" w:color="auto" w:sz="4" w:space="0"/>
            </w:tcBorders>
            <w:vAlign w:val="center"/>
          </w:tcPr>
          <w:p w14:paraId="4CC4860C">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vAlign w:val="center"/>
          </w:tcPr>
          <w:p w14:paraId="2A5765E2">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1FB02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785EE1E">
            <w:pPr>
              <w:spacing w:line="420" w:lineRule="exact"/>
              <w:jc w:val="center"/>
              <w:rPr>
                <w:rFonts w:hint="default" w:ascii="宋体" w:eastAsia="宋体"/>
                <w:color w:val="auto"/>
                <w:szCs w:val="21"/>
                <w:highlight w:val="none"/>
                <w:lang w:val="en-US" w:eastAsia="zh-CN"/>
              </w:rPr>
            </w:pPr>
            <w:r>
              <w:rPr>
                <w:rFonts w:hint="eastAsia" w:ascii="宋体" w:hAnsi="宋体"/>
                <w:color w:val="auto"/>
                <w:szCs w:val="21"/>
                <w:highlight w:val="none"/>
                <w:lang w:val="en-US" w:eastAsia="zh-CN"/>
              </w:rPr>
              <w:t>14</w:t>
            </w:r>
          </w:p>
        </w:tc>
        <w:tc>
          <w:tcPr>
            <w:tcW w:w="2125" w:type="dxa"/>
            <w:tcBorders>
              <w:top w:val="single" w:color="auto" w:sz="4" w:space="0"/>
              <w:left w:val="single" w:color="auto" w:sz="4" w:space="0"/>
              <w:bottom w:val="single" w:color="auto" w:sz="4" w:space="0"/>
              <w:right w:val="single" w:color="auto" w:sz="4" w:space="0"/>
            </w:tcBorders>
            <w:vAlign w:val="center"/>
          </w:tcPr>
          <w:p w14:paraId="380CA88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vAlign w:val="center"/>
          </w:tcPr>
          <w:p w14:paraId="58A9FC4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p w14:paraId="0C407409">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010EF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43AA13D0">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15</w:t>
            </w:r>
          </w:p>
        </w:tc>
        <w:tc>
          <w:tcPr>
            <w:tcW w:w="2125" w:type="dxa"/>
            <w:tcBorders>
              <w:top w:val="single" w:color="auto" w:sz="4" w:space="0"/>
              <w:left w:val="single" w:color="auto" w:sz="4" w:space="0"/>
              <w:bottom w:val="single" w:color="auto" w:sz="4" w:space="0"/>
              <w:right w:val="single" w:color="auto" w:sz="4" w:space="0"/>
            </w:tcBorders>
          </w:tcPr>
          <w:p w14:paraId="6EC6DBB1">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vAlign w:val="center"/>
          </w:tcPr>
          <w:p w14:paraId="5DE6F9EE">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41C0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362E5444">
            <w:pPr>
              <w:spacing w:line="420" w:lineRule="exact"/>
              <w:jc w:val="center"/>
              <w:rPr>
                <w:rFonts w:hint="default" w:ascii="宋体" w:eastAsia="宋体"/>
                <w:color w:val="auto"/>
                <w:szCs w:val="21"/>
                <w:highlight w:val="none"/>
                <w:lang w:val="en-US" w:eastAsia="zh-CN"/>
              </w:rPr>
            </w:pPr>
            <w:r>
              <w:rPr>
                <w:rFonts w:hint="eastAsia" w:ascii="宋体" w:hAnsi="宋体"/>
                <w:color w:val="auto"/>
                <w:szCs w:val="21"/>
                <w:highlight w:val="none"/>
                <w:lang w:val="en-US" w:eastAsia="zh-CN"/>
              </w:rPr>
              <w:t>16</w:t>
            </w:r>
          </w:p>
        </w:tc>
        <w:tc>
          <w:tcPr>
            <w:tcW w:w="2125" w:type="dxa"/>
            <w:tcBorders>
              <w:top w:val="single" w:color="auto" w:sz="4" w:space="0"/>
              <w:left w:val="single" w:color="auto" w:sz="4" w:space="0"/>
              <w:bottom w:val="single" w:color="auto" w:sz="4" w:space="0"/>
              <w:right w:val="single" w:color="auto" w:sz="4" w:space="0"/>
            </w:tcBorders>
            <w:vAlign w:val="center"/>
          </w:tcPr>
          <w:p w14:paraId="2A638E65">
            <w:pPr>
              <w:spacing w:line="420" w:lineRule="exact"/>
              <w:jc w:val="center"/>
              <w:rPr>
                <w:rFonts w:hint="eastAsia" w:ascii="宋体" w:hAns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vAlign w:val="center"/>
          </w:tcPr>
          <w:p w14:paraId="485A87E4">
            <w:pPr>
              <w:spacing w:line="420" w:lineRule="exact"/>
              <w:rPr>
                <w:rFonts w:hint="eastAsia" w:ascii="宋体" w:hAnsi="宋体"/>
                <w:color w:val="auto"/>
                <w:szCs w:val="21"/>
                <w:highlight w:val="none"/>
              </w:rPr>
            </w:pPr>
            <w:r>
              <w:rPr>
                <w:rFonts w:hint="eastAsia" w:ascii="宋体" w:hAnsi="宋体" w:cs="宋体"/>
                <w:color w:val="auto"/>
                <w:szCs w:val="21"/>
                <w:highlight w:val="none"/>
              </w:rPr>
              <w:t>本项目不收取</w:t>
            </w:r>
          </w:p>
        </w:tc>
      </w:tr>
      <w:tr w14:paraId="5488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89452E">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17</w:t>
            </w:r>
          </w:p>
        </w:tc>
        <w:tc>
          <w:tcPr>
            <w:tcW w:w="2125" w:type="dxa"/>
            <w:tcBorders>
              <w:top w:val="single" w:color="auto" w:sz="4" w:space="0"/>
              <w:left w:val="single" w:color="auto" w:sz="4" w:space="0"/>
              <w:bottom w:val="single" w:color="auto" w:sz="4" w:space="0"/>
              <w:right w:val="single" w:color="auto" w:sz="4" w:space="0"/>
            </w:tcBorders>
            <w:vAlign w:val="center"/>
          </w:tcPr>
          <w:p w14:paraId="542FDB76">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投标保证金</w:t>
            </w:r>
          </w:p>
        </w:tc>
        <w:tc>
          <w:tcPr>
            <w:tcW w:w="6356" w:type="dxa"/>
            <w:tcBorders>
              <w:top w:val="single" w:color="auto" w:sz="4" w:space="0"/>
              <w:left w:val="single" w:color="auto" w:sz="4" w:space="0"/>
              <w:bottom w:val="single" w:color="auto" w:sz="4" w:space="0"/>
            </w:tcBorders>
            <w:vAlign w:val="center"/>
          </w:tcPr>
          <w:p w14:paraId="4B03315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本项目不收取</w:t>
            </w:r>
          </w:p>
        </w:tc>
      </w:tr>
      <w:tr w14:paraId="5F453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0EDF4199">
            <w:pPr>
              <w:spacing w:line="42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8</w:t>
            </w:r>
          </w:p>
        </w:tc>
        <w:tc>
          <w:tcPr>
            <w:tcW w:w="2125" w:type="dxa"/>
            <w:tcBorders>
              <w:top w:val="single" w:color="auto" w:sz="4" w:space="0"/>
              <w:left w:val="single" w:color="auto" w:sz="4" w:space="0"/>
              <w:bottom w:val="single" w:color="auto" w:sz="4" w:space="0"/>
              <w:right w:val="single" w:color="auto" w:sz="4" w:space="0"/>
            </w:tcBorders>
          </w:tcPr>
          <w:p w14:paraId="25E43F7C">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vAlign w:val="center"/>
          </w:tcPr>
          <w:p w14:paraId="406434AA">
            <w:pPr>
              <w:spacing w:line="420" w:lineRule="exact"/>
              <w:rPr>
                <w:rFonts w:ascii="宋体"/>
                <w:color w:val="auto"/>
                <w:szCs w:val="21"/>
                <w:highlight w:val="none"/>
              </w:rPr>
            </w:pPr>
            <w:r>
              <w:rPr>
                <w:rFonts w:hint="eastAsia" w:ascii="宋体"/>
                <w:color w:val="auto"/>
                <w:szCs w:val="21"/>
                <w:highlight w:val="none"/>
              </w:rPr>
              <w:t>由成交人承担</w:t>
            </w:r>
          </w:p>
        </w:tc>
      </w:tr>
      <w:tr w14:paraId="10ACE2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7D251DBE">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19</w:t>
            </w:r>
          </w:p>
        </w:tc>
        <w:tc>
          <w:tcPr>
            <w:tcW w:w="2125" w:type="dxa"/>
            <w:tcBorders>
              <w:top w:val="single" w:color="auto" w:sz="4" w:space="0"/>
              <w:left w:val="single" w:color="auto" w:sz="4" w:space="0"/>
              <w:bottom w:val="single" w:color="auto" w:sz="4" w:space="0"/>
              <w:right w:val="single" w:color="auto" w:sz="4" w:space="0"/>
            </w:tcBorders>
            <w:vAlign w:val="center"/>
          </w:tcPr>
          <w:p w14:paraId="13F2FDF5">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vAlign w:val="center"/>
          </w:tcPr>
          <w:p w14:paraId="42068F1B">
            <w:pPr>
              <w:spacing w:line="420" w:lineRule="exact"/>
              <w:rPr>
                <w:rFonts w:hint="default" w:eastAsia="宋体"/>
                <w:color w:val="auto"/>
                <w:highlight w:val="none"/>
                <w:lang w:val="en-US" w:eastAsia="zh-CN"/>
              </w:rPr>
            </w:pPr>
            <w:r>
              <w:rPr>
                <w:rFonts w:hint="eastAsia"/>
                <w:color w:val="auto"/>
                <w:highlight w:val="none"/>
                <w:lang w:val="en-US" w:eastAsia="zh-CN"/>
              </w:rPr>
              <w:t>详见第三章“结算方式”</w:t>
            </w:r>
          </w:p>
        </w:tc>
      </w:tr>
      <w:tr w14:paraId="0E099F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vAlign w:val="center"/>
          </w:tcPr>
          <w:p w14:paraId="536D398D">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20</w:t>
            </w:r>
          </w:p>
        </w:tc>
        <w:tc>
          <w:tcPr>
            <w:tcW w:w="2125" w:type="dxa"/>
            <w:tcBorders>
              <w:top w:val="single" w:color="auto" w:sz="4" w:space="0"/>
              <w:left w:val="single" w:color="auto" w:sz="4" w:space="0"/>
              <w:bottom w:val="single" w:color="auto" w:sz="4" w:space="0"/>
              <w:right w:val="single" w:color="auto" w:sz="4" w:space="0"/>
            </w:tcBorders>
            <w:vAlign w:val="center"/>
          </w:tcPr>
          <w:p w14:paraId="2045BD54">
            <w:pPr>
              <w:spacing w:line="420" w:lineRule="exact"/>
              <w:jc w:val="center"/>
              <w:rPr>
                <w:rFonts w:hint="eastAsia" w:ascii="宋体" w:hAnsi="宋体"/>
                <w:color w:val="auto"/>
                <w:szCs w:val="21"/>
                <w:highlight w:val="none"/>
              </w:rPr>
            </w:pPr>
            <w:r>
              <w:rPr>
                <w:rFonts w:hint="eastAsia" w:ascii="宋体" w:hAnsi="宋体"/>
                <w:color w:val="auto"/>
                <w:szCs w:val="21"/>
                <w:highlight w:val="none"/>
              </w:rPr>
              <w:t>报价要求</w:t>
            </w:r>
          </w:p>
        </w:tc>
        <w:tc>
          <w:tcPr>
            <w:tcW w:w="6356" w:type="dxa"/>
            <w:tcBorders>
              <w:top w:val="single" w:color="auto" w:sz="4" w:space="0"/>
              <w:left w:val="single" w:color="auto" w:sz="4" w:space="0"/>
              <w:bottom w:val="single" w:color="auto" w:sz="4" w:space="0"/>
            </w:tcBorders>
            <w:vAlign w:val="center"/>
          </w:tcPr>
          <w:p w14:paraId="2E7CF098">
            <w:pPr>
              <w:pStyle w:val="7"/>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1、报价应含参选人完成本项目所有工作内容。</w:t>
            </w:r>
          </w:p>
          <w:p w14:paraId="0A26D016">
            <w:pPr>
              <w:pStyle w:val="7"/>
              <w:spacing w:line="360" w:lineRule="auto"/>
              <w:ind w:firstLine="0"/>
              <w:rPr>
                <w:color w:val="auto"/>
                <w:highlight w:val="none"/>
              </w:rPr>
            </w:pPr>
            <w:r>
              <w:rPr>
                <w:rFonts w:hint="eastAsia" w:ascii="宋体" w:hAnsi="宋体" w:cs="宋体"/>
                <w:color w:val="auto"/>
                <w:szCs w:val="21"/>
                <w:highlight w:val="none"/>
              </w:rPr>
              <w:t>2、为完成本比选文件规定的义务，参选人认为有必要计入的其它费用。</w:t>
            </w:r>
          </w:p>
        </w:tc>
      </w:tr>
      <w:tr w14:paraId="48572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22446413">
            <w:pPr>
              <w:spacing w:line="420" w:lineRule="exact"/>
              <w:jc w:val="center"/>
              <w:rPr>
                <w:rFonts w:hint="default" w:ascii="宋体" w:eastAsia="宋体"/>
                <w:color w:val="auto"/>
                <w:szCs w:val="21"/>
                <w:highlight w:val="none"/>
                <w:lang w:val="en-US" w:eastAsia="zh-CN"/>
              </w:rPr>
            </w:pPr>
            <w:r>
              <w:rPr>
                <w:rFonts w:hint="eastAsia" w:ascii="宋体"/>
                <w:color w:val="auto"/>
                <w:szCs w:val="21"/>
                <w:highlight w:val="none"/>
                <w:lang w:val="en-US" w:eastAsia="zh-CN"/>
              </w:rPr>
              <w:t>21</w:t>
            </w:r>
          </w:p>
        </w:tc>
        <w:tc>
          <w:tcPr>
            <w:tcW w:w="2125" w:type="dxa"/>
            <w:tcBorders>
              <w:top w:val="single" w:color="auto" w:sz="4" w:space="0"/>
              <w:left w:val="single" w:color="auto" w:sz="4" w:space="0"/>
              <w:bottom w:val="single" w:color="auto" w:sz="4" w:space="0"/>
              <w:right w:val="single" w:color="auto" w:sz="4" w:space="0"/>
            </w:tcBorders>
            <w:vAlign w:val="center"/>
          </w:tcPr>
          <w:p w14:paraId="34BFF642">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vAlign w:val="center"/>
          </w:tcPr>
          <w:p w14:paraId="43571526">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7ED31E1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0436E0B5">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本次采购管理部门为安庆市交通控股集团有限公司集采中心，</w:t>
            </w:r>
            <w:r>
              <w:rPr>
                <w:rFonts w:hint="eastAsia" w:ascii="宋体" w:hAnsi="宋体" w:cs="宋体"/>
                <w:color w:val="auto"/>
                <w:szCs w:val="21"/>
                <w:highlight w:val="none"/>
              </w:rPr>
              <w:t>具体合同签订主体为</w:t>
            </w:r>
            <w:r>
              <w:rPr>
                <w:rFonts w:hint="eastAsia"/>
                <w:color w:val="auto"/>
                <w:highlight w:val="none"/>
                <w:lang w:eastAsia="zh-CN"/>
              </w:rPr>
              <w:t>安庆市通源港务有限公司</w:t>
            </w:r>
            <w:r>
              <w:rPr>
                <w:rFonts w:hint="eastAsia" w:ascii="宋体" w:hAnsi="宋体" w:cs="宋体"/>
                <w:color w:val="auto"/>
                <w:szCs w:val="21"/>
                <w:highlight w:val="none"/>
              </w:rPr>
              <w:t>，特此说明。</w:t>
            </w:r>
          </w:p>
        </w:tc>
      </w:tr>
      <w:tr w14:paraId="687BE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vAlign w:val="center"/>
          </w:tcPr>
          <w:p w14:paraId="53583B7C">
            <w:pPr>
              <w:spacing w:line="42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22</w:t>
            </w:r>
          </w:p>
        </w:tc>
        <w:tc>
          <w:tcPr>
            <w:tcW w:w="2125" w:type="dxa"/>
            <w:tcBorders>
              <w:top w:val="single" w:color="auto" w:sz="4" w:space="0"/>
              <w:left w:val="single" w:color="auto" w:sz="4" w:space="0"/>
              <w:bottom w:val="single" w:color="auto" w:sz="4" w:space="0"/>
              <w:right w:val="single" w:color="auto" w:sz="4" w:space="0"/>
            </w:tcBorders>
            <w:vAlign w:val="center"/>
          </w:tcPr>
          <w:p w14:paraId="7AEEEED1">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vAlign w:val="center"/>
          </w:tcPr>
          <w:p w14:paraId="3B4CC1E9">
            <w:pPr>
              <w:spacing w:line="420" w:lineRule="exact"/>
              <w:rPr>
                <w:color w:val="auto"/>
                <w:highlight w:val="none"/>
              </w:rPr>
            </w:pPr>
            <w:r>
              <w:rPr>
                <w:rFonts w:hint="eastAsia"/>
                <w:color w:val="auto"/>
                <w:highlight w:val="none"/>
              </w:rPr>
              <w:t>凡有意参加比选的单位，在参与过程中，遇排斥潜在参选人等现象，可在开标截止时间1日前向采购部门提出书面质疑。如对质疑答复不满，可在开标截止时间前不少于12小时将书面投诉材料送达至监察部门。</w:t>
            </w:r>
          </w:p>
          <w:p w14:paraId="0AB7D666">
            <w:pPr>
              <w:spacing w:line="420" w:lineRule="exact"/>
              <w:rPr>
                <w:color w:val="auto"/>
                <w:highlight w:val="none"/>
              </w:rPr>
            </w:pPr>
            <w:r>
              <w:rPr>
                <w:rFonts w:hint="eastAsia"/>
                <w:color w:val="auto"/>
                <w:highlight w:val="none"/>
              </w:rPr>
              <w:t>地址：安庆市交通控股集团有限公司纪检监察室</w:t>
            </w:r>
          </w:p>
          <w:p w14:paraId="49A8B6DC">
            <w:pPr>
              <w:spacing w:line="420" w:lineRule="exact"/>
              <w:rPr>
                <w:color w:val="auto"/>
                <w:highlight w:val="none"/>
              </w:rPr>
            </w:pPr>
            <w:r>
              <w:rPr>
                <w:rFonts w:hint="eastAsia"/>
                <w:color w:val="auto"/>
                <w:highlight w:val="none"/>
              </w:rPr>
              <w:t>电话：0556-5595102。</w:t>
            </w:r>
          </w:p>
        </w:tc>
      </w:tr>
    </w:tbl>
    <w:p w14:paraId="75032502">
      <w:pPr>
        <w:rPr>
          <w:rFonts w:hint="eastAsia" w:ascii="宋体" w:hAnsi="宋体"/>
          <w:color w:val="auto"/>
          <w:kern w:val="0"/>
          <w:highlight w:val="none"/>
          <w:lang w:val="zh-CN"/>
        </w:rPr>
      </w:pPr>
      <w:bookmarkStart w:id="26" w:name="_Toc439316872"/>
      <w:r>
        <w:rPr>
          <w:color w:val="auto"/>
          <w:kern w:val="0"/>
          <w:highlight w:val="none"/>
          <w:lang w:val="zh-CN"/>
        </w:rPr>
        <w:br w:type="page"/>
      </w:r>
    </w:p>
    <w:bookmarkEnd w:id="26"/>
    <w:p w14:paraId="14AFC653">
      <w:pPr>
        <w:keepNext/>
        <w:keepLines/>
        <w:autoSpaceDE w:val="0"/>
        <w:autoSpaceDN w:val="0"/>
        <w:adjustRightInd w:val="0"/>
        <w:spacing w:before="120" w:line="360" w:lineRule="auto"/>
        <w:jc w:val="center"/>
        <w:outlineLvl w:val="1"/>
        <w:rPr>
          <w:rFonts w:hint="eastAsia" w:ascii="宋体" w:hAnsi="宋体" w:cs="Tahoma"/>
          <w:b/>
          <w:bCs/>
          <w:color w:val="auto"/>
          <w:kern w:val="0"/>
          <w:sz w:val="32"/>
          <w:szCs w:val="32"/>
          <w:highlight w:val="none"/>
          <w:lang w:val="zh-CN"/>
        </w:rPr>
      </w:pPr>
      <w:bookmarkStart w:id="27" w:name="_Toc4481596"/>
      <w:bookmarkStart w:id="28" w:name="_Toc18076"/>
      <w:bookmarkStart w:id="29" w:name="_Toc10569"/>
      <w:bookmarkStart w:id="30" w:name="_Toc11149"/>
      <w:bookmarkStart w:id="31" w:name="_Toc54941340"/>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365816B9">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2"/>
      <w:bookmarkStart w:id="33" w:name="_Toc28310"/>
      <w:bookmarkStart w:id="34" w:name="_Toc23618"/>
      <w:r>
        <w:rPr>
          <w:rFonts w:hint="eastAsia" w:ascii="Arial" w:hAnsi="Arial"/>
          <w:b/>
          <w:color w:val="auto"/>
          <w:kern w:val="0"/>
          <w:sz w:val="32"/>
          <w:highlight w:val="none"/>
        </w:rPr>
        <w:t>（一）总则</w:t>
      </w:r>
      <w:bookmarkEnd w:id="32"/>
    </w:p>
    <w:p w14:paraId="6C6C965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1、定义</w:t>
      </w:r>
    </w:p>
    <w:p w14:paraId="1CD161D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1.1、采购单位是指采购人和采购管理部门。</w:t>
      </w:r>
    </w:p>
    <w:p w14:paraId="27A3A99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1.2、参选人是指对“参选人须知前附表”序号2所指的项目表现出兴趣，按照规定的程序，从采购单位获取了比选文件，并实际参与了该项目投标活动的供应商。</w:t>
      </w:r>
    </w:p>
    <w:p w14:paraId="4CAE8F1A">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2、参选人资格要求</w:t>
      </w:r>
    </w:p>
    <w:p w14:paraId="5FB4B29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2.1、参与本项目的参选人必须满足的要求：详见参选人须知前附表。</w:t>
      </w:r>
    </w:p>
    <w:p w14:paraId="3233EBA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2.2、参选人之间如果存在下列情形之一的，不得同时参加同一包别或者不分包别的同一项目投标：</w:t>
      </w:r>
    </w:p>
    <w:p w14:paraId="0CE514C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（1）法定代表人为同一个人的两个及两个以上法人；</w:t>
      </w:r>
    </w:p>
    <w:p w14:paraId="4B59FFD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（2）母公司、全资子公司及其控股公司；</w:t>
      </w:r>
    </w:p>
    <w:p w14:paraId="56B898C5">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（3）法律和行政法规规定的其他情形。</w:t>
      </w:r>
    </w:p>
    <w:p w14:paraId="02C9AA3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2.3、参选人必须确保自己信息真实、准确，否则，参选人因此蒙受损失，采购单位概不负责。</w:t>
      </w:r>
    </w:p>
    <w:p w14:paraId="0D93C1FF">
      <w:pPr>
        <w:adjustRightInd w:val="0"/>
        <w:spacing w:line="50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3、联合体投标</w:t>
      </w:r>
    </w:p>
    <w:p w14:paraId="7886081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本项目不接受联合体</w:t>
      </w:r>
    </w:p>
    <w:p w14:paraId="48F12A87">
      <w:pPr>
        <w:adjustRightInd w:val="0"/>
        <w:spacing w:line="500" w:lineRule="exact"/>
        <w:ind w:firstLine="413" w:firstLineChars="196"/>
        <w:rPr>
          <w:rFonts w:hint="eastAsia" w:ascii="宋体" w:hAnsi="宋体"/>
          <w:bCs/>
          <w:color w:val="auto"/>
          <w:szCs w:val="21"/>
          <w:highlight w:val="none"/>
        </w:rPr>
      </w:pPr>
      <w:r>
        <w:rPr>
          <w:rFonts w:hint="eastAsia" w:ascii="宋体" w:hAnsi="宋体"/>
          <w:b/>
          <w:color w:val="auto"/>
          <w:szCs w:val="21"/>
          <w:highlight w:val="none"/>
        </w:rPr>
        <w:t>4、比选费用：</w:t>
      </w:r>
      <w:r>
        <w:rPr>
          <w:rFonts w:hint="eastAsia" w:ascii="宋体" w:hAnsi="宋体"/>
          <w:bCs/>
          <w:color w:val="auto"/>
          <w:szCs w:val="21"/>
          <w:highlight w:val="none"/>
        </w:rPr>
        <w:t>参选人必须自行承担参加比选的所有费用。不论中标与否，采购单位在任何情况下均无义务和责任承担这些费用。</w:t>
      </w:r>
    </w:p>
    <w:p w14:paraId="66F964AB">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5、参选人有以下情形不得参与本次投标活动</w:t>
      </w:r>
    </w:p>
    <w:p w14:paraId="0897D5FB">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5.1被列入安庆市交通控股集团有限公司黑名单管理系统。</w:t>
      </w:r>
    </w:p>
    <w:p w14:paraId="43F8BA34">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5.2在安庆市交通控股集团有限公司处罚限制期限内的投标人。</w:t>
      </w:r>
    </w:p>
    <w:p w14:paraId="380C2353">
      <w:pPr>
        <w:widowControl/>
        <w:spacing w:line="5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5.3前期参与安庆市交通控股集团有限公司组织的招标采购活动获得</w:t>
      </w:r>
      <w:r>
        <w:rPr>
          <w:rFonts w:hint="eastAsia" w:ascii="宋体" w:hAnsi="宋体"/>
          <w:bCs/>
          <w:color w:val="auto"/>
          <w:szCs w:val="21"/>
          <w:highlight w:val="none"/>
          <w:lang w:eastAsia="zh-CN"/>
        </w:rPr>
        <w:t>成交候选人</w:t>
      </w:r>
      <w:r>
        <w:rPr>
          <w:rFonts w:hint="eastAsia" w:ascii="宋体" w:hAnsi="宋体"/>
          <w:bCs/>
          <w:color w:val="auto"/>
          <w:szCs w:val="21"/>
          <w:highlight w:val="none"/>
        </w:rPr>
        <w:t>资格而放弃中标资格不签订合同的投标人，在处罚期内的投标人不得参与本次投标活动。</w:t>
      </w:r>
    </w:p>
    <w:p w14:paraId="44B3F71A">
      <w:pPr>
        <w:widowControl/>
        <w:spacing w:line="500" w:lineRule="exact"/>
        <w:ind w:firstLine="420" w:firstLineChars="200"/>
        <w:jc w:val="left"/>
        <w:rPr>
          <w:rFonts w:hint="eastAsia" w:ascii="宋体" w:hAnsi="宋体"/>
          <w:bCs/>
          <w:color w:val="auto"/>
          <w:szCs w:val="21"/>
          <w:highlight w:val="none"/>
        </w:rPr>
      </w:pPr>
    </w:p>
    <w:p w14:paraId="471B7304">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5" w:name="_Toc479622044"/>
      <w:bookmarkStart w:id="36" w:name="_Toc8536"/>
      <w:bookmarkStart w:id="37" w:name="_Toc4481593"/>
      <w:r>
        <w:rPr>
          <w:rFonts w:hint="eastAsia" w:ascii="Arial" w:hAnsi="Arial"/>
          <w:b/>
          <w:color w:val="auto"/>
          <w:kern w:val="0"/>
          <w:sz w:val="32"/>
          <w:highlight w:val="none"/>
        </w:rPr>
        <w:t>（二）</w:t>
      </w:r>
      <w:bookmarkEnd w:id="35"/>
      <w:bookmarkEnd w:id="36"/>
      <w:bookmarkEnd w:id="37"/>
      <w:r>
        <w:rPr>
          <w:rFonts w:hint="eastAsia" w:ascii="Arial" w:hAnsi="Arial"/>
          <w:b/>
          <w:color w:val="auto"/>
          <w:kern w:val="0"/>
          <w:sz w:val="32"/>
          <w:highlight w:val="none"/>
        </w:rPr>
        <w:t>比选文件</w:t>
      </w:r>
    </w:p>
    <w:p w14:paraId="031840B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6、比选文件的构成</w:t>
      </w:r>
    </w:p>
    <w:p w14:paraId="547855C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6.1、比选文件包括：</w:t>
      </w:r>
    </w:p>
    <w:p w14:paraId="2780435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（1）第一章  比选公告；</w:t>
      </w:r>
    </w:p>
    <w:p w14:paraId="7EA4FF81">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（2）第二章  参选人须知；</w:t>
      </w:r>
    </w:p>
    <w:p w14:paraId="1AEAE4F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（3）第三章  项目需求及技术要求；</w:t>
      </w:r>
    </w:p>
    <w:p w14:paraId="405E76D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（4）第四章  合同主要条款；</w:t>
      </w:r>
    </w:p>
    <w:p w14:paraId="0301651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（5）第五章  参选文件格式。</w:t>
      </w:r>
    </w:p>
    <w:p w14:paraId="6790783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6.2、参选人应认真阅读和充分理解比选文件中所有的内容。如果参选人没有满足比选文件的有关要求，其风险由参选人自行承担。</w:t>
      </w:r>
    </w:p>
    <w:p w14:paraId="2C61247D">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25C18A9B">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7、比选文件的澄清</w:t>
      </w:r>
    </w:p>
    <w:p w14:paraId="0CEF22D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7.1、参选人可以要求采购单位对比选文件中的有关问题进行答疑或澄清。</w:t>
      </w:r>
    </w:p>
    <w:p w14:paraId="4D1782D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7.2、参选人对比选文件如有异议，应在投标截止日期前向采购单位提出。</w:t>
      </w:r>
    </w:p>
    <w:p w14:paraId="1A0366E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0F902608">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7.4、采购单位对在规定时间收到的且需要做出澄清的问题，将以8款所述方式进行答复，但不说明问题的来源。</w:t>
      </w:r>
    </w:p>
    <w:p w14:paraId="280FC086">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8、比选文件的修改</w:t>
      </w:r>
    </w:p>
    <w:p w14:paraId="7F599052">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8.1、采购单位可以对比选文件进行修改。</w:t>
      </w:r>
    </w:p>
    <w:p w14:paraId="2A028A1C">
      <w:pPr>
        <w:spacing w:line="500" w:lineRule="exact"/>
        <w:ind w:firstLine="422" w:firstLineChars="200"/>
        <w:rPr>
          <w:rFonts w:hint="eastAsia" w:ascii="宋体" w:hAnsi="宋体"/>
          <w:b/>
          <w:bCs/>
          <w:color w:val="auto"/>
          <w:szCs w:val="21"/>
          <w:highlight w:val="none"/>
        </w:rPr>
      </w:pPr>
      <w:r>
        <w:rPr>
          <w:rFonts w:hint="eastAsia" w:ascii="宋体" w:hAnsi="宋体"/>
          <w:b/>
          <w:bCs/>
          <w:color w:val="auto"/>
          <w:szCs w:val="21"/>
          <w:highlight w:val="none"/>
        </w:rPr>
        <w:t>8.2、采购单位对参选人异议的答复和对比选文件的</w:t>
      </w:r>
      <w:r>
        <w:rPr>
          <w:rFonts w:ascii="宋体" w:hAnsi="宋体"/>
          <w:b/>
          <w:bCs/>
          <w:color w:val="auto"/>
          <w:szCs w:val="21"/>
          <w:highlight w:val="none"/>
        </w:rPr>
        <w:t>澄</w:t>
      </w:r>
      <w:r>
        <w:rPr>
          <w:rFonts w:hint="eastAsia" w:ascii="宋体" w:hAnsi="宋体"/>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3E7912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8.3、</w:t>
      </w:r>
      <w:bookmarkStart w:id="38" w:name="_Toc9821"/>
      <w:r>
        <w:rPr>
          <w:rFonts w:hint="eastAsia" w:ascii="宋体" w:hAnsi="宋体"/>
          <w:color w:val="auto"/>
          <w:szCs w:val="21"/>
          <w:highlight w:val="none"/>
        </w:rPr>
        <w:t>当比选文件与对比选文件的澄清、修改、补充等在同一内容的表述上不一致时，以最后发出的为准。</w:t>
      </w:r>
    </w:p>
    <w:p w14:paraId="45C52A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cs="宋体"/>
          <w:color w:val="auto"/>
          <w:szCs w:val="21"/>
          <w:highlight w:val="none"/>
        </w:rPr>
        <w:t>安庆市交通控股集团有限公司集采平台网站发布</w:t>
      </w:r>
      <w:r>
        <w:rPr>
          <w:rFonts w:hint="eastAsia" w:ascii="宋体" w:hAnsi="宋体"/>
          <w:color w:val="auto"/>
          <w:szCs w:val="21"/>
          <w:highlight w:val="none"/>
        </w:rPr>
        <w:t>。</w:t>
      </w:r>
    </w:p>
    <w:bookmarkEnd w:id="38"/>
    <w:p w14:paraId="37F6AC77">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9、参选文件的构成</w:t>
      </w:r>
    </w:p>
    <w:p w14:paraId="0D432F0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9.1、参选文件应该按照“参选文件格式”规定的内容和顺序进行编写。</w:t>
      </w:r>
    </w:p>
    <w:p w14:paraId="65707C5B">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9.2、参选人应提交“参选人须知前附表”中规定的参选文件。</w:t>
      </w:r>
    </w:p>
    <w:p w14:paraId="275F9437">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9.3、参选人必须对其参选文件的真实性与准确性负责。参选人一旦中标，其参选文件将作为合同的重要组成部分。</w:t>
      </w:r>
    </w:p>
    <w:p w14:paraId="18C5BDB3">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9.4、参选人提供的货物/服务能满足比选文件约定的实质性要求。否则，其参选文件在评标时有可能被认为是对比选文件未做出实质性的响应，而被评标委员会终止对其做进一步的评审。</w:t>
      </w:r>
    </w:p>
    <w:p w14:paraId="750B4CF2">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10、投标报价</w:t>
      </w:r>
    </w:p>
    <w:p w14:paraId="4D93E6B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10.1、参选文件的报价表上应清楚地标明参选人拟提供货物/服务的名称、价格等内容。</w:t>
      </w:r>
    </w:p>
    <w:p w14:paraId="3E06A544">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10.2、除非特别要求，每个项目（或每个包）只允许有一个方案、一个报价。多方案、多报价的参选文件将视为无效参选文件。</w:t>
      </w:r>
    </w:p>
    <w:p w14:paraId="1FFEF0A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10.3、参选人的报价应包含满足本次招标需求的所有费用（包括但不限于：人工费、材料费、运输费、保险、税金等）。</w:t>
      </w:r>
    </w:p>
    <w:p w14:paraId="126407EC">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10.4、投标报价高于最高投标限价为投标无效。</w:t>
      </w:r>
    </w:p>
    <w:p w14:paraId="2290B1D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10.5、若参选报价函中报价的大写金额和小写金额不一致的，以大写金额为准；单价金额小数点有明显错位的，应以总价为准，并修正单价。</w:t>
      </w:r>
    </w:p>
    <w:p w14:paraId="24044FEA">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10.6、参选函中报价与参选文件中相应内容不一致的，以参选函中报价为准。</w:t>
      </w:r>
    </w:p>
    <w:p w14:paraId="547A9BAC">
      <w:pPr>
        <w:spacing w:line="50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11、投标货币：</w:t>
      </w:r>
      <w:r>
        <w:rPr>
          <w:rFonts w:hint="eastAsia" w:ascii="宋体" w:hAnsi="宋体"/>
          <w:color w:val="auto"/>
          <w:szCs w:val="21"/>
          <w:highlight w:val="none"/>
        </w:rPr>
        <w:t>人民币。</w:t>
      </w:r>
    </w:p>
    <w:p w14:paraId="7EB30340">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12、投标保证金：本项目不收取</w:t>
      </w:r>
    </w:p>
    <w:p w14:paraId="3490B26D">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13、投标有效期</w:t>
      </w:r>
    </w:p>
    <w:p w14:paraId="2E19C2F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14.投标有效期见“参选人须知前附表”的规定。</w:t>
      </w:r>
    </w:p>
    <w:p w14:paraId="2D59162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14.1、在投标有效期内，参选人不得要求撤销或修改其参选文件。</w:t>
      </w:r>
    </w:p>
    <w:p w14:paraId="4DB3DE9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14.2、投标有效期从投标截止之日算起。</w:t>
      </w:r>
    </w:p>
    <w:p w14:paraId="086FFDF6">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14.3、在特殊情况下，采购单位可于原投标有效期满之前，向</w:t>
      </w:r>
      <w:r>
        <w:rPr>
          <w:rFonts w:hint="eastAsia" w:ascii="宋体" w:hAnsi="宋体"/>
          <w:color w:val="auto"/>
          <w:szCs w:val="21"/>
          <w:highlight w:val="none"/>
          <w:lang w:eastAsia="zh-CN"/>
        </w:rPr>
        <w:t>成交候选人</w:t>
      </w:r>
      <w:r>
        <w:rPr>
          <w:rFonts w:hint="eastAsia" w:ascii="宋体" w:hAnsi="宋体"/>
          <w:color w:val="auto"/>
          <w:szCs w:val="21"/>
          <w:highlight w:val="none"/>
        </w:rPr>
        <w:t>提出延长投标有效期的要求。</w:t>
      </w:r>
      <w:r>
        <w:rPr>
          <w:rFonts w:hint="eastAsia" w:ascii="宋体" w:hAnsi="宋体"/>
          <w:color w:val="auto"/>
          <w:szCs w:val="21"/>
          <w:highlight w:val="none"/>
          <w:lang w:eastAsia="zh-CN"/>
        </w:rPr>
        <w:t>成交候选人</w:t>
      </w:r>
      <w:r>
        <w:rPr>
          <w:rFonts w:hint="eastAsia" w:ascii="宋体" w:hAnsi="宋体"/>
          <w:color w:val="auto"/>
          <w:szCs w:val="21"/>
          <w:highlight w:val="none"/>
        </w:rPr>
        <w:t>可以拒绝采购单位的这种要求，但是对拒绝延长投标有效期的</w:t>
      </w:r>
      <w:r>
        <w:rPr>
          <w:rFonts w:hint="eastAsia" w:ascii="宋体" w:hAnsi="宋体"/>
          <w:color w:val="auto"/>
          <w:szCs w:val="21"/>
          <w:highlight w:val="none"/>
          <w:lang w:eastAsia="zh-CN"/>
        </w:rPr>
        <w:t>成交候选人</w:t>
      </w:r>
      <w:r>
        <w:rPr>
          <w:rFonts w:hint="eastAsia" w:ascii="宋体" w:hAnsi="宋体"/>
          <w:color w:val="auto"/>
          <w:szCs w:val="21"/>
          <w:highlight w:val="none"/>
        </w:rPr>
        <w:t>，采购单位有权利拒绝其参选文件。同意延长投标有效期的</w:t>
      </w:r>
      <w:r>
        <w:rPr>
          <w:rFonts w:hint="eastAsia" w:ascii="宋体" w:hAnsi="宋体"/>
          <w:color w:val="auto"/>
          <w:szCs w:val="21"/>
          <w:highlight w:val="none"/>
          <w:lang w:eastAsia="zh-CN"/>
        </w:rPr>
        <w:t>成交候选人</w:t>
      </w:r>
      <w:r>
        <w:rPr>
          <w:rFonts w:hint="eastAsia" w:ascii="宋体" w:hAnsi="宋体"/>
          <w:color w:val="auto"/>
          <w:szCs w:val="21"/>
          <w:highlight w:val="none"/>
        </w:rPr>
        <w:t>既不能要求也不允许修改比选文件和其参选文件所有内容。提出投标有效期的延长要求和</w:t>
      </w:r>
      <w:r>
        <w:rPr>
          <w:rFonts w:hint="eastAsia" w:ascii="宋体" w:hAnsi="宋体"/>
          <w:color w:val="auto"/>
          <w:szCs w:val="21"/>
          <w:highlight w:val="none"/>
          <w:lang w:eastAsia="zh-CN"/>
        </w:rPr>
        <w:t>成交候选人</w:t>
      </w:r>
      <w:r>
        <w:rPr>
          <w:rFonts w:hint="eastAsia" w:ascii="宋体" w:hAnsi="宋体"/>
          <w:color w:val="auto"/>
          <w:szCs w:val="21"/>
          <w:highlight w:val="none"/>
        </w:rPr>
        <w:t>对该要求的答复均采用书面形式。</w:t>
      </w:r>
    </w:p>
    <w:p w14:paraId="4B6E8070">
      <w:pPr>
        <w:spacing w:line="500" w:lineRule="exact"/>
        <w:ind w:firstLine="422" w:firstLineChars="200"/>
        <w:rPr>
          <w:rFonts w:hint="eastAsia" w:ascii="宋体" w:hAnsi="宋体"/>
          <w:b/>
          <w:color w:val="auto"/>
          <w:kern w:val="0"/>
          <w:szCs w:val="21"/>
          <w:highlight w:val="none"/>
        </w:rPr>
      </w:pPr>
      <w:r>
        <w:rPr>
          <w:rFonts w:hint="eastAsia" w:ascii="宋体" w:hAnsi="宋体"/>
          <w:b/>
          <w:color w:val="auto"/>
          <w:kern w:val="0"/>
          <w:szCs w:val="21"/>
          <w:highlight w:val="none"/>
        </w:rPr>
        <w:t>15、参选文件的签署</w:t>
      </w:r>
    </w:p>
    <w:p w14:paraId="694219C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15.1、参选人应按“参选人须知前附表”约定的份数和比选文件约定的格式，编制并提交参选文件。</w:t>
      </w:r>
    </w:p>
    <w:p w14:paraId="27E315D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15.2、参选文件应由参选人的法定代表人或个体工商户经营者或授权委托人签署，并加盖单位公章。</w:t>
      </w:r>
    </w:p>
    <w:p w14:paraId="4DC9EEA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15.3、参选文件不得行间插字、涂改或增删。如有修改错漏处，必须由参选人的法定代表人或个体工商户经营者或授权委托人签字，并加盖单位公章。</w:t>
      </w:r>
    </w:p>
    <w:p w14:paraId="56D5B88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601461BD">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15.5、参选文件封面、参选函、报价表、项目内容及质量要求均应加盖参选人公章并经法定代表人或个体工商户经营者或授权委托人签字或加盖印章。参选文件封面、参选函、报价表、项目内容及质量要求不符合比选文件要求的，视为无效标。由授权委托人签字或盖章的在参选文件中须同时提交授权书。</w:t>
      </w:r>
    </w:p>
    <w:p w14:paraId="08F67BEF">
      <w:pPr>
        <w:widowControl/>
        <w:spacing w:line="500" w:lineRule="exact"/>
        <w:ind w:firstLine="420" w:firstLineChars="200"/>
        <w:jc w:val="left"/>
        <w:rPr>
          <w:rFonts w:hint="eastAsia" w:ascii="宋体" w:hAnsi="宋体"/>
          <w:color w:val="auto"/>
          <w:szCs w:val="21"/>
          <w:highlight w:val="none"/>
        </w:rPr>
      </w:pPr>
    </w:p>
    <w:p w14:paraId="72FD455B">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9" w:name="_Toc479622046"/>
      <w:bookmarkStart w:id="40" w:name="_Toc4481594"/>
      <w:bookmarkStart w:id="41" w:name="_Toc25319"/>
      <w:bookmarkStart w:id="42" w:name="_Toc12503"/>
      <w:r>
        <w:rPr>
          <w:rFonts w:hint="eastAsia" w:ascii="Arial" w:hAnsi="Arial"/>
          <w:b/>
          <w:color w:val="auto"/>
          <w:kern w:val="0"/>
          <w:sz w:val="32"/>
          <w:highlight w:val="none"/>
        </w:rPr>
        <w:t>（三）参选文件的提交</w:t>
      </w:r>
      <w:bookmarkEnd w:id="39"/>
      <w:bookmarkEnd w:id="40"/>
      <w:bookmarkEnd w:id="41"/>
      <w:bookmarkEnd w:id="42"/>
    </w:p>
    <w:p w14:paraId="795AA37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253E5D0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484C4E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5483354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489EB5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BB2A791">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FD30A77">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3E455830">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055504E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29AAC99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1805A438">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2B79A873">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75400EC7">
      <w:pPr>
        <w:widowControl/>
        <w:spacing w:line="500" w:lineRule="exact"/>
        <w:ind w:firstLine="420" w:firstLineChars="200"/>
        <w:jc w:val="left"/>
        <w:rPr>
          <w:rFonts w:hint="eastAsia" w:ascii="宋体" w:hAnsi="宋体"/>
          <w:color w:val="auto"/>
          <w:szCs w:val="21"/>
          <w:highlight w:val="none"/>
        </w:rPr>
      </w:pPr>
      <w:bookmarkStart w:id="43" w:name="_Toc23598"/>
      <w:bookmarkStart w:id="44"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3583E1AE">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1F758D9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7BC5378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57F07BA1">
      <w:pPr>
        <w:widowControl/>
        <w:spacing w:line="500" w:lineRule="exact"/>
        <w:ind w:firstLine="420" w:firstLineChars="200"/>
        <w:jc w:val="left"/>
        <w:rPr>
          <w:rFonts w:hint="eastAsia" w:ascii="宋体" w:hAnsi="宋体"/>
          <w:color w:val="auto"/>
          <w:szCs w:val="21"/>
          <w:highlight w:val="none"/>
        </w:rPr>
      </w:pPr>
    </w:p>
    <w:p w14:paraId="3FC3A8E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45" w:name="_Toc4481595"/>
      <w:r>
        <w:rPr>
          <w:rFonts w:hint="eastAsia" w:ascii="Arial" w:hAnsi="Arial"/>
          <w:b/>
          <w:color w:val="auto"/>
          <w:kern w:val="0"/>
          <w:sz w:val="32"/>
          <w:highlight w:val="none"/>
        </w:rPr>
        <w:t>（四）开标</w:t>
      </w:r>
      <w:bookmarkEnd w:id="43"/>
      <w:bookmarkEnd w:id="44"/>
      <w:bookmarkEnd w:id="45"/>
    </w:p>
    <w:p w14:paraId="50328DF6">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3E7D087C">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5DBB49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4ED4C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4E8BD6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65AA50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51DFEF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16FDBF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1FA717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684A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08F4E097">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3558C591">
      <w:pPr>
        <w:widowControl/>
        <w:spacing w:line="500" w:lineRule="exact"/>
        <w:ind w:firstLine="420" w:firstLineChars="200"/>
        <w:jc w:val="left"/>
        <w:rPr>
          <w:rFonts w:hint="eastAsia" w:ascii="宋体" w:hAnsi="宋体"/>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29A014C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22、参选文件的有效性</w:t>
      </w:r>
    </w:p>
    <w:p w14:paraId="7D4B0776">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 xml:space="preserve">22.1、参选文件有下列情形之一的，将不予受理： </w:t>
      </w:r>
    </w:p>
    <w:p w14:paraId="426A37E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（1）逾期送达的或者未送达至指定地点的； </w:t>
      </w:r>
    </w:p>
    <w:p w14:paraId="7FEF3A1C">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（2）未按比选文件要求包装、密封的。</w:t>
      </w:r>
    </w:p>
    <w:p w14:paraId="17952FEC">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22.2、开标过程中发现有下列情况的，由评标委员会评审后，认定为投标无效：</w:t>
      </w:r>
    </w:p>
    <w:p w14:paraId="515C2C0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22.2.1、参选人未按要求参加开标会、未按要求出示材料供现场查验或经查验不合格的、参选文件份数少于比选文件要求；</w:t>
      </w:r>
    </w:p>
    <w:p w14:paraId="5810EFD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22.2.2、未按约定格式提供、填写参选文件封面、参选函、报价表、项目内容及质量要求或参选文件封面、参选函、报价表、项目内容及质量要求未加盖参选人公章并经法定代表人或个体工商户经营者或授权委托人签字或加盖印章；</w:t>
      </w:r>
    </w:p>
    <w:p w14:paraId="1CCDDDE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22.2.3、参选报价高于最高投标限价的；</w:t>
      </w:r>
    </w:p>
    <w:p w14:paraId="20C6B5B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22.2.4、法律法规及比选文件规定的其他情形。</w:t>
      </w:r>
    </w:p>
    <w:p w14:paraId="0237172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22.3、参选人存在下列情形之一，经评标委员会评审后，为参选无效：</w:t>
      </w:r>
    </w:p>
    <w:p w14:paraId="1680514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(1)被责令停业且处于有效期内的；</w:t>
      </w:r>
    </w:p>
    <w:p w14:paraId="53BA8196">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(2)被安庆市行政区域内公共资源交易监管部门限制参选资格且处于有效期内；</w:t>
      </w:r>
    </w:p>
    <w:p w14:paraId="350A26D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(3)财产被接管或冻结可能影响本项目正常实施的；</w:t>
      </w:r>
    </w:p>
    <w:p w14:paraId="6180EDA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(4)法律法规规定及比选文件约定的其他情形。</w:t>
      </w:r>
    </w:p>
    <w:p w14:paraId="2A2A20EC">
      <w:pPr>
        <w:widowControl/>
        <w:spacing w:line="500" w:lineRule="exact"/>
        <w:ind w:firstLine="420" w:firstLineChars="200"/>
        <w:jc w:val="left"/>
        <w:rPr>
          <w:rFonts w:hint="eastAsia" w:ascii="宋体" w:hAnsi="宋体"/>
          <w:color w:val="auto"/>
          <w:szCs w:val="21"/>
          <w:highlight w:val="none"/>
        </w:rPr>
      </w:pPr>
    </w:p>
    <w:p w14:paraId="2D3DBDE0">
      <w:pPr>
        <w:keepNext/>
        <w:keepLines/>
        <w:autoSpaceDE w:val="0"/>
        <w:autoSpaceDN w:val="0"/>
        <w:adjustRightInd w:val="0"/>
        <w:spacing w:before="120" w:line="360" w:lineRule="auto"/>
        <w:jc w:val="center"/>
        <w:outlineLvl w:val="1"/>
        <w:rPr>
          <w:rFonts w:ascii="Arial" w:hAnsi="Arial"/>
          <w:b/>
          <w:color w:val="auto"/>
          <w:kern w:val="0"/>
          <w:sz w:val="32"/>
          <w:highlight w:val="none"/>
        </w:rPr>
      </w:pPr>
      <w:r>
        <w:rPr>
          <w:rFonts w:hint="eastAsia" w:ascii="Arial" w:hAnsi="Arial"/>
          <w:b/>
          <w:color w:val="auto"/>
          <w:kern w:val="0"/>
          <w:sz w:val="32"/>
          <w:highlight w:val="none"/>
        </w:rPr>
        <w:t>（五）评标</w:t>
      </w:r>
      <w:bookmarkEnd w:id="33"/>
    </w:p>
    <w:p w14:paraId="34AA006F">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23、评标委员会</w:t>
      </w:r>
      <w:r>
        <w:rPr>
          <w:rFonts w:hint="eastAsia" w:ascii="宋体" w:hAnsi="宋体"/>
          <w:color w:val="auto"/>
          <w:szCs w:val="21"/>
          <w:highlight w:val="none"/>
        </w:rPr>
        <w:t>（以下简称“评委会”）：评委会依法组建。采购人代表不得担任评委会组长。评标由评委会进行，评委应坚持公正、公平、诚实守信、实事求是、独立评标的原则。</w:t>
      </w:r>
    </w:p>
    <w:p w14:paraId="78DF75C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24、评标方法：</w:t>
      </w:r>
      <w:r>
        <w:rPr>
          <w:rFonts w:hint="eastAsia" w:ascii="宋体" w:hAnsi="宋体" w:cs="宋体"/>
          <w:color w:val="auto"/>
          <w:szCs w:val="21"/>
          <w:highlight w:val="none"/>
        </w:rPr>
        <w:t>采用最低投标价法。</w:t>
      </w:r>
    </w:p>
    <w:p w14:paraId="2FB6D3EC">
      <w:pPr>
        <w:spacing w:line="360" w:lineRule="auto"/>
        <w:ind w:firstLine="422" w:firstLineChars="200"/>
        <w:jc w:val="left"/>
        <w:rPr>
          <w:rFonts w:hint="eastAsia" w:ascii="宋体" w:hAnsi="宋体" w:cs="宋体"/>
          <w:b/>
          <w:color w:val="auto"/>
          <w:szCs w:val="21"/>
          <w:highlight w:val="none"/>
        </w:rPr>
      </w:pPr>
      <w:r>
        <w:rPr>
          <w:rFonts w:hint="eastAsia" w:ascii="宋体" w:hAnsi="宋体"/>
          <w:b/>
          <w:bCs/>
          <w:color w:val="auto"/>
          <w:szCs w:val="21"/>
          <w:highlight w:val="none"/>
        </w:rPr>
        <w:t>25、评标程序</w:t>
      </w:r>
      <w:r>
        <w:rPr>
          <w:rFonts w:hint="eastAsia" w:ascii="宋体" w:hAnsi="宋体"/>
          <w:color w:val="auto"/>
          <w:szCs w:val="21"/>
          <w:highlight w:val="none"/>
        </w:rPr>
        <w:t>：评标包括参选文件符合性审查、报价评审、澄清有关问题、失信核查和确定</w:t>
      </w:r>
      <w:r>
        <w:rPr>
          <w:rFonts w:hint="eastAsia" w:ascii="宋体" w:hAnsi="宋体"/>
          <w:color w:val="auto"/>
          <w:szCs w:val="21"/>
          <w:highlight w:val="none"/>
          <w:lang w:eastAsia="zh-CN"/>
        </w:rPr>
        <w:t>成交候选人</w:t>
      </w:r>
      <w:r>
        <w:rPr>
          <w:rFonts w:hint="eastAsia" w:ascii="宋体" w:hAnsi="宋体"/>
          <w:color w:val="auto"/>
          <w:szCs w:val="21"/>
          <w:highlight w:val="none"/>
        </w:rPr>
        <w:t>排序。如有任一项未通过的则不进入下一项评审。首先对参选文件进行符合性审查，只有通过参选文件符合性审查的参选人才能进入比选。</w:t>
      </w:r>
    </w:p>
    <w:p w14:paraId="13ECE33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25.1、参选文件符合性审查，包括但不限于以下内容：</w:t>
      </w:r>
    </w:p>
    <w:p w14:paraId="01D5B70F">
      <w:pPr>
        <w:spacing w:line="50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1）参选人资格是否符合比选文件要求；</w:t>
      </w:r>
    </w:p>
    <w:p w14:paraId="7EDC7A82">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（2）参选文件是否按比选文件的要求进行编制、盖章和标记；</w:t>
      </w:r>
    </w:p>
    <w:p w14:paraId="6B54D90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（3）比选文件要求提交的各种资格证明文件是否真实、完整、合法、有效；</w:t>
      </w:r>
    </w:p>
    <w:p w14:paraId="311769AB">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（4）项目内容及质量是否完全响应或优于比选文件要求；</w:t>
      </w:r>
    </w:p>
    <w:p w14:paraId="6A3D838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（5）参选文件对法律法规和比选文件其他明确要求的符合性；</w:t>
      </w:r>
    </w:p>
    <w:p w14:paraId="54EC045F">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（6）参选文件是否附有采购人不能接受的条件；</w:t>
      </w:r>
    </w:p>
    <w:p w14:paraId="7D709609">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（7）参选文件是否存在比选文件中</w:t>
      </w:r>
      <w:r>
        <w:rPr>
          <w:rFonts w:hint="eastAsia" w:ascii="宋体" w:hAnsi="宋体" w:cs="宋体"/>
          <w:color w:val="auto"/>
          <w:kern w:val="0"/>
          <w:szCs w:val="21"/>
          <w:highlight w:val="none"/>
        </w:rPr>
        <w:t>约定</w:t>
      </w:r>
      <w:r>
        <w:rPr>
          <w:rFonts w:hint="eastAsia" w:ascii="宋体" w:hAnsi="宋体" w:cs="宋体"/>
          <w:color w:val="auto"/>
          <w:szCs w:val="21"/>
          <w:highlight w:val="none"/>
        </w:rPr>
        <w:t>的无效参选文件的其他情形；</w:t>
      </w:r>
    </w:p>
    <w:p w14:paraId="6338DC31">
      <w:pPr>
        <w:spacing w:line="5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（8）参选文件是否符合比选文件的要求。</w:t>
      </w:r>
    </w:p>
    <w:p w14:paraId="176426A2">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25.2、</w:t>
      </w:r>
      <w:r>
        <w:rPr>
          <w:rFonts w:hint="eastAsia" w:ascii="宋体" w:hAnsi="宋体" w:cs="宋体"/>
          <w:b/>
          <w:bCs/>
          <w:color w:val="auto"/>
          <w:szCs w:val="21"/>
          <w:highlight w:val="none"/>
        </w:rPr>
        <w:t>参选文件所有要求提供复印件或影印件的，若在参选文件中某一页未盖章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782ADEBA">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25.3、报价评审：</w:t>
      </w:r>
      <w:r>
        <w:rPr>
          <w:rFonts w:hint="eastAsia" w:ascii="宋体" w:hAnsi="宋体"/>
          <w:b/>
          <w:bCs/>
          <w:color w:val="auto"/>
          <w:szCs w:val="21"/>
          <w:highlight w:val="none"/>
        </w:rPr>
        <w:t>参选人报价不得高于最高投标限价，否则为无效报价，即报价评审不通过</w:t>
      </w:r>
      <w:r>
        <w:rPr>
          <w:rFonts w:hint="eastAsia" w:ascii="宋体" w:hAnsi="宋体"/>
          <w:color w:val="auto"/>
          <w:szCs w:val="21"/>
          <w:highlight w:val="none"/>
        </w:rPr>
        <w:t>。</w:t>
      </w:r>
    </w:p>
    <w:p w14:paraId="1FAF8985">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25.4、报价中包含单价与总价的，应审核总价金额与按单价汇总金额是否一致。</w:t>
      </w:r>
    </w:p>
    <w:p w14:paraId="2C3B8836">
      <w:pPr>
        <w:widowControl/>
        <w:spacing w:line="4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02E551BE">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25.6、失信核查</w:t>
      </w:r>
    </w:p>
    <w:p w14:paraId="327D9C7F">
      <w:pPr>
        <w:widowControl/>
        <w:spacing w:line="500" w:lineRule="exact"/>
        <w:ind w:firstLine="420"/>
        <w:jc w:val="left"/>
        <w:rPr>
          <w:rFonts w:hint="eastAsia" w:ascii="宋体" w:hAnsi="宋体"/>
          <w:color w:val="auto"/>
          <w:szCs w:val="21"/>
          <w:highlight w:val="none"/>
        </w:rPr>
      </w:pPr>
      <w:r>
        <w:rPr>
          <w:rFonts w:hint="eastAsia" w:ascii="宋体" w:hAnsi="宋体"/>
          <w:color w:val="auto"/>
          <w:szCs w:val="21"/>
          <w:highlight w:val="none"/>
        </w:rPr>
        <w:t>评标委员会对推荐为</w:t>
      </w:r>
      <w:r>
        <w:rPr>
          <w:rFonts w:hint="eastAsia" w:ascii="宋体" w:hAnsi="宋体"/>
          <w:color w:val="auto"/>
          <w:szCs w:val="21"/>
          <w:highlight w:val="none"/>
          <w:lang w:eastAsia="zh-CN"/>
        </w:rPr>
        <w:t>成交候选人</w:t>
      </w:r>
      <w:r>
        <w:rPr>
          <w:rFonts w:hint="eastAsia" w:ascii="宋体" w:hAnsi="宋体"/>
          <w:color w:val="auto"/>
          <w:szCs w:val="21"/>
          <w:highlight w:val="none"/>
        </w:rPr>
        <w:t>的参选人是否被列入“信用中国、中国政府采购网”政府采购严重违法失信名单进行网上核查（网址：</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74"/>
          <w:rFonts w:hint="eastAsia" w:ascii="宋体" w:hAnsi="宋体"/>
          <w:color w:val="auto"/>
          <w:szCs w:val="21"/>
          <w:highlight w:val="none"/>
        </w:rPr>
        <w:t>http://www.creditchina.gov.cn/</w:t>
      </w:r>
      <w:r>
        <w:rPr>
          <w:rStyle w:val="74"/>
          <w:rFonts w:hint="eastAsia" w:ascii="宋体" w:hAnsi="宋体"/>
          <w:color w:val="auto"/>
          <w:szCs w:val="21"/>
          <w:highlight w:val="none"/>
        </w:rPr>
        <w:fldChar w:fldCharType="end"/>
      </w:r>
      <w:r>
        <w:rPr>
          <w:rFonts w:hint="eastAsia" w:ascii="宋体" w:hAnsi="宋体"/>
          <w:color w:val="auto"/>
          <w:szCs w:val="21"/>
          <w:highlight w:val="none"/>
        </w:rPr>
        <w:t>、</w:t>
      </w:r>
      <w:r>
        <w:rPr>
          <w:color w:val="auto"/>
          <w:highlight w:val="none"/>
        </w:rPr>
        <w:fldChar w:fldCharType="begin"/>
      </w:r>
      <w:r>
        <w:rPr>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color w:val="auto"/>
          <w:highlight w:val="none"/>
        </w:rPr>
        <w:fldChar w:fldCharType="separate"/>
      </w:r>
      <w:r>
        <w:rPr>
          <w:rStyle w:val="74"/>
          <w:rFonts w:hint="eastAsia" w:ascii="宋体"/>
          <w:color w:val="auto"/>
          <w:szCs w:val="21"/>
          <w:highlight w:val="none"/>
        </w:rPr>
        <w:t>http://www.ccgp.gov.cn/）</w:t>
      </w:r>
      <w:r>
        <w:rPr>
          <w:rStyle w:val="74"/>
          <w:rFonts w:hint="eastAsia" w:ascii="宋体"/>
          <w:color w:val="auto"/>
          <w:szCs w:val="21"/>
          <w:highlight w:val="none"/>
          <w:u w:val="none"/>
        </w:rPr>
        <w:t>，若核查存在</w:t>
      </w:r>
      <w:r>
        <w:rPr>
          <w:rStyle w:val="74"/>
          <w:rFonts w:hint="eastAsia" w:ascii="宋体" w:hAnsi="宋体"/>
          <w:color w:val="auto"/>
          <w:szCs w:val="21"/>
          <w:highlight w:val="none"/>
          <w:u w:val="none"/>
        </w:rPr>
        <w:t>政府采购严重违法</w:t>
      </w:r>
      <w:r>
        <w:rPr>
          <w:rStyle w:val="74"/>
          <w:rFonts w:hint="eastAsia" w:ascii="宋体"/>
          <w:color w:val="auto"/>
          <w:szCs w:val="21"/>
          <w:highlight w:val="none"/>
          <w:u w:val="none"/>
        </w:rPr>
        <w:t>失信名单记录的参选人，评标委员会不得将其推荐为</w:t>
      </w:r>
      <w:r>
        <w:rPr>
          <w:rStyle w:val="74"/>
          <w:rFonts w:hint="eastAsia" w:ascii="宋体"/>
          <w:color w:val="auto"/>
          <w:szCs w:val="21"/>
          <w:highlight w:val="none"/>
          <w:u w:val="none"/>
          <w:lang w:eastAsia="zh-CN"/>
        </w:rPr>
        <w:t>成交候选人</w:t>
      </w:r>
      <w:r>
        <w:rPr>
          <w:rStyle w:val="74"/>
          <w:rFonts w:hint="eastAsia" w:ascii="宋体"/>
          <w:color w:val="auto"/>
          <w:szCs w:val="21"/>
          <w:highlight w:val="none"/>
          <w:u w:val="none"/>
        </w:rPr>
        <w:t>，依序递补，并再次对递补的参选人进行核查。</w:t>
      </w:r>
      <w:r>
        <w:rPr>
          <w:rStyle w:val="74"/>
          <w:rFonts w:hint="eastAsia" w:ascii="宋体"/>
          <w:color w:val="auto"/>
          <w:szCs w:val="21"/>
          <w:highlight w:val="none"/>
          <w:u w:val="none"/>
        </w:rPr>
        <w:fldChar w:fldCharType="end"/>
      </w:r>
    </w:p>
    <w:p w14:paraId="17E9900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25.7、</w:t>
      </w:r>
      <w:r>
        <w:rPr>
          <w:rFonts w:hint="eastAsia" w:ascii="宋体" w:hAnsi="宋体" w:cs="宋体"/>
          <w:color w:val="auto"/>
          <w:szCs w:val="21"/>
          <w:highlight w:val="none"/>
        </w:rPr>
        <w:t>确定</w:t>
      </w:r>
      <w:r>
        <w:rPr>
          <w:rFonts w:hint="eastAsia" w:ascii="宋体" w:hAnsi="宋体" w:cs="宋体"/>
          <w:color w:val="auto"/>
          <w:szCs w:val="21"/>
          <w:highlight w:val="none"/>
          <w:lang w:eastAsia="zh-CN"/>
        </w:rPr>
        <w:t>成交候选人</w:t>
      </w:r>
      <w:r>
        <w:rPr>
          <w:rFonts w:hint="eastAsia" w:ascii="宋体" w:hAnsi="宋体" w:cs="宋体"/>
          <w:color w:val="auto"/>
          <w:szCs w:val="21"/>
          <w:highlight w:val="none"/>
        </w:rPr>
        <w:t>排序：评委会对通过参选文件</w:t>
      </w:r>
      <w:r>
        <w:rPr>
          <w:rFonts w:hint="eastAsia" w:ascii="宋体" w:hAnsi="宋体" w:cs="宋体"/>
          <w:bCs/>
          <w:color w:val="auto"/>
          <w:szCs w:val="24"/>
          <w:highlight w:val="none"/>
        </w:rPr>
        <w:t>符合性审查</w:t>
      </w:r>
      <w:r>
        <w:rPr>
          <w:rFonts w:hint="eastAsia" w:ascii="宋体" w:hAnsi="宋体" w:cs="宋体"/>
          <w:color w:val="auto"/>
          <w:szCs w:val="21"/>
          <w:highlight w:val="none"/>
        </w:rPr>
        <w:t>、报价评审和失信核查的参选人，根据最低价由低至高的顺序排列，报价最低者为第一</w:t>
      </w:r>
      <w:r>
        <w:rPr>
          <w:rFonts w:hint="eastAsia" w:ascii="宋体" w:hAnsi="宋体" w:cs="宋体"/>
          <w:color w:val="auto"/>
          <w:szCs w:val="21"/>
          <w:highlight w:val="none"/>
          <w:lang w:eastAsia="zh-CN"/>
        </w:rPr>
        <w:t>成交候选人</w:t>
      </w:r>
      <w:r>
        <w:rPr>
          <w:rFonts w:hint="eastAsia" w:ascii="宋体" w:hAnsi="宋体" w:cs="宋体"/>
          <w:color w:val="auto"/>
          <w:szCs w:val="21"/>
          <w:highlight w:val="none"/>
        </w:rPr>
        <w:t>。</w:t>
      </w:r>
      <w:r>
        <w:rPr>
          <w:rFonts w:hint="eastAsia" w:ascii="宋体" w:hAnsi="宋体" w:cs="宋体"/>
          <w:color w:val="auto"/>
          <w:szCs w:val="21"/>
          <w:highlight w:val="none"/>
        </w:rPr>
        <w:t>若出现两家或两家以上参选人报价最低且相等，</w:t>
      </w:r>
      <w:r>
        <w:rPr>
          <w:rFonts w:hint="eastAsia" w:ascii="宋体" w:hAnsi="宋体" w:cs="宋体"/>
          <w:color w:val="auto"/>
          <w:szCs w:val="21"/>
          <w:highlight w:val="none"/>
          <w:lang w:val="en-US" w:eastAsia="zh-CN"/>
        </w:rPr>
        <w:t>交货期短的候选人为第一中标候选人。若出现两家或两家以上参选人报价最低、交货期且相等，则由评标委员会负责人现场抽签确定第一中标候选人。</w:t>
      </w:r>
    </w:p>
    <w:p w14:paraId="76463500">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26、开标评标异常情况处理</w:t>
      </w:r>
    </w:p>
    <w:p w14:paraId="7E6C3B81">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26.1、在招标采购中，出现下列情况之一的，应予废标，采购单位重新组织采购：</w:t>
      </w:r>
    </w:p>
    <w:p w14:paraId="1933C37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(1)提交参选文件的参选人不足3家的；</w:t>
      </w:r>
    </w:p>
    <w:p w14:paraId="71DE92F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(2)出现影响采购公正的违法、违规行为的；</w:t>
      </w:r>
    </w:p>
    <w:p w14:paraId="02B89BF9">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(3)参选人的报价均高于最高投标限价的；</w:t>
      </w:r>
    </w:p>
    <w:p w14:paraId="7F444059">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(4)因重大变故，采购任务取消的。</w:t>
      </w:r>
    </w:p>
    <w:p w14:paraId="78658C91">
      <w:pPr>
        <w:widowControl/>
        <w:spacing w:line="500" w:lineRule="exact"/>
        <w:ind w:firstLine="405"/>
        <w:jc w:val="left"/>
        <w:rPr>
          <w:rFonts w:hint="eastAsia" w:ascii="宋体" w:hAnsi="宋体"/>
          <w:b/>
          <w:color w:val="auto"/>
          <w:szCs w:val="21"/>
          <w:highlight w:val="none"/>
        </w:rPr>
      </w:pPr>
      <w:r>
        <w:rPr>
          <w:rFonts w:hint="eastAsia" w:ascii="宋体" w:hAnsi="宋体"/>
          <w:b/>
          <w:color w:val="auto"/>
          <w:szCs w:val="21"/>
          <w:highlight w:val="none"/>
        </w:rPr>
        <w:t>27、评标过程的保密性</w:t>
      </w:r>
    </w:p>
    <w:p w14:paraId="6ACE9FB8">
      <w:pPr>
        <w:widowControl/>
        <w:spacing w:line="500" w:lineRule="exact"/>
        <w:ind w:firstLine="405"/>
        <w:jc w:val="left"/>
        <w:rPr>
          <w:rFonts w:hint="eastAsia" w:ascii="宋体" w:hAnsi="宋体"/>
          <w:color w:val="auto"/>
          <w:szCs w:val="21"/>
          <w:highlight w:val="none"/>
        </w:rPr>
      </w:pPr>
      <w:r>
        <w:rPr>
          <w:rFonts w:hint="eastAsia" w:ascii="宋体" w:hAnsi="宋体"/>
          <w:color w:val="auto"/>
          <w:szCs w:val="21"/>
          <w:highlight w:val="none"/>
        </w:rPr>
        <w:t>27.1、</w:t>
      </w:r>
      <w:bookmarkStart w:id="46" w:name="_Toc417655921"/>
      <w:bookmarkStart w:id="47" w:name="_Toc418517858"/>
      <w:bookmarkStart w:id="48" w:name="_Toc15032"/>
      <w:r>
        <w:rPr>
          <w:rFonts w:hint="eastAsia" w:ascii="宋体" w:hAnsi="宋体"/>
          <w:color w:val="auto"/>
          <w:szCs w:val="21"/>
          <w:highlight w:val="none"/>
        </w:rPr>
        <w:t>开标后，直到授予中标人合同止，凡是与参选文件审查、澄清、评价、比较以及授标建议等评审方面的情况，均不得向参选人或其他无关的人员透露。</w:t>
      </w:r>
    </w:p>
    <w:p w14:paraId="13D2383A">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27.2、在评标过程中，参选人如向评委会成员施加任何影响，都将会导致其参选文件被拒绝。</w:t>
      </w:r>
    </w:p>
    <w:p w14:paraId="02C3C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CFF37A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27.4、中标通知书</w:t>
      </w:r>
      <w:bookmarkEnd w:id="46"/>
      <w:bookmarkEnd w:id="47"/>
      <w:bookmarkEnd w:id="48"/>
    </w:p>
    <w:p w14:paraId="56080307">
      <w:pPr>
        <w:widowControl/>
        <w:spacing w:line="360" w:lineRule="auto"/>
        <w:ind w:firstLine="420" w:firstLineChars="200"/>
        <w:rPr>
          <w:rFonts w:hint="eastAsia" w:ascii="宋体" w:hAnsi="宋体" w:cs="宋体"/>
          <w:color w:val="auto"/>
          <w:kern w:val="0"/>
          <w:sz w:val="24"/>
          <w:szCs w:val="24"/>
          <w:highlight w:val="none"/>
        </w:rPr>
      </w:pPr>
      <w:r>
        <w:rPr>
          <w:rFonts w:hint="eastAsia" w:ascii="宋体" w:hAnsi="宋体" w:cs="宋体"/>
          <w:color w:val="auto"/>
          <w:highlight w:val="none"/>
          <w:lang w:eastAsia="zh-CN"/>
        </w:rPr>
        <w:t>成交候选人</w:t>
      </w:r>
      <w:r>
        <w:rPr>
          <w:rFonts w:hint="eastAsia" w:ascii="宋体" w:hAnsi="宋体" w:cs="宋体"/>
          <w:color w:val="auto"/>
          <w:highlight w:val="none"/>
        </w:rPr>
        <w:t>确定后，采购单位将在安庆市交通控股集团有限公司集采平台（http：//jc.zh0556.com/）上公示，参选人如有异议，必须在公示期内向有关部门提出。</w:t>
      </w:r>
    </w:p>
    <w:p w14:paraId="0C68F4D8">
      <w:pPr>
        <w:spacing w:line="360" w:lineRule="auto"/>
        <w:ind w:firstLine="420" w:firstLineChars="200"/>
        <w:rPr>
          <w:rFonts w:hint="eastAsia" w:hAnsi="宋体" w:cs="宋体"/>
          <w:b/>
          <w:color w:val="auto"/>
          <w:szCs w:val="24"/>
          <w:highlight w:val="none"/>
        </w:rPr>
      </w:pPr>
      <w:bookmarkStart w:id="49" w:name="_Toc457998294"/>
      <w:bookmarkStart w:id="50" w:name="_Toc433721697"/>
      <w:bookmarkStart w:id="51" w:name="_Toc10987"/>
      <w:bookmarkStart w:id="52" w:name="_Toc456882340"/>
      <w:bookmarkStart w:id="53" w:name="_Toc19876"/>
      <w:bookmarkStart w:id="54" w:name="_Toc478821422"/>
      <w:bookmarkStart w:id="55" w:name="_Toc10586"/>
      <w:bookmarkStart w:id="56" w:name="_Toc31095"/>
      <w:r>
        <w:rPr>
          <w:rFonts w:hAnsi="宋体" w:cs="宋体"/>
          <w:color w:val="auto"/>
          <w:szCs w:val="24"/>
          <w:highlight w:val="none"/>
        </w:rPr>
        <w:t>公示期满无异议，且未发现中标人在</w:t>
      </w:r>
      <w:r>
        <w:rPr>
          <w:rFonts w:hint="eastAsia" w:hAnsi="宋体" w:cs="宋体"/>
          <w:color w:val="auto"/>
          <w:szCs w:val="24"/>
          <w:highlight w:val="none"/>
        </w:rPr>
        <w:t>比选</w:t>
      </w:r>
      <w:r>
        <w:rPr>
          <w:rFonts w:hAnsi="宋体" w:cs="宋体"/>
          <w:color w:val="auto"/>
          <w:szCs w:val="24"/>
          <w:highlight w:val="none"/>
        </w:rPr>
        <w:t>活动中有违法行为的，</w:t>
      </w:r>
      <w:r>
        <w:rPr>
          <w:rFonts w:hint="eastAsia" w:hAnsi="宋体" w:cs="宋体"/>
          <w:color w:val="auto"/>
          <w:szCs w:val="24"/>
          <w:highlight w:val="none"/>
        </w:rPr>
        <w:t>采购人</w:t>
      </w:r>
      <w:r>
        <w:rPr>
          <w:rFonts w:hAnsi="宋体" w:cs="宋体"/>
          <w:color w:val="auto"/>
          <w:szCs w:val="24"/>
          <w:highlight w:val="none"/>
        </w:rPr>
        <w:t>将向中标人发出中标通知书。</w:t>
      </w:r>
      <w:bookmarkEnd w:id="49"/>
      <w:bookmarkEnd w:id="50"/>
      <w:bookmarkEnd w:id="51"/>
      <w:bookmarkEnd w:id="52"/>
      <w:bookmarkEnd w:id="53"/>
      <w:bookmarkEnd w:id="54"/>
      <w:bookmarkEnd w:id="55"/>
      <w:bookmarkEnd w:id="56"/>
    </w:p>
    <w:p w14:paraId="3185B905">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57" w:name="_Toc4481597"/>
      <w:r>
        <w:rPr>
          <w:rFonts w:hint="eastAsia" w:ascii="Arial" w:hAnsi="Arial"/>
          <w:b/>
          <w:color w:val="auto"/>
          <w:kern w:val="0"/>
          <w:sz w:val="32"/>
          <w:highlight w:val="none"/>
        </w:rPr>
        <w:t>（六）合同授予</w:t>
      </w:r>
      <w:bookmarkEnd w:id="57"/>
    </w:p>
    <w:p w14:paraId="7217B14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w:t>
      </w:r>
      <w:bookmarkStart w:id="58" w:name="_Toc417655923"/>
      <w:bookmarkStart w:id="59" w:name="_Toc21358"/>
      <w:bookmarkStart w:id="60" w:name="_Toc418517860"/>
      <w:r>
        <w:rPr>
          <w:rFonts w:hint="eastAsia" w:ascii="宋体" w:hAnsi="宋体"/>
          <w:color w:val="auto"/>
          <w:szCs w:val="21"/>
          <w:highlight w:val="none"/>
        </w:rPr>
        <w:t>签订合同</w:t>
      </w:r>
      <w:bookmarkEnd w:id="58"/>
      <w:bookmarkEnd w:id="59"/>
      <w:bookmarkEnd w:id="60"/>
    </w:p>
    <w:p w14:paraId="11F90767">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28.1.1、中标人的中标价即为合同价款。</w:t>
      </w:r>
    </w:p>
    <w:p w14:paraId="199DB1CB">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51BA7523">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28.1.3、中标人（</w:t>
      </w:r>
      <w:r>
        <w:rPr>
          <w:rFonts w:hint="eastAsia" w:ascii="宋体" w:hAnsi="宋体"/>
          <w:color w:val="auto"/>
          <w:szCs w:val="21"/>
          <w:highlight w:val="none"/>
          <w:lang w:eastAsia="zh-CN"/>
        </w:rPr>
        <w:t>成交候选人</w:t>
      </w:r>
      <w:r>
        <w:rPr>
          <w:rFonts w:hint="eastAsia" w:ascii="宋体" w:hAnsi="宋体"/>
          <w:color w:val="auto"/>
          <w:szCs w:val="21"/>
          <w:highlight w:val="none"/>
        </w:rPr>
        <w:t>）被取消中标资格的，采购人可以按照评标委员会提出的</w:t>
      </w:r>
      <w:r>
        <w:rPr>
          <w:rFonts w:hint="eastAsia" w:ascii="宋体" w:hAnsi="宋体"/>
          <w:color w:val="auto"/>
          <w:szCs w:val="21"/>
          <w:highlight w:val="none"/>
          <w:lang w:eastAsia="zh-CN"/>
        </w:rPr>
        <w:t>成交候选人</w:t>
      </w:r>
      <w:r>
        <w:rPr>
          <w:rFonts w:hint="eastAsia" w:ascii="宋体" w:hAnsi="宋体"/>
          <w:color w:val="auto"/>
          <w:szCs w:val="21"/>
          <w:highlight w:val="none"/>
        </w:rPr>
        <w:t>名单排序依次确定其他</w:t>
      </w:r>
      <w:r>
        <w:rPr>
          <w:rFonts w:hint="eastAsia" w:ascii="宋体" w:hAnsi="宋体"/>
          <w:color w:val="auto"/>
          <w:szCs w:val="21"/>
          <w:highlight w:val="none"/>
          <w:lang w:eastAsia="zh-CN"/>
        </w:rPr>
        <w:t>成交候选人</w:t>
      </w:r>
      <w:r>
        <w:rPr>
          <w:rFonts w:hint="eastAsia" w:ascii="宋体" w:hAnsi="宋体"/>
          <w:color w:val="auto"/>
          <w:szCs w:val="21"/>
          <w:highlight w:val="none"/>
        </w:rPr>
        <w:t>为中标人，或重新组织采购。</w:t>
      </w:r>
    </w:p>
    <w:bookmarkEnd w:id="34"/>
    <w:p w14:paraId="792CA8FC">
      <w:pPr>
        <w:widowControl/>
        <w:jc w:val="left"/>
        <w:rPr>
          <w:rFonts w:hint="eastAsia" w:hAnsi="宋体"/>
          <w:b/>
          <w:color w:val="auto"/>
          <w:szCs w:val="21"/>
          <w:highlight w:val="none"/>
        </w:rPr>
      </w:pPr>
      <w:r>
        <w:rPr>
          <w:rFonts w:hAnsi="宋体"/>
          <w:b/>
          <w:color w:val="auto"/>
          <w:szCs w:val="21"/>
          <w:highlight w:val="none"/>
        </w:rPr>
        <w:br w:type="page"/>
      </w:r>
    </w:p>
    <w:bookmarkEnd w:id="27"/>
    <w:bookmarkEnd w:id="28"/>
    <w:p w14:paraId="415BD39E">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61" w:name="_Toc1529"/>
      <w:r>
        <w:rPr>
          <w:rFonts w:hint="eastAsia" w:ascii="宋体" w:hAnsi="宋体" w:cs="宋体"/>
          <w:color w:val="auto"/>
          <w:sz w:val="32"/>
          <w:szCs w:val="32"/>
          <w:highlight w:val="none"/>
        </w:rPr>
        <w:t>第三章</w:t>
      </w:r>
      <w:r>
        <w:rPr>
          <w:rFonts w:hint="eastAsia" w:ascii="Arial" w:hAnsi="Arial"/>
          <w:color w:val="auto"/>
          <w:kern w:val="2"/>
          <w:sz w:val="32"/>
          <w:szCs w:val="32"/>
          <w:highlight w:val="none"/>
        </w:rPr>
        <w:t xml:space="preserve"> 项目需求及</w:t>
      </w:r>
      <w:r>
        <w:rPr>
          <w:rFonts w:hint="eastAsia" w:ascii="Arial" w:hAnsi="Arial"/>
          <w:color w:val="auto"/>
          <w:kern w:val="2"/>
          <w:sz w:val="32"/>
          <w:szCs w:val="32"/>
          <w:highlight w:val="none"/>
          <w:lang w:val="zh-CN"/>
        </w:rPr>
        <w:t>技术要求</w:t>
      </w:r>
      <w:bookmarkEnd w:id="61"/>
      <w:bookmarkStart w:id="62" w:name="_Toc31586"/>
    </w:p>
    <w:p w14:paraId="3BF4B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rPr>
      </w:pPr>
      <w:bookmarkStart w:id="63" w:name="heading_1"/>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rPr>
        <w:t>、</w:t>
      </w:r>
      <w:bookmarkEnd w:id="63"/>
      <w:r>
        <w:rPr>
          <w:rFonts w:ascii="Times New Roman" w:hAnsi="Times New Roman" w:eastAsia="黑体"/>
          <w:b w:val="0"/>
          <w:color w:val="auto"/>
          <w:sz w:val="32"/>
          <w:highlight w:val="none"/>
        </w:rPr>
        <w:t>采购范围与品牌要求</w:t>
      </w:r>
    </w:p>
    <w:p w14:paraId="341B3AA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bookmarkStart w:id="64" w:name="heading_2"/>
      <w:r>
        <w:rPr>
          <w:rFonts w:ascii="Times New Roman" w:hAnsi="Times New Roman" w:eastAsia="仿宋_GB2312"/>
          <w:b w:val="0"/>
          <w:color w:val="auto"/>
          <w:sz w:val="32"/>
          <w:highlight w:val="none"/>
        </w:rPr>
        <w:t>本次采购标的为港口散货输送系统用织物芯输送带，采购总量</w:t>
      </w:r>
      <w:r>
        <w:rPr>
          <w:rFonts w:hint="eastAsia" w:ascii="Times New Roman" w:hAnsi="Times New Roman" w:eastAsia="仿宋_GB2312"/>
          <w:b w:val="0"/>
          <w:color w:val="auto"/>
          <w:sz w:val="32"/>
          <w:highlight w:val="none"/>
          <w:lang w:val="en-US" w:eastAsia="zh-CN"/>
        </w:rPr>
        <w:t>1124</w:t>
      </w:r>
      <w:r>
        <w:rPr>
          <w:rFonts w:ascii="Times New Roman" w:hAnsi="Times New Roman" w:eastAsia="仿宋_GB2312"/>
          <w:b w:val="0"/>
          <w:color w:val="auto"/>
          <w:sz w:val="32"/>
          <w:highlight w:val="none"/>
        </w:rPr>
        <w:t>米，带宽 1.2 米，适用于安庆港中心港区石门湖作业区</w:t>
      </w:r>
      <w:r>
        <w:rPr>
          <w:rFonts w:hint="eastAsia" w:eastAsia="仿宋_GB2312"/>
          <w:b w:val="0"/>
          <w:color w:val="auto"/>
          <w:sz w:val="32"/>
          <w:highlight w:val="none"/>
          <w:lang w:val="en-US" w:eastAsia="zh-CN"/>
        </w:rPr>
        <w:t>水泥熟料</w:t>
      </w:r>
      <w:r>
        <w:rPr>
          <w:rFonts w:ascii="Times New Roman" w:hAnsi="Times New Roman" w:eastAsia="仿宋_GB2312"/>
          <w:b w:val="0"/>
          <w:color w:val="auto"/>
          <w:sz w:val="32"/>
          <w:highlight w:val="none"/>
        </w:rPr>
        <w:t>输送系统。</w:t>
      </w:r>
      <w:r>
        <w:rPr>
          <w:rFonts w:ascii="Times New Roman" w:hAnsi="Times New Roman" w:eastAsia="仿宋_GB2312"/>
          <w:b w:val="0"/>
          <w:color w:val="auto"/>
          <w:sz w:val="32"/>
          <w:highlight w:val="none"/>
        </w:rPr>
        <w:t>投标人</w:t>
      </w:r>
      <w:r>
        <w:rPr>
          <w:rFonts w:hint="eastAsia" w:eastAsia="仿宋_GB2312"/>
          <w:b w:val="0"/>
          <w:color w:val="auto"/>
          <w:sz w:val="32"/>
          <w:highlight w:val="none"/>
          <w:lang w:val="en-US" w:eastAsia="zh-CN"/>
        </w:rPr>
        <w:t>需根据采购方需求长度</w:t>
      </w:r>
      <w:r>
        <w:rPr>
          <w:rFonts w:ascii="Times New Roman" w:hAnsi="Times New Roman" w:eastAsia="仿宋_GB2312"/>
          <w:b w:val="0"/>
          <w:color w:val="auto"/>
          <w:sz w:val="32"/>
          <w:highlight w:val="none"/>
        </w:rPr>
        <w:t>供货，</w:t>
      </w:r>
      <w:r>
        <w:rPr>
          <w:rFonts w:hint="eastAsia" w:eastAsia="仿宋_GB2312"/>
          <w:b w:val="0"/>
          <w:color w:val="auto"/>
          <w:sz w:val="32"/>
          <w:highlight w:val="none"/>
          <w:lang w:val="en-US" w:eastAsia="zh-CN"/>
        </w:rPr>
        <w:t>不得分卷供货</w:t>
      </w:r>
      <w:r>
        <w:rPr>
          <w:rFonts w:ascii="Times New Roman" w:hAnsi="Times New Roman" w:eastAsia="仿宋_GB2312"/>
          <w:b w:val="0"/>
          <w:color w:val="auto"/>
          <w:sz w:val="32"/>
          <w:highlight w:val="none"/>
        </w:rPr>
        <w:t>。</w:t>
      </w:r>
    </w:p>
    <w:p w14:paraId="5A20A2A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所投产品品牌须从以下控制品牌范围内选取：</w:t>
      </w:r>
      <w:r>
        <w:rPr>
          <w:rFonts w:ascii="Times New Roman" w:hAnsi="Times New Roman" w:eastAsia="仿宋_GB2312"/>
          <w:b/>
          <w:bCs/>
          <w:color w:val="auto"/>
          <w:sz w:val="32"/>
          <w:highlight w:val="none"/>
        </w:rPr>
        <w:t>无锡宝通、浙江双箭、青岛橡胶、山东威普斯、青岛环球</w:t>
      </w:r>
      <w:r>
        <w:rPr>
          <w:rFonts w:hint="eastAsia" w:eastAsia="仿宋_GB2312"/>
          <w:b w:val="0"/>
          <w:bCs w:val="0"/>
          <w:color w:val="auto"/>
          <w:sz w:val="32"/>
          <w:highlight w:val="none"/>
          <w:lang w:eastAsia="zh-CN"/>
        </w:rPr>
        <w:t>，</w:t>
      </w:r>
      <w:r>
        <w:rPr>
          <w:rFonts w:ascii="Times New Roman" w:hAnsi="Times New Roman" w:eastAsia="仿宋_GB2312"/>
          <w:b w:val="0"/>
          <w:color w:val="auto"/>
          <w:sz w:val="32"/>
          <w:highlight w:val="none"/>
        </w:rPr>
        <w:t>投标人所投产品须为上述品牌之一，</w:t>
      </w:r>
      <w:r>
        <w:rPr>
          <w:rFonts w:hint="eastAsia" w:ascii="仿宋" w:hAnsi="仿宋" w:eastAsia="仿宋" w:cs="仿宋"/>
          <w:b w:val="0"/>
          <w:color w:val="auto"/>
          <w:sz w:val="32"/>
          <w:highlight w:val="none"/>
        </w:rPr>
        <w:t>采购人不接受监制生产或委托生产产品，只接受品牌厂家工厂直接生产产品</w:t>
      </w:r>
      <w:r>
        <w:rPr>
          <w:rFonts w:hint="eastAsia" w:ascii="仿宋" w:hAnsi="仿宋" w:eastAsia="仿宋" w:cs="仿宋"/>
          <w:b w:val="0"/>
          <w:color w:val="auto"/>
          <w:sz w:val="32"/>
          <w:highlight w:val="none"/>
          <w:lang w:eastAsia="zh-CN"/>
        </w:rPr>
        <w:t>（</w:t>
      </w:r>
      <w:bookmarkStart w:id="81" w:name="_GoBack"/>
      <w:r>
        <w:rPr>
          <w:rFonts w:hint="eastAsia" w:ascii="仿宋" w:hAnsi="仿宋" w:eastAsia="仿宋" w:cs="仿宋"/>
          <w:b/>
          <w:bCs/>
          <w:color w:val="auto"/>
          <w:sz w:val="32"/>
          <w:highlight w:val="none"/>
          <w:lang w:val="en-US" w:eastAsia="zh-CN"/>
        </w:rPr>
        <w:t>参选人需在参选文件中提供相关承诺</w:t>
      </w:r>
      <w:bookmarkEnd w:id="81"/>
      <w:r>
        <w:rPr>
          <w:rFonts w:hint="eastAsia" w:ascii="仿宋" w:hAnsi="仿宋" w:eastAsia="仿宋" w:cs="仿宋"/>
          <w:b w:val="0"/>
          <w:color w:val="auto"/>
          <w:sz w:val="32"/>
          <w:highlight w:val="none"/>
          <w:lang w:eastAsia="zh-CN"/>
        </w:rPr>
        <w:t>）</w:t>
      </w:r>
      <w:r>
        <w:rPr>
          <w:rFonts w:hint="eastAsia" w:ascii="仿宋" w:hAnsi="仿宋" w:eastAsia="仿宋" w:cs="仿宋"/>
          <w:b w:val="0"/>
          <w:color w:val="auto"/>
          <w:sz w:val="32"/>
          <w:highlight w:val="none"/>
        </w:rPr>
        <w:t>，</w:t>
      </w:r>
      <w:r>
        <w:rPr>
          <w:rFonts w:ascii="Times New Roman" w:hAnsi="Times New Roman" w:eastAsia="仿宋_GB2312"/>
          <w:b w:val="0"/>
          <w:color w:val="auto"/>
          <w:sz w:val="32"/>
          <w:highlight w:val="none"/>
        </w:rPr>
        <w:t>品牌授权及产品检测要求详见本清单第四条。</w:t>
      </w:r>
    </w:p>
    <w:p w14:paraId="680FA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highlight w:val="none"/>
        </w:rPr>
        <w:t>、</w:t>
      </w:r>
      <w:bookmarkEnd w:id="64"/>
      <w:r>
        <w:rPr>
          <w:rFonts w:ascii="Times New Roman" w:hAnsi="Times New Roman" w:eastAsia="黑体"/>
          <w:b w:val="0"/>
          <w:color w:val="auto"/>
          <w:sz w:val="32"/>
          <w:highlight w:val="none"/>
        </w:rPr>
        <w:t>技术规格与参数要求</w:t>
      </w:r>
    </w:p>
    <w:p w14:paraId="5729B8C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bookmarkStart w:id="65" w:name="heading_3"/>
      <w:r>
        <w:rPr>
          <w:rFonts w:ascii="Times New Roman" w:hAnsi="Times New Roman" w:eastAsia="仿宋_GB2312"/>
          <w:b w:val="0"/>
          <w:color w:val="auto"/>
          <w:sz w:val="32"/>
          <w:highlight w:val="none"/>
        </w:rPr>
        <w:t>本次采购输送带</w:t>
      </w:r>
      <w:r>
        <w:rPr>
          <w:rFonts w:hint="eastAsia" w:ascii="Times New Roman" w:hAnsi="Times New Roman" w:eastAsia="仿宋_GB2312"/>
          <w:b w:val="0"/>
          <w:color w:val="auto"/>
          <w:sz w:val="32"/>
          <w:highlight w:val="none"/>
          <w:lang w:val="en-US" w:eastAsia="zh-CN"/>
        </w:rPr>
        <w:t>型号为：E</w:t>
      </w:r>
      <w:r>
        <w:rPr>
          <w:rFonts w:hint="eastAsia" w:ascii="Times New Roman" w:hAnsi="Times New Roman" w:eastAsia="仿宋_GB2312"/>
          <w:b w:val="0"/>
          <w:color w:val="auto"/>
          <w:sz w:val="32"/>
          <w:highlight w:val="none"/>
        </w:rPr>
        <w:t>P200×4（5+2）耐高温180度</w:t>
      </w:r>
      <w:r>
        <w:rPr>
          <w:rFonts w:hint="eastAsia" w:ascii="Times New Roman" w:hAnsi="Times New Roman" w:eastAsia="仿宋_GB2312"/>
          <w:b w:val="0"/>
          <w:color w:val="auto"/>
          <w:sz w:val="32"/>
          <w:highlight w:val="none"/>
          <w:lang w:eastAsia="zh-CN"/>
        </w:rPr>
        <w:t>，</w:t>
      </w:r>
      <w:r>
        <w:rPr>
          <w:rFonts w:ascii="Times New Roman" w:hAnsi="Times New Roman" w:eastAsia="仿宋_GB2312"/>
          <w:b w:val="0"/>
          <w:color w:val="auto"/>
          <w:sz w:val="32"/>
          <w:highlight w:val="none"/>
        </w:rPr>
        <w:t>须符合 GB/T 20021-2017 标准要求，具体技术参数如下表所示，投标人所投产品各项参数均须满足下表要求：</w:t>
      </w:r>
    </w:p>
    <w:tbl>
      <w:tblPr>
        <w:tblStyle w:val="6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2"/>
        <w:gridCol w:w="3055"/>
        <w:gridCol w:w="1127"/>
        <w:gridCol w:w="2251"/>
        <w:gridCol w:w="1673"/>
      </w:tblGrid>
      <w:tr w14:paraId="1FD8D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shd w:val="clear" w:color="auto" w:fill="D9E2F3"/>
            <w:vAlign w:val="center"/>
          </w:tcPr>
          <w:p w14:paraId="48EC3CB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color w:val="auto"/>
                <w:sz w:val="28"/>
                <w:highlight w:val="none"/>
              </w:rPr>
            </w:pPr>
            <w:r>
              <w:rPr>
                <w:rFonts w:ascii="Times New Roman" w:hAnsi="Times New Roman" w:eastAsia="仿宋_GB2312"/>
                <w:b/>
                <w:color w:val="auto"/>
                <w:sz w:val="28"/>
                <w:highlight w:val="none"/>
              </w:rPr>
              <w:t>序</w:t>
            </w:r>
          </w:p>
          <w:p w14:paraId="76B67097">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号</w:t>
            </w:r>
          </w:p>
        </w:tc>
        <w:tc>
          <w:tcPr>
            <w:tcW w:w="3118" w:type="dxa"/>
            <w:shd w:val="clear" w:color="auto" w:fill="D9E2F3"/>
            <w:vAlign w:val="center"/>
          </w:tcPr>
          <w:p w14:paraId="37DAE32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项  目</w:t>
            </w:r>
          </w:p>
        </w:tc>
        <w:tc>
          <w:tcPr>
            <w:tcW w:w="1134" w:type="dxa"/>
            <w:shd w:val="clear" w:color="auto" w:fill="D9E2F3"/>
            <w:vAlign w:val="center"/>
          </w:tcPr>
          <w:p w14:paraId="58CB0FD5">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单位</w:t>
            </w:r>
          </w:p>
        </w:tc>
        <w:tc>
          <w:tcPr>
            <w:tcW w:w="2268" w:type="dxa"/>
            <w:shd w:val="clear" w:color="auto" w:fill="D9E2F3"/>
            <w:vAlign w:val="center"/>
          </w:tcPr>
          <w:p w14:paraId="0701DCF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技术参数</w:t>
            </w:r>
          </w:p>
        </w:tc>
        <w:tc>
          <w:tcPr>
            <w:tcW w:w="1701" w:type="dxa"/>
            <w:shd w:val="clear" w:color="auto" w:fill="D9E2F3"/>
            <w:vAlign w:val="center"/>
          </w:tcPr>
          <w:p w14:paraId="4BADDDA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color w:val="auto"/>
                <w:sz w:val="28"/>
                <w:highlight w:val="none"/>
              </w:rPr>
              <w:t>备 注</w:t>
            </w:r>
          </w:p>
        </w:tc>
      </w:tr>
      <w:tr w14:paraId="16BFE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850" w:type="dxa"/>
            <w:vAlign w:val="center"/>
          </w:tcPr>
          <w:p w14:paraId="4F7E089D">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1</w:t>
            </w:r>
          </w:p>
        </w:tc>
        <w:tc>
          <w:tcPr>
            <w:tcW w:w="3118" w:type="dxa"/>
            <w:vAlign w:val="center"/>
          </w:tcPr>
          <w:p w14:paraId="4A93B93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纵向拉伸强度</w:t>
            </w:r>
          </w:p>
        </w:tc>
        <w:tc>
          <w:tcPr>
            <w:tcW w:w="1134" w:type="dxa"/>
            <w:vAlign w:val="center"/>
          </w:tcPr>
          <w:p w14:paraId="341D3F98">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kN/m</w:t>
            </w:r>
          </w:p>
        </w:tc>
        <w:tc>
          <w:tcPr>
            <w:tcW w:w="2268" w:type="dxa"/>
            <w:vAlign w:val="center"/>
          </w:tcPr>
          <w:p w14:paraId="12BE08D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w:t>
            </w:r>
            <w:r>
              <w:rPr>
                <w:rFonts w:hint="eastAsia" w:ascii="Times New Roman" w:hAnsi="Times New Roman" w:eastAsia="仿宋_GB2312"/>
                <w:b w:val="0"/>
                <w:color w:val="auto"/>
                <w:sz w:val="28"/>
                <w:highlight w:val="none"/>
                <w:lang w:val="en-US" w:eastAsia="zh-CN"/>
              </w:rPr>
              <w:t>15</w:t>
            </w:r>
            <w:r>
              <w:rPr>
                <w:rFonts w:ascii="Times New Roman" w:hAnsi="Times New Roman" w:eastAsia="仿宋_GB2312"/>
                <w:b w:val="0"/>
                <w:color w:val="auto"/>
                <w:sz w:val="28"/>
                <w:highlight w:val="none"/>
              </w:rPr>
              <w:t>0</w:t>
            </w:r>
          </w:p>
        </w:tc>
        <w:tc>
          <w:tcPr>
            <w:tcW w:w="1701" w:type="dxa"/>
            <w:vAlign w:val="center"/>
          </w:tcPr>
          <w:p w14:paraId="7844BC2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69393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16324BF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2</w:t>
            </w:r>
          </w:p>
        </w:tc>
        <w:tc>
          <w:tcPr>
            <w:tcW w:w="3118" w:type="dxa"/>
            <w:vAlign w:val="center"/>
          </w:tcPr>
          <w:p w14:paraId="74E391C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最小拉断伸长率</w:t>
            </w:r>
          </w:p>
        </w:tc>
        <w:tc>
          <w:tcPr>
            <w:tcW w:w="1134" w:type="dxa"/>
            <w:vAlign w:val="center"/>
          </w:tcPr>
          <w:p w14:paraId="77F8FD5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w:t>
            </w:r>
          </w:p>
        </w:tc>
        <w:tc>
          <w:tcPr>
            <w:tcW w:w="2268" w:type="dxa"/>
            <w:vAlign w:val="center"/>
          </w:tcPr>
          <w:p w14:paraId="6C1E737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≥2.5</w:t>
            </w:r>
          </w:p>
        </w:tc>
        <w:tc>
          <w:tcPr>
            <w:tcW w:w="1701" w:type="dxa"/>
            <w:vAlign w:val="center"/>
          </w:tcPr>
          <w:p w14:paraId="5B4E303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63A33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0" w:type="dxa"/>
            <w:vAlign w:val="center"/>
          </w:tcPr>
          <w:p w14:paraId="3A4CFBF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3</w:t>
            </w:r>
          </w:p>
        </w:tc>
        <w:tc>
          <w:tcPr>
            <w:tcW w:w="3118" w:type="dxa"/>
            <w:vAlign w:val="center"/>
          </w:tcPr>
          <w:p w14:paraId="27560A7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层数</w:t>
            </w:r>
          </w:p>
        </w:tc>
        <w:tc>
          <w:tcPr>
            <w:tcW w:w="1134" w:type="dxa"/>
            <w:vAlign w:val="center"/>
          </w:tcPr>
          <w:p w14:paraId="3F63188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层</w:t>
            </w:r>
          </w:p>
        </w:tc>
        <w:tc>
          <w:tcPr>
            <w:tcW w:w="2268" w:type="dxa"/>
            <w:vAlign w:val="center"/>
          </w:tcPr>
          <w:p w14:paraId="59CA96E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eastAsia="zh-CN"/>
              </w:rPr>
            </w:pPr>
            <w:r>
              <w:rPr>
                <w:rFonts w:hint="eastAsia" w:ascii="Times New Roman" w:hAnsi="Times New Roman" w:eastAsia="仿宋_GB2312"/>
                <w:b w:val="0"/>
                <w:color w:val="auto"/>
                <w:sz w:val="28"/>
                <w:highlight w:val="none"/>
                <w:lang w:val="en-US" w:eastAsia="zh-CN"/>
              </w:rPr>
              <w:t>4</w:t>
            </w:r>
          </w:p>
        </w:tc>
        <w:tc>
          <w:tcPr>
            <w:tcW w:w="1701" w:type="dxa"/>
            <w:vAlign w:val="center"/>
          </w:tcPr>
          <w:p w14:paraId="5F75F23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val="en-US" w:eastAsia="zh-CN"/>
              </w:rPr>
            </w:pPr>
          </w:p>
        </w:tc>
      </w:tr>
      <w:tr w14:paraId="13BEB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9C2F79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4</w:t>
            </w:r>
          </w:p>
        </w:tc>
        <w:tc>
          <w:tcPr>
            <w:tcW w:w="3118" w:type="dxa"/>
            <w:vAlign w:val="center"/>
          </w:tcPr>
          <w:p w14:paraId="1ECC2F0D">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带厚</w:t>
            </w:r>
          </w:p>
        </w:tc>
        <w:tc>
          <w:tcPr>
            <w:tcW w:w="1134" w:type="dxa"/>
            <w:vAlign w:val="center"/>
          </w:tcPr>
          <w:p w14:paraId="0297842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w:t>
            </w:r>
          </w:p>
        </w:tc>
        <w:tc>
          <w:tcPr>
            <w:tcW w:w="2268" w:type="dxa"/>
            <w:vAlign w:val="center"/>
          </w:tcPr>
          <w:p w14:paraId="239BC17C">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default" w:eastAsia="宋体"/>
                <w:color w:val="auto"/>
                <w:highlight w:val="none"/>
                <w:lang w:val="en-US" w:eastAsia="zh-CN"/>
              </w:rPr>
            </w:pPr>
            <w:r>
              <w:rPr>
                <w:rFonts w:ascii="Times New Roman" w:hAnsi="Times New Roman" w:eastAsia="仿宋_GB2312"/>
                <w:b w:val="0"/>
                <w:color w:val="auto"/>
                <w:sz w:val="28"/>
                <w:highlight w:val="none"/>
              </w:rPr>
              <w:t>≥</w:t>
            </w:r>
            <w:r>
              <w:rPr>
                <w:rFonts w:hint="eastAsia" w:ascii="Times New Roman" w:hAnsi="Times New Roman" w:eastAsia="仿宋_GB2312"/>
                <w:b w:val="0"/>
                <w:color w:val="auto"/>
                <w:sz w:val="28"/>
                <w:highlight w:val="none"/>
                <w:lang w:val="en-US" w:eastAsia="zh-CN"/>
              </w:rPr>
              <w:t>11</w:t>
            </w:r>
          </w:p>
        </w:tc>
        <w:tc>
          <w:tcPr>
            <w:tcW w:w="1701" w:type="dxa"/>
            <w:vAlign w:val="center"/>
          </w:tcPr>
          <w:p w14:paraId="7374EB9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default" w:eastAsia="宋体"/>
                <w:color w:val="auto"/>
                <w:highlight w:val="none"/>
                <w:lang w:val="en-US" w:eastAsia="zh-CN"/>
              </w:rPr>
            </w:pPr>
          </w:p>
        </w:tc>
      </w:tr>
      <w:tr w14:paraId="1C119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1150868C">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5</w:t>
            </w:r>
          </w:p>
        </w:tc>
        <w:tc>
          <w:tcPr>
            <w:tcW w:w="3118" w:type="dxa"/>
            <w:vAlign w:val="center"/>
          </w:tcPr>
          <w:p w14:paraId="0BD2355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工作面胶层厚度</w:t>
            </w:r>
          </w:p>
        </w:tc>
        <w:tc>
          <w:tcPr>
            <w:tcW w:w="1134" w:type="dxa"/>
            <w:vAlign w:val="center"/>
          </w:tcPr>
          <w:p w14:paraId="73795176">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w:t>
            </w:r>
          </w:p>
        </w:tc>
        <w:tc>
          <w:tcPr>
            <w:tcW w:w="2268" w:type="dxa"/>
            <w:vAlign w:val="center"/>
          </w:tcPr>
          <w:p w14:paraId="7F2CB09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eastAsia="zh-CN"/>
              </w:rPr>
            </w:pPr>
            <w:r>
              <w:rPr>
                <w:rFonts w:hint="eastAsia" w:ascii="Times New Roman" w:hAnsi="Times New Roman" w:eastAsia="仿宋_GB2312"/>
                <w:b w:val="0"/>
                <w:color w:val="auto"/>
                <w:sz w:val="28"/>
                <w:highlight w:val="none"/>
                <w:lang w:val="en-US" w:eastAsia="zh-CN"/>
              </w:rPr>
              <w:t>5</w:t>
            </w:r>
          </w:p>
        </w:tc>
        <w:tc>
          <w:tcPr>
            <w:tcW w:w="1701" w:type="dxa"/>
            <w:vAlign w:val="center"/>
          </w:tcPr>
          <w:p w14:paraId="1DFA22F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val="en-US" w:eastAsia="zh-CN"/>
              </w:rPr>
            </w:pPr>
          </w:p>
        </w:tc>
      </w:tr>
      <w:tr w14:paraId="58E7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29A2AC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6</w:t>
            </w:r>
          </w:p>
        </w:tc>
        <w:tc>
          <w:tcPr>
            <w:tcW w:w="3118" w:type="dxa"/>
            <w:vAlign w:val="center"/>
          </w:tcPr>
          <w:p w14:paraId="7F9ECA62">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非工作面胶层厚度</w:t>
            </w:r>
          </w:p>
        </w:tc>
        <w:tc>
          <w:tcPr>
            <w:tcW w:w="1134" w:type="dxa"/>
            <w:vAlign w:val="center"/>
          </w:tcPr>
          <w:p w14:paraId="15CA5A8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w:t>
            </w:r>
          </w:p>
        </w:tc>
        <w:tc>
          <w:tcPr>
            <w:tcW w:w="2268" w:type="dxa"/>
            <w:vAlign w:val="center"/>
          </w:tcPr>
          <w:p w14:paraId="50EF4BC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eastAsia="zh-CN"/>
              </w:rPr>
            </w:pPr>
            <w:r>
              <w:rPr>
                <w:rFonts w:hint="eastAsia" w:ascii="Times New Roman" w:hAnsi="Times New Roman" w:eastAsia="仿宋_GB2312"/>
                <w:b w:val="0"/>
                <w:color w:val="auto"/>
                <w:sz w:val="28"/>
                <w:highlight w:val="none"/>
                <w:lang w:val="en-US" w:eastAsia="zh-CN"/>
              </w:rPr>
              <w:t>2</w:t>
            </w:r>
          </w:p>
        </w:tc>
        <w:tc>
          <w:tcPr>
            <w:tcW w:w="1701" w:type="dxa"/>
            <w:vAlign w:val="center"/>
          </w:tcPr>
          <w:p w14:paraId="04B9394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eastAsia" w:eastAsia="宋体"/>
                <w:color w:val="auto"/>
                <w:highlight w:val="none"/>
                <w:lang w:val="en-US" w:eastAsia="zh-CN"/>
              </w:rPr>
            </w:pPr>
          </w:p>
        </w:tc>
      </w:tr>
      <w:tr w14:paraId="6A28C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E39567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7</w:t>
            </w:r>
          </w:p>
        </w:tc>
        <w:tc>
          <w:tcPr>
            <w:tcW w:w="3118" w:type="dxa"/>
            <w:vAlign w:val="center"/>
          </w:tcPr>
          <w:p w14:paraId="59BE204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执行标准</w:t>
            </w:r>
          </w:p>
        </w:tc>
        <w:tc>
          <w:tcPr>
            <w:tcW w:w="1134" w:type="dxa"/>
            <w:vAlign w:val="center"/>
          </w:tcPr>
          <w:p w14:paraId="2E1D57B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w:t>
            </w:r>
          </w:p>
        </w:tc>
        <w:tc>
          <w:tcPr>
            <w:tcW w:w="2268" w:type="dxa"/>
            <w:vAlign w:val="center"/>
          </w:tcPr>
          <w:p w14:paraId="3790ABB7">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GB/T 20021-2017</w:t>
            </w:r>
          </w:p>
        </w:tc>
        <w:tc>
          <w:tcPr>
            <w:tcW w:w="1701" w:type="dxa"/>
            <w:vAlign w:val="center"/>
          </w:tcPr>
          <w:p w14:paraId="42C0C39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25446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6886EFF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8</w:t>
            </w:r>
          </w:p>
        </w:tc>
        <w:tc>
          <w:tcPr>
            <w:tcW w:w="3118" w:type="dxa"/>
            <w:vAlign w:val="center"/>
          </w:tcPr>
          <w:p w14:paraId="731C8D0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覆盖胶最小拉伸强度</w:t>
            </w:r>
          </w:p>
        </w:tc>
        <w:tc>
          <w:tcPr>
            <w:tcW w:w="1134" w:type="dxa"/>
            <w:vAlign w:val="center"/>
          </w:tcPr>
          <w:p w14:paraId="780D640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kN/m</w:t>
            </w:r>
          </w:p>
        </w:tc>
        <w:tc>
          <w:tcPr>
            <w:tcW w:w="2268" w:type="dxa"/>
            <w:vAlign w:val="center"/>
          </w:tcPr>
          <w:p w14:paraId="7DB6788F">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≥9</w:t>
            </w:r>
          </w:p>
        </w:tc>
        <w:tc>
          <w:tcPr>
            <w:tcW w:w="1701" w:type="dxa"/>
            <w:vAlign w:val="center"/>
          </w:tcPr>
          <w:p w14:paraId="7F6BDD9B">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691B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3DE98754">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9</w:t>
            </w:r>
          </w:p>
        </w:tc>
        <w:tc>
          <w:tcPr>
            <w:tcW w:w="3118" w:type="dxa"/>
            <w:vAlign w:val="center"/>
          </w:tcPr>
          <w:p w14:paraId="366BF4D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覆盖胶磨耗量</w:t>
            </w:r>
          </w:p>
        </w:tc>
        <w:tc>
          <w:tcPr>
            <w:tcW w:w="1134" w:type="dxa"/>
            <w:vAlign w:val="center"/>
          </w:tcPr>
          <w:p w14:paraId="1EDBD29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mm³</w:t>
            </w:r>
          </w:p>
        </w:tc>
        <w:tc>
          <w:tcPr>
            <w:tcW w:w="2268" w:type="dxa"/>
            <w:vAlign w:val="center"/>
          </w:tcPr>
          <w:p w14:paraId="02D9E6ED">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≤200</w:t>
            </w:r>
          </w:p>
        </w:tc>
        <w:tc>
          <w:tcPr>
            <w:tcW w:w="1701" w:type="dxa"/>
            <w:vAlign w:val="center"/>
          </w:tcPr>
          <w:p w14:paraId="39E96A70">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p>
        </w:tc>
      </w:tr>
      <w:tr w14:paraId="51E1F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6F4B74AA">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10</w:t>
            </w:r>
          </w:p>
        </w:tc>
        <w:tc>
          <w:tcPr>
            <w:tcW w:w="3118" w:type="dxa"/>
            <w:vAlign w:val="center"/>
          </w:tcPr>
          <w:p w14:paraId="2F6279D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参考重量</w:t>
            </w:r>
          </w:p>
        </w:tc>
        <w:tc>
          <w:tcPr>
            <w:tcW w:w="1134" w:type="dxa"/>
            <w:vAlign w:val="center"/>
          </w:tcPr>
          <w:p w14:paraId="62413F8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t</w:t>
            </w:r>
          </w:p>
        </w:tc>
        <w:tc>
          <w:tcPr>
            <w:tcW w:w="2268" w:type="dxa"/>
            <w:vAlign w:val="center"/>
          </w:tcPr>
          <w:p w14:paraId="33DAC29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约15.2</w:t>
            </w:r>
          </w:p>
        </w:tc>
        <w:tc>
          <w:tcPr>
            <w:tcW w:w="1701" w:type="dxa"/>
            <w:vAlign w:val="center"/>
          </w:tcPr>
          <w:p w14:paraId="33910C61">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color w:val="auto"/>
                <w:highlight w:val="none"/>
              </w:rPr>
            </w:pPr>
            <w:r>
              <w:rPr>
                <w:rFonts w:ascii="Times New Roman" w:hAnsi="Times New Roman" w:eastAsia="仿宋_GB2312"/>
                <w:b w:val="0"/>
                <w:color w:val="auto"/>
                <w:sz w:val="28"/>
                <w:highlight w:val="none"/>
              </w:rPr>
              <w:t>以实际供货为准</w:t>
            </w:r>
          </w:p>
        </w:tc>
      </w:tr>
      <w:tr w14:paraId="0E81A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 w:hRule="atLeast"/>
          <w:jc w:val="center"/>
        </w:trPr>
        <w:tc>
          <w:tcPr>
            <w:tcW w:w="850" w:type="dxa"/>
            <w:vAlign w:val="center"/>
          </w:tcPr>
          <w:p w14:paraId="327D396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hint="default" w:ascii="Times New Roman" w:hAnsi="Times New Roman" w:eastAsia="仿宋_GB2312"/>
                <w:b w:val="0"/>
                <w:color w:val="auto"/>
                <w:sz w:val="28"/>
                <w:highlight w:val="none"/>
                <w:lang w:val="en-US" w:eastAsia="zh-CN"/>
              </w:rPr>
            </w:pPr>
            <w:r>
              <w:rPr>
                <w:rFonts w:hint="eastAsia" w:ascii="Times New Roman" w:hAnsi="Times New Roman" w:eastAsia="仿宋_GB2312"/>
                <w:b w:val="0"/>
                <w:color w:val="auto"/>
                <w:sz w:val="28"/>
                <w:highlight w:val="none"/>
                <w:lang w:eastAsia="zh-CN"/>
              </w:rPr>
              <w:t>11</w:t>
            </w:r>
          </w:p>
        </w:tc>
        <w:tc>
          <w:tcPr>
            <w:tcW w:w="3118" w:type="dxa"/>
            <w:vAlign w:val="center"/>
          </w:tcPr>
          <w:p w14:paraId="4CE21C49">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r>
              <w:rPr>
                <w:rFonts w:hint="eastAsia" w:ascii="Times New Roman" w:hAnsi="Times New Roman" w:eastAsia="仿宋_GB2312"/>
                <w:b w:val="0"/>
                <w:color w:val="auto"/>
                <w:sz w:val="28"/>
                <w:highlight w:val="none"/>
                <w:lang w:eastAsia="zh-CN"/>
              </w:rPr>
              <w:t>耐热温度</w:t>
            </w:r>
          </w:p>
        </w:tc>
        <w:tc>
          <w:tcPr>
            <w:tcW w:w="1134" w:type="dxa"/>
            <w:vAlign w:val="center"/>
          </w:tcPr>
          <w:p w14:paraId="2A0801FE">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r>
              <w:rPr>
                <w:rFonts w:hint="eastAsia" w:ascii="Times New Roman" w:hAnsi="Times New Roman" w:eastAsia="仿宋_GB2312"/>
                <w:b w:val="0"/>
                <w:color w:val="auto"/>
                <w:sz w:val="28"/>
                <w:highlight w:val="none"/>
                <w:lang w:eastAsia="zh-CN"/>
              </w:rPr>
              <w:t>℃</w:t>
            </w:r>
          </w:p>
        </w:tc>
        <w:tc>
          <w:tcPr>
            <w:tcW w:w="2268" w:type="dxa"/>
            <w:vAlign w:val="center"/>
          </w:tcPr>
          <w:p w14:paraId="43CC523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r>
              <w:rPr>
                <w:rFonts w:hint="eastAsia" w:ascii="Times New Roman" w:hAnsi="Times New Roman" w:eastAsia="仿宋_GB2312"/>
                <w:b w:val="0"/>
                <w:color w:val="auto"/>
                <w:sz w:val="28"/>
                <w:highlight w:val="none"/>
                <w:lang w:eastAsia="zh-CN"/>
              </w:rPr>
              <w:t>≥180</w:t>
            </w:r>
          </w:p>
        </w:tc>
        <w:tc>
          <w:tcPr>
            <w:tcW w:w="1701" w:type="dxa"/>
            <w:vAlign w:val="center"/>
          </w:tcPr>
          <w:p w14:paraId="63C52073">
            <w:pPr>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rPr>
                <w:rFonts w:ascii="Times New Roman" w:hAnsi="Times New Roman" w:eastAsia="仿宋_GB2312"/>
                <w:b w:val="0"/>
                <w:color w:val="auto"/>
                <w:sz w:val="28"/>
                <w:highlight w:val="none"/>
              </w:rPr>
            </w:pPr>
          </w:p>
        </w:tc>
      </w:tr>
    </w:tbl>
    <w:p w14:paraId="695BFC5E">
      <w:pPr>
        <w:keepNext w:val="0"/>
        <w:keepLines w:val="0"/>
        <w:pageBreakBefore w:val="0"/>
        <w:widowControl/>
        <w:kinsoku/>
        <w:wordWrap/>
        <w:overflowPunct/>
        <w:topLinePunct w:val="0"/>
        <w:autoSpaceDE/>
        <w:autoSpaceDN/>
        <w:bidi w:val="0"/>
        <w:adjustRightInd/>
        <w:snapToGrid/>
        <w:spacing w:after="0" w:line="560" w:lineRule="exact"/>
        <w:ind w:firstLine="420" w:firstLineChars="200"/>
        <w:textAlignment w:val="auto"/>
        <w:rPr>
          <w:color w:val="auto"/>
          <w:highlight w:val="none"/>
        </w:rPr>
      </w:pPr>
    </w:p>
    <w:p w14:paraId="042E802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其他质量要求：</w:t>
      </w:r>
    </w:p>
    <w:p w14:paraId="3C9ABE1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输送带带面应平整、色泽均匀，无气泡、无裂口、无杂质、无分层等缺陷；</w:t>
      </w:r>
    </w:p>
    <w:p w14:paraId="709668D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输送带接头（如有）应符合 GB/T 20021-2017 相关规定，接头强度不低于带体强度的 90%；</w:t>
      </w:r>
    </w:p>
    <w:p w14:paraId="28796852">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每卷输送带须附产品合格证、出厂检测报告，报告须涵盖上表全部技术参数的实测值；</w:t>
      </w:r>
    </w:p>
    <w:p w14:paraId="2D5011D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4. 输送带包装应适合长途运输及仓储要求，防止受潮、污染及机械损伤。</w:t>
      </w:r>
    </w:p>
    <w:p w14:paraId="16576F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三</w:t>
      </w:r>
      <w:r>
        <w:rPr>
          <w:rFonts w:hint="eastAsia" w:ascii="黑体" w:hAnsi="黑体" w:eastAsia="黑体" w:cs="黑体"/>
          <w:b w:val="0"/>
          <w:bCs w:val="0"/>
          <w:color w:val="auto"/>
          <w:sz w:val="32"/>
          <w:szCs w:val="32"/>
          <w:highlight w:val="none"/>
        </w:rPr>
        <w:t>、</w:t>
      </w:r>
      <w:bookmarkEnd w:id="65"/>
      <w:r>
        <w:rPr>
          <w:rFonts w:ascii="Times New Roman" w:hAnsi="Times New Roman" w:eastAsia="黑体"/>
          <w:b w:val="0"/>
          <w:color w:val="auto"/>
          <w:sz w:val="32"/>
          <w:highlight w:val="none"/>
        </w:rPr>
        <w:t>供货与履约要求</w:t>
      </w:r>
    </w:p>
    <w:p w14:paraId="7C681B57">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bookmarkStart w:id="66" w:name="heading_4"/>
      <w:r>
        <w:rPr>
          <w:rFonts w:ascii="Times New Roman" w:hAnsi="Times New Roman" w:eastAsia="楷体_GB2312"/>
          <w:b/>
          <w:color w:val="auto"/>
          <w:sz w:val="32"/>
          <w:highlight w:val="none"/>
        </w:rPr>
        <w:t>（一）交货期</w:t>
      </w:r>
    </w:p>
    <w:p w14:paraId="3284C658">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eastAsia="仿宋_GB2312"/>
          <w:color w:val="auto"/>
          <w:highlight w:val="none"/>
          <w:lang w:eastAsia="zh-CN"/>
        </w:rPr>
      </w:pPr>
      <w:r>
        <w:rPr>
          <w:rFonts w:ascii="Times New Roman" w:hAnsi="Times New Roman" w:eastAsia="仿宋_GB2312"/>
          <w:b w:val="0"/>
          <w:color w:val="auto"/>
          <w:sz w:val="32"/>
          <w:highlight w:val="none"/>
        </w:rPr>
        <w:t>本项目分期供货：第一期 525 米须在合同签订后 30 日内送达指定交货地点；剩余数量待甲方书面通知后，中标人须在接到通知后</w:t>
      </w:r>
      <w:r>
        <w:rPr>
          <w:rFonts w:hint="eastAsia" w:ascii="Times New Roman" w:hAnsi="Times New Roman" w:eastAsia="仿宋_GB2312"/>
          <w:b w:val="0"/>
          <w:color w:val="auto"/>
          <w:sz w:val="32"/>
          <w:highlight w:val="none"/>
          <w:lang w:val="en-US" w:eastAsia="zh-CN"/>
        </w:rPr>
        <w:t>30</w:t>
      </w:r>
      <w:r>
        <w:rPr>
          <w:rFonts w:ascii="Times New Roman" w:hAnsi="Times New Roman" w:eastAsia="仿宋_GB2312"/>
          <w:b w:val="0"/>
          <w:color w:val="auto"/>
          <w:sz w:val="32"/>
          <w:highlight w:val="none"/>
        </w:rPr>
        <w:t>日内完成供货。</w:t>
      </w:r>
      <w:r>
        <w:rPr>
          <w:rFonts w:hint="eastAsia" w:ascii="Times New Roman" w:hAnsi="Times New Roman" w:eastAsia="仿宋_GB2312"/>
          <w:b w:val="0"/>
          <w:color w:val="auto"/>
          <w:sz w:val="32"/>
          <w:highlight w:val="none"/>
          <w:lang w:eastAsia="zh-CN"/>
        </w:rPr>
        <w:t>（</w:t>
      </w:r>
      <w:r>
        <w:rPr>
          <w:rFonts w:hint="eastAsia" w:ascii="仿宋" w:hAnsi="仿宋" w:eastAsia="仿宋" w:cs="仿宋"/>
          <w:b/>
          <w:bCs/>
          <w:color w:val="auto"/>
          <w:sz w:val="32"/>
          <w:highlight w:val="none"/>
          <w:lang w:val="en-US" w:eastAsia="zh-CN"/>
        </w:rPr>
        <w:t>参选人需在参选文件中提供</w:t>
      </w:r>
      <w:r>
        <w:rPr>
          <w:rFonts w:ascii="Times New Roman" w:hAnsi="Times New Roman" w:eastAsia="仿宋_GB2312"/>
          <w:b/>
          <w:bCs/>
          <w:color w:val="auto"/>
          <w:sz w:val="32"/>
          <w:highlight w:val="none"/>
        </w:rPr>
        <w:t>交货期承诺</w:t>
      </w:r>
      <w:r>
        <w:rPr>
          <w:rFonts w:hint="eastAsia" w:ascii="Times New Roman" w:hAnsi="Times New Roman" w:eastAsia="仿宋_GB2312"/>
          <w:b w:val="0"/>
          <w:color w:val="auto"/>
          <w:sz w:val="32"/>
          <w:highlight w:val="none"/>
          <w:lang w:eastAsia="zh-CN"/>
        </w:rPr>
        <w:t>）</w:t>
      </w:r>
    </w:p>
    <w:p w14:paraId="2D9BC248">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（二）交货地点</w:t>
      </w:r>
    </w:p>
    <w:p w14:paraId="52BCF51B">
      <w:pPr>
        <w:pStyle w:val="19"/>
        <w:keepNext w:val="0"/>
        <w:keepLines w:val="0"/>
        <w:pageBreakBefore w:val="0"/>
        <w:widowControl/>
        <w:kinsoku/>
        <w:wordWrap/>
        <w:overflowPunct/>
        <w:topLinePunct w:val="0"/>
        <w:autoSpaceDE/>
        <w:autoSpaceDN/>
        <w:bidi w:val="0"/>
        <w:adjustRightInd/>
        <w:snapToGrid/>
        <w:spacing w:after="0"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b w:val="0"/>
          <w:color w:val="auto"/>
          <w:sz w:val="32"/>
          <w:szCs w:val="32"/>
          <w:highlight w:val="none"/>
        </w:rPr>
        <w:t>安庆市通源港务有限公司石门湖港码头指定地点，</w:t>
      </w:r>
      <w:r>
        <w:rPr>
          <w:rFonts w:hint="eastAsia" w:ascii="仿宋" w:hAnsi="仿宋" w:eastAsia="仿宋" w:cs="仿宋"/>
          <w:color w:val="auto"/>
          <w:sz w:val="32"/>
          <w:szCs w:val="32"/>
          <w:highlight w:val="none"/>
          <w:lang w:val="en-US" w:eastAsia="zh-CN"/>
        </w:rPr>
        <w:t>中标人负责将货物运输到石门湖港码头，由采购人负责卸货。</w:t>
      </w:r>
      <w:r>
        <w:rPr>
          <w:rFonts w:hint="eastAsia" w:ascii="仿宋" w:hAnsi="仿宋" w:eastAsia="仿宋" w:cs="仿宋"/>
          <w:b w:val="0"/>
          <w:color w:val="auto"/>
          <w:sz w:val="32"/>
          <w:szCs w:val="32"/>
          <w:highlight w:val="none"/>
        </w:rPr>
        <w:t>相关费用包含在投标总价中。</w:t>
      </w:r>
    </w:p>
    <w:p w14:paraId="38271646">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（三）胶料提供</w:t>
      </w:r>
    </w:p>
    <w:p w14:paraId="6EE00E3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中标人须随货提供输送带接头所需的耐高温胶料（含接头胶浆、覆盖胶、芯胶等配套材料），胶料品质须满足输送带接头硫化工艺要求，相关费用包含在投标总价中；</w:t>
      </w:r>
    </w:p>
    <w:p w14:paraId="0DC6735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hint="eastAsia" w:ascii="Times New Roman" w:hAnsi="Times New Roman" w:eastAsia="仿宋_GB2312"/>
          <w:b w:val="0"/>
          <w:color w:val="auto"/>
          <w:sz w:val="32"/>
          <w:highlight w:val="none"/>
          <w:lang w:val="en-US" w:eastAsia="zh-CN"/>
        </w:rPr>
        <w:t>2</w:t>
      </w:r>
      <w:r>
        <w:rPr>
          <w:rFonts w:ascii="Times New Roman" w:hAnsi="Times New Roman" w:eastAsia="仿宋_GB2312"/>
          <w:b w:val="0"/>
          <w:color w:val="auto"/>
          <w:sz w:val="32"/>
          <w:highlight w:val="none"/>
        </w:rPr>
        <w:t>. 中标人须提供接头施工技术指导资料，必要时应甲方要求安排技术人员进行现场接头技术指导，指导费用包含在投标总价中。</w:t>
      </w:r>
    </w:p>
    <w:p w14:paraId="4AA9CCBC">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w:t>
      </w:r>
      <w:r>
        <w:rPr>
          <w:rFonts w:hint="eastAsia" w:ascii="Times New Roman" w:hAnsi="Times New Roman" w:eastAsia="楷体_GB2312"/>
          <w:b/>
          <w:color w:val="auto"/>
          <w:sz w:val="32"/>
          <w:highlight w:val="none"/>
          <w:lang w:val="en-US" w:eastAsia="zh-CN"/>
        </w:rPr>
        <w:t>四</w:t>
      </w:r>
      <w:r>
        <w:rPr>
          <w:rFonts w:ascii="Times New Roman" w:hAnsi="Times New Roman" w:eastAsia="楷体_GB2312"/>
          <w:b/>
          <w:color w:val="auto"/>
          <w:sz w:val="32"/>
          <w:highlight w:val="none"/>
        </w:rPr>
        <w:t>）验收标准</w:t>
      </w:r>
    </w:p>
    <w:p w14:paraId="63D0276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到货验收：货物送达后，采购单位对包装、外观、标识、数量进行初步验收，包装完好、标识清晰、数量无误后方可签收；</w:t>
      </w:r>
    </w:p>
    <w:p w14:paraId="3FF282A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技术核验：采购单位对照本清单第三条技术参数逐项核验，中标人须配合提供产品合格证、出厂检测报告等资料；</w:t>
      </w:r>
    </w:p>
    <w:p w14:paraId="7A42D1E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抽样检测：采购单位有权对到货产品进行抽样送检，检测费用由中标人承担；如检测结果不合格，中标人须无条件退换货并承担由此造成的全部损失；</w:t>
      </w:r>
    </w:p>
    <w:p w14:paraId="7AE6CF99">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4. 验收合格以双方签署的验收单为准。</w:t>
      </w:r>
    </w:p>
    <w:p w14:paraId="06AC06BF">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w:t>
      </w:r>
      <w:r>
        <w:rPr>
          <w:rFonts w:hint="eastAsia" w:ascii="Times New Roman" w:hAnsi="Times New Roman" w:eastAsia="楷体_GB2312"/>
          <w:b/>
          <w:color w:val="auto"/>
          <w:sz w:val="32"/>
          <w:highlight w:val="none"/>
          <w:lang w:val="en-US" w:eastAsia="zh-CN"/>
        </w:rPr>
        <w:t xml:space="preserve">五 </w:t>
      </w:r>
      <w:r>
        <w:rPr>
          <w:rFonts w:ascii="Times New Roman" w:hAnsi="Times New Roman" w:eastAsia="楷体_GB2312"/>
          <w:b/>
          <w:color w:val="auto"/>
          <w:sz w:val="32"/>
          <w:highlight w:val="none"/>
        </w:rPr>
        <w:t>）质保要求</w:t>
      </w:r>
    </w:p>
    <w:p w14:paraId="7A24784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质保期不少于</w:t>
      </w:r>
      <w:r>
        <w:rPr>
          <w:rFonts w:hint="eastAsia" w:ascii="Times New Roman" w:hAnsi="Times New Roman" w:eastAsia="仿宋_GB2312"/>
          <w:b w:val="0"/>
          <w:color w:val="auto"/>
          <w:sz w:val="32"/>
          <w:highlight w:val="none"/>
          <w:lang w:val="en-US" w:eastAsia="zh-CN"/>
        </w:rPr>
        <w:t>12</w:t>
      </w:r>
      <w:r>
        <w:rPr>
          <w:rFonts w:ascii="Times New Roman" w:hAnsi="Times New Roman" w:eastAsia="仿宋_GB2312"/>
          <w:b w:val="0"/>
          <w:color w:val="auto"/>
          <w:sz w:val="32"/>
          <w:highlight w:val="none"/>
        </w:rPr>
        <w:t>个月，自货物验收合格之日起计算；</w:t>
      </w:r>
    </w:p>
    <w:p w14:paraId="576B8583">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质保期内，因产品质量问题出现断裂、脱层、异常磨损、胶层脱落等情形的，中标人须在接到通知后</w:t>
      </w:r>
      <w:r>
        <w:rPr>
          <w:rFonts w:hint="eastAsia" w:ascii="Times New Roman" w:hAnsi="Times New Roman" w:eastAsia="仿宋_GB2312"/>
          <w:b w:val="0"/>
          <w:color w:val="auto"/>
          <w:sz w:val="32"/>
          <w:highlight w:val="none"/>
          <w:lang w:val="en-US" w:eastAsia="zh-CN"/>
        </w:rPr>
        <w:t>24</w:t>
      </w:r>
      <w:r>
        <w:rPr>
          <w:rFonts w:ascii="Times New Roman" w:hAnsi="Times New Roman" w:eastAsia="仿宋_GB2312"/>
          <w:b w:val="0"/>
          <w:color w:val="auto"/>
          <w:sz w:val="32"/>
          <w:highlight w:val="none"/>
        </w:rPr>
        <w:t>小时内响应，并免费更换或维修，由此造成的停产损失及相关费用由中标人承担；</w:t>
      </w:r>
    </w:p>
    <w:p w14:paraId="6F84059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质保期满后，中标人应提供终身有偿技术支持与备件供应服务。</w:t>
      </w:r>
    </w:p>
    <w:p w14:paraId="182E0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highlight w:val="none"/>
          <w:lang w:val="en-US"/>
        </w:rPr>
      </w:pP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rPr>
        <w:t>、</w:t>
      </w:r>
      <w:bookmarkEnd w:id="66"/>
      <w:r>
        <w:rPr>
          <w:rFonts w:hint="eastAsia" w:ascii="黑体" w:hAnsi="黑体" w:eastAsia="黑体" w:cs="黑体"/>
          <w:b w:val="0"/>
          <w:bCs w:val="0"/>
          <w:color w:val="auto"/>
          <w:sz w:val="32"/>
          <w:szCs w:val="32"/>
          <w:highlight w:val="none"/>
          <w:lang w:val="en-US" w:eastAsia="zh-CN"/>
        </w:rPr>
        <w:t>结算方式</w:t>
      </w:r>
    </w:p>
    <w:p w14:paraId="6B14A0F5">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本项目所有款项结算均遵照本条款约定执行，甲乙双方秉持公平公正原则，履行开票、付款相关义务，具体细则如下：</w:t>
      </w:r>
    </w:p>
    <w:p w14:paraId="1549BB20">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（一）付款方式</w:t>
      </w:r>
    </w:p>
    <w:p w14:paraId="2D8EEB1E">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本项目款项统一采用对公银行转账方式结算，甲方（安庆市通源港务有限公司）仅向中标单位指定对公账户支付款项。中标单位须提前向甲方提供完整、真实、有效的账户信息，若因账户信息有误造成付款延误、资金退回等问题，相关责任及损失由中标单位自行承担。</w:t>
      </w:r>
    </w:p>
    <w:p w14:paraId="587BCDE9">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（二）发票要求</w:t>
      </w:r>
    </w:p>
    <w:p w14:paraId="0F25FEF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中标单位须严格依照国家现行财税法律法规及税务相关政策规定，向甲方开具合法、合规、真实、有效的增值税专用发票，发票税种、税率、开票内容须符合货物销售属性及甲方财务入账要求；</w:t>
      </w:r>
    </w:p>
    <w:p w14:paraId="4C279A24">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2. 若中标单位开具的发票存在作废、红冲、信息错误、虚假无效等问题，须在甲方通知时限内无偿重新开具对应发票，逾期未整改给甲方造成的一切损失，由中标单位全额承担；</w:t>
      </w:r>
    </w:p>
    <w:p w14:paraId="2DB053C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3. 发票作为甲方付款的核心依据之一，未按约定开具发票的，甲方有权顺延付款时间，且不承担任何逾期付款责任。</w:t>
      </w:r>
    </w:p>
    <w:p w14:paraId="6700577F">
      <w:pPr>
        <w:keepNext w:val="0"/>
        <w:keepLines w:val="0"/>
        <w:pageBreakBefore w:val="0"/>
        <w:widowControl/>
        <w:kinsoku/>
        <w:wordWrap/>
        <w:overflowPunct/>
        <w:topLinePunct w:val="0"/>
        <w:autoSpaceDE/>
        <w:autoSpaceDN/>
        <w:bidi w:val="0"/>
        <w:adjustRightInd/>
        <w:snapToGrid/>
        <w:spacing w:after="0" w:line="560" w:lineRule="exact"/>
        <w:ind w:firstLine="643" w:firstLineChars="200"/>
        <w:jc w:val="left"/>
        <w:textAlignment w:val="auto"/>
        <w:rPr>
          <w:color w:val="auto"/>
          <w:highlight w:val="none"/>
        </w:rPr>
      </w:pPr>
      <w:r>
        <w:rPr>
          <w:rFonts w:ascii="Times New Roman" w:hAnsi="Times New Roman" w:eastAsia="楷体_GB2312"/>
          <w:b/>
          <w:color w:val="auto"/>
          <w:sz w:val="32"/>
          <w:highlight w:val="none"/>
        </w:rPr>
        <w:t>（三）结算节点及付款周期</w:t>
      </w:r>
    </w:p>
    <w:p w14:paraId="3B06AE4E">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本项目按每期供货分别结算支付，每期款项分两批次支付，具体节点如下：</w:t>
      </w:r>
    </w:p>
    <w:p w14:paraId="4588BB02">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color w:val="auto"/>
          <w:highlight w:val="none"/>
        </w:rPr>
      </w:pPr>
      <w:r>
        <w:rPr>
          <w:rFonts w:ascii="Times New Roman" w:hAnsi="Times New Roman" w:eastAsia="仿宋_GB2312"/>
          <w:b w:val="0"/>
          <w:color w:val="auto"/>
          <w:sz w:val="32"/>
          <w:highlight w:val="none"/>
        </w:rPr>
        <w:t>1. 到货款（</w:t>
      </w:r>
      <w:r>
        <w:rPr>
          <w:rFonts w:ascii="Times New Roman" w:hAnsi="Times New Roman" w:eastAsia="仿宋_GB2312"/>
          <w:b w:val="0"/>
          <w:color w:val="auto"/>
          <w:sz w:val="32"/>
          <w:highlight w:val="none"/>
        </w:rPr>
        <w:t>9</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%）：每期货物送达指定地点并验收合格后 5 个工作日内，中标单位向甲方开具等额（该期货款金额 9</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%）合规增值税专用发票；甲方收到合法有效发票并审核无误后，于 15 个工作日内完成该笔款项支付；</w:t>
      </w:r>
    </w:p>
    <w:p w14:paraId="7ED1A90C">
      <w:pPr>
        <w:ind w:firstLine="640" w:firstLineChars="200"/>
        <w:jc w:val="left"/>
        <w:rPr>
          <w:rFonts w:hint="eastAsia" w:ascii="仿宋" w:hAnsi="仿宋" w:eastAsia="仿宋" w:cs="仿宋"/>
          <w:color w:val="auto"/>
          <w:sz w:val="30"/>
          <w:szCs w:val="30"/>
          <w:highlight w:val="none"/>
        </w:rPr>
      </w:pPr>
      <w:r>
        <w:rPr>
          <w:rFonts w:ascii="Times New Roman" w:hAnsi="Times New Roman" w:eastAsia="仿宋_GB2312"/>
          <w:b w:val="0"/>
          <w:color w:val="auto"/>
          <w:sz w:val="32"/>
          <w:highlight w:val="none"/>
        </w:rPr>
        <w:t>2. 质保金（</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%）：该期货物质保期满且无质量问题后 5 个工作日内，中标单位向甲方开具等额（该期货款金额</w:t>
      </w:r>
      <w:r>
        <w:rPr>
          <w:rFonts w:hint="eastAsia" w:ascii="Times New Roman" w:hAnsi="Times New Roman" w:eastAsia="仿宋_GB2312"/>
          <w:b w:val="0"/>
          <w:color w:val="auto"/>
          <w:sz w:val="32"/>
          <w:highlight w:val="none"/>
          <w:lang w:val="en-US" w:eastAsia="zh-CN"/>
        </w:rPr>
        <w:t>5</w:t>
      </w:r>
      <w:r>
        <w:rPr>
          <w:rFonts w:ascii="Times New Roman" w:hAnsi="Times New Roman" w:eastAsia="仿宋_GB2312"/>
          <w:b w:val="0"/>
          <w:color w:val="auto"/>
          <w:sz w:val="32"/>
          <w:highlight w:val="none"/>
        </w:rPr>
        <w:t xml:space="preserve">%）合规增值税专用发票；甲方收到合法有效发票并审核无误后，于 </w:t>
      </w:r>
      <w:r>
        <w:rPr>
          <w:rFonts w:ascii="Times New Roman" w:hAnsi="Times New Roman" w:eastAsia="仿宋_GB2312"/>
          <w:b w:val="0"/>
          <w:color w:val="auto"/>
          <w:sz w:val="32"/>
          <w:highlight w:val="none"/>
        </w:rPr>
        <w:t>15 个工作日内完成该笔款项支付。</w:t>
      </w:r>
      <w:r>
        <w:rPr>
          <w:rFonts w:hint="eastAsia" w:ascii="仿宋" w:hAnsi="仿宋" w:eastAsia="仿宋" w:cs="仿宋"/>
          <w:color w:val="auto"/>
          <w:sz w:val="30"/>
          <w:szCs w:val="30"/>
          <w:highlight w:val="none"/>
        </w:rPr>
        <w:br w:type="page"/>
      </w:r>
    </w:p>
    <w:p w14:paraId="4C4F2A85">
      <w:pPr>
        <w:rPr>
          <w:rFonts w:hint="eastAsia" w:ascii="宋体" w:hAnsi="宋体" w:cs="宋体"/>
          <w:color w:val="auto"/>
          <w:szCs w:val="21"/>
          <w:highlight w:val="none"/>
        </w:rPr>
      </w:pPr>
    </w:p>
    <w:p w14:paraId="141EFF38">
      <w:pPr>
        <w:pStyle w:val="2"/>
        <w:tabs>
          <w:tab w:val="clear" w:pos="1440"/>
          <w:tab w:val="clear" w:pos="5670"/>
        </w:tabs>
        <w:spacing w:beforeLines="0" w:afterLines="0"/>
        <w:ind w:firstLine="0" w:firstLineChars="0"/>
        <w:jc w:val="center"/>
        <w:rPr>
          <w:rFonts w:ascii="Arial" w:hAnsi="Arial"/>
          <w:color w:val="auto"/>
          <w:kern w:val="2"/>
          <w:sz w:val="32"/>
          <w:szCs w:val="32"/>
          <w:highlight w:val="none"/>
        </w:rPr>
      </w:pPr>
      <w:r>
        <w:rPr>
          <w:rFonts w:hint="eastAsia" w:ascii="Arial" w:hAnsi="Arial"/>
          <w:color w:val="auto"/>
          <w:kern w:val="2"/>
          <w:sz w:val="32"/>
          <w:szCs w:val="32"/>
          <w:highlight w:val="none"/>
        </w:rPr>
        <w:t>第四章</w:t>
      </w:r>
      <w:bookmarkStart w:id="67" w:name="_Toc476584431"/>
      <w:bookmarkStart w:id="68" w:name="_Toc10479"/>
      <w:r>
        <w:rPr>
          <w:rFonts w:hint="eastAsia" w:ascii="Arial" w:hAnsi="Arial"/>
          <w:color w:val="auto"/>
          <w:kern w:val="2"/>
          <w:sz w:val="32"/>
          <w:szCs w:val="32"/>
          <w:highlight w:val="none"/>
        </w:rPr>
        <w:t xml:space="preserve"> 合同主要条款</w:t>
      </w:r>
      <w:bookmarkEnd w:id="29"/>
      <w:bookmarkEnd w:id="30"/>
      <w:bookmarkEnd w:id="31"/>
      <w:bookmarkEnd w:id="62"/>
      <w:bookmarkEnd w:id="67"/>
      <w:bookmarkEnd w:id="68"/>
    </w:p>
    <w:p w14:paraId="0431C517">
      <w:pPr>
        <w:rPr>
          <w:color w:val="auto"/>
          <w:highlight w:val="none"/>
        </w:rPr>
      </w:pPr>
      <w:bookmarkStart w:id="69" w:name="_Toc54941341"/>
      <w:bookmarkStart w:id="70" w:name="_Toc8981"/>
      <w:bookmarkStart w:id="71" w:name="_Toc439316880"/>
    </w:p>
    <w:p w14:paraId="0CBEFB68">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46B77744">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851A042">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3B76EA21">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1"/>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40738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A922E7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D2E7EB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1539C59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1F1C60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A8DF72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7806B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F7DDF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6FC5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C1C2B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C3790F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72510A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6F4892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A3637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6D343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2EB20BA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8F9C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66630E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A30866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DC884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0DD035A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021C65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D4F97A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64BC69D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0E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4E7BF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68F6AB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7EC47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38912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445DE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11628C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82A39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CA0E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93002B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00570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0C613AF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9FEDD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A1146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C207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1DB840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37485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36ECE55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5FFEE3C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06D0028">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227309C1">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6ADCF6D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5F866CB">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AFEED3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23534A7F">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5F3198B2">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C6707F0">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46EE3EE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004DCC94">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0DF42695">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6770351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717E1575">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51FAF7C7">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009B94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F4FE0D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8924EDD">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A0D80F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77EFE47E">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730B3029">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0E6095DD">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186F8CCC">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008CF5D5">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037CCC7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720804E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3297688B">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174891EB">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32FF63B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1C4D4105">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2256026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694DB763">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A30E9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2A0F11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2A716B3">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3AC78C4">
      <w:pPr>
        <w:widowControl w:val="0"/>
        <w:autoSpaceDE w:val="0"/>
        <w:autoSpaceDN w:val="0"/>
        <w:adjustRightInd w:val="0"/>
        <w:rPr>
          <w:rFonts w:ascii="宋体" w:hAnsi="宋体" w:eastAsia="宋体" w:cs="宋体"/>
          <w:color w:val="auto"/>
          <w:sz w:val="24"/>
          <w:szCs w:val="21"/>
          <w:highlight w:val="none"/>
          <w:lang w:val="en-US" w:eastAsia="zh-CN" w:bidi="ar-SA"/>
        </w:rPr>
      </w:pPr>
    </w:p>
    <w:p w14:paraId="2D573D6A">
      <w:pPr>
        <w:widowControl w:val="0"/>
        <w:autoSpaceDE w:val="0"/>
        <w:autoSpaceDN w:val="0"/>
        <w:adjustRightInd w:val="0"/>
        <w:rPr>
          <w:rFonts w:ascii="宋体" w:hAnsi="宋体" w:eastAsia="宋体" w:cs="宋体"/>
          <w:color w:val="auto"/>
          <w:sz w:val="24"/>
          <w:szCs w:val="21"/>
          <w:highlight w:val="none"/>
          <w:lang w:val="en-US" w:eastAsia="zh-CN" w:bidi="ar-SA"/>
        </w:rPr>
      </w:pPr>
    </w:p>
    <w:p w14:paraId="070E11B4">
      <w:pPr>
        <w:widowControl w:val="0"/>
        <w:autoSpaceDE w:val="0"/>
        <w:autoSpaceDN w:val="0"/>
        <w:adjustRightInd w:val="0"/>
        <w:rPr>
          <w:rFonts w:ascii="宋体" w:hAnsi="宋体" w:eastAsia="宋体" w:cs="宋体"/>
          <w:color w:val="auto"/>
          <w:sz w:val="24"/>
          <w:szCs w:val="21"/>
          <w:highlight w:val="none"/>
          <w:lang w:val="en-US" w:eastAsia="zh-CN" w:bidi="ar-SA"/>
        </w:rPr>
      </w:pPr>
    </w:p>
    <w:p w14:paraId="77779410">
      <w:pPr>
        <w:rPr>
          <w:rFonts w:hint="eastAsia" w:ascii="宋体" w:hAnsi="宋体" w:cs="宋体"/>
          <w:color w:val="auto"/>
          <w:szCs w:val="21"/>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p>
    <w:p w14:paraId="41781569">
      <w:pPr>
        <w:pStyle w:val="2"/>
        <w:spacing w:before="62" w:beforeLines="20" w:after="62" w:afterLines="20" w:line="480" w:lineRule="exact"/>
        <w:ind w:firstLine="0" w:firstLineChars="0"/>
        <w:jc w:val="center"/>
        <w:rPr>
          <w:rFonts w:ascii="Arial" w:hAnsi="Arial"/>
          <w:color w:val="auto"/>
          <w:kern w:val="2"/>
          <w:sz w:val="32"/>
          <w:szCs w:val="32"/>
          <w:highlight w:val="none"/>
          <w:lang w:val="zh-CN"/>
        </w:rPr>
        <w:sectPr>
          <w:footerReference r:id="rId12" w:type="first"/>
          <w:footerReference r:id="rId11" w:type="default"/>
          <w:pgSz w:w="11906" w:h="16838"/>
          <w:pgMar w:top="1440" w:right="1587" w:bottom="1440" w:left="1587" w:header="851" w:footer="992" w:gutter="0"/>
          <w:pgNumType w:start="1"/>
          <w:cols w:space="0" w:num="1"/>
          <w:titlePg/>
          <w:docGrid w:type="lines" w:linePitch="312" w:charSpace="0"/>
        </w:sectPr>
      </w:pPr>
    </w:p>
    <w:p w14:paraId="36DA30B1">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72" w:name="_Toc32231"/>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69"/>
      <w:bookmarkEnd w:id="70"/>
      <w:bookmarkEnd w:id="71"/>
      <w:bookmarkStart w:id="73" w:name="_Toc54884158"/>
      <w:bookmarkStart w:id="74" w:name="_Toc26873"/>
      <w:r>
        <w:rPr>
          <w:rFonts w:hint="eastAsia" w:ascii="Arial" w:hAnsi="Arial"/>
          <w:color w:val="auto"/>
          <w:kern w:val="2"/>
          <w:sz w:val="32"/>
          <w:szCs w:val="32"/>
          <w:highlight w:val="none"/>
        </w:rPr>
        <w:t>参选文件格式</w:t>
      </w:r>
      <w:bookmarkEnd w:id="72"/>
      <w:bookmarkEnd w:id="73"/>
      <w:bookmarkEnd w:id="74"/>
    </w:p>
    <w:p w14:paraId="6B8ABE14">
      <w:pPr>
        <w:spacing w:line="360" w:lineRule="auto"/>
        <w:jc w:val="center"/>
        <w:rPr>
          <w:rFonts w:hint="eastAsia" w:ascii="仿宋" w:hAnsi="仿宋" w:eastAsia="仿宋"/>
          <w:b/>
          <w:color w:val="auto"/>
          <w:spacing w:val="20"/>
          <w:sz w:val="36"/>
          <w:szCs w:val="36"/>
          <w:highlight w:val="none"/>
          <w:u w:val="single"/>
        </w:rPr>
      </w:pPr>
    </w:p>
    <w:p w14:paraId="44AB05EB">
      <w:pPr>
        <w:spacing w:line="360" w:lineRule="auto"/>
        <w:jc w:val="center"/>
        <w:rPr>
          <w:rFonts w:hint="eastAsia" w:ascii="仿宋" w:hAnsi="仿宋" w:eastAsia="仿宋"/>
          <w:b/>
          <w:color w:val="auto"/>
          <w:spacing w:val="20"/>
          <w:sz w:val="36"/>
          <w:szCs w:val="36"/>
          <w:highlight w:val="none"/>
          <w:u w:val="single"/>
        </w:rPr>
      </w:pPr>
    </w:p>
    <w:p w14:paraId="700EDD90">
      <w:pPr>
        <w:spacing w:line="360" w:lineRule="auto"/>
        <w:jc w:val="center"/>
        <w:rPr>
          <w:rFonts w:hint="eastAsia" w:ascii="宋体" w:hAnsi="宋体"/>
          <w:color w:val="auto"/>
          <w:sz w:val="24"/>
          <w:highlight w:val="none"/>
        </w:rPr>
      </w:pPr>
      <w:r>
        <w:rPr>
          <w:rFonts w:hint="eastAsia" w:ascii="仿宋" w:hAnsi="仿宋" w:eastAsia="仿宋"/>
          <w:b/>
          <w:color w:val="auto"/>
          <w:spacing w:val="20"/>
          <w:sz w:val="36"/>
          <w:szCs w:val="36"/>
          <w:highlight w:val="none"/>
        </w:rPr>
        <w:t>（项目名称：</w:t>
      </w:r>
      <w:r>
        <w:rPr>
          <w:rFonts w:ascii="仿宋" w:hAnsi="仿宋" w:eastAsia="仿宋"/>
          <w:b/>
          <w:color w:val="auto"/>
          <w:spacing w:val="20"/>
          <w:sz w:val="36"/>
          <w:szCs w:val="36"/>
          <w:highlight w:val="none"/>
        </w:rPr>
        <w:t>_____________________</w:t>
      </w:r>
      <w:r>
        <w:rPr>
          <w:rFonts w:hint="eastAsia" w:ascii="仿宋" w:hAnsi="仿宋" w:eastAsia="仿宋"/>
          <w:b/>
          <w:color w:val="auto"/>
          <w:spacing w:val="20"/>
          <w:sz w:val="36"/>
          <w:szCs w:val="36"/>
          <w:highlight w:val="none"/>
        </w:rPr>
        <w:t>）</w:t>
      </w:r>
    </w:p>
    <w:p w14:paraId="0556CB50">
      <w:pPr>
        <w:spacing w:line="360" w:lineRule="auto"/>
        <w:ind w:firstLine="803" w:firstLineChars="200"/>
        <w:rPr>
          <w:rFonts w:hint="eastAsia" w:ascii="宋体" w:hAnsi="宋体"/>
          <w:color w:val="auto"/>
          <w:sz w:val="24"/>
          <w:highlight w:val="none"/>
        </w:rPr>
      </w:pPr>
      <w:r>
        <w:rPr>
          <w:rFonts w:hint="eastAsia" w:ascii="仿宋" w:hAnsi="仿宋" w:eastAsia="仿宋"/>
          <w:b/>
          <w:color w:val="auto"/>
          <w:spacing w:val="20"/>
          <w:sz w:val="36"/>
          <w:szCs w:val="36"/>
          <w:highlight w:val="none"/>
        </w:rPr>
        <w:t>（项目编号</w:t>
      </w:r>
      <w:r>
        <w:rPr>
          <w:rFonts w:ascii="仿宋" w:hAnsi="仿宋" w:eastAsia="仿宋"/>
          <w:b/>
          <w:color w:val="auto"/>
          <w:spacing w:val="20"/>
          <w:sz w:val="36"/>
          <w:szCs w:val="36"/>
          <w:highlight w:val="none"/>
        </w:rPr>
        <w:t>:______________________</w:t>
      </w:r>
      <w:r>
        <w:rPr>
          <w:rFonts w:hint="eastAsia" w:ascii="仿宋" w:hAnsi="仿宋" w:eastAsia="仿宋"/>
          <w:b/>
          <w:color w:val="auto"/>
          <w:spacing w:val="20"/>
          <w:sz w:val="36"/>
          <w:szCs w:val="36"/>
          <w:highlight w:val="none"/>
        </w:rPr>
        <w:t>）</w:t>
      </w:r>
    </w:p>
    <w:p w14:paraId="6DC2620C">
      <w:pPr>
        <w:spacing w:line="360" w:lineRule="auto"/>
        <w:rPr>
          <w:rFonts w:hint="eastAsia" w:ascii="宋体" w:hAnsi="宋体"/>
          <w:color w:val="auto"/>
          <w:sz w:val="24"/>
          <w:highlight w:val="none"/>
        </w:rPr>
      </w:pPr>
    </w:p>
    <w:p w14:paraId="55386A15">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参</w:t>
      </w:r>
    </w:p>
    <w:p w14:paraId="704A8E0E">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选</w:t>
      </w:r>
    </w:p>
    <w:p w14:paraId="77389489">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文</w:t>
      </w:r>
    </w:p>
    <w:p w14:paraId="50A749E0">
      <w:pPr>
        <w:spacing w:line="900" w:lineRule="auto"/>
        <w:jc w:val="center"/>
        <w:rPr>
          <w:rFonts w:hint="eastAsia" w:ascii="宋体" w:hAnsi="宋体"/>
          <w:b/>
          <w:color w:val="auto"/>
          <w:sz w:val="96"/>
          <w:szCs w:val="72"/>
          <w:highlight w:val="none"/>
        </w:rPr>
      </w:pPr>
      <w:r>
        <w:rPr>
          <w:rFonts w:hint="eastAsia" w:ascii="宋体" w:hAnsi="宋体"/>
          <w:b/>
          <w:color w:val="auto"/>
          <w:sz w:val="96"/>
          <w:szCs w:val="72"/>
          <w:highlight w:val="none"/>
        </w:rPr>
        <w:t>件</w:t>
      </w:r>
    </w:p>
    <w:p w14:paraId="3CC9E4D3">
      <w:pPr>
        <w:pStyle w:val="82"/>
        <w:spacing w:before="156"/>
        <w:ind w:firstLine="350"/>
        <w:rPr>
          <w:color w:val="auto"/>
          <w:highlight w:val="none"/>
        </w:rPr>
      </w:pPr>
    </w:p>
    <w:p w14:paraId="285C5350">
      <w:pPr>
        <w:spacing w:line="360" w:lineRule="auto"/>
        <w:rPr>
          <w:rFonts w:hint="eastAsia" w:ascii="宋体" w:hAnsi="宋体"/>
          <w:color w:val="auto"/>
          <w:sz w:val="24"/>
          <w:highlight w:val="none"/>
        </w:rPr>
      </w:pPr>
    </w:p>
    <w:p w14:paraId="78F4E3AC">
      <w:pPr>
        <w:spacing w:line="360" w:lineRule="auto"/>
        <w:ind w:firstLine="148" w:firstLineChars="49"/>
        <w:rPr>
          <w:rFonts w:hint="eastAsia"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65CF45DA">
      <w:pPr>
        <w:spacing w:line="360" w:lineRule="auto"/>
        <w:rPr>
          <w:rFonts w:hint="eastAsia" w:ascii="宋体" w:hAnsi="宋体"/>
          <w:b/>
          <w:color w:val="auto"/>
          <w:sz w:val="30"/>
          <w:szCs w:val="30"/>
          <w:highlight w:val="none"/>
        </w:rPr>
      </w:pPr>
    </w:p>
    <w:p w14:paraId="5BB7AC83">
      <w:pPr>
        <w:spacing w:line="360" w:lineRule="auto"/>
        <w:ind w:firstLine="148" w:firstLineChars="49"/>
        <w:rPr>
          <w:rFonts w:hint="eastAsia"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30620225">
      <w:pPr>
        <w:pStyle w:val="82"/>
        <w:spacing w:before="156"/>
        <w:ind w:firstLine="350"/>
        <w:rPr>
          <w:color w:val="auto"/>
          <w:highlight w:val="none"/>
        </w:rPr>
      </w:pPr>
    </w:p>
    <w:p w14:paraId="3AF91624">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00D32E9C">
      <w:pPr>
        <w:spacing w:line="360" w:lineRule="auto"/>
        <w:rPr>
          <w:rFonts w:ascii="仿宋_GB2312" w:eastAsia="仿宋_GB2312"/>
          <w:color w:val="auto"/>
          <w:sz w:val="30"/>
          <w:szCs w:val="30"/>
          <w:highlight w:val="none"/>
        </w:rPr>
      </w:pPr>
    </w:p>
    <w:p w14:paraId="40AFCDBF">
      <w:pPr>
        <w:spacing w:line="480" w:lineRule="exact"/>
        <w:jc w:val="center"/>
        <w:rPr>
          <w:rFonts w:hint="eastAsia"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374DF45">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25A638ED">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一、投标函</w:t>
      </w:r>
    </w:p>
    <w:p w14:paraId="74E2B449">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二、报价表</w:t>
      </w:r>
    </w:p>
    <w:p w14:paraId="382B4CB5">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三、响应情况表</w:t>
      </w:r>
    </w:p>
    <w:p w14:paraId="702A7CB7">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四、诚信投标承诺书</w:t>
      </w:r>
    </w:p>
    <w:p w14:paraId="28FF64D4">
      <w:pPr>
        <w:pStyle w:val="82"/>
        <w:spacing w:before="156"/>
        <w:ind w:firstLine="420"/>
        <w:rPr>
          <w:rFonts w:hint="eastAsia" w:ascii="宋体" w:hAnsi="宋体"/>
          <w:color w:val="auto"/>
          <w:sz w:val="24"/>
          <w:highlight w:val="none"/>
        </w:rPr>
      </w:pPr>
      <w:r>
        <w:rPr>
          <w:rFonts w:hint="eastAsia" w:ascii="宋体" w:hAnsi="宋体"/>
          <w:color w:val="auto"/>
          <w:sz w:val="24"/>
          <w:highlight w:val="none"/>
        </w:rPr>
        <w:t>五、相关证明文件</w:t>
      </w:r>
    </w:p>
    <w:p w14:paraId="68CBE5AA">
      <w:pPr>
        <w:widowControl/>
        <w:jc w:val="left"/>
        <w:rPr>
          <w:rFonts w:ascii="宋体" w:cs="宋体"/>
          <w:color w:val="auto"/>
          <w:sz w:val="24"/>
          <w:highlight w:val="none"/>
        </w:rPr>
      </w:pPr>
      <w:r>
        <w:rPr>
          <w:rFonts w:ascii="宋体" w:cs="宋体"/>
          <w:color w:val="auto"/>
          <w:sz w:val="24"/>
          <w:highlight w:val="none"/>
        </w:rPr>
        <w:br w:type="page"/>
      </w:r>
    </w:p>
    <w:p w14:paraId="7136A3FD">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bookmarkStart w:id="75" w:name="_Toc54941342"/>
      <w:bookmarkStart w:id="76" w:name="_Toc476584433"/>
      <w:r>
        <w:rPr>
          <w:rFonts w:hint="eastAsia" w:ascii="宋体" w:cs="宋体"/>
          <w:b/>
          <w:color w:val="auto"/>
          <w:kern w:val="0"/>
          <w:sz w:val="28"/>
          <w:szCs w:val="28"/>
          <w:highlight w:val="none"/>
          <w:shd w:val="clear" w:color="auto" w:fill="FFFFFF"/>
        </w:rPr>
        <w:t>一、</w:t>
      </w:r>
      <w:bookmarkEnd w:id="75"/>
      <w:bookmarkEnd w:id="76"/>
      <w:r>
        <w:rPr>
          <w:rFonts w:hint="eastAsia" w:ascii="宋体" w:cs="宋体"/>
          <w:b/>
          <w:color w:val="auto"/>
          <w:kern w:val="0"/>
          <w:sz w:val="28"/>
          <w:szCs w:val="28"/>
          <w:highlight w:val="none"/>
          <w:shd w:val="clear" w:color="auto" w:fill="FFFFFF"/>
          <w:lang w:eastAsia="zh-CN"/>
        </w:rPr>
        <w:t>参选</w:t>
      </w:r>
      <w:r>
        <w:rPr>
          <w:rFonts w:hint="eastAsia" w:ascii="宋体" w:cs="宋体"/>
          <w:b/>
          <w:color w:val="auto"/>
          <w:kern w:val="0"/>
          <w:sz w:val="28"/>
          <w:szCs w:val="28"/>
          <w:highlight w:val="none"/>
          <w:shd w:val="clear" w:color="auto" w:fill="FFFFFF"/>
        </w:rPr>
        <w:t>函</w:t>
      </w:r>
    </w:p>
    <w:p w14:paraId="583E1D11">
      <w:pPr>
        <w:tabs>
          <w:tab w:val="left" w:pos="5580"/>
        </w:tabs>
        <w:spacing w:before="120" w:line="360" w:lineRule="auto"/>
        <w:rPr>
          <w:rFonts w:hint="eastAsia" w:ascii="宋体" w:hAnsi="宋体"/>
          <w:color w:val="auto"/>
          <w:szCs w:val="21"/>
          <w:highlight w:val="none"/>
        </w:rPr>
      </w:pPr>
    </w:p>
    <w:p w14:paraId="61EDEE44">
      <w:pPr>
        <w:tabs>
          <w:tab w:val="left" w:pos="5580"/>
        </w:tabs>
        <w:spacing w:before="120" w:line="360" w:lineRule="auto"/>
        <w:rPr>
          <w:rFonts w:hint="eastAsia" w:ascii="宋体" w:hAnsi="宋体" w:eastAsia="宋体"/>
          <w:color w:val="auto"/>
          <w:szCs w:val="21"/>
          <w:highlight w:val="none"/>
          <w:u w:val="single"/>
          <w:lang w:eastAsia="zh-CN"/>
        </w:rPr>
      </w:pPr>
      <w:r>
        <w:rPr>
          <w:rFonts w:hint="eastAsia" w:ascii="宋体" w:hAnsi="宋体"/>
          <w:color w:val="auto"/>
          <w:szCs w:val="21"/>
          <w:highlight w:val="none"/>
        </w:rPr>
        <w:t>致：</w:t>
      </w:r>
      <w:r>
        <w:rPr>
          <w:rFonts w:hint="eastAsia" w:ascii="宋体" w:hAnsi="宋体"/>
          <w:color w:val="auto"/>
          <w:szCs w:val="21"/>
          <w:highlight w:val="none"/>
          <w:u w:val="single"/>
          <w:lang w:eastAsia="zh-CN"/>
        </w:rPr>
        <w:t>安庆市通源港务有限公司</w:t>
      </w:r>
    </w:p>
    <w:p w14:paraId="7FDA7F6A">
      <w:pPr>
        <w:tabs>
          <w:tab w:val="left" w:pos="5580"/>
        </w:tabs>
        <w:spacing w:line="360" w:lineRule="auto"/>
        <w:ind w:firstLine="420" w:firstLineChars="200"/>
        <w:rPr>
          <w:rFonts w:hint="eastAsia" w:ascii="宋体" w:hAnsi="宋体" w:cs="Courier New"/>
          <w:color w:val="auto"/>
          <w:szCs w:val="21"/>
          <w:highlight w:val="none"/>
        </w:rPr>
      </w:pPr>
      <w:r>
        <w:rPr>
          <w:rFonts w:ascii="宋体" w:hAnsi="宋体" w:cs="Courier New"/>
          <w:color w:val="auto"/>
          <w:szCs w:val="21"/>
          <w:highlight w:val="none"/>
        </w:rPr>
        <w:t>1、</w:t>
      </w:r>
      <w:r>
        <w:rPr>
          <w:rFonts w:hint="eastAsia" w:ascii="宋体" w:hAnsi="宋体" w:cs="Courier New"/>
          <w:color w:val="auto"/>
          <w:szCs w:val="21"/>
          <w:highlight w:val="none"/>
        </w:rPr>
        <w:t>根据贵方比选公告，我方决定参加贵方组织的</w:t>
      </w:r>
      <w:r>
        <w:rPr>
          <w:rFonts w:hint="eastAsia" w:ascii="宋体" w:hAnsi="宋体" w:cs="Courier New"/>
          <w:color w:val="auto"/>
          <w:szCs w:val="21"/>
          <w:highlight w:val="none"/>
          <w:u w:val="single"/>
          <w:lang w:eastAsia="zh-CN"/>
        </w:rPr>
        <w:t>安庆市石门湖港输送皮带采购项目</w:t>
      </w:r>
      <w:r>
        <w:rPr>
          <w:rFonts w:hint="eastAsia" w:ascii="宋体" w:hAnsi="宋体" w:cs="Courier New"/>
          <w:color w:val="auto"/>
          <w:szCs w:val="21"/>
          <w:highlight w:val="none"/>
        </w:rPr>
        <w:t>的比选活动。我方授</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(姓名和职务)代表我方</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rPr>
        <w:t>（参选人的名称）全权处理本项目</w:t>
      </w:r>
      <w:r>
        <w:rPr>
          <w:rFonts w:hint="eastAsia" w:ascii="宋体" w:hAnsi="宋体" w:cs="Courier New"/>
          <w:color w:val="auto"/>
          <w:szCs w:val="21"/>
          <w:highlight w:val="none"/>
          <w:lang w:eastAsia="zh-CN"/>
        </w:rPr>
        <w:t>参选</w:t>
      </w:r>
      <w:r>
        <w:rPr>
          <w:rFonts w:hint="eastAsia" w:ascii="宋体" w:hAnsi="宋体" w:cs="Courier New"/>
          <w:color w:val="auto"/>
          <w:szCs w:val="21"/>
          <w:highlight w:val="none"/>
        </w:rPr>
        <w:t>的有关事宜。</w:t>
      </w:r>
    </w:p>
    <w:p w14:paraId="7C57081B">
      <w:pPr>
        <w:tabs>
          <w:tab w:val="left" w:pos="5580"/>
        </w:tabs>
        <w:spacing w:line="360" w:lineRule="auto"/>
        <w:ind w:firstLine="420" w:firstLineChars="200"/>
        <w:rPr>
          <w:rFonts w:hint="eastAsia" w:hAnsi="宋体" w:cs="宋体"/>
          <w:color w:val="auto"/>
          <w:highlight w:val="none"/>
          <w:u w:val="single"/>
        </w:rPr>
      </w:pPr>
      <w:r>
        <w:rPr>
          <w:rFonts w:hint="eastAsia" w:ascii="宋体" w:hAnsi="宋体" w:cs="Courier New"/>
          <w:color w:val="auto"/>
          <w:szCs w:val="21"/>
          <w:highlight w:val="none"/>
        </w:rPr>
        <w:t>2、我方充分了解并完全响应比选文件的全部内容，愿意按照比选文件规定的各项要求，向采购人提供所需的货物和服务，</w:t>
      </w:r>
      <w:r>
        <w:rPr>
          <w:rFonts w:hint="eastAsia" w:ascii="宋体" w:hAnsi="宋体" w:cs="Courier New"/>
          <w:b/>
          <w:bCs/>
          <w:color w:val="auto"/>
          <w:szCs w:val="21"/>
          <w:highlight w:val="none"/>
          <w:lang w:eastAsia="zh-CN"/>
        </w:rPr>
        <w:t>参选</w:t>
      </w:r>
      <w:r>
        <w:rPr>
          <w:rFonts w:hint="eastAsia" w:ascii="宋体" w:hAnsi="宋体" w:cs="Courier New"/>
          <w:b/>
          <w:bCs/>
          <w:color w:val="auto"/>
          <w:szCs w:val="21"/>
          <w:highlight w:val="none"/>
        </w:rPr>
        <w:t>报价为人民币（大写）</w:t>
      </w:r>
      <w:r>
        <w:rPr>
          <w:rFonts w:hint="eastAsia" w:ascii="宋体" w:hAnsi="宋体" w:cs="Courier New"/>
          <w:color w:val="auto"/>
          <w:szCs w:val="21"/>
          <w:highlight w:val="none"/>
          <w:u w:val="single"/>
        </w:rPr>
        <w:t xml:space="preserve">       </w:t>
      </w:r>
      <w:r>
        <w:rPr>
          <w:rFonts w:hint="eastAsia" w:ascii="宋体" w:hAnsi="宋体" w:cs="Courier New"/>
          <w:b/>
          <w:bCs/>
          <w:color w:val="auto"/>
          <w:szCs w:val="21"/>
          <w:highlight w:val="none"/>
          <w:u w:val="single"/>
        </w:rPr>
        <w:t xml:space="preserve">  </w:t>
      </w:r>
      <w:r>
        <w:rPr>
          <w:rFonts w:hint="eastAsia" w:ascii="宋体" w:hAnsi="宋体" w:cs="Courier New"/>
          <w:b/>
          <w:bCs/>
          <w:color w:val="auto"/>
          <w:szCs w:val="21"/>
          <w:highlight w:val="none"/>
        </w:rPr>
        <w:t>，(小写)</w:t>
      </w:r>
      <w:r>
        <w:rPr>
          <w:rFonts w:hint="eastAsia" w:ascii="宋体" w:hAnsi="宋体" w:cs="Courier New"/>
          <w:color w:val="auto"/>
          <w:szCs w:val="21"/>
          <w:highlight w:val="none"/>
          <w:u w:val="single"/>
        </w:rPr>
        <w:t xml:space="preserve">¥       </w:t>
      </w:r>
      <w:r>
        <w:rPr>
          <w:rFonts w:hint="eastAsia" w:ascii="宋体" w:hAnsi="宋体" w:cs="Courier New"/>
          <w:color w:val="auto"/>
          <w:szCs w:val="21"/>
          <w:highlight w:val="none"/>
          <w:u w:val="single"/>
          <w:lang w:val="en-US" w:eastAsia="zh-CN"/>
        </w:rPr>
        <w:t>元/米</w:t>
      </w:r>
      <w:r>
        <w:rPr>
          <w:rFonts w:hint="eastAsia" w:ascii="宋体" w:hAnsi="宋体" w:cs="Courier New"/>
          <w:b/>
          <w:bCs/>
          <w:color w:val="auto"/>
          <w:szCs w:val="21"/>
          <w:highlight w:val="none"/>
        </w:rPr>
        <w:t>。</w:t>
      </w:r>
    </w:p>
    <w:p w14:paraId="31DEE4BA">
      <w:pPr>
        <w:tabs>
          <w:tab w:val="left" w:pos="5580"/>
        </w:tabs>
        <w:spacing w:line="360" w:lineRule="auto"/>
        <w:ind w:firstLine="420" w:firstLineChars="200"/>
        <w:rPr>
          <w:rFonts w:hint="eastAsia" w:ascii="宋体" w:hAnsi="宋体" w:cs="Courier New"/>
          <w:b/>
          <w:bCs/>
          <w:color w:val="auto"/>
          <w:szCs w:val="21"/>
          <w:highlight w:val="none"/>
          <w:u w:val="single"/>
        </w:rPr>
      </w:pPr>
      <w:r>
        <w:rPr>
          <w:rFonts w:hint="eastAsia" w:ascii="宋体" w:hAnsi="宋体" w:cs="Courier New"/>
          <w:color w:val="auto"/>
          <w:szCs w:val="21"/>
          <w:highlight w:val="none"/>
        </w:rPr>
        <w:t>3、一旦我方成交，我方将严格履行合同规定的责任和义务。</w:t>
      </w:r>
    </w:p>
    <w:p w14:paraId="4EF98338">
      <w:pPr>
        <w:tabs>
          <w:tab w:val="left" w:pos="5580"/>
        </w:tabs>
        <w:spacing w:line="360" w:lineRule="auto"/>
        <w:ind w:firstLine="417" w:firstLineChars="199"/>
        <w:rPr>
          <w:rFonts w:hint="eastAsia" w:ascii="宋体" w:hAnsi="宋体" w:cs="Courier New"/>
          <w:color w:val="auto"/>
          <w:szCs w:val="21"/>
          <w:highlight w:val="none"/>
        </w:rPr>
      </w:pPr>
      <w:r>
        <w:rPr>
          <w:rFonts w:hint="eastAsia" w:ascii="宋体" w:hAnsi="宋体" w:cs="Courier New"/>
          <w:color w:val="auto"/>
          <w:szCs w:val="21"/>
          <w:highlight w:val="none"/>
        </w:rPr>
        <w:t>4、我方保证按照本项目比选文件要求提交参选文件。</w:t>
      </w:r>
    </w:p>
    <w:p w14:paraId="552BD867">
      <w:pPr>
        <w:tabs>
          <w:tab w:val="left" w:pos="5580"/>
        </w:tabs>
        <w:spacing w:line="360" w:lineRule="auto"/>
        <w:ind w:firstLine="417" w:firstLineChars="199"/>
        <w:rPr>
          <w:rFonts w:hint="eastAsia" w:ascii="宋体" w:hAnsi="宋体" w:cs="Courier New"/>
          <w:color w:val="auto"/>
          <w:szCs w:val="21"/>
          <w:highlight w:val="none"/>
        </w:rPr>
      </w:pPr>
      <w:r>
        <w:rPr>
          <w:rFonts w:hint="eastAsia" w:ascii="宋体" w:hAnsi="宋体" w:cs="Courier New"/>
          <w:color w:val="auto"/>
          <w:szCs w:val="21"/>
          <w:highlight w:val="none"/>
        </w:rPr>
        <w:t>5、我方愿意提供贵方可能另外要求的、与比选有关的文件资料，并保证我方已提供和将要提供的文件是真实的、准确的。</w:t>
      </w:r>
    </w:p>
    <w:p w14:paraId="0E19D830">
      <w:pPr>
        <w:pStyle w:val="31"/>
        <w:tabs>
          <w:tab w:val="left" w:pos="5580"/>
        </w:tabs>
        <w:spacing w:line="360" w:lineRule="auto"/>
        <w:ind w:firstLine="417" w:firstLineChars="199"/>
        <w:rPr>
          <w:rFonts w:hint="eastAsia" w:hAnsi="宋体"/>
          <w:color w:val="auto"/>
          <w:highlight w:val="none"/>
        </w:rPr>
      </w:pPr>
    </w:p>
    <w:p w14:paraId="10876B14">
      <w:pPr>
        <w:pStyle w:val="31"/>
        <w:tabs>
          <w:tab w:val="left" w:pos="5580"/>
        </w:tabs>
        <w:spacing w:line="360" w:lineRule="auto"/>
        <w:ind w:right="360" w:firstLine="3570" w:firstLineChars="1700"/>
        <w:rPr>
          <w:rFonts w:hint="eastAsia" w:hAnsi="宋体"/>
          <w:color w:val="auto"/>
          <w:highlight w:val="none"/>
        </w:rPr>
      </w:pPr>
    </w:p>
    <w:p w14:paraId="3623963D">
      <w:pPr>
        <w:pStyle w:val="31"/>
        <w:tabs>
          <w:tab w:val="left" w:pos="5580"/>
        </w:tabs>
        <w:spacing w:line="360" w:lineRule="auto"/>
        <w:ind w:right="360" w:firstLine="3570" w:firstLineChars="1700"/>
        <w:rPr>
          <w:rFonts w:hint="eastAsia" w:hAnsi="宋体"/>
          <w:color w:val="auto"/>
          <w:highlight w:val="none"/>
        </w:rPr>
      </w:pPr>
    </w:p>
    <w:p w14:paraId="0E476FF0">
      <w:pPr>
        <w:pStyle w:val="31"/>
        <w:tabs>
          <w:tab w:val="left" w:pos="5580"/>
        </w:tabs>
        <w:spacing w:line="360" w:lineRule="auto"/>
        <w:ind w:right="360" w:firstLine="3570" w:firstLineChars="1700"/>
        <w:rPr>
          <w:rFonts w:hint="eastAsia" w:hAnsi="宋体"/>
          <w:color w:val="auto"/>
          <w:highlight w:val="none"/>
        </w:rPr>
      </w:pPr>
    </w:p>
    <w:p w14:paraId="659E127E">
      <w:pPr>
        <w:pStyle w:val="31"/>
        <w:tabs>
          <w:tab w:val="left" w:pos="5580"/>
        </w:tabs>
        <w:spacing w:line="480" w:lineRule="auto"/>
        <w:ind w:right="360" w:firstLine="3570" w:firstLineChars="1700"/>
        <w:jc w:val="right"/>
        <w:rPr>
          <w:rFonts w:hint="eastAsia"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w:t>
      </w:r>
    </w:p>
    <w:p w14:paraId="7C385079">
      <w:pPr>
        <w:pStyle w:val="31"/>
        <w:tabs>
          <w:tab w:val="left" w:pos="5580"/>
        </w:tabs>
        <w:wordWrap w:val="0"/>
        <w:spacing w:line="480" w:lineRule="auto"/>
        <w:ind w:firstLine="420" w:firstLineChars="200"/>
        <w:jc w:val="center"/>
        <w:rPr>
          <w:rFonts w:hint="eastAsia"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 xml:space="preserve">                                      </w:t>
      </w:r>
    </w:p>
    <w:p w14:paraId="177436F5">
      <w:pPr>
        <w:pStyle w:val="31"/>
        <w:tabs>
          <w:tab w:val="left" w:pos="5580"/>
        </w:tabs>
        <w:spacing w:line="480" w:lineRule="auto"/>
        <w:ind w:firstLine="3780" w:firstLineChars="1800"/>
        <w:rPr>
          <w:rFonts w:hint="eastAsia"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606D185D">
      <w:pPr>
        <w:pStyle w:val="31"/>
        <w:tabs>
          <w:tab w:val="left" w:pos="5580"/>
        </w:tabs>
        <w:spacing w:line="480" w:lineRule="auto"/>
        <w:ind w:firstLine="3570" w:firstLineChars="1700"/>
        <w:jc w:val="right"/>
        <w:rPr>
          <w:rFonts w:hint="eastAsia" w:hAnsi="宋体"/>
          <w:color w:val="auto"/>
          <w:highlight w:val="none"/>
        </w:rPr>
      </w:pPr>
      <w:r>
        <w:rPr>
          <w:rFonts w:hint="eastAsia" w:hAnsi="宋体"/>
          <w:color w:val="auto"/>
          <w:highlight w:val="none"/>
        </w:rPr>
        <w:t>日期：       年      月      日</w:t>
      </w:r>
    </w:p>
    <w:p w14:paraId="544C8CF0">
      <w:pPr>
        <w:pStyle w:val="23"/>
        <w:rPr>
          <w:color w:val="auto"/>
          <w:highlight w:val="none"/>
        </w:rPr>
      </w:pPr>
    </w:p>
    <w:p w14:paraId="17C7B545">
      <w:pPr>
        <w:jc w:val="center"/>
        <w:rPr>
          <w:color w:val="auto"/>
          <w:highlight w:val="none"/>
        </w:rPr>
      </w:pPr>
      <w:bookmarkStart w:id="77" w:name="_Toc54941350"/>
      <w:bookmarkStart w:id="78" w:name="_Toc476584438"/>
      <w:r>
        <w:rPr>
          <w:rFonts w:hint="eastAsia" w:cs="宋体"/>
          <w:color w:val="auto"/>
          <w:highlight w:val="none"/>
        </w:rPr>
        <w:br w:type="page"/>
      </w:r>
      <w:bookmarkStart w:id="79" w:name="_Toc25208"/>
      <w:r>
        <w:rPr>
          <w:rFonts w:hint="eastAsia" w:ascii="宋体" w:cs="宋体"/>
          <w:b/>
          <w:color w:val="auto"/>
          <w:kern w:val="0"/>
          <w:sz w:val="28"/>
          <w:szCs w:val="28"/>
          <w:highlight w:val="none"/>
          <w:shd w:val="clear" w:color="auto" w:fill="FFFFFF"/>
        </w:rPr>
        <w:t>二、报价表</w:t>
      </w:r>
    </w:p>
    <w:p w14:paraId="6381E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09D4125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1676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vAlign w:val="center"/>
          </w:tcPr>
          <w:p w14:paraId="321BE4C3">
            <w:pPr>
              <w:spacing w:line="400" w:lineRule="exact"/>
              <w:jc w:val="center"/>
              <w:rPr>
                <w:rFonts w:hint="eastAsia" w:hAnsi="宋体"/>
                <w:color w:val="auto"/>
                <w:sz w:val="24"/>
                <w:szCs w:val="24"/>
                <w:highlight w:val="none"/>
              </w:rPr>
            </w:pPr>
            <w:r>
              <w:rPr>
                <w:rFonts w:hint="eastAsia" w:hAnsi="宋体"/>
                <w:color w:val="auto"/>
                <w:sz w:val="24"/>
                <w:szCs w:val="24"/>
                <w:highlight w:val="none"/>
              </w:rPr>
              <w:t>报价</w:t>
            </w:r>
          </w:p>
          <w:p w14:paraId="0672ED02">
            <w:pPr>
              <w:spacing w:line="400" w:lineRule="exact"/>
              <w:jc w:val="center"/>
              <w:rPr>
                <w:color w:val="auto"/>
                <w:sz w:val="24"/>
                <w:szCs w:val="24"/>
                <w:highlight w:val="none"/>
              </w:rPr>
            </w:pPr>
            <w:r>
              <w:rPr>
                <w:rFonts w:hint="eastAsia" w:hAnsi="宋体"/>
                <w:color w:val="auto"/>
                <w:sz w:val="24"/>
                <w:szCs w:val="24"/>
                <w:highlight w:val="none"/>
                <w:lang w:eastAsia="zh-CN"/>
              </w:rPr>
              <w:t>（</w:t>
            </w:r>
            <w:r>
              <w:rPr>
                <w:rFonts w:hint="eastAsia" w:hAnsi="宋体"/>
                <w:color w:val="auto"/>
                <w:sz w:val="24"/>
                <w:szCs w:val="24"/>
                <w:highlight w:val="none"/>
                <w:lang w:val="en-US" w:eastAsia="zh-CN"/>
              </w:rPr>
              <w:t>元/米</w:t>
            </w:r>
            <w:r>
              <w:rPr>
                <w:rFonts w:hint="eastAsia" w:hAnsi="宋体"/>
                <w:color w:val="auto"/>
                <w:sz w:val="24"/>
                <w:szCs w:val="24"/>
                <w:highlight w:val="none"/>
                <w:lang w:eastAsia="zh-CN"/>
              </w:rPr>
              <w:t>）</w:t>
            </w:r>
          </w:p>
        </w:tc>
        <w:tc>
          <w:tcPr>
            <w:tcW w:w="4240" w:type="pct"/>
            <w:vAlign w:val="center"/>
          </w:tcPr>
          <w:p w14:paraId="01FB0833">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08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vAlign w:val="center"/>
          </w:tcPr>
          <w:p w14:paraId="4EF2D586">
            <w:pPr>
              <w:spacing w:line="400" w:lineRule="exact"/>
              <w:jc w:val="center"/>
              <w:rPr>
                <w:color w:val="auto"/>
                <w:sz w:val="24"/>
                <w:szCs w:val="24"/>
                <w:highlight w:val="none"/>
              </w:rPr>
            </w:pPr>
          </w:p>
        </w:tc>
        <w:tc>
          <w:tcPr>
            <w:tcW w:w="4240" w:type="pct"/>
            <w:vAlign w:val="center"/>
          </w:tcPr>
          <w:p w14:paraId="54F65297">
            <w:pPr>
              <w:wordWrap w:val="0"/>
              <w:rPr>
                <w:rFonts w:hint="eastAsia"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524C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vAlign w:val="center"/>
          </w:tcPr>
          <w:p w14:paraId="7A7022D0">
            <w:pPr>
              <w:spacing w:line="400" w:lineRule="exact"/>
              <w:rPr>
                <w:rFonts w:hint="eastAsia" w:hAnsi="宋体"/>
                <w:color w:val="auto"/>
                <w:sz w:val="24"/>
                <w:szCs w:val="24"/>
                <w:highlight w:val="none"/>
              </w:rPr>
            </w:pPr>
            <w:r>
              <w:rPr>
                <w:rFonts w:hint="eastAsia" w:hAnsi="宋体"/>
                <w:color w:val="auto"/>
                <w:sz w:val="24"/>
                <w:szCs w:val="24"/>
                <w:highlight w:val="none"/>
              </w:rPr>
              <w:t>备注：</w:t>
            </w:r>
          </w:p>
          <w:p w14:paraId="3AF48983">
            <w:pPr>
              <w:spacing w:line="400" w:lineRule="exact"/>
              <w:rPr>
                <w:rFonts w:hint="eastAsia"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、报价最多保留到小数点后两位，小数点后第三位“四舍五入”。</w:t>
            </w:r>
          </w:p>
        </w:tc>
      </w:tr>
    </w:tbl>
    <w:p w14:paraId="5192D62B">
      <w:pPr>
        <w:spacing w:line="360" w:lineRule="auto"/>
        <w:rPr>
          <w:rFonts w:hint="eastAsia" w:ascii="宋体" w:hAnsi="宋体"/>
          <w:b/>
          <w:color w:val="auto"/>
          <w:szCs w:val="21"/>
          <w:highlight w:val="none"/>
        </w:rPr>
      </w:pPr>
    </w:p>
    <w:p w14:paraId="092F0C76">
      <w:pPr>
        <w:spacing w:line="360" w:lineRule="auto"/>
        <w:rPr>
          <w:rFonts w:hint="eastAsia" w:ascii="宋体" w:hAnsi="宋体"/>
          <w:b/>
          <w:color w:val="auto"/>
          <w:szCs w:val="21"/>
          <w:highlight w:val="none"/>
        </w:rPr>
      </w:pPr>
      <w:r>
        <w:rPr>
          <w:rFonts w:hint="eastAsia" w:ascii="宋体" w:hAnsi="宋体"/>
          <w:b/>
          <w:color w:val="auto"/>
          <w:szCs w:val="21"/>
          <w:highlight w:val="none"/>
        </w:rPr>
        <w:t>（此表须法定代表人签字或盖章，并加盖参选人公章）</w:t>
      </w:r>
    </w:p>
    <w:p w14:paraId="6CFDC05D">
      <w:pPr>
        <w:spacing w:line="360" w:lineRule="auto"/>
        <w:rPr>
          <w:rFonts w:hint="eastAsia" w:ascii="宋体" w:hAnsi="宋体"/>
          <w:b/>
          <w:color w:val="auto"/>
          <w:szCs w:val="21"/>
          <w:highlight w:val="none"/>
        </w:rPr>
      </w:pPr>
    </w:p>
    <w:p w14:paraId="5DC9A426">
      <w:pPr>
        <w:spacing w:line="360" w:lineRule="auto"/>
        <w:ind w:firstLine="3465" w:firstLineChars="1650"/>
        <w:rPr>
          <w:rFonts w:ascii="宋体"/>
          <w:color w:val="auto"/>
          <w:szCs w:val="21"/>
          <w:highlight w:val="none"/>
        </w:rPr>
      </w:pPr>
      <w:r>
        <w:rPr>
          <w:rFonts w:hint="eastAsia" w:hAnsi="宋体"/>
          <w:color w:val="auto"/>
          <w:highlight w:val="none"/>
        </w:rPr>
        <w:t>参选人</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1BAB2318">
      <w:pPr>
        <w:spacing w:line="360" w:lineRule="auto"/>
        <w:ind w:firstLine="3465" w:firstLineChars="1650"/>
        <w:rPr>
          <w:rFonts w:hint="eastAsia" w:ascii="宋体" w:hAnsi="宋体"/>
          <w:color w:val="auto"/>
          <w:szCs w:val="21"/>
          <w:highlight w:val="none"/>
        </w:rPr>
      </w:pPr>
    </w:p>
    <w:p w14:paraId="0F6E08AB">
      <w:pPr>
        <w:spacing w:line="360" w:lineRule="auto"/>
        <w:ind w:firstLine="3465" w:firstLineChars="1650"/>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（签字或签章）</w:t>
      </w:r>
    </w:p>
    <w:p w14:paraId="0B4F3D66">
      <w:pPr>
        <w:spacing w:line="360" w:lineRule="auto"/>
        <w:ind w:firstLine="3570" w:firstLineChars="1700"/>
        <w:rPr>
          <w:color w:val="auto"/>
          <w:szCs w:val="21"/>
          <w:highlight w:val="none"/>
        </w:rPr>
      </w:pPr>
    </w:p>
    <w:p w14:paraId="79F32B26">
      <w:pPr>
        <w:spacing w:line="360" w:lineRule="auto"/>
        <w:ind w:firstLine="3570" w:firstLineChars="1700"/>
        <w:rPr>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日</w:t>
      </w:r>
    </w:p>
    <w:bookmarkEnd w:id="79"/>
    <w:p w14:paraId="00CB3A62">
      <w:pPr>
        <w:rPr>
          <w:rFonts w:ascii="宋体" w:cs="宋体"/>
          <w:b/>
          <w:color w:val="auto"/>
          <w:kern w:val="0"/>
          <w:sz w:val="28"/>
          <w:szCs w:val="28"/>
          <w:highlight w:val="none"/>
          <w:shd w:val="clear" w:color="auto" w:fill="FFFFFF"/>
        </w:rPr>
      </w:pPr>
      <w:r>
        <w:rPr>
          <w:rFonts w:hint="eastAsia" w:cs="宋体"/>
          <w:color w:val="auto"/>
          <w:highlight w:val="none"/>
        </w:rPr>
        <w:br w:type="page"/>
      </w:r>
    </w:p>
    <w:p w14:paraId="00F62B7D">
      <w:pPr>
        <w:keepNext/>
        <w:keepLines/>
        <w:wordWrap w:val="0"/>
        <w:autoSpaceDE w:val="0"/>
        <w:autoSpaceDN w:val="0"/>
        <w:adjustRightInd w:val="0"/>
        <w:spacing w:line="440" w:lineRule="exact"/>
        <w:jc w:val="center"/>
        <w:outlineLvl w:val="2"/>
        <w:rPr>
          <w:rFonts w:hint="eastAsia" w:ascii="宋体" w:hAnsi="宋体" w:cs="宋体"/>
          <w:b/>
          <w:color w:val="auto"/>
          <w:kern w:val="0"/>
          <w:sz w:val="24"/>
          <w:highlight w:val="none"/>
        </w:rPr>
      </w:pPr>
      <w:bookmarkStart w:id="80" w:name="_Toc54941345"/>
      <w:r>
        <w:rPr>
          <w:rFonts w:hint="eastAsia" w:cs="宋体"/>
          <w:color w:val="auto"/>
          <w:kern w:val="0"/>
          <w:sz w:val="28"/>
          <w:szCs w:val="28"/>
          <w:highlight w:val="none"/>
        </w:rPr>
        <w:t>三、</w:t>
      </w:r>
      <w:bookmarkEnd w:id="80"/>
      <w:r>
        <w:rPr>
          <w:rFonts w:hint="eastAsia" w:ascii="宋体" w:cs="宋体"/>
          <w:b/>
          <w:color w:val="auto"/>
          <w:kern w:val="0"/>
          <w:sz w:val="28"/>
          <w:szCs w:val="28"/>
          <w:highlight w:val="none"/>
          <w:shd w:val="clear" w:color="auto" w:fill="FFFFFF"/>
        </w:rPr>
        <w:t>响应情况表</w:t>
      </w:r>
    </w:p>
    <w:p w14:paraId="7EEEF801">
      <w:pPr>
        <w:spacing w:line="360" w:lineRule="auto"/>
        <w:jc w:val="center"/>
        <w:rPr>
          <w:rFonts w:hint="eastAsia" w:ascii="宋体" w:hAnsi="宋体" w:cs="宋体"/>
          <w:color w:val="auto"/>
          <w:szCs w:val="21"/>
          <w:highlight w:val="none"/>
        </w:rPr>
      </w:pPr>
    </w:p>
    <w:p w14:paraId="30AD34E7">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7FD34E91">
      <w:pPr>
        <w:spacing w:line="360" w:lineRule="auto"/>
        <w:rPr>
          <w:rFonts w:hint="eastAsia" w:ascii="宋体" w:hAnsi="宋体" w:cs="宋体"/>
          <w:color w:val="auto"/>
          <w:szCs w:val="21"/>
          <w:highlight w:val="none"/>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5D06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vAlign w:val="center"/>
          </w:tcPr>
          <w:p w14:paraId="687A09E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6000" w:type="dxa"/>
            <w:vAlign w:val="center"/>
          </w:tcPr>
          <w:p w14:paraId="2CDB059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响应内容质量要求</w:t>
            </w:r>
          </w:p>
        </w:tc>
        <w:tc>
          <w:tcPr>
            <w:tcW w:w="2209" w:type="dxa"/>
            <w:vAlign w:val="center"/>
          </w:tcPr>
          <w:p w14:paraId="697232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响应情况</w:t>
            </w:r>
          </w:p>
        </w:tc>
      </w:tr>
      <w:tr w14:paraId="4220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vAlign w:val="center"/>
          </w:tcPr>
          <w:p w14:paraId="4B91007A">
            <w:pPr>
              <w:spacing w:line="360" w:lineRule="auto"/>
              <w:jc w:val="center"/>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vAlign w:val="center"/>
          </w:tcPr>
          <w:p w14:paraId="14CC31B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第三章需求及技术要求全部内容</w:t>
            </w:r>
          </w:p>
        </w:tc>
        <w:tc>
          <w:tcPr>
            <w:tcW w:w="2209" w:type="dxa"/>
            <w:vAlign w:val="center"/>
          </w:tcPr>
          <w:p w14:paraId="789D35AA">
            <w:pPr>
              <w:spacing w:line="360" w:lineRule="auto"/>
              <w:jc w:val="center"/>
              <w:rPr>
                <w:rFonts w:hint="eastAsia" w:ascii="宋体" w:hAnsi="宋体" w:cs="宋体"/>
                <w:b/>
                <w:color w:val="auto"/>
                <w:szCs w:val="21"/>
                <w:highlight w:val="none"/>
              </w:rPr>
            </w:pPr>
          </w:p>
        </w:tc>
      </w:tr>
    </w:tbl>
    <w:p w14:paraId="7AA618A6">
      <w:pPr>
        <w:spacing w:line="360" w:lineRule="auto"/>
        <w:rPr>
          <w:rFonts w:hint="eastAsia" w:ascii="宋体" w:hAnsi="宋体" w:cs="宋体"/>
          <w:color w:val="auto"/>
          <w:szCs w:val="21"/>
          <w:highlight w:val="none"/>
        </w:rPr>
      </w:pPr>
    </w:p>
    <w:p w14:paraId="510C8DCB">
      <w:pPr>
        <w:tabs>
          <w:tab w:val="left" w:pos="1815"/>
        </w:tabs>
        <w:spacing w:line="360" w:lineRule="auto"/>
        <w:ind w:firstLine="413" w:firstLineChars="196"/>
        <w:rPr>
          <w:rFonts w:hint="eastAsia"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1、供应商必须将自己所投货物/服务真实、准确地填入以上表格中。</w:t>
      </w:r>
    </w:p>
    <w:p w14:paraId="69A87764">
      <w:pPr>
        <w:numPr>
          <w:ilvl w:val="0"/>
          <w:numId w:val="7"/>
        </w:numPr>
        <w:tabs>
          <w:tab w:val="left" w:pos="1815"/>
        </w:tabs>
        <w:spacing w:line="360" w:lineRule="auto"/>
        <w:ind w:left="1" w:firstLine="837" w:firstLineChars="399"/>
        <w:rPr>
          <w:rFonts w:hint="eastAsia" w:ascii="宋体" w:hAnsi="宋体" w:cs="宋体"/>
          <w:color w:val="auto"/>
          <w:szCs w:val="21"/>
          <w:highlight w:val="none"/>
        </w:rPr>
      </w:pPr>
      <w:r>
        <w:rPr>
          <w:rFonts w:hint="eastAsia" w:ascii="宋体" w:hAnsi="宋体" w:cs="宋体"/>
          <w:color w:val="auto"/>
          <w:szCs w:val="21"/>
          <w:highlight w:val="none"/>
        </w:rPr>
        <w:t>供应商必须根据自己所投货物/服务与比选文件技术参数要求的差异情况，实事求是地填写“响应情况”（优于、满足、不满足）。</w:t>
      </w:r>
    </w:p>
    <w:p w14:paraId="7EF91E93">
      <w:pPr>
        <w:spacing w:line="360" w:lineRule="auto"/>
        <w:ind w:firstLine="3561" w:firstLineChars="1696"/>
        <w:rPr>
          <w:rFonts w:ascii="宋体" w:cs="宋体"/>
          <w:color w:val="auto"/>
          <w:szCs w:val="21"/>
          <w:highlight w:val="none"/>
        </w:rPr>
      </w:pPr>
      <w:r>
        <w:rPr>
          <w:rFonts w:hint="eastAsia" w:hAnsi="宋体"/>
          <w:color w:val="auto"/>
          <w:highlight w:val="none"/>
        </w:rPr>
        <w:t>参选人</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616F925">
      <w:pPr>
        <w:spacing w:line="360" w:lineRule="auto"/>
        <w:ind w:firstLine="3561" w:firstLineChars="1696"/>
        <w:rPr>
          <w:rFonts w:ascii="宋体" w:cs="宋体"/>
          <w:color w:val="auto"/>
          <w:szCs w:val="21"/>
          <w:highlight w:val="none"/>
        </w:rPr>
      </w:pPr>
    </w:p>
    <w:p w14:paraId="2A60D124">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5F441D9B">
      <w:pPr>
        <w:spacing w:line="360" w:lineRule="auto"/>
        <w:ind w:firstLine="3570" w:firstLineChars="1700"/>
        <w:rPr>
          <w:rFonts w:ascii="宋体" w:cs="宋体"/>
          <w:color w:val="auto"/>
          <w:szCs w:val="21"/>
          <w:highlight w:val="none"/>
        </w:rPr>
      </w:pPr>
    </w:p>
    <w:p w14:paraId="5330A0BE">
      <w:pPr>
        <w:spacing w:line="360" w:lineRule="auto"/>
        <w:ind w:firstLine="3570" w:firstLineChars="1700"/>
        <w:rPr>
          <w:color w:val="auto"/>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r>
        <w:rPr>
          <w:color w:val="auto"/>
          <w:highlight w:val="none"/>
        </w:rPr>
        <w:br w:type="page"/>
      </w:r>
    </w:p>
    <w:p w14:paraId="0B938646">
      <w:pPr>
        <w:pStyle w:val="82"/>
        <w:spacing w:before="156"/>
        <w:ind w:firstLine="350"/>
        <w:rPr>
          <w:color w:val="auto"/>
          <w:highlight w:val="none"/>
        </w:rPr>
      </w:pPr>
    </w:p>
    <w:p w14:paraId="3592D876">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四、诚信投标承诺书</w:t>
      </w:r>
    </w:p>
    <w:p w14:paraId="5D870713">
      <w:pPr>
        <w:rPr>
          <w:rFonts w:hint="eastAsia" w:ascii="仿宋" w:hAnsi="仿宋" w:eastAsia="仿宋" w:cs="仿宋"/>
          <w:b/>
          <w:bCs/>
          <w:color w:val="auto"/>
          <w:sz w:val="24"/>
          <w:szCs w:val="24"/>
          <w:highlight w:val="none"/>
        </w:rPr>
      </w:pPr>
    </w:p>
    <w:p w14:paraId="2027466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本人以企业法定代表人（或个体工商户经营者）的身份郑重承诺：</w:t>
      </w:r>
    </w:p>
    <w:p w14:paraId="1DC5E4B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4BE3485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695C37D4">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11D6BF9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7681F70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72EF81B7">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69503B25">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45F9E969">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1F7C3B5C">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7BFE0692">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5B4EFA2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7FE0D3AF">
      <w:pPr>
        <w:spacing w:line="44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6F25CF04">
      <w:pP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1883C2C5">
      <w:pPr>
        <w:rPr>
          <w:rFonts w:hint="eastAsia" w:ascii="仿宋" w:hAnsi="仿宋" w:eastAsia="仿宋" w:cs="仿宋"/>
          <w:b/>
          <w:bCs/>
          <w:color w:val="auto"/>
          <w:sz w:val="22"/>
          <w:szCs w:val="22"/>
          <w:highlight w:val="none"/>
        </w:rPr>
      </w:pPr>
    </w:p>
    <w:p w14:paraId="11D3ABDA">
      <w:pPr>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00748B16">
      <w:pPr>
        <w:jc w:val="right"/>
        <w:rPr>
          <w:rFonts w:hint="eastAsia" w:ascii="仿宋" w:hAnsi="仿宋" w:eastAsia="仿宋" w:cs="仿宋"/>
          <w:b/>
          <w:bCs/>
          <w:color w:val="auto"/>
          <w:sz w:val="24"/>
          <w:szCs w:val="24"/>
          <w:highlight w:val="none"/>
        </w:rPr>
      </w:pPr>
    </w:p>
    <w:p w14:paraId="12088A03">
      <w:pPr>
        <w:jc w:val="right"/>
        <w:rPr>
          <w:rFonts w:hint="eastAsia" w:ascii="仿宋" w:hAnsi="仿宋" w:eastAsia="仿宋" w:cs="仿宋"/>
          <w:b/>
          <w:bCs/>
          <w:color w:val="auto"/>
          <w:sz w:val="24"/>
          <w:szCs w:val="24"/>
          <w:highlight w:val="none"/>
        </w:rPr>
      </w:pPr>
    </w:p>
    <w:p w14:paraId="6CA33F59">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4DC22FC1">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bookmarkEnd w:id="77"/>
    <w:bookmarkEnd w:id="78"/>
    <w:p w14:paraId="2DAEEF6F">
      <w:pPr>
        <w:keepNext/>
        <w:keepLines/>
        <w:wordWrap w:val="0"/>
        <w:autoSpaceDE w:val="0"/>
        <w:autoSpaceDN w:val="0"/>
        <w:adjustRightInd w:val="0"/>
        <w:spacing w:line="440" w:lineRule="exact"/>
        <w:jc w:val="center"/>
        <w:outlineLvl w:val="2"/>
        <w:rPr>
          <w:rFonts w:ascii="宋体" w:cs="宋体"/>
          <w:b/>
          <w:color w:val="auto"/>
          <w:kern w:val="0"/>
          <w:sz w:val="28"/>
          <w:szCs w:val="28"/>
          <w:highlight w:val="none"/>
          <w:shd w:val="clear" w:color="auto" w:fill="FFFFFF"/>
        </w:rPr>
      </w:pPr>
      <w:r>
        <w:rPr>
          <w:rFonts w:hint="eastAsia" w:ascii="宋体" w:cs="宋体"/>
          <w:b/>
          <w:color w:val="auto"/>
          <w:kern w:val="0"/>
          <w:sz w:val="28"/>
          <w:szCs w:val="28"/>
          <w:highlight w:val="none"/>
          <w:shd w:val="clear" w:color="auto" w:fill="FFFFFF"/>
        </w:rPr>
        <w:t>五、相关证明文件</w:t>
      </w:r>
    </w:p>
    <w:p w14:paraId="2B243384">
      <w:pPr>
        <w:spacing w:line="360" w:lineRule="auto"/>
        <w:ind w:firstLine="420" w:firstLineChars="200"/>
        <w:rPr>
          <w:rFonts w:hint="eastAsia" w:ascii="宋体" w:hAnsi="宋体" w:cs="宋体"/>
          <w:color w:val="auto"/>
          <w:szCs w:val="21"/>
          <w:highlight w:val="none"/>
        </w:rPr>
      </w:pPr>
    </w:p>
    <w:p w14:paraId="26D91FA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1、营业执照副本复印件；</w:t>
      </w:r>
    </w:p>
    <w:p w14:paraId="72A015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2、税务登记证副本复印件；（如为三证合一的，只需提供三证合一的营业执照复印件）；</w:t>
      </w:r>
    </w:p>
    <w:p w14:paraId="0259FC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3、法定代表人身份证明书（格式见附件）及其有效二代居民身份证；</w:t>
      </w:r>
    </w:p>
    <w:p w14:paraId="513C66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54486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5、参选人认为提供的其他材料；</w:t>
      </w:r>
    </w:p>
    <w:p w14:paraId="00E06B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6、须提供上述证明文件复印件或扫描件或影印件。</w:t>
      </w:r>
    </w:p>
    <w:p w14:paraId="3C7F29BA">
      <w:pPr>
        <w:spacing w:line="360" w:lineRule="auto"/>
        <w:ind w:left="368" w:leftChars="175"/>
        <w:rPr>
          <w:rFonts w:hint="eastAsia" w:ascii="宋体" w:hAnsi="宋体" w:cs="宋体"/>
          <w:b/>
          <w:color w:val="auto"/>
          <w:spacing w:val="-4"/>
          <w:kern w:val="0"/>
          <w:szCs w:val="21"/>
          <w:highlight w:val="none"/>
        </w:rPr>
      </w:pPr>
    </w:p>
    <w:p w14:paraId="7570963E">
      <w:pPr>
        <w:rPr>
          <w:color w:val="auto"/>
          <w:highlight w:val="none"/>
        </w:rPr>
      </w:pPr>
      <w:r>
        <w:rPr>
          <w:rFonts w:ascii="宋体" w:hAnsi="宋体" w:cs="宋体"/>
          <w:b/>
          <w:color w:val="auto"/>
          <w:spacing w:val="-4"/>
          <w:kern w:val="0"/>
          <w:szCs w:val="21"/>
          <w:highlight w:val="none"/>
        </w:rPr>
        <w:br w:type="page"/>
      </w:r>
    </w:p>
    <w:p w14:paraId="7B40AD60">
      <w:pPr>
        <w:spacing w:line="360" w:lineRule="auto"/>
        <w:jc w:val="left"/>
        <w:rPr>
          <w:rFonts w:hint="eastAsia" w:ascii="宋体" w:hAnsi="宋体"/>
          <w:b/>
          <w:bCs/>
          <w:color w:val="auto"/>
          <w:szCs w:val="21"/>
          <w:highlight w:val="none"/>
        </w:rPr>
      </w:pPr>
      <w:r>
        <w:rPr>
          <w:rFonts w:hint="eastAsia" w:ascii="宋体" w:hAnsi="宋体"/>
          <w:b/>
          <w:bCs/>
          <w:color w:val="auto"/>
          <w:szCs w:val="24"/>
          <w:highlight w:val="none"/>
        </w:rPr>
        <w:t>附件：</w:t>
      </w:r>
    </w:p>
    <w:p w14:paraId="7B482898">
      <w:pPr>
        <w:spacing w:line="360" w:lineRule="auto"/>
        <w:ind w:firstLine="413" w:firstLineChars="196"/>
        <w:jc w:val="center"/>
        <w:rPr>
          <w:rFonts w:hint="eastAsia" w:ascii="宋体" w:hAnsi="宋体" w:cs="宋体"/>
          <w:b/>
          <w:color w:val="auto"/>
          <w:szCs w:val="21"/>
          <w:highlight w:val="none"/>
        </w:rPr>
      </w:pPr>
    </w:p>
    <w:p w14:paraId="1A4A3EA4">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2D51D0F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36C9DD09">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7931652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703776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5B091850">
      <w:pPr>
        <w:wordWrap w:val="0"/>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6F6AA2E">
      <w:pPr>
        <w:wordWrap w:val="0"/>
        <w:adjustRightInd w:val="0"/>
        <w:snapToGrid w:val="0"/>
        <w:spacing w:line="360" w:lineRule="auto"/>
        <w:ind w:firstLine="411" w:firstLineChars="196"/>
        <w:rPr>
          <w:rFonts w:hint="eastAsia"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p>
    <w:p w14:paraId="3FEB5684">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4262DB72">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658987EB">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830249A">
      <w:pPr>
        <w:wordWrap w:val="0"/>
        <w:adjustRightInd w:val="0"/>
        <w:snapToGrid w:val="0"/>
        <w:spacing w:line="360" w:lineRule="auto"/>
        <w:ind w:right="360" w:firstLine="4851" w:firstLineChars="2310"/>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9F906CF">
      <w:pPr>
        <w:pStyle w:val="82"/>
        <w:spacing w:before="156"/>
        <w:ind w:firstLine="0" w:firstLineChars="0"/>
        <w:rPr>
          <w:color w:val="auto"/>
          <w:highlight w:val="none"/>
        </w:rPr>
      </w:pPr>
    </w:p>
    <w:p w14:paraId="0186E508">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2F0D0F5E">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23134A1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p>
    <w:p w14:paraId="360F0C05">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A4CF6F7">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75AB4D79">
      <w:p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7C822F4">
      <w:pPr>
        <w:wordWrap w:val="0"/>
        <w:spacing w:line="360" w:lineRule="auto"/>
        <w:ind w:firstLine="420" w:firstLineChars="200"/>
        <w:rPr>
          <w:rFonts w:hint="eastAsia"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63F1B831">
      <w:pPr>
        <w:wordWrap w:val="0"/>
        <w:spacing w:line="360" w:lineRule="auto"/>
        <w:ind w:firstLine="420" w:firstLineChars="200"/>
        <w:rPr>
          <w:rFonts w:hint="eastAsia"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4B34099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265FC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highlight w:val="none"/>
          <w:u w:val="single"/>
        </w:rPr>
        <w:t>签字或</w:t>
      </w:r>
      <w:r>
        <w:rPr>
          <w:rFonts w:hint="eastAsia" w:ascii="宋体" w:hAnsi="宋体" w:cs="宋体"/>
          <w:color w:val="auto"/>
          <w:szCs w:val="21"/>
          <w:highlight w:val="none"/>
          <w:u w:val="single"/>
        </w:rPr>
        <w:t>盖章）</w:t>
      </w:r>
    </w:p>
    <w:p w14:paraId="43E3C8C0">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14993B9A">
      <w:pPr>
        <w:wordWrap w:val="0"/>
        <w:spacing w:line="360" w:lineRule="auto"/>
        <w:ind w:right="480" w:firstLine="420" w:firstLineChars="200"/>
        <w:rPr>
          <w:rFonts w:hint="eastAsia" w:ascii="宋体" w:hAnsi="宋体" w:cs="宋体"/>
          <w:color w:val="auto"/>
          <w:szCs w:val="21"/>
          <w:highlight w:val="none"/>
        </w:rPr>
      </w:pPr>
    </w:p>
    <w:sectPr>
      <w:pgSz w:w="11906" w:h="16838"/>
      <w:pgMar w:top="1440" w:right="1587" w:bottom="1440" w:left="1587" w:header="851" w:footer="992" w:gutter="0"/>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D2DA3">
    <w:pPr>
      <w:pStyle w:val="38"/>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29D7E">
    <w:pPr>
      <w:pStyle w:val="38"/>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5380B3D4">
    <w:pPr>
      <w:pStyle w:val="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D074">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D7E6F">
    <w:pPr>
      <w:pStyle w:val="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E104">
    <w:pPr>
      <w:pStyle w:val="3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5EF8">
                          <w:pPr>
                            <w:pStyle w:val="38"/>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AD5EF8">
                    <w:pPr>
                      <w:pStyle w:val="38"/>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4E69A">
    <w:pPr>
      <w:pStyle w:val="3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B304F">
                          <w:pPr>
                            <w:pStyle w:val="3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7B304F">
                    <w:pPr>
                      <w:pStyle w:val="3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E61D0">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8B37">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EA8FC">
    <w:pPr>
      <w:pStyle w:val="39"/>
      <w:pBdr>
        <w:bottom w:val="single" w:color="auto" w:sz="4" w:space="1"/>
      </w:pBdr>
      <w:jc w:val="right"/>
    </w:pPr>
    <w:r>
      <w:rPr>
        <w:rFonts w:hint="eastAsia"/>
        <w:sz w:val="16"/>
        <w:szCs w:val="16"/>
        <w:lang w:eastAsia="zh-CN"/>
      </w:rPr>
      <w:t>安庆市石门湖港输送皮带采购项目</w:t>
    </w:r>
    <w:r>
      <w:rPr>
        <w:rFonts w:hint="eastAsia"/>
        <w:sz w:val="16"/>
        <w:szCs w:val="16"/>
      </w:rPr>
      <w:t>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8D28">
    <w:pPr>
      <w:pStyle w:val="39"/>
      <w:pBdr>
        <w:bottom w:val="single" w:color="auto" w:sz="4" w:space="1"/>
      </w:pBdr>
      <w:jc w:val="right"/>
      <w:rPr>
        <w:sz w:val="16"/>
        <w:szCs w:val="16"/>
      </w:rPr>
    </w:pPr>
    <w:r>
      <w:rPr>
        <w:rFonts w:hint="eastAsia"/>
        <w:sz w:val="16"/>
        <w:szCs w:val="16"/>
        <w:lang w:eastAsia="zh-CN"/>
      </w:rPr>
      <w:t>安庆市石门湖港输送皮带采购项目</w:t>
    </w:r>
    <w:r>
      <w:rPr>
        <w:rFonts w:hint="eastAsia"/>
        <w:sz w:val="16"/>
        <w:szCs w:val="16"/>
      </w:rPr>
      <w:t>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C3CD3"/>
    <w:multiLevelType w:val="singleLevel"/>
    <w:tmpl w:val="C4BC3CD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3">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abstractNum w:abstractNumId="5">
    <w:nsid w:val="414EB988"/>
    <w:multiLevelType w:val="singleLevel"/>
    <w:tmpl w:val="414EB988"/>
    <w:lvl w:ilvl="0" w:tentative="0">
      <w:start w:val="2"/>
      <w:numFmt w:val="decimal"/>
      <w:suff w:val="nothing"/>
      <w:lvlText w:val="%1、"/>
      <w:lvlJc w:val="left"/>
    </w:lvl>
  </w:abstractNum>
  <w:abstractNum w:abstractNumId="6">
    <w:nsid w:val="44C50F90"/>
    <w:multiLevelType w:val="multilevel"/>
    <w:tmpl w:val="44C50F90"/>
    <w:lvl w:ilvl="0" w:tentative="0">
      <w:start w:val="1"/>
      <w:numFmt w:val="lowerLetter"/>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98"/>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0"/>
  </w:num>
  <w:num w:numId="2">
    <w:abstractNumId w:val="1"/>
  </w:num>
  <w:num w:numId="3">
    <w:abstractNumId w:val="3"/>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6628B"/>
    <w:rsid w:val="00171D5E"/>
    <w:rsid w:val="00172A27"/>
    <w:rsid w:val="00182B0C"/>
    <w:rsid w:val="001A2433"/>
    <w:rsid w:val="001A4127"/>
    <w:rsid w:val="001B1EF8"/>
    <w:rsid w:val="001B3868"/>
    <w:rsid w:val="001B6DBE"/>
    <w:rsid w:val="001C2583"/>
    <w:rsid w:val="001D7738"/>
    <w:rsid w:val="001E606E"/>
    <w:rsid w:val="001F1418"/>
    <w:rsid w:val="0022301B"/>
    <w:rsid w:val="00225378"/>
    <w:rsid w:val="00225FE3"/>
    <w:rsid w:val="00232BD2"/>
    <w:rsid w:val="00247966"/>
    <w:rsid w:val="0025055D"/>
    <w:rsid w:val="00252057"/>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D654D"/>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6932"/>
    <w:rsid w:val="003911A0"/>
    <w:rsid w:val="00392106"/>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7BC"/>
    <w:rsid w:val="00450D0D"/>
    <w:rsid w:val="004531A3"/>
    <w:rsid w:val="0047383D"/>
    <w:rsid w:val="00480FA5"/>
    <w:rsid w:val="00491D34"/>
    <w:rsid w:val="00492186"/>
    <w:rsid w:val="004957EB"/>
    <w:rsid w:val="004B3E89"/>
    <w:rsid w:val="004D6BFF"/>
    <w:rsid w:val="004E4177"/>
    <w:rsid w:val="004F32F5"/>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4523"/>
    <w:rsid w:val="0054600D"/>
    <w:rsid w:val="0054794B"/>
    <w:rsid w:val="00551580"/>
    <w:rsid w:val="00554F65"/>
    <w:rsid w:val="00560BB4"/>
    <w:rsid w:val="005614A3"/>
    <w:rsid w:val="00567DA2"/>
    <w:rsid w:val="00570BA9"/>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32A40"/>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4CF9"/>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0240"/>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3D26"/>
    <w:rsid w:val="00CA5BBE"/>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66CC"/>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97EF7"/>
    <w:rsid w:val="00FA728E"/>
    <w:rsid w:val="00FB57EE"/>
    <w:rsid w:val="00FB654E"/>
    <w:rsid w:val="00FC682E"/>
    <w:rsid w:val="00FD138A"/>
    <w:rsid w:val="00FD6E5D"/>
    <w:rsid w:val="00FE506C"/>
    <w:rsid w:val="00FF22A3"/>
    <w:rsid w:val="00FF323D"/>
    <w:rsid w:val="01022145"/>
    <w:rsid w:val="01071EBF"/>
    <w:rsid w:val="01182082"/>
    <w:rsid w:val="013E06FD"/>
    <w:rsid w:val="014C4DA3"/>
    <w:rsid w:val="014F219D"/>
    <w:rsid w:val="01527EDF"/>
    <w:rsid w:val="01535EB9"/>
    <w:rsid w:val="015E3B86"/>
    <w:rsid w:val="015F21D1"/>
    <w:rsid w:val="0191681C"/>
    <w:rsid w:val="0194047C"/>
    <w:rsid w:val="019E06E3"/>
    <w:rsid w:val="01B774B7"/>
    <w:rsid w:val="01F704B8"/>
    <w:rsid w:val="01FD0DAF"/>
    <w:rsid w:val="02060261"/>
    <w:rsid w:val="0226424B"/>
    <w:rsid w:val="022E6257"/>
    <w:rsid w:val="02555ED9"/>
    <w:rsid w:val="02755FB4"/>
    <w:rsid w:val="02B052A9"/>
    <w:rsid w:val="02B05A97"/>
    <w:rsid w:val="02B14DC7"/>
    <w:rsid w:val="02F94AB6"/>
    <w:rsid w:val="0319408F"/>
    <w:rsid w:val="032717F3"/>
    <w:rsid w:val="037261AB"/>
    <w:rsid w:val="03824AAC"/>
    <w:rsid w:val="0383243B"/>
    <w:rsid w:val="038F71C9"/>
    <w:rsid w:val="03906A9D"/>
    <w:rsid w:val="03935BFE"/>
    <w:rsid w:val="03B66504"/>
    <w:rsid w:val="03B70FA8"/>
    <w:rsid w:val="03B81543"/>
    <w:rsid w:val="03BB5EDE"/>
    <w:rsid w:val="03DE3CAC"/>
    <w:rsid w:val="03DE75FB"/>
    <w:rsid w:val="03EF1A15"/>
    <w:rsid w:val="03EF27C8"/>
    <w:rsid w:val="03F1273F"/>
    <w:rsid w:val="04197674"/>
    <w:rsid w:val="041E3B9F"/>
    <w:rsid w:val="04271553"/>
    <w:rsid w:val="044D094D"/>
    <w:rsid w:val="046441B2"/>
    <w:rsid w:val="04753845"/>
    <w:rsid w:val="047A5783"/>
    <w:rsid w:val="048030FE"/>
    <w:rsid w:val="04843FA4"/>
    <w:rsid w:val="05051ACD"/>
    <w:rsid w:val="050913A9"/>
    <w:rsid w:val="050A31D6"/>
    <w:rsid w:val="051557B4"/>
    <w:rsid w:val="0519281B"/>
    <w:rsid w:val="051F656E"/>
    <w:rsid w:val="055C64B1"/>
    <w:rsid w:val="057A17B3"/>
    <w:rsid w:val="058101E9"/>
    <w:rsid w:val="058663AA"/>
    <w:rsid w:val="05AC5251"/>
    <w:rsid w:val="05C72C4A"/>
    <w:rsid w:val="05D610DF"/>
    <w:rsid w:val="05DD4740"/>
    <w:rsid w:val="05FE4A0C"/>
    <w:rsid w:val="064C5934"/>
    <w:rsid w:val="067D155B"/>
    <w:rsid w:val="0684593C"/>
    <w:rsid w:val="06986394"/>
    <w:rsid w:val="06AB60C8"/>
    <w:rsid w:val="06B833C2"/>
    <w:rsid w:val="06B84C89"/>
    <w:rsid w:val="06FF46EC"/>
    <w:rsid w:val="0753050D"/>
    <w:rsid w:val="075E2F4A"/>
    <w:rsid w:val="07632E46"/>
    <w:rsid w:val="07AD3D40"/>
    <w:rsid w:val="07D9336F"/>
    <w:rsid w:val="07E06245"/>
    <w:rsid w:val="07F4584C"/>
    <w:rsid w:val="080A0FED"/>
    <w:rsid w:val="080C0D0C"/>
    <w:rsid w:val="081D30B5"/>
    <w:rsid w:val="082A74C0"/>
    <w:rsid w:val="082C148A"/>
    <w:rsid w:val="084E1401"/>
    <w:rsid w:val="08566507"/>
    <w:rsid w:val="087F7922"/>
    <w:rsid w:val="08BB280E"/>
    <w:rsid w:val="08C47915"/>
    <w:rsid w:val="08C565F2"/>
    <w:rsid w:val="08DC2EE2"/>
    <w:rsid w:val="08E202AC"/>
    <w:rsid w:val="091F0FEF"/>
    <w:rsid w:val="093164D8"/>
    <w:rsid w:val="09521B8C"/>
    <w:rsid w:val="09554A11"/>
    <w:rsid w:val="095F36DA"/>
    <w:rsid w:val="0983332C"/>
    <w:rsid w:val="09A278BC"/>
    <w:rsid w:val="09C83435"/>
    <w:rsid w:val="09D26061"/>
    <w:rsid w:val="09E06BFA"/>
    <w:rsid w:val="09E85885"/>
    <w:rsid w:val="09E919F8"/>
    <w:rsid w:val="0A256191"/>
    <w:rsid w:val="0A762256"/>
    <w:rsid w:val="0A933E5C"/>
    <w:rsid w:val="0AB614DF"/>
    <w:rsid w:val="0AC91212"/>
    <w:rsid w:val="0AD53626"/>
    <w:rsid w:val="0AD96F7B"/>
    <w:rsid w:val="0B024FEC"/>
    <w:rsid w:val="0B1E73EC"/>
    <w:rsid w:val="0B244FB8"/>
    <w:rsid w:val="0B3023B0"/>
    <w:rsid w:val="0B5D195B"/>
    <w:rsid w:val="0B5D6C64"/>
    <w:rsid w:val="0B656974"/>
    <w:rsid w:val="0B7C44D7"/>
    <w:rsid w:val="0BA648D7"/>
    <w:rsid w:val="0BA92DF2"/>
    <w:rsid w:val="0BBA70A3"/>
    <w:rsid w:val="0BBF1858"/>
    <w:rsid w:val="0BFC5617"/>
    <w:rsid w:val="0C210BDA"/>
    <w:rsid w:val="0C4A0131"/>
    <w:rsid w:val="0C4E7E44"/>
    <w:rsid w:val="0C601702"/>
    <w:rsid w:val="0C665C1C"/>
    <w:rsid w:val="0D0F7008"/>
    <w:rsid w:val="0D1129FD"/>
    <w:rsid w:val="0D136775"/>
    <w:rsid w:val="0D447276"/>
    <w:rsid w:val="0D5154EF"/>
    <w:rsid w:val="0D587134"/>
    <w:rsid w:val="0D844B1B"/>
    <w:rsid w:val="0D9C49BC"/>
    <w:rsid w:val="0DB02216"/>
    <w:rsid w:val="0DB717F6"/>
    <w:rsid w:val="0DF77E44"/>
    <w:rsid w:val="0E0D7668"/>
    <w:rsid w:val="0E0E5A47"/>
    <w:rsid w:val="0E1A3B33"/>
    <w:rsid w:val="0E2A021A"/>
    <w:rsid w:val="0E3A41D5"/>
    <w:rsid w:val="0E3E1F17"/>
    <w:rsid w:val="0E513821"/>
    <w:rsid w:val="0E59465B"/>
    <w:rsid w:val="0E6574A4"/>
    <w:rsid w:val="0EF1229F"/>
    <w:rsid w:val="0EF40828"/>
    <w:rsid w:val="0F051BB9"/>
    <w:rsid w:val="0F1A64E0"/>
    <w:rsid w:val="0F323C9D"/>
    <w:rsid w:val="0F3B6457"/>
    <w:rsid w:val="0F6E0750"/>
    <w:rsid w:val="0F711E78"/>
    <w:rsid w:val="0F81030D"/>
    <w:rsid w:val="0F8E2325"/>
    <w:rsid w:val="0F987405"/>
    <w:rsid w:val="0FBD6E6C"/>
    <w:rsid w:val="0FD35E8A"/>
    <w:rsid w:val="0FE95356"/>
    <w:rsid w:val="10227A07"/>
    <w:rsid w:val="10345380"/>
    <w:rsid w:val="10685029"/>
    <w:rsid w:val="106F460A"/>
    <w:rsid w:val="10745ABA"/>
    <w:rsid w:val="108005C5"/>
    <w:rsid w:val="10892AAE"/>
    <w:rsid w:val="10AB3F70"/>
    <w:rsid w:val="10C63759"/>
    <w:rsid w:val="10C90438"/>
    <w:rsid w:val="111B209C"/>
    <w:rsid w:val="114D7560"/>
    <w:rsid w:val="1161187F"/>
    <w:rsid w:val="11717F0E"/>
    <w:rsid w:val="11800D39"/>
    <w:rsid w:val="11851C0B"/>
    <w:rsid w:val="11A8682E"/>
    <w:rsid w:val="11C52008"/>
    <w:rsid w:val="11FA6155"/>
    <w:rsid w:val="11FC3056"/>
    <w:rsid w:val="12317D70"/>
    <w:rsid w:val="12914286"/>
    <w:rsid w:val="129B5577"/>
    <w:rsid w:val="12B654AE"/>
    <w:rsid w:val="12BF6C3A"/>
    <w:rsid w:val="12EF6C4F"/>
    <w:rsid w:val="13057218"/>
    <w:rsid w:val="130848A2"/>
    <w:rsid w:val="131F3FC3"/>
    <w:rsid w:val="132C1124"/>
    <w:rsid w:val="132C1DDC"/>
    <w:rsid w:val="133236CD"/>
    <w:rsid w:val="13373808"/>
    <w:rsid w:val="133E598E"/>
    <w:rsid w:val="13511DA5"/>
    <w:rsid w:val="13682AD5"/>
    <w:rsid w:val="137B5074"/>
    <w:rsid w:val="13871C6A"/>
    <w:rsid w:val="138959E3"/>
    <w:rsid w:val="139D148E"/>
    <w:rsid w:val="13A548EC"/>
    <w:rsid w:val="13A75E69"/>
    <w:rsid w:val="13C058D8"/>
    <w:rsid w:val="13DC787E"/>
    <w:rsid w:val="13DF75C7"/>
    <w:rsid w:val="13F817EA"/>
    <w:rsid w:val="140631C3"/>
    <w:rsid w:val="14135D3F"/>
    <w:rsid w:val="14211A7C"/>
    <w:rsid w:val="142D3EB0"/>
    <w:rsid w:val="143310E5"/>
    <w:rsid w:val="143B34E6"/>
    <w:rsid w:val="144F414D"/>
    <w:rsid w:val="14764964"/>
    <w:rsid w:val="14771CDF"/>
    <w:rsid w:val="147C0B64"/>
    <w:rsid w:val="147D2309"/>
    <w:rsid w:val="14964B92"/>
    <w:rsid w:val="14C557AE"/>
    <w:rsid w:val="14CE4755"/>
    <w:rsid w:val="150B0C19"/>
    <w:rsid w:val="151237B6"/>
    <w:rsid w:val="152306E7"/>
    <w:rsid w:val="155362A8"/>
    <w:rsid w:val="1598025F"/>
    <w:rsid w:val="15A27252"/>
    <w:rsid w:val="15A34C73"/>
    <w:rsid w:val="15AE7982"/>
    <w:rsid w:val="15B022D8"/>
    <w:rsid w:val="15B34F99"/>
    <w:rsid w:val="15C745A0"/>
    <w:rsid w:val="15CD45BF"/>
    <w:rsid w:val="15E070C3"/>
    <w:rsid w:val="15E24861"/>
    <w:rsid w:val="15FF4448"/>
    <w:rsid w:val="16017613"/>
    <w:rsid w:val="162576DC"/>
    <w:rsid w:val="163559AE"/>
    <w:rsid w:val="16393445"/>
    <w:rsid w:val="16473933"/>
    <w:rsid w:val="16766FAA"/>
    <w:rsid w:val="168669B4"/>
    <w:rsid w:val="16A910FE"/>
    <w:rsid w:val="16BA21D7"/>
    <w:rsid w:val="16C32FBA"/>
    <w:rsid w:val="16C805D0"/>
    <w:rsid w:val="16D301F3"/>
    <w:rsid w:val="16D943D3"/>
    <w:rsid w:val="16FF65AF"/>
    <w:rsid w:val="172907FA"/>
    <w:rsid w:val="17453C22"/>
    <w:rsid w:val="17563E2E"/>
    <w:rsid w:val="17653798"/>
    <w:rsid w:val="17996410"/>
    <w:rsid w:val="179C380B"/>
    <w:rsid w:val="17A20397"/>
    <w:rsid w:val="17A4103D"/>
    <w:rsid w:val="17A54DB5"/>
    <w:rsid w:val="17AA4179"/>
    <w:rsid w:val="17B37F3A"/>
    <w:rsid w:val="17C52D61"/>
    <w:rsid w:val="17D11706"/>
    <w:rsid w:val="17D46DFC"/>
    <w:rsid w:val="180A2E6A"/>
    <w:rsid w:val="180C1DB8"/>
    <w:rsid w:val="18162428"/>
    <w:rsid w:val="181D2AAB"/>
    <w:rsid w:val="182C72B2"/>
    <w:rsid w:val="183364E8"/>
    <w:rsid w:val="184D5479"/>
    <w:rsid w:val="18590648"/>
    <w:rsid w:val="1867206B"/>
    <w:rsid w:val="18987118"/>
    <w:rsid w:val="18C9062F"/>
    <w:rsid w:val="18CE20EA"/>
    <w:rsid w:val="18E67433"/>
    <w:rsid w:val="18FB4F95"/>
    <w:rsid w:val="18FF04F5"/>
    <w:rsid w:val="19053D5D"/>
    <w:rsid w:val="190653E0"/>
    <w:rsid w:val="191310CD"/>
    <w:rsid w:val="191D1EE7"/>
    <w:rsid w:val="19397AAF"/>
    <w:rsid w:val="19540444"/>
    <w:rsid w:val="19691EDC"/>
    <w:rsid w:val="19956C86"/>
    <w:rsid w:val="19DB4ABE"/>
    <w:rsid w:val="1A182074"/>
    <w:rsid w:val="1A475CB0"/>
    <w:rsid w:val="1A591713"/>
    <w:rsid w:val="1A5F24A0"/>
    <w:rsid w:val="1A5F749D"/>
    <w:rsid w:val="1A6159EB"/>
    <w:rsid w:val="1A783684"/>
    <w:rsid w:val="1A826A8E"/>
    <w:rsid w:val="1AA82808"/>
    <w:rsid w:val="1AB31E5A"/>
    <w:rsid w:val="1AB86BAD"/>
    <w:rsid w:val="1ABA4CF6"/>
    <w:rsid w:val="1B03607B"/>
    <w:rsid w:val="1B1E62C5"/>
    <w:rsid w:val="1B324BB2"/>
    <w:rsid w:val="1B3E740A"/>
    <w:rsid w:val="1B422E5C"/>
    <w:rsid w:val="1B4D4BEF"/>
    <w:rsid w:val="1B522ECD"/>
    <w:rsid w:val="1B593EEC"/>
    <w:rsid w:val="1B8A679C"/>
    <w:rsid w:val="1B9708D8"/>
    <w:rsid w:val="1BA93D87"/>
    <w:rsid w:val="1BAF6202"/>
    <w:rsid w:val="1BB9498B"/>
    <w:rsid w:val="1BBA52F4"/>
    <w:rsid w:val="1BBB0703"/>
    <w:rsid w:val="1BC3580A"/>
    <w:rsid w:val="1BC80A07"/>
    <w:rsid w:val="1BEF4851"/>
    <w:rsid w:val="1BF400B9"/>
    <w:rsid w:val="1C1B6D10"/>
    <w:rsid w:val="1C2724D2"/>
    <w:rsid w:val="1C3653CF"/>
    <w:rsid w:val="1C43402B"/>
    <w:rsid w:val="1C6074FD"/>
    <w:rsid w:val="1C6325C6"/>
    <w:rsid w:val="1C825622"/>
    <w:rsid w:val="1C8655AD"/>
    <w:rsid w:val="1CA82FEF"/>
    <w:rsid w:val="1CC41839"/>
    <w:rsid w:val="1CED005C"/>
    <w:rsid w:val="1D3A5FA0"/>
    <w:rsid w:val="1D5539EC"/>
    <w:rsid w:val="1D6F5C49"/>
    <w:rsid w:val="1D756A60"/>
    <w:rsid w:val="1D772D50"/>
    <w:rsid w:val="1D835251"/>
    <w:rsid w:val="1DAC54FF"/>
    <w:rsid w:val="1E156B8A"/>
    <w:rsid w:val="1E1E0410"/>
    <w:rsid w:val="1E2F342B"/>
    <w:rsid w:val="1E335D6C"/>
    <w:rsid w:val="1E494C39"/>
    <w:rsid w:val="1E550BE9"/>
    <w:rsid w:val="1E7D6144"/>
    <w:rsid w:val="1E94348E"/>
    <w:rsid w:val="1EB12291"/>
    <w:rsid w:val="1EBA3BB9"/>
    <w:rsid w:val="1EFB5AC5"/>
    <w:rsid w:val="1F016D75"/>
    <w:rsid w:val="1F0B25BC"/>
    <w:rsid w:val="1F0B4909"/>
    <w:rsid w:val="1F170346"/>
    <w:rsid w:val="1F1F544D"/>
    <w:rsid w:val="1F220E88"/>
    <w:rsid w:val="1F610FFA"/>
    <w:rsid w:val="1F63494D"/>
    <w:rsid w:val="1F765ABE"/>
    <w:rsid w:val="1F927BDC"/>
    <w:rsid w:val="1FB7227C"/>
    <w:rsid w:val="1FD020F8"/>
    <w:rsid w:val="1FE20707"/>
    <w:rsid w:val="1FE64182"/>
    <w:rsid w:val="1FFE1506"/>
    <w:rsid w:val="200B4308"/>
    <w:rsid w:val="200C3C23"/>
    <w:rsid w:val="201900EE"/>
    <w:rsid w:val="20281ADB"/>
    <w:rsid w:val="20325D43"/>
    <w:rsid w:val="203A2484"/>
    <w:rsid w:val="203B2CBD"/>
    <w:rsid w:val="2048007B"/>
    <w:rsid w:val="206C2914"/>
    <w:rsid w:val="20AF1D84"/>
    <w:rsid w:val="20C242E2"/>
    <w:rsid w:val="20CA3EEF"/>
    <w:rsid w:val="20E406FC"/>
    <w:rsid w:val="20F253C1"/>
    <w:rsid w:val="20F52170"/>
    <w:rsid w:val="210B5C89"/>
    <w:rsid w:val="2110329F"/>
    <w:rsid w:val="213A6C76"/>
    <w:rsid w:val="213C22E6"/>
    <w:rsid w:val="213D2165"/>
    <w:rsid w:val="21507B40"/>
    <w:rsid w:val="215238B8"/>
    <w:rsid w:val="2168597A"/>
    <w:rsid w:val="217C0935"/>
    <w:rsid w:val="219569E3"/>
    <w:rsid w:val="21DA62E3"/>
    <w:rsid w:val="21DE339D"/>
    <w:rsid w:val="21DE779E"/>
    <w:rsid w:val="21E07C0E"/>
    <w:rsid w:val="220D348A"/>
    <w:rsid w:val="220F7F28"/>
    <w:rsid w:val="221768AF"/>
    <w:rsid w:val="22276873"/>
    <w:rsid w:val="22665141"/>
    <w:rsid w:val="22851AFF"/>
    <w:rsid w:val="22943AF1"/>
    <w:rsid w:val="22C56F28"/>
    <w:rsid w:val="22F1036D"/>
    <w:rsid w:val="230961F8"/>
    <w:rsid w:val="230D47B1"/>
    <w:rsid w:val="23244DE0"/>
    <w:rsid w:val="23297026"/>
    <w:rsid w:val="23445819"/>
    <w:rsid w:val="234B6811"/>
    <w:rsid w:val="234E00AF"/>
    <w:rsid w:val="237D20DD"/>
    <w:rsid w:val="237F6C4B"/>
    <w:rsid w:val="238B5CC6"/>
    <w:rsid w:val="2399026C"/>
    <w:rsid w:val="23C860B3"/>
    <w:rsid w:val="23CD2AB0"/>
    <w:rsid w:val="23E2675E"/>
    <w:rsid w:val="23ED5B9A"/>
    <w:rsid w:val="23FF584D"/>
    <w:rsid w:val="24082954"/>
    <w:rsid w:val="242B66E0"/>
    <w:rsid w:val="246E1E2F"/>
    <w:rsid w:val="24A425A4"/>
    <w:rsid w:val="24B46637"/>
    <w:rsid w:val="24C3687B"/>
    <w:rsid w:val="24CD6E81"/>
    <w:rsid w:val="24DD793C"/>
    <w:rsid w:val="24F609FE"/>
    <w:rsid w:val="24FC2312"/>
    <w:rsid w:val="25276E09"/>
    <w:rsid w:val="252D4FEE"/>
    <w:rsid w:val="252E1F46"/>
    <w:rsid w:val="253B7530"/>
    <w:rsid w:val="253D662D"/>
    <w:rsid w:val="254A62EC"/>
    <w:rsid w:val="255B6AB3"/>
    <w:rsid w:val="256C2A6E"/>
    <w:rsid w:val="25733DFD"/>
    <w:rsid w:val="258516D5"/>
    <w:rsid w:val="259018C4"/>
    <w:rsid w:val="25B4290B"/>
    <w:rsid w:val="25B53949"/>
    <w:rsid w:val="25BD151C"/>
    <w:rsid w:val="25F413E1"/>
    <w:rsid w:val="25F9508D"/>
    <w:rsid w:val="2604714B"/>
    <w:rsid w:val="2609783F"/>
    <w:rsid w:val="26103D41"/>
    <w:rsid w:val="2623548B"/>
    <w:rsid w:val="262461E3"/>
    <w:rsid w:val="26513FE9"/>
    <w:rsid w:val="2669200D"/>
    <w:rsid w:val="26720558"/>
    <w:rsid w:val="267A330E"/>
    <w:rsid w:val="26834513"/>
    <w:rsid w:val="268C323C"/>
    <w:rsid w:val="26C16DEA"/>
    <w:rsid w:val="26CB1A16"/>
    <w:rsid w:val="26CF7759"/>
    <w:rsid w:val="26DA0B24"/>
    <w:rsid w:val="26FA0C40"/>
    <w:rsid w:val="270C3BDB"/>
    <w:rsid w:val="2719399B"/>
    <w:rsid w:val="273977AC"/>
    <w:rsid w:val="27854579"/>
    <w:rsid w:val="27C76EF3"/>
    <w:rsid w:val="27CE1D61"/>
    <w:rsid w:val="27E70E9B"/>
    <w:rsid w:val="27F455C8"/>
    <w:rsid w:val="282F4953"/>
    <w:rsid w:val="28332399"/>
    <w:rsid w:val="284877C3"/>
    <w:rsid w:val="28506677"/>
    <w:rsid w:val="285919D0"/>
    <w:rsid w:val="285A0BC7"/>
    <w:rsid w:val="286A0B60"/>
    <w:rsid w:val="28914CA6"/>
    <w:rsid w:val="28BD335E"/>
    <w:rsid w:val="28D03A4D"/>
    <w:rsid w:val="290F369B"/>
    <w:rsid w:val="293B4D0E"/>
    <w:rsid w:val="294C32E2"/>
    <w:rsid w:val="29657F00"/>
    <w:rsid w:val="29AE7D3A"/>
    <w:rsid w:val="29D0219D"/>
    <w:rsid w:val="29D77EF3"/>
    <w:rsid w:val="29E51041"/>
    <w:rsid w:val="29F20600"/>
    <w:rsid w:val="2A1B04FF"/>
    <w:rsid w:val="2A257690"/>
    <w:rsid w:val="2A391286"/>
    <w:rsid w:val="2A4F4886"/>
    <w:rsid w:val="2A7F5505"/>
    <w:rsid w:val="2AB729DE"/>
    <w:rsid w:val="2ABA427C"/>
    <w:rsid w:val="2ADF4CC0"/>
    <w:rsid w:val="2B0A2EA3"/>
    <w:rsid w:val="2B143B98"/>
    <w:rsid w:val="2B195446"/>
    <w:rsid w:val="2B367DA6"/>
    <w:rsid w:val="2B3F2753"/>
    <w:rsid w:val="2B406EFF"/>
    <w:rsid w:val="2B6267D6"/>
    <w:rsid w:val="2B720822"/>
    <w:rsid w:val="2BAE19C7"/>
    <w:rsid w:val="2BB87E35"/>
    <w:rsid w:val="2BC75972"/>
    <w:rsid w:val="2BCE32E3"/>
    <w:rsid w:val="2BE23FC5"/>
    <w:rsid w:val="2BE710A1"/>
    <w:rsid w:val="2BFC6280"/>
    <w:rsid w:val="2C043A01"/>
    <w:rsid w:val="2C067B37"/>
    <w:rsid w:val="2C245E51"/>
    <w:rsid w:val="2C416A03"/>
    <w:rsid w:val="2C5379A3"/>
    <w:rsid w:val="2C640943"/>
    <w:rsid w:val="2C697D08"/>
    <w:rsid w:val="2C6E2058"/>
    <w:rsid w:val="2C8E59C0"/>
    <w:rsid w:val="2C974875"/>
    <w:rsid w:val="2CAD335C"/>
    <w:rsid w:val="2CCF04B2"/>
    <w:rsid w:val="2CF33FC6"/>
    <w:rsid w:val="2CFD4778"/>
    <w:rsid w:val="2CFF066C"/>
    <w:rsid w:val="2D0B6185"/>
    <w:rsid w:val="2D216834"/>
    <w:rsid w:val="2D251D96"/>
    <w:rsid w:val="2D276A64"/>
    <w:rsid w:val="2D4F1E09"/>
    <w:rsid w:val="2D6D14C1"/>
    <w:rsid w:val="2D7D4451"/>
    <w:rsid w:val="2DAF2092"/>
    <w:rsid w:val="2DC42A84"/>
    <w:rsid w:val="2DDB2F86"/>
    <w:rsid w:val="2DE60E0D"/>
    <w:rsid w:val="2DF751F3"/>
    <w:rsid w:val="2E5F5D20"/>
    <w:rsid w:val="2E636CD0"/>
    <w:rsid w:val="2E6469D8"/>
    <w:rsid w:val="2E891740"/>
    <w:rsid w:val="2EA22EAE"/>
    <w:rsid w:val="2EA953B6"/>
    <w:rsid w:val="2EB07040"/>
    <w:rsid w:val="2EBF4557"/>
    <w:rsid w:val="2ED75A9F"/>
    <w:rsid w:val="2EF332D3"/>
    <w:rsid w:val="2EFC4E63"/>
    <w:rsid w:val="2F4D56BE"/>
    <w:rsid w:val="2F5842D0"/>
    <w:rsid w:val="2F5A7523"/>
    <w:rsid w:val="2F7F5907"/>
    <w:rsid w:val="2F9A43BB"/>
    <w:rsid w:val="2FA13062"/>
    <w:rsid w:val="2FE36FA0"/>
    <w:rsid w:val="30055F99"/>
    <w:rsid w:val="30280E73"/>
    <w:rsid w:val="302D729E"/>
    <w:rsid w:val="30393E95"/>
    <w:rsid w:val="303D02A2"/>
    <w:rsid w:val="30590093"/>
    <w:rsid w:val="30882C93"/>
    <w:rsid w:val="30A6777C"/>
    <w:rsid w:val="30EC3133"/>
    <w:rsid w:val="31436D79"/>
    <w:rsid w:val="314B586D"/>
    <w:rsid w:val="315E0057"/>
    <w:rsid w:val="315F16D9"/>
    <w:rsid w:val="316D029A"/>
    <w:rsid w:val="317C0BC3"/>
    <w:rsid w:val="31C12394"/>
    <w:rsid w:val="31CB3665"/>
    <w:rsid w:val="31CE0296"/>
    <w:rsid w:val="31DA771B"/>
    <w:rsid w:val="31DE4CF4"/>
    <w:rsid w:val="32034DFD"/>
    <w:rsid w:val="32360AAA"/>
    <w:rsid w:val="3240150B"/>
    <w:rsid w:val="325D52F8"/>
    <w:rsid w:val="32715B68"/>
    <w:rsid w:val="32902492"/>
    <w:rsid w:val="32A45F3D"/>
    <w:rsid w:val="32A82827"/>
    <w:rsid w:val="32B53456"/>
    <w:rsid w:val="32F131FD"/>
    <w:rsid w:val="33111653"/>
    <w:rsid w:val="332F4289"/>
    <w:rsid w:val="3335471C"/>
    <w:rsid w:val="334A479D"/>
    <w:rsid w:val="33641B20"/>
    <w:rsid w:val="336E7BFD"/>
    <w:rsid w:val="33751688"/>
    <w:rsid w:val="33CF29A4"/>
    <w:rsid w:val="33D77C4D"/>
    <w:rsid w:val="33D80E84"/>
    <w:rsid w:val="33EE79F7"/>
    <w:rsid w:val="340A6274"/>
    <w:rsid w:val="34193CA8"/>
    <w:rsid w:val="34196205"/>
    <w:rsid w:val="34425A0E"/>
    <w:rsid w:val="344F2ED9"/>
    <w:rsid w:val="346E05B1"/>
    <w:rsid w:val="34711E4F"/>
    <w:rsid w:val="34733E19"/>
    <w:rsid w:val="347E631A"/>
    <w:rsid w:val="34962551"/>
    <w:rsid w:val="34A93377"/>
    <w:rsid w:val="34FA62E8"/>
    <w:rsid w:val="34FC56F2"/>
    <w:rsid w:val="35026F4B"/>
    <w:rsid w:val="35102324"/>
    <w:rsid w:val="352C5D76"/>
    <w:rsid w:val="355C665B"/>
    <w:rsid w:val="3567530B"/>
    <w:rsid w:val="356E638F"/>
    <w:rsid w:val="358931C8"/>
    <w:rsid w:val="358C2142"/>
    <w:rsid w:val="358D2CB9"/>
    <w:rsid w:val="35A65B28"/>
    <w:rsid w:val="35BD418B"/>
    <w:rsid w:val="35D2375F"/>
    <w:rsid w:val="35E52AF5"/>
    <w:rsid w:val="35F8221C"/>
    <w:rsid w:val="3600792F"/>
    <w:rsid w:val="360702B8"/>
    <w:rsid w:val="360F36CE"/>
    <w:rsid w:val="3623361D"/>
    <w:rsid w:val="362A7311"/>
    <w:rsid w:val="363C15BE"/>
    <w:rsid w:val="364A6DFC"/>
    <w:rsid w:val="364F21A6"/>
    <w:rsid w:val="365D365D"/>
    <w:rsid w:val="365F0AAF"/>
    <w:rsid w:val="36633A19"/>
    <w:rsid w:val="37024FE0"/>
    <w:rsid w:val="37236989"/>
    <w:rsid w:val="37256F21"/>
    <w:rsid w:val="375743B3"/>
    <w:rsid w:val="375D7385"/>
    <w:rsid w:val="376161AB"/>
    <w:rsid w:val="3772660A"/>
    <w:rsid w:val="37A5537B"/>
    <w:rsid w:val="37C9044C"/>
    <w:rsid w:val="37D96A07"/>
    <w:rsid w:val="37E2358C"/>
    <w:rsid w:val="37F17C4E"/>
    <w:rsid w:val="37FE4100"/>
    <w:rsid w:val="3825542A"/>
    <w:rsid w:val="38455ACD"/>
    <w:rsid w:val="385C4BC4"/>
    <w:rsid w:val="385F4816"/>
    <w:rsid w:val="3861208F"/>
    <w:rsid w:val="3870241E"/>
    <w:rsid w:val="387C7014"/>
    <w:rsid w:val="38A04AB1"/>
    <w:rsid w:val="38DD7AB3"/>
    <w:rsid w:val="38EE00C1"/>
    <w:rsid w:val="39035FE4"/>
    <w:rsid w:val="394C4C39"/>
    <w:rsid w:val="39553EE3"/>
    <w:rsid w:val="396310BC"/>
    <w:rsid w:val="39657E94"/>
    <w:rsid w:val="396673B2"/>
    <w:rsid w:val="39817C51"/>
    <w:rsid w:val="39A405D1"/>
    <w:rsid w:val="39A93CBE"/>
    <w:rsid w:val="39A9723F"/>
    <w:rsid w:val="39B1304A"/>
    <w:rsid w:val="39B50A30"/>
    <w:rsid w:val="39DC420F"/>
    <w:rsid w:val="39F234CA"/>
    <w:rsid w:val="39F32DB4"/>
    <w:rsid w:val="3A0E1EEE"/>
    <w:rsid w:val="3A357430"/>
    <w:rsid w:val="3A5A447A"/>
    <w:rsid w:val="3A5C2DAD"/>
    <w:rsid w:val="3A6B503D"/>
    <w:rsid w:val="3AB80773"/>
    <w:rsid w:val="3ACC6031"/>
    <w:rsid w:val="3AE710BD"/>
    <w:rsid w:val="3AF31761"/>
    <w:rsid w:val="3AF37A62"/>
    <w:rsid w:val="3AF63950"/>
    <w:rsid w:val="3B133C60"/>
    <w:rsid w:val="3B143534"/>
    <w:rsid w:val="3B1E43B3"/>
    <w:rsid w:val="3B2B3384"/>
    <w:rsid w:val="3B454DA1"/>
    <w:rsid w:val="3B505571"/>
    <w:rsid w:val="3B5B1163"/>
    <w:rsid w:val="3B84690C"/>
    <w:rsid w:val="3B9113BF"/>
    <w:rsid w:val="3B9D526A"/>
    <w:rsid w:val="3BAE5737"/>
    <w:rsid w:val="3BC278C2"/>
    <w:rsid w:val="3BD05A24"/>
    <w:rsid w:val="3BEB7484"/>
    <w:rsid w:val="3C2526F2"/>
    <w:rsid w:val="3C28373B"/>
    <w:rsid w:val="3C8D359E"/>
    <w:rsid w:val="3C9F17B3"/>
    <w:rsid w:val="3CAB2861"/>
    <w:rsid w:val="3CE543D4"/>
    <w:rsid w:val="3CE57675"/>
    <w:rsid w:val="3CE872A7"/>
    <w:rsid w:val="3CEC5173"/>
    <w:rsid w:val="3CFC0724"/>
    <w:rsid w:val="3CFE624A"/>
    <w:rsid w:val="3D156C40"/>
    <w:rsid w:val="3D3108F0"/>
    <w:rsid w:val="3D3842E3"/>
    <w:rsid w:val="3D6469F5"/>
    <w:rsid w:val="3D743AA7"/>
    <w:rsid w:val="3D7E17DF"/>
    <w:rsid w:val="3D92643C"/>
    <w:rsid w:val="3DBE69D1"/>
    <w:rsid w:val="3DD31485"/>
    <w:rsid w:val="3E016A21"/>
    <w:rsid w:val="3E0E6961"/>
    <w:rsid w:val="3E496FF3"/>
    <w:rsid w:val="3EA971BA"/>
    <w:rsid w:val="3ECD05CA"/>
    <w:rsid w:val="3ED03C16"/>
    <w:rsid w:val="3EF773F5"/>
    <w:rsid w:val="3F035D9A"/>
    <w:rsid w:val="3F1C5008"/>
    <w:rsid w:val="3F2F6B8F"/>
    <w:rsid w:val="3F32042D"/>
    <w:rsid w:val="3F542383"/>
    <w:rsid w:val="3F790D83"/>
    <w:rsid w:val="3F835F13"/>
    <w:rsid w:val="3F9D520F"/>
    <w:rsid w:val="3FA96891"/>
    <w:rsid w:val="3FAC01DF"/>
    <w:rsid w:val="3FDE3B17"/>
    <w:rsid w:val="3FE12CBD"/>
    <w:rsid w:val="3FF73B50"/>
    <w:rsid w:val="402C1320"/>
    <w:rsid w:val="40324B88"/>
    <w:rsid w:val="404C551E"/>
    <w:rsid w:val="409A021C"/>
    <w:rsid w:val="40C32F32"/>
    <w:rsid w:val="40CB0356"/>
    <w:rsid w:val="40D53766"/>
    <w:rsid w:val="4106072A"/>
    <w:rsid w:val="412F731A"/>
    <w:rsid w:val="416074D3"/>
    <w:rsid w:val="416A0352"/>
    <w:rsid w:val="41747D82"/>
    <w:rsid w:val="41C21F3C"/>
    <w:rsid w:val="41D67795"/>
    <w:rsid w:val="41FF0A9A"/>
    <w:rsid w:val="421B164C"/>
    <w:rsid w:val="424C5CAA"/>
    <w:rsid w:val="4258398A"/>
    <w:rsid w:val="42586A54"/>
    <w:rsid w:val="427F4020"/>
    <w:rsid w:val="42A57B02"/>
    <w:rsid w:val="42A72B7C"/>
    <w:rsid w:val="42B26B5F"/>
    <w:rsid w:val="42B4172C"/>
    <w:rsid w:val="42B56E87"/>
    <w:rsid w:val="42C16C1C"/>
    <w:rsid w:val="42ED4D97"/>
    <w:rsid w:val="42F51E9D"/>
    <w:rsid w:val="431412A9"/>
    <w:rsid w:val="43210EE4"/>
    <w:rsid w:val="43617533"/>
    <w:rsid w:val="436274D2"/>
    <w:rsid w:val="437234EE"/>
    <w:rsid w:val="43770B04"/>
    <w:rsid w:val="43C63BD6"/>
    <w:rsid w:val="43E443EC"/>
    <w:rsid w:val="44071E88"/>
    <w:rsid w:val="441E71D2"/>
    <w:rsid w:val="44476729"/>
    <w:rsid w:val="444F55DD"/>
    <w:rsid w:val="445241CE"/>
    <w:rsid w:val="44A83362"/>
    <w:rsid w:val="44B32010"/>
    <w:rsid w:val="44C9432E"/>
    <w:rsid w:val="44E95A32"/>
    <w:rsid w:val="44FD397C"/>
    <w:rsid w:val="450B1927"/>
    <w:rsid w:val="452913FC"/>
    <w:rsid w:val="452E1696"/>
    <w:rsid w:val="455920A4"/>
    <w:rsid w:val="45A007E6"/>
    <w:rsid w:val="45AD6A5F"/>
    <w:rsid w:val="45D85B67"/>
    <w:rsid w:val="45F75F2C"/>
    <w:rsid w:val="45F85A36"/>
    <w:rsid w:val="4618037D"/>
    <w:rsid w:val="46212B20"/>
    <w:rsid w:val="4645313C"/>
    <w:rsid w:val="464C6002"/>
    <w:rsid w:val="46543874"/>
    <w:rsid w:val="46717A8D"/>
    <w:rsid w:val="46944856"/>
    <w:rsid w:val="46A61E2C"/>
    <w:rsid w:val="46A63620"/>
    <w:rsid w:val="46BC2BD8"/>
    <w:rsid w:val="46D36999"/>
    <w:rsid w:val="46FE0773"/>
    <w:rsid w:val="471616A6"/>
    <w:rsid w:val="472E158C"/>
    <w:rsid w:val="473954E9"/>
    <w:rsid w:val="47415BF7"/>
    <w:rsid w:val="477A116A"/>
    <w:rsid w:val="478B2DD0"/>
    <w:rsid w:val="479C6D8B"/>
    <w:rsid w:val="47B279FC"/>
    <w:rsid w:val="47C50090"/>
    <w:rsid w:val="47CF5DB8"/>
    <w:rsid w:val="47DB5B06"/>
    <w:rsid w:val="47E80223"/>
    <w:rsid w:val="47EE4E56"/>
    <w:rsid w:val="47EF638A"/>
    <w:rsid w:val="47F97336"/>
    <w:rsid w:val="4800731A"/>
    <w:rsid w:val="480706A9"/>
    <w:rsid w:val="48160B49"/>
    <w:rsid w:val="482173AE"/>
    <w:rsid w:val="483635D9"/>
    <w:rsid w:val="4860600B"/>
    <w:rsid w:val="486130AD"/>
    <w:rsid w:val="48636034"/>
    <w:rsid w:val="486A0C38"/>
    <w:rsid w:val="488B4B77"/>
    <w:rsid w:val="48B7790B"/>
    <w:rsid w:val="48E549E9"/>
    <w:rsid w:val="49033566"/>
    <w:rsid w:val="492124F9"/>
    <w:rsid w:val="49212C4B"/>
    <w:rsid w:val="492E2E2E"/>
    <w:rsid w:val="492E43F8"/>
    <w:rsid w:val="49394063"/>
    <w:rsid w:val="493E459E"/>
    <w:rsid w:val="498E6BA8"/>
    <w:rsid w:val="49B07743"/>
    <w:rsid w:val="49E05655"/>
    <w:rsid w:val="49E215D2"/>
    <w:rsid w:val="49F22180"/>
    <w:rsid w:val="4A0977B8"/>
    <w:rsid w:val="4A1D0657"/>
    <w:rsid w:val="4A317C5F"/>
    <w:rsid w:val="4A392FB7"/>
    <w:rsid w:val="4A560B18"/>
    <w:rsid w:val="4A592540"/>
    <w:rsid w:val="4A7933B4"/>
    <w:rsid w:val="4A881849"/>
    <w:rsid w:val="4ADB4211"/>
    <w:rsid w:val="4ADD7DE7"/>
    <w:rsid w:val="4AEF7951"/>
    <w:rsid w:val="4AFD5D93"/>
    <w:rsid w:val="4B1A334E"/>
    <w:rsid w:val="4B217CD3"/>
    <w:rsid w:val="4B367F93"/>
    <w:rsid w:val="4B495C39"/>
    <w:rsid w:val="4B6E3924"/>
    <w:rsid w:val="4BA12BC2"/>
    <w:rsid w:val="4BBE0575"/>
    <w:rsid w:val="4BE5149F"/>
    <w:rsid w:val="4BFC24EE"/>
    <w:rsid w:val="4BFE5973"/>
    <w:rsid w:val="4C030B81"/>
    <w:rsid w:val="4C224242"/>
    <w:rsid w:val="4C3D1913"/>
    <w:rsid w:val="4C40385D"/>
    <w:rsid w:val="4C485734"/>
    <w:rsid w:val="4C7F24D8"/>
    <w:rsid w:val="4C9F2B15"/>
    <w:rsid w:val="4CB70372"/>
    <w:rsid w:val="4CC51A03"/>
    <w:rsid w:val="4CCD64F4"/>
    <w:rsid w:val="4CD058E8"/>
    <w:rsid w:val="4CE03BBE"/>
    <w:rsid w:val="4CE92A73"/>
    <w:rsid w:val="4D092279"/>
    <w:rsid w:val="4D1A0E7E"/>
    <w:rsid w:val="4D245859"/>
    <w:rsid w:val="4D317F76"/>
    <w:rsid w:val="4D331F40"/>
    <w:rsid w:val="4D3B084B"/>
    <w:rsid w:val="4D530AA8"/>
    <w:rsid w:val="4D783DF7"/>
    <w:rsid w:val="4D7851F3"/>
    <w:rsid w:val="4D7E572D"/>
    <w:rsid w:val="4D834C75"/>
    <w:rsid w:val="4DA27269"/>
    <w:rsid w:val="4DB717C5"/>
    <w:rsid w:val="4DEF6893"/>
    <w:rsid w:val="4E0C71FC"/>
    <w:rsid w:val="4E11118C"/>
    <w:rsid w:val="4E237D58"/>
    <w:rsid w:val="4E402B66"/>
    <w:rsid w:val="4E692E3B"/>
    <w:rsid w:val="4E7632E2"/>
    <w:rsid w:val="4E803572"/>
    <w:rsid w:val="4EA1353B"/>
    <w:rsid w:val="4EAA7FE0"/>
    <w:rsid w:val="4EAB7E41"/>
    <w:rsid w:val="4EB909E9"/>
    <w:rsid w:val="4F0A4DE8"/>
    <w:rsid w:val="4F1D4C56"/>
    <w:rsid w:val="4F534AF8"/>
    <w:rsid w:val="4F5F4C64"/>
    <w:rsid w:val="4F703B2A"/>
    <w:rsid w:val="4F714FA1"/>
    <w:rsid w:val="4F763D0A"/>
    <w:rsid w:val="4FC26BC9"/>
    <w:rsid w:val="4FE53EE9"/>
    <w:rsid w:val="502172E8"/>
    <w:rsid w:val="502C0328"/>
    <w:rsid w:val="505059C1"/>
    <w:rsid w:val="50580AA2"/>
    <w:rsid w:val="507111E9"/>
    <w:rsid w:val="50744D49"/>
    <w:rsid w:val="507E1724"/>
    <w:rsid w:val="50827466"/>
    <w:rsid w:val="508302FA"/>
    <w:rsid w:val="50A10CF0"/>
    <w:rsid w:val="50B22158"/>
    <w:rsid w:val="50D73662"/>
    <w:rsid w:val="50F25458"/>
    <w:rsid w:val="50F73284"/>
    <w:rsid w:val="50F97086"/>
    <w:rsid w:val="512B026F"/>
    <w:rsid w:val="51542485"/>
    <w:rsid w:val="51624BA2"/>
    <w:rsid w:val="51A34050"/>
    <w:rsid w:val="51A96C75"/>
    <w:rsid w:val="51AB5F03"/>
    <w:rsid w:val="51BA2F76"/>
    <w:rsid w:val="51FD48CA"/>
    <w:rsid w:val="52320A18"/>
    <w:rsid w:val="52394333"/>
    <w:rsid w:val="5261672F"/>
    <w:rsid w:val="52893327"/>
    <w:rsid w:val="529A036B"/>
    <w:rsid w:val="52AD4542"/>
    <w:rsid w:val="52B753C1"/>
    <w:rsid w:val="52D47D21"/>
    <w:rsid w:val="53063385"/>
    <w:rsid w:val="53412BBB"/>
    <w:rsid w:val="53500FF5"/>
    <w:rsid w:val="53530C46"/>
    <w:rsid w:val="5397114D"/>
    <w:rsid w:val="539F6BFC"/>
    <w:rsid w:val="53B611D5"/>
    <w:rsid w:val="53CB255A"/>
    <w:rsid w:val="53EB29D5"/>
    <w:rsid w:val="53F1045F"/>
    <w:rsid w:val="5418171E"/>
    <w:rsid w:val="54240A2E"/>
    <w:rsid w:val="54330A77"/>
    <w:rsid w:val="543A0953"/>
    <w:rsid w:val="54635240"/>
    <w:rsid w:val="54C30796"/>
    <w:rsid w:val="54CB4B93"/>
    <w:rsid w:val="54E81862"/>
    <w:rsid w:val="551D56FC"/>
    <w:rsid w:val="554671C6"/>
    <w:rsid w:val="555C0C76"/>
    <w:rsid w:val="556D1D67"/>
    <w:rsid w:val="559879ED"/>
    <w:rsid w:val="55D342C0"/>
    <w:rsid w:val="560A5808"/>
    <w:rsid w:val="561D553B"/>
    <w:rsid w:val="562D6C09"/>
    <w:rsid w:val="56321E1B"/>
    <w:rsid w:val="563A433F"/>
    <w:rsid w:val="565A678F"/>
    <w:rsid w:val="568D3428"/>
    <w:rsid w:val="56927CD7"/>
    <w:rsid w:val="56982E14"/>
    <w:rsid w:val="56A774E2"/>
    <w:rsid w:val="56B05C18"/>
    <w:rsid w:val="56D36223"/>
    <w:rsid w:val="56E11B02"/>
    <w:rsid w:val="57213788"/>
    <w:rsid w:val="572172AD"/>
    <w:rsid w:val="572445A4"/>
    <w:rsid w:val="57366542"/>
    <w:rsid w:val="575D5514"/>
    <w:rsid w:val="57793128"/>
    <w:rsid w:val="57831D16"/>
    <w:rsid w:val="579F706F"/>
    <w:rsid w:val="57D528CD"/>
    <w:rsid w:val="57E02CC4"/>
    <w:rsid w:val="57E227D2"/>
    <w:rsid w:val="57EE22E8"/>
    <w:rsid w:val="57FA3D86"/>
    <w:rsid w:val="58015C98"/>
    <w:rsid w:val="581F559B"/>
    <w:rsid w:val="58236478"/>
    <w:rsid w:val="584C587A"/>
    <w:rsid w:val="58704048"/>
    <w:rsid w:val="58775D58"/>
    <w:rsid w:val="588E54CA"/>
    <w:rsid w:val="58922210"/>
    <w:rsid w:val="58A9755A"/>
    <w:rsid w:val="58AE5938"/>
    <w:rsid w:val="58E6255C"/>
    <w:rsid w:val="58F72073"/>
    <w:rsid w:val="59097FF9"/>
    <w:rsid w:val="590C3FF5"/>
    <w:rsid w:val="59352B9C"/>
    <w:rsid w:val="59407F54"/>
    <w:rsid w:val="5954396A"/>
    <w:rsid w:val="5960230F"/>
    <w:rsid w:val="59647D01"/>
    <w:rsid w:val="596A2319"/>
    <w:rsid w:val="597E1677"/>
    <w:rsid w:val="59823E17"/>
    <w:rsid w:val="59851D75"/>
    <w:rsid w:val="59937919"/>
    <w:rsid w:val="59AB3DA5"/>
    <w:rsid w:val="59FF543B"/>
    <w:rsid w:val="5A0A04CC"/>
    <w:rsid w:val="5A317655"/>
    <w:rsid w:val="5A3572F7"/>
    <w:rsid w:val="5A386DE8"/>
    <w:rsid w:val="5A3C6C73"/>
    <w:rsid w:val="5A607BB2"/>
    <w:rsid w:val="5A635C5A"/>
    <w:rsid w:val="5A821E11"/>
    <w:rsid w:val="5AA339F2"/>
    <w:rsid w:val="5AD703AE"/>
    <w:rsid w:val="5AD81D9A"/>
    <w:rsid w:val="5ADC209B"/>
    <w:rsid w:val="5AF76DBB"/>
    <w:rsid w:val="5B3C6463"/>
    <w:rsid w:val="5B445318"/>
    <w:rsid w:val="5B5163B3"/>
    <w:rsid w:val="5B5E28C5"/>
    <w:rsid w:val="5B745BFD"/>
    <w:rsid w:val="5B9900F2"/>
    <w:rsid w:val="5BA34735"/>
    <w:rsid w:val="5BA67D81"/>
    <w:rsid w:val="5BF467EC"/>
    <w:rsid w:val="5BFB00CD"/>
    <w:rsid w:val="5C043425"/>
    <w:rsid w:val="5C11169E"/>
    <w:rsid w:val="5C14118E"/>
    <w:rsid w:val="5C25339C"/>
    <w:rsid w:val="5C323CC9"/>
    <w:rsid w:val="5C34538D"/>
    <w:rsid w:val="5C441A74"/>
    <w:rsid w:val="5C447DD1"/>
    <w:rsid w:val="5C574268"/>
    <w:rsid w:val="5C5F065B"/>
    <w:rsid w:val="5C6B5BC5"/>
    <w:rsid w:val="5CAE2B9C"/>
    <w:rsid w:val="5CB86213"/>
    <w:rsid w:val="5CE40B61"/>
    <w:rsid w:val="5CF8460C"/>
    <w:rsid w:val="5D530D5F"/>
    <w:rsid w:val="5D6C3248"/>
    <w:rsid w:val="5D9D79EF"/>
    <w:rsid w:val="5DA707E9"/>
    <w:rsid w:val="5DAB7212"/>
    <w:rsid w:val="5DB70229"/>
    <w:rsid w:val="5DD87D80"/>
    <w:rsid w:val="5DE11544"/>
    <w:rsid w:val="5DEE3CCB"/>
    <w:rsid w:val="5DF21B98"/>
    <w:rsid w:val="5DF37D17"/>
    <w:rsid w:val="5E1216FE"/>
    <w:rsid w:val="5E575A76"/>
    <w:rsid w:val="5E60690D"/>
    <w:rsid w:val="5E68756F"/>
    <w:rsid w:val="5E7F77FB"/>
    <w:rsid w:val="5EB804F7"/>
    <w:rsid w:val="5EC24ED2"/>
    <w:rsid w:val="5EC724E8"/>
    <w:rsid w:val="5F0631FA"/>
    <w:rsid w:val="5F294F51"/>
    <w:rsid w:val="5F2B6984"/>
    <w:rsid w:val="5F2E6A0B"/>
    <w:rsid w:val="5F3B1E32"/>
    <w:rsid w:val="5F463D55"/>
    <w:rsid w:val="5F5560D1"/>
    <w:rsid w:val="5F6150CD"/>
    <w:rsid w:val="5F6D7533"/>
    <w:rsid w:val="5F751F44"/>
    <w:rsid w:val="5F987E63"/>
    <w:rsid w:val="5FB40CBE"/>
    <w:rsid w:val="5FCB28E4"/>
    <w:rsid w:val="5FCF7853"/>
    <w:rsid w:val="5FD320BD"/>
    <w:rsid w:val="5FD52766"/>
    <w:rsid w:val="5FE5531C"/>
    <w:rsid w:val="5FEE7CB6"/>
    <w:rsid w:val="5FF25578"/>
    <w:rsid w:val="60200102"/>
    <w:rsid w:val="602831A1"/>
    <w:rsid w:val="60384AA2"/>
    <w:rsid w:val="60654D7F"/>
    <w:rsid w:val="60A52CFD"/>
    <w:rsid w:val="60AC7BE7"/>
    <w:rsid w:val="60BA6EBD"/>
    <w:rsid w:val="60CE5DB0"/>
    <w:rsid w:val="60EA6962"/>
    <w:rsid w:val="610417D1"/>
    <w:rsid w:val="61117352"/>
    <w:rsid w:val="614F7E1C"/>
    <w:rsid w:val="61706E67"/>
    <w:rsid w:val="617B022B"/>
    <w:rsid w:val="619743F4"/>
    <w:rsid w:val="61B42238"/>
    <w:rsid w:val="61C3343B"/>
    <w:rsid w:val="61D16B14"/>
    <w:rsid w:val="61EF19DE"/>
    <w:rsid w:val="620D33E1"/>
    <w:rsid w:val="62233ED9"/>
    <w:rsid w:val="62247EF5"/>
    <w:rsid w:val="623C4F9B"/>
    <w:rsid w:val="626D15F8"/>
    <w:rsid w:val="62820D79"/>
    <w:rsid w:val="62CF4061"/>
    <w:rsid w:val="62ED73D8"/>
    <w:rsid w:val="63102F38"/>
    <w:rsid w:val="631430B3"/>
    <w:rsid w:val="63273ECC"/>
    <w:rsid w:val="6340727D"/>
    <w:rsid w:val="63604CB9"/>
    <w:rsid w:val="63732C3E"/>
    <w:rsid w:val="637C5F97"/>
    <w:rsid w:val="638A11D4"/>
    <w:rsid w:val="63AD6B5B"/>
    <w:rsid w:val="63DC62ED"/>
    <w:rsid w:val="63F41F58"/>
    <w:rsid w:val="63F76584"/>
    <w:rsid w:val="644C3BBB"/>
    <w:rsid w:val="64575A83"/>
    <w:rsid w:val="64B4350F"/>
    <w:rsid w:val="64B71D18"/>
    <w:rsid w:val="64F32289"/>
    <w:rsid w:val="65192631"/>
    <w:rsid w:val="651A5A67"/>
    <w:rsid w:val="651B533C"/>
    <w:rsid w:val="651E0F77"/>
    <w:rsid w:val="654752D4"/>
    <w:rsid w:val="655F205F"/>
    <w:rsid w:val="65905D2A"/>
    <w:rsid w:val="65965996"/>
    <w:rsid w:val="659730E5"/>
    <w:rsid w:val="65C82F60"/>
    <w:rsid w:val="65CE0D2C"/>
    <w:rsid w:val="65DF0AD0"/>
    <w:rsid w:val="65DF280D"/>
    <w:rsid w:val="65F71905"/>
    <w:rsid w:val="66320B8F"/>
    <w:rsid w:val="663E0D58"/>
    <w:rsid w:val="665931F4"/>
    <w:rsid w:val="66846410"/>
    <w:rsid w:val="66A24F5B"/>
    <w:rsid w:val="66A6332B"/>
    <w:rsid w:val="66C0619B"/>
    <w:rsid w:val="66F85A07"/>
    <w:rsid w:val="671B1623"/>
    <w:rsid w:val="671F6E1E"/>
    <w:rsid w:val="673B487E"/>
    <w:rsid w:val="67453492"/>
    <w:rsid w:val="67A02C6C"/>
    <w:rsid w:val="67A73C98"/>
    <w:rsid w:val="67BC2E06"/>
    <w:rsid w:val="67DF6AF4"/>
    <w:rsid w:val="67E71B6D"/>
    <w:rsid w:val="67FF20E2"/>
    <w:rsid w:val="68306BC4"/>
    <w:rsid w:val="686B65DA"/>
    <w:rsid w:val="688073EB"/>
    <w:rsid w:val="68842FD3"/>
    <w:rsid w:val="689C2C37"/>
    <w:rsid w:val="68A2014F"/>
    <w:rsid w:val="68BA737B"/>
    <w:rsid w:val="68BB130F"/>
    <w:rsid w:val="68BF6DF6"/>
    <w:rsid w:val="68C43E52"/>
    <w:rsid w:val="68D20E70"/>
    <w:rsid w:val="68F55EA4"/>
    <w:rsid w:val="6905258B"/>
    <w:rsid w:val="690A194F"/>
    <w:rsid w:val="690B1A91"/>
    <w:rsid w:val="69201173"/>
    <w:rsid w:val="692B215E"/>
    <w:rsid w:val="694C1F68"/>
    <w:rsid w:val="69790883"/>
    <w:rsid w:val="698C3515"/>
    <w:rsid w:val="698E432E"/>
    <w:rsid w:val="69A47FF6"/>
    <w:rsid w:val="69BF098B"/>
    <w:rsid w:val="69D41F5D"/>
    <w:rsid w:val="69FF3F6A"/>
    <w:rsid w:val="6A130CD7"/>
    <w:rsid w:val="6A212A93"/>
    <w:rsid w:val="6A82545E"/>
    <w:rsid w:val="6A9040D6"/>
    <w:rsid w:val="6AB04609"/>
    <w:rsid w:val="6AC50223"/>
    <w:rsid w:val="6AD26CD2"/>
    <w:rsid w:val="6AD27780"/>
    <w:rsid w:val="6AF428B7"/>
    <w:rsid w:val="6B016D82"/>
    <w:rsid w:val="6B2D6EEB"/>
    <w:rsid w:val="6B5243A0"/>
    <w:rsid w:val="6B5F5D4D"/>
    <w:rsid w:val="6B685053"/>
    <w:rsid w:val="6B7216AE"/>
    <w:rsid w:val="6B961BC0"/>
    <w:rsid w:val="6BAF4A30"/>
    <w:rsid w:val="6BB93969"/>
    <w:rsid w:val="6BC06C3D"/>
    <w:rsid w:val="6BD36970"/>
    <w:rsid w:val="6C0D4AD4"/>
    <w:rsid w:val="6C3D5F2F"/>
    <w:rsid w:val="6C47110C"/>
    <w:rsid w:val="6C53558A"/>
    <w:rsid w:val="6C575222"/>
    <w:rsid w:val="6C6770B8"/>
    <w:rsid w:val="6C71768C"/>
    <w:rsid w:val="6C904861"/>
    <w:rsid w:val="6C9D4628"/>
    <w:rsid w:val="6CA125CA"/>
    <w:rsid w:val="6CB22DA1"/>
    <w:rsid w:val="6CC03E6D"/>
    <w:rsid w:val="6CD363C3"/>
    <w:rsid w:val="6CD526FE"/>
    <w:rsid w:val="6D1A1C79"/>
    <w:rsid w:val="6D2640EB"/>
    <w:rsid w:val="6D3451EC"/>
    <w:rsid w:val="6D877A12"/>
    <w:rsid w:val="6D8855DB"/>
    <w:rsid w:val="6D900865"/>
    <w:rsid w:val="6D970FE2"/>
    <w:rsid w:val="6D9E4D5C"/>
    <w:rsid w:val="6DD676BD"/>
    <w:rsid w:val="6DE360A7"/>
    <w:rsid w:val="6DEE5CE3"/>
    <w:rsid w:val="6E245261"/>
    <w:rsid w:val="6E2D3C69"/>
    <w:rsid w:val="6EA02B34"/>
    <w:rsid w:val="6EA57E47"/>
    <w:rsid w:val="6EB736CD"/>
    <w:rsid w:val="6ECE2BD2"/>
    <w:rsid w:val="6ED468F0"/>
    <w:rsid w:val="6ED52C7D"/>
    <w:rsid w:val="6EF2535F"/>
    <w:rsid w:val="6EFF182A"/>
    <w:rsid w:val="6F011A46"/>
    <w:rsid w:val="6F0926A9"/>
    <w:rsid w:val="6F33171B"/>
    <w:rsid w:val="6F7044D6"/>
    <w:rsid w:val="6F965673"/>
    <w:rsid w:val="6F992916"/>
    <w:rsid w:val="6F9E54E7"/>
    <w:rsid w:val="6FBB10C2"/>
    <w:rsid w:val="6FD43281"/>
    <w:rsid w:val="6FDB730A"/>
    <w:rsid w:val="6FDD7DBD"/>
    <w:rsid w:val="700A4B8C"/>
    <w:rsid w:val="70111A6E"/>
    <w:rsid w:val="70121F43"/>
    <w:rsid w:val="70227CFD"/>
    <w:rsid w:val="70334E10"/>
    <w:rsid w:val="70756248"/>
    <w:rsid w:val="707A11F3"/>
    <w:rsid w:val="707F2C23"/>
    <w:rsid w:val="709C6F93"/>
    <w:rsid w:val="70AE0F3B"/>
    <w:rsid w:val="710002EF"/>
    <w:rsid w:val="71031D5F"/>
    <w:rsid w:val="71056959"/>
    <w:rsid w:val="71341C5F"/>
    <w:rsid w:val="713A4D9B"/>
    <w:rsid w:val="713C0F09"/>
    <w:rsid w:val="71621FF5"/>
    <w:rsid w:val="717402AD"/>
    <w:rsid w:val="71756B0D"/>
    <w:rsid w:val="717F5B7A"/>
    <w:rsid w:val="71866233"/>
    <w:rsid w:val="719721EE"/>
    <w:rsid w:val="71DA1240"/>
    <w:rsid w:val="71EF48DF"/>
    <w:rsid w:val="720C498A"/>
    <w:rsid w:val="725400DF"/>
    <w:rsid w:val="725B321B"/>
    <w:rsid w:val="72686A49"/>
    <w:rsid w:val="7270363A"/>
    <w:rsid w:val="72817759"/>
    <w:rsid w:val="72955F39"/>
    <w:rsid w:val="729D55E2"/>
    <w:rsid w:val="72BC3722"/>
    <w:rsid w:val="72CD21AF"/>
    <w:rsid w:val="72CE4767"/>
    <w:rsid w:val="72D20B62"/>
    <w:rsid w:val="72E877C9"/>
    <w:rsid w:val="731E506B"/>
    <w:rsid w:val="73372E32"/>
    <w:rsid w:val="73400CFB"/>
    <w:rsid w:val="734A2124"/>
    <w:rsid w:val="73A017A5"/>
    <w:rsid w:val="73A62BBC"/>
    <w:rsid w:val="73CE48E4"/>
    <w:rsid w:val="73E55A30"/>
    <w:rsid w:val="73E86D31"/>
    <w:rsid w:val="73FE6554"/>
    <w:rsid w:val="745771EB"/>
    <w:rsid w:val="74675EA7"/>
    <w:rsid w:val="74720200"/>
    <w:rsid w:val="7474601E"/>
    <w:rsid w:val="747D01F0"/>
    <w:rsid w:val="74934EEE"/>
    <w:rsid w:val="74A34E73"/>
    <w:rsid w:val="74AC5FB0"/>
    <w:rsid w:val="74B26A9B"/>
    <w:rsid w:val="74B310ED"/>
    <w:rsid w:val="74B51309"/>
    <w:rsid w:val="74B97E59"/>
    <w:rsid w:val="74C40EAA"/>
    <w:rsid w:val="751F6782"/>
    <w:rsid w:val="75315CE9"/>
    <w:rsid w:val="755778E6"/>
    <w:rsid w:val="757A4300"/>
    <w:rsid w:val="759727BC"/>
    <w:rsid w:val="75A153E9"/>
    <w:rsid w:val="75A17997"/>
    <w:rsid w:val="75A44ED9"/>
    <w:rsid w:val="75C16B30"/>
    <w:rsid w:val="75DC08C0"/>
    <w:rsid w:val="75F565F2"/>
    <w:rsid w:val="75FA6B3E"/>
    <w:rsid w:val="760174F6"/>
    <w:rsid w:val="76142D94"/>
    <w:rsid w:val="764F12E9"/>
    <w:rsid w:val="76530DD9"/>
    <w:rsid w:val="7658375B"/>
    <w:rsid w:val="7672338B"/>
    <w:rsid w:val="767D7F65"/>
    <w:rsid w:val="76856640"/>
    <w:rsid w:val="76A809F9"/>
    <w:rsid w:val="76C31579"/>
    <w:rsid w:val="77200C9A"/>
    <w:rsid w:val="774150D6"/>
    <w:rsid w:val="77494B12"/>
    <w:rsid w:val="776E39F1"/>
    <w:rsid w:val="779A27C7"/>
    <w:rsid w:val="77A70D03"/>
    <w:rsid w:val="77B84C6C"/>
    <w:rsid w:val="77C35511"/>
    <w:rsid w:val="77C67389"/>
    <w:rsid w:val="77CE573C"/>
    <w:rsid w:val="77DA51F2"/>
    <w:rsid w:val="78127750"/>
    <w:rsid w:val="782D3156"/>
    <w:rsid w:val="78526E6F"/>
    <w:rsid w:val="78593AF3"/>
    <w:rsid w:val="785E3A65"/>
    <w:rsid w:val="787A3E9B"/>
    <w:rsid w:val="787B5781"/>
    <w:rsid w:val="78B76110"/>
    <w:rsid w:val="78C733B9"/>
    <w:rsid w:val="78EE45D2"/>
    <w:rsid w:val="79250FDE"/>
    <w:rsid w:val="79523064"/>
    <w:rsid w:val="7993245C"/>
    <w:rsid w:val="79AB2884"/>
    <w:rsid w:val="79B7167F"/>
    <w:rsid w:val="79C124FE"/>
    <w:rsid w:val="79D7619B"/>
    <w:rsid w:val="79DC5E79"/>
    <w:rsid w:val="79E1494E"/>
    <w:rsid w:val="79E14EC0"/>
    <w:rsid w:val="79FA7343"/>
    <w:rsid w:val="79FC26F3"/>
    <w:rsid w:val="7A382CBF"/>
    <w:rsid w:val="7A44456B"/>
    <w:rsid w:val="7A643FFA"/>
    <w:rsid w:val="7A793845"/>
    <w:rsid w:val="7A811750"/>
    <w:rsid w:val="7A831561"/>
    <w:rsid w:val="7AB160CE"/>
    <w:rsid w:val="7AB8722A"/>
    <w:rsid w:val="7AC53928"/>
    <w:rsid w:val="7AC8166A"/>
    <w:rsid w:val="7AD040D4"/>
    <w:rsid w:val="7AD972A3"/>
    <w:rsid w:val="7AE2272C"/>
    <w:rsid w:val="7AE62031"/>
    <w:rsid w:val="7AFD4FEE"/>
    <w:rsid w:val="7AFF407B"/>
    <w:rsid w:val="7B007056"/>
    <w:rsid w:val="7B0E3521"/>
    <w:rsid w:val="7B114DBF"/>
    <w:rsid w:val="7B17441B"/>
    <w:rsid w:val="7B1E128A"/>
    <w:rsid w:val="7B206841"/>
    <w:rsid w:val="7B292109"/>
    <w:rsid w:val="7B2A11CE"/>
    <w:rsid w:val="7B4453CE"/>
    <w:rsid w:val="7B9652C4"/>
    <w:rsid w:val="7B971306"/>
    <w:rsid w:val="7BBB0959"/>
    <w:rsid w:val="7BC320A1"/>
    <w:rsid w:val="7BCE0366"/>
    <w:rsid w:val="7BDA3403"/>
    <w:rsid w:val="7BEB0B45"/>
    <w:rsid w:val="7BF02C26"/>
    <w:rsid w:val="7C030BAC"/>
    <w:rsid w:val="7C487A58"/>
    <w:rsid w:val="7C556F2D"/>
    <w:rsid w:val="7C86540B"/>
    <w:rsid w:val="7CAD5FCA"/>
    <w:rsid w:val="7CB579CC"/>
    <w:rsid w:val="7CC77E2B"/>
    <w:rsid w:val="7D0F17D2"/>
    <w:rsid w:val="7D1431DE"/>
    <w:rsid w:val="7D1868D9"/>
    <w:rsid w:val="7D24527D"/>
    <w:rsid w:val="7D27773C"/>
    <w:rsid w:val="7D3356C7"/>
    <w:rsid w:val="7D3D633F"/>
    <w:rsid w:val="7D422172"/>
    <w:rsid w:val="7D4713B5"/>
    <w:rsid w:val="7D545437"/>
    <w:rsid w:val="7D5976B6"/>
    <w:rsid w:val="7D92368A"/>
    <w:rsid w:val="7DA07E94"/>
    <w:rsid w:val="7DA16F04"/>
    <w:rsid w:val="7DB36601"/>
    <w:rsid w:val="7DFD20AA"/>
    <w:rsid w:val="7E1A754A"/>
    <w:rsid w:val="7E1D1CCD"/>
    <w:rsid w:val="7E21356B"/>
    <w:rsid w:val="7E2D0162"/>
    <w:rsid w:val="7E321CD4"/>
    <w:rsid w:val="7E696CC0"/>
    <w:rsid w:val="7E9006F1"/>
    <w:rsid w:val="7EA3546E"/>
    <w:rsid w:val="7EAC61BF"/>
    <w:rsid w:val="7EB33EA8"/>
    <w:rsid w:val="7ED6280D"/>
    <w:rsid w:val="7EEF4173"/>
    <w:rsid w:val="7F1C70BC"/>
    <w:rsid w:val="7F4406D0"/>
    <w:rsid w:val="7FC93EBA"/>
    <w:rsid w:val="7FE90E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99"/>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168"/>
    <w:qFormat/>
    <w:uiPriority w:val="0"/>
    <w:pPr>
      <w:keepNext/>
      <w:keepLines/>
      <w:spacing w:before="120" w:after="120" w:line="360" w:lineRule="exact"/>
      <w:jc w:val="center"/>
      <w:outlineLvl w:val="1"/>
    </w:pPr>
    <w:rPr>
      <w:rFonts w:ascii="宋体" w:hAnsi="宋体"/>
      <w:b/>
      <w:sz w:val="24"/>
      <w:szCs w:val="24"/>
    </w:rPr>
  </w:style>
  <w:style w:type="paragraph" w:styleId="4">
    <w:name w:val="heading 3"/>
    <w:basedOn w:val="3"/>
    <w:next w:val="5"/>
    <w:link w:val="212"/>
    <w:qFormat/>
    <w:uiPriority w:val="0"/>
    <w:pPr>
      <w:shd w:val="clear" w:color="auto" w:fill="FFFFFF"/>
      <w:tabs>
        <w:tab w:val="left" w:pos="2730"/>
      </w:tabs>
      <w:wordWrap w:val="0"/>
      <w:outlineLvl w:val="2"/>
    </w:pPr>
    <w:rPr>
      <w:shd w:val="clear" w:color="auto" w:fill="FFFFFF"/>
    </w:rPr>
  </w:style>
  <w:style w:type="paragraph" w:styleId="5">
    <w:name w:val="heading 4"/>
    <w:basedOn w:val="1"/>
    <w:next w:val="1"/>
    <w:link w:val="97"/>
    <w:qFormat/>
    <w:uiPriority w:val="0"/>
    <w:pPr>
      <w:keepNext/>
      <w:keepLines/>
      <w:spacing w:before="120" w:after="120"/>
      <w:outlineLvl w:val="3"/>
    </w:pPr>
    <w:rPr>
      <w:rFonts w:ascii="Arial" w:hAnsi="Arial" w:eastAsia="黑体"/>
      <w:b/>
      <w:sz w:val="20"/>
    </w:rPr>
  </w:style>
  <w:style w:type="paragraph" w:styleId="6">
    <w:name w:val="heading 5"/>
    <w:basedOn w:val="1"/>
    <w:next w:val="7"/>
    <w:link w:val="87"/>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131"/>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146"/>
    <w:qFormat/>
    <w:uiPriority w:val="0"/>
    <w:pPr>
      <w:keepNext/>
      <w:keepLines/>
      <w:spacing w:before="240" w:after="64" w:line="319" w:lineRule="auto"/>
      <w:outlineLvl w:val="6"/>
    </w:pPr>
    <w:rPr>
      <w:b/>
      <w:bCs/>
      <w:sz w:val="24"/>
      <w:szCs w:val="24"/>
    </w:rPr>
  </w:style>
  <w:style w:type="paragraph" w:styleId="10">
    <w:name w:val="heading 8"/>
    <w:basedOn w:val="1"/>
    <w:next w:val="1"/>
    <w:link w:val="160"/>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166"/>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205"/>
    <w:qFormat/>
    <w:uiPriority w:val="0"/>
    <w:pPr>
      <w:shd w:val="clear" w:color="auto" w:fill="000080"/>
    </w:pPr>
    <w:rPr>
      <w:rFonts w:ascii="宋体"/>
      <w:sz w:val="18"/>
      <w:szCs w:val="18"/>
    </w:rPr>
  </w:style>
  <w:style w:type="paragraph" w:styleId="19">
    <w:name w:val="annotation text"/>
    <w:basedOn w:val="1"/>
    <w:link w:val="137"/>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201"/>
    <w:qFormat/>
    <w:uiPriority w:val="0"/>
    <w:rPr>
      <w:rFonts w:ascii="仿宋_GB2312" w:eastAsia="仿宋_GB2312"/>
      <w:sz w:val="20"/>
    </w:rPr>
  </w:style>
  <w:style w:type="paragraph" w:styleId="22">
    <w:name w:val="Body Text 3"/>
    <w:basedOn w:val="1"/>
    <w:link w:val="98"/>
    <w:qFormat/>
    <w:uiPriority w:val="0"/>
    <w:rPr>
      <w:rFonts w:ascii="仿宋_GB2312" w:hAnsi="Arial" w:eastAsia="仿宋_GB2312"/>
      <w:sz w:val="20"/>
    </w:rPr>
  </w:style>
  <w:style w:type="paragraph" w:styleId="23">
    <w:name w:val="Body Text"/>
    <w:basedOn w:val="1"/>
    <w:link w:val="85"/>
    <w:qFormat/>
    <w:uiPriority w:val="0"/>
    <w:rPr>
      <w:rFonts w:ascii="楷体_GB2312" w:hAnsi="Arial" w:eastAsia="楷体_GB2312"/>
      <w:sz w:val="20"/>
    </w:rPr>
  </w:style>
  <w:style w:type="paragraph" w:styleId="24">
    <w:name w:val="Body Text Indent"/>
    <w:basedOn w:val="1"/>
    <w:next w:val="25"/>
    <w:link w:val="178"/>
    <w:qFormat/>
    <w:uiPriority w:val="0"/>
    <w:pPr>
      <w:ind w:firstLine="645"/>
    </w:pPr>
    <w:rPr>
      <w:sz w:val="20"/>
    </w:rPr>
  </w:style>
  <w:style w:type="paragraph" w:styleId="25">
    <w:name w:val="envelope return"/>
    <w:basedOn w:val="1"/>
    <w:next w:val="26"/>
    <w:unhideWhenUsed/>
    <w:qFormat/>
    <w:uiPriority w:val="99"/>
    <w:pPr>
      <w:snapToGrid w:val="0"/>
    </w:pPr>
    <w:rPr>
      <w:rFonts w:hint="eastAsia" w:ascii="Arial" w:hAnsi="Arial"/>
    </w:rPr>
  </w:style>
  <w:style w:type="paragraph" w:styleId="26">
    <w:name w:val="Title"/>
    <w:basedOn w:val="1"/>
    <w:next w:val="1"/>
    <w:link w:val="179"/>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27">
    <w:name w:val="List Bullet 2"/>
    <w:basedOn w:val="1"/>
    <w:semiHidden/>
    <w:unhideWhenUsed/>
    <w:qFormat/>
    <w:uiPriority w:val="99"/>
    <w:pPr>
      <w:numPr>
        <w:ilvl w:val="0"/>
        <w:numId w:val="1"/>
      </w:numPr>
    </w:pPr>
  </w:style>
  <w:style w:type="paragraph" w:styleId="28">
    <w:name w:val="index 4"/>
    <w:basedOn w:val="1"/>
    <w:next w:val="1"/>
    <w:qFormat/>
    <w:uiPriority w:val="0"/>
    <w:pPr>
      <w:ind w:left="1260"/>
    </w:pPr>
  </w:style>
  <w:style w:type="paragraph" w:styleId="29">
    <w:name w:val="toc 5"/>
    <w:basedOn w:val="1"/>
    <w:next w:val="1"/>
    <w:qFormat/>
    <w:uiPriority w:val="0"/>
    <w:pPr>
      <w:ind w:left="840"/>
      <w:jc w:val="left"/>
    </w:pPr>
    <w:rPr>
      <w:sz w:val="18"/>
    </w:rPr>
  </w:style>
  <w:style w:type="paragraph" w:styleId="30">
    <w:name w:val="toc 3"/>
    <w:basedOn w:val="1"/>
    <w:next w:val="1"/>
    <w:qFormat/>
    <w:uiPriority w:val="39"/>
    <w:pPr>
      <w:ind w:left="420"/>
      <w:jc w:val="left"/>
    </w:pPr>
    <w:rPr>
      <w:i/>
      <w:sz w:val="20"/>
    </w:rPr>
  </w:style>
  <w:style w:type="paragraph" w:styleId="31">
    <w:name w:val="Plain Text"/>
    <w:basedOn w:val="1"/>
    <w:link w:val="130"/>
    <w:qFormat/>
    <w:uiPriority w:val="99"/>
    <w:rPr>
      <w:rFonts w:ascii="宋体" w:hAnsi="Courier New" w:cs="Courier New"/>
      <w:szCs w:val="21"/>
    </w:rPr>
  </w:style>
  <w:style w:type="paragraph" w:styleId="32">
    <w:name w:val="toc 8"/>
    <w:basedOn w:val="1"/>
    <w:next w:val="1"/>
    <w:qFormat/>
    <w:uiPriority w:val="0"/>
    <w:pPr>
      <w:ind w:left="1470"/>
      <w:jc w:val="left"/>
    </w:pPr>
    <w:rPr>
      <w:sz w:val="18"/>
    </w:rPr>
  </w:style>
  <w:style w:type="paragraph" w:styleId="33">
    <w:name w:val="index 3"/>
    <w:basedOn w:val="1"/>
    <w:next w:val="1"/>
    <w:qFormat/>
    <w:uiPriority w:val="0"/>
    <w:pPr>
      <w:ind w:left="840"/>
    </w:pPr>
  </w:style>
  <w:style w:type="paragraph" w:styleId="34">
    <w:name w:val="Date"/>
    <w:basedOn w:val="1"/>
    <w:next w:val="1"/>
    <w:link w:val="149"/>
    <w:qFormat/>
    <w:uiPriority w:val="0"/>
    <w:pPr>
      <w:ind w:left="100" w:leftChars="2500"/>
    </w:pPr>
    <w:rPr>
      <w:sz w:val="20"/>
    </w:rPr>
  </w:style>
  <w:style w:type="paragraph" w:styleId="35">
    <w:name w:val="Body Text Indent 2"/>
    <w:basedOn w:val="1"/>
    <w:link w:val="172"/>
    <w:qFormat/>
    <w:uiPriority w:val="0"/>
    <w:pPr>
      <w:ind w:left="630" w:firstLine="645"/>
    </w:pPr>
    <w:rPr>
      <w:sz w:val="20"/>
    </w:rPr>
  </w:style>
  <w:style w:type="paragraph" w:styleId="36">
    <w:name w:val="endnote text"/>
    <w:basedOn w:val="1"/>
    <w:link w:val="215"/>
    <w:qFormat/>
    <w:uiPriority w:val="0"/>
    <w:pPr>
      <w:snapToGrid w:val="0"/>
      <w:jc w:val="left"/>
    </w:pPr>
    <w:rPr>
      <w:kern w:val="0"/>
      <w:sz w:val="24"/>
      <w:szCs w:val="24"/>
    </w:rPr>
  </w:style>
  <w:style w:type="paragraph" w:styleId="37">
    <w:name w:val="Balloon Text"/>
    <w:basedOn w:val="1"/>
    <w:link w:val="214"/>
    <w:qFormat/>
    <w:uiPriority w:val="0"/>
    <w:rPr>
      <w:sz w:val="18"/>
      <w:szCs w:val="18"/>
    </w:rPr>
  </w:style>
  <w:style w:type="paragraph" w:styleId="38">
    <w:name w:val="footer"/>
    <w:basedOn w:val="1"/>
    <w:link w:val="207"/>
    <w:qFormat/>
    <w:uiPriority w:val="99"/>
    <w:pPr>
      <w:tabs>
        <w:tab w:val="center" w:pos="4153"/>
        <w:tab w:val="right" w:pos="8306"/>
      </w:tabs>
      <w:snapToGrid w:val="0"/>
      <w:jc w:val="left"/>
    </w:pPr>
    <w:rPr>
      <w:sz w:val="18"/>
      <w:szCs w:val="18"/>
    </w:rPr>
  </w:style>
  <w:style w:type="paragraph" w:styleId="39">
    <w:name w:val="header"/>
    <w:basedOn w:val="1"/>
    <w:link w:val="14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40"/>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89"/>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42"/>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22"/>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82"/>
    <w:qFormat/>
    <w:uiPriority w:val="0"/>
    <w:pPr>
      <w:widowControl/>
      <w:jc w:val="center"/>
    </w:pPr>
    <w:rPr>
      <w:rFonts w:ascii="楷体_GB2312" w:eastAsia="楷体_GB2312"/>
      <w:sz w:val="20"/>
    </w:rPr>
  </w:style>
  <w:style w:type="paragraph" w:styleId="55">
    <w:name w:val="HTML Preformatted"/>
    <w:basedOn w:val="1"/>
    <w:link w:val="1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53"/>
    <w:qFormat/>
    <w:uiPriority w:val="0"/>
    <w:rPr>
      <w:b/>
      <w:bCs/>
    </w:rPr>
  </w:style>
  <w:style w:type="paragraph" w:styleId="59">
    <w:name w:val="Body Text First Indent"/>
    <w:basedOn w:val="23"/>
    <w:link w:val="114"/>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next w:val="1"/>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basedOn w:val="63"/>
    <w:qFormat/>
    <w:uiPriority w:val="0"/>
    <w:rPr>
      <w:vertAlign w:val="superscript"/>
    </w:rPr>
  </w:style>
  <w:style w:type="character" w:styleId="66">
    <w:name w:val="page number"/>
    <w:basedOn w:val="63"/>
    <w:qFormat/>
    <w:uiPriority w:val="0"/>
    <w:rPr>
      <w:rFonts w:cs="Times New Roman"/>
    </w:rPr>
  </w:style>
  <w:style w:type="character" w:styleId="67">
    <w:name w:val="FollowedHyperlink"/>
    <w:basedOn w:val="63"/>
    <w:qFormat/>
    <w:uiPriority w:val="0"/>
    <w:rPr>
      <w:color w:val="800080"/>
      <w:u w:val="single"/>
    </w:rPr>
  </w:style>
  <w:style w:type="character" w:styleId="68">
    <w:name w:val="Emphasis"/>
    <w:basedOn w:val="63"/>
    <w:qFormat/>
    <w:uiPriority w:val="0"/>
    <w:rPr>
      <w:b/>
      <w:i/>
      <w:spacing w:val="10"/>
      <w:shd w:val="clear" w:color="auto" w:fill="auto"/>
    </w:rPr>
  </w:style>
  <w:style w:type="character" w:styleId="69">
    <w:name w:val="line number"/>
    <w:basedOn w:val="63"/>
    <w:qFormat/>
    <w:uiPriority w:val="0"/>
    <w:rPr>
      <w:rFonts w:cs="Times New Roman"/>
    </w:rPr>
  </w:style>
  <w:style w:type="character" w:styleId="70">
    <w:name w:val="HTML Definition"/>
    <w:basedOn w:val="63"/>
    <w:semiHidden/>
    <w:unhideWhenUsed/>
    <w:qFormat/>
    <w:uiPriority w:val="99"/>
    <w:rPr>
      <w:i/>
      <w:iCs/>
    </w:rPr>
  </w:style>
  <w:style w:type="character" w:styleId="71">
    <w:name w:val="HTML Typewriter"/>
    <w:basedOn w:val="63"/>
    <w:qFormat/>
    <w:uiPriority w:val="0"/>
    <w:rPr>
      <w:rFonts w:ascii="宋体" w:hAnsi="宋体" w:eastAsia="宋体"/>
      <w:sz w:val="24"/>
    </w:rPr>
  </w:style>
  <w:style w:type="character" w:styleId="72">
    <w:name w:val="HTML Acronym"/>
    <w:basedOn w:val="63"/>
    <w:semiHidden/>
    <w:unhideWhenUsed/>
    <w:qFormat/>
    <w:uiPriority w:val="99"/>
  </w:style>
  <w:style w:type="character" w:styleId="73">
    <w:name w:val="HTML Variable"/>
    <w:basedOn w:val="63"/>
    <w:semiHidden/>
    <w:unhideWhenUsed/>
    <w:qFormat/>
    <w:uiPriority w:val="99"/>
  </w:style>
  <w:style w:type="character" w:styleId="74">
    <w:name w:val="Hyperlink"/>
    <w:basedOn w:val="63"/>
    <w:qFormat/>
    <w:uiPriority w:val="99"/>
    <w:rPr>
      <w:color w:val="0000FF"/>
      <w:u w:val="single"/>
    </w:rPr>
  </w:style>
  <w:style w:type="character" w:styleId="75">
    <w:name w:val="HTML Code"/>
    <w:basedOn w:val="63"/>
    <w:semiHidden/>
    <w:unhideWhenUsed/>
    <w:qFormat/>
    <w:uiPriority w:val="99"/>
    <w:rPr>
      <w:rFonts w:hint="default" w:ascii="Segoe Print" w:hAnsi="Segoe Print" w:eastAsia="Segoe Print" w:cs="Segoe Print"/>
      <w:sz w:val="21"/>
      <w:szCs w:val="21"/>
    </w:rPr>
  </w:style>
  <w:style w:type="character" w:styleId="76">
    <w:name w:val="annotation reference"/>
    <w:basedOn w:val="63"/>
    <w:qFormat/>
    <w:uiPriority w:val="99"/>
    <w:rPr>
      <w:sz w:val="21"/>
    </w:rPr>
  </w:style>
  <w:style w:type="character" w:styleId="77">
    <w:name w:val="HTML Cite"/>
    <w:basedOn w:val="63"/>
    <w:semiHidden/>
    <w:unhideWhenUsed/>
    <w:qFormat/>
    <w:uiPriority w:val="99"/>
  </w:style>
  <w:style w:type="character" w:styleId="78">
    <w:name w:val="footnote reference"/>
    <w:basedOn w:val="63"/>
    <w:qFormat/>
    <w:uiPriority w:val="0"/>
    <w:rPr>
      <w:vertAlign w:val="superscript"/>
    </w:rPr>
  </w:style>
  <w:style w:type="character" w:styleId="79">
    <w:name w:val="HTML Keyboard"/>
    <w:basedOn w:val="63"/>
    <w:semiHidden/>
    <w:unhideWhenUsed/>
    <w:qFormat/>
    <w:uiPriority w:val="99"/>
    <w:rPr>
      <w:rFonts w:hint="default" w:ascii="Segoe Print" w:hAnsi="Segoe Print" w:eastAsia="Segoe Print" w:cs="Segoe Print"/>
      <w:sz w:val="21"/>
      <w:szCs w:val="21"/>
    </w:rPr>
  </w:style>
  <w:style w:type="character" w:styleId="80">
    <w:name w:val="HTML Sample"/>
    <w:basedOn w:val="63"/>
    <w:qFormat/>
    <w:uiPriority w:val="0"/>
    <w:rPr>
      <w:rFonts w:ascii="Courier New" w:hAnsi="宋体" w:eastAsia="宋体"/>
    </w:rPr>
  </w:style>
  <w:style w:type="paragraph" w:customStyle="1" w:styleId="8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2">
    <w:name w:val="模板普通正文"/>
    <w:basedOn w:val="24"/>
    <w:qFormat/>
    <w:uiPriority w:val="0"/>
    <w:pPr>
      <w:spacing w:beforeLines="50" w:after="10"/>
      <w:ind w:firstLine="490" w:firstLineChars="175"/>
      <w:jc w:val="left"/>
    </w:pPr>
  </w:style>
  <w:style w:type="paragraph" w:customStyle="1" w:styleId="83">
    <w:name w:val="正文 New"/>
    <w:basedOn w:val="1"/>
    <w:qFormat/>
    <w:uiPriority w:val="0"/>
    <w:pPr>
      <w:spacing w:before="100" w:beforeAutospacing="1" w:after="100" w:afterAutospacing="1" w:line="440" w:lineRule="exact"/>
      <w:ind w:left="357" w:hanging="357"/>
    </w:pPr>
    <w:rPr>
      <w:szCs w:val="21"/>
    </w:rPr>
  </w:style>
  <w:style w:type="character" w:customStyle="1" w:styleId="84">
    <w:name w:val="页脚 Char1"/>
    <w:basedOn w:val="63"/>
    <w:qFormat/>
    <w:uiPriority w:val="0"/>
    <w:rPr>
      <w:rFonts w:cs="Times New Roman"/>
      <w:kern w:val="2"/>
      <w:sz w:val="18"/>
      <w:szCs w:val="18"/>
    </w:rPr>
  </w:style>
  <w:style w:type="character" w:customStyle="1" w:styleId="85">
    <w:name w:val="正文文本 字符"/>
    <w:basedOn w:val="63"/>
    <w:link w:val="23"/>
    <w:qFormat/>
    <w:uiPriority w:val="0"/>
    <w:rPr>
      <w:rFonts w:ascii="楷体_GB2312" w:hAnsi="Arial" w:eastAsia="楷体_GB2312" w:cs="Times New Roman"/>
      <w:sz w:val="20"/>
      <w:szCs w:val="20"/>
    </w:rPr>
  </w:style>
  <w:style w:type="character" w:customStyle="1" w:styleId="86">
    <w:name w:val="Body Text Indent 2 Char"/>
    <w:qFormat/>
    <w:uiPriority w:val="0"/>
    <w:rPr>
      <w:rFonts w:ascii="Arial" w:hAnsi="Arial" w:eastAsia="仿宋_GB2312"/>
      <w:sz w:val="32"/>
    </w:rPr>
  </w:style>
  <w:style w:type="character" w:customStyle="1" w:styleId="87">
    <w:name w:val="标题 5 字符"/>
    <w:basedOn w:val="63"/>
    <w:link w:val="6"/>
    <w:qFormat/>
    <w:uiPriority w:val="0"/>
    <w:rPr>
      <w:rFonts w:ascii="黑体" w:hAnsi="Times New Roman" w:eastAsia="黑体" w:cs="Times New Roman"/>
      <w:b/>
      <w:color w:val="000000"/>
      <w:kern w:val="0"/>
      <w:sz w:val="20"/>
      <w:szCs w:val="20"/>
    </w:rPr>
  </w:style>
  <w:style w:type="character" w:customStyle="1" w:styleId="88">
    <w:name w:val="Body Text Indent 3 Char1"/>
    <w:basedOn w:val="63"/>
    <w:qFormat/>
    <w:uiPriority w:val="0"/>
    <w:rPr>
      <w:rFonts w:ascii="Times New Roman" w:hAnsi="Times New Roman"/>
      <w:kern w:val="2"/>
      <w:sz w:val="16"/>
      <w:szCs w:val="16"/>
    </w:rPr>
  </w:style>
  <w:style w:type="character" w:customStyle="1" w:styleId="89">
    <w:name w:val="副标题 字符"/>
    <w:basedOn w:val="63"/>
    <w:link w:val="45"/>
    <w:qFormat/>
    <w:uiPriority w:val="0"/>
    <w:rPr>
      <w:rFonts w:ascii="Cambria" w:hAnsi="Cambria" w:eastAsia="宋体" w:cs="Times New Roman"/>
      <w:i/>
      <w:iCs/>
      <w:spacing w:val="13"/>
      <w:kern w:val="0"/>
      <w:sz w:val="24"/>
      <w:szCs w:val="24"/>
      <w:lang w:eastAsia="en-US"/>
    </w:rPr>
  </w:style>
  <w:style w:type="character" w:customStyle="1" w:styleId="90">
    <w:name w:val="listbenefit"/>
    <w:qFormat/>
    <w:uiPriority w:val="0"/>
  </w:style>
  <w:style w:type="character" w:customStyle="1" w:styleId="91">
    <w:name w:val="Char Char27"/>
    <w:qFormat/>
    <w:uiPriority w:val="0"/>
    <w:rPr>
      <w:b/>
      <w:kern w:val="44"/>
      <w:sz w:val="44"/>
    </w:rPr>
  </w:style>
  <w:style w:type="character" w:customStyle="1" w:styleId="92">
    <w:name w:val="param-value"/>
    <w:basedOn w:val="63"/>
    <w:qFormat/>
    <w:uiPriority w:val="0"/>
    <w:rPr>
      <w:rFonts w:cs="Times New Roman"/>
    </w:rPr>
  </w:style>
  <w:style w:type="character" w:customStyle="1" w:styleId="93">
    <w:name w:val="纯文本 Char Char Char1"/>
    <w:qFormat/>
    <w:uiPriority w:val="0"/>
    <w:rPr>
      <w:rFonts w:ascii="宋体" w:hAnsi="Courier New" w:eastAsia="宋体"/>
      <w:kern w:val="2"/>
      <w:sz w:val="21"/>
      <w:lang w:val="en-US" w:eastAsia="zh-CN"/>
    </w:rPr>
  </w:style>
  <w:style w:type="character" w:customStyle="1" w:styleId="94">
    <w:name w:val="apple-converted-space"/>
    <w:basedOn w:val="63"/>
    <w:qFormat/>
    <w:uiPriority w:val="0"/>
    <w:rPr>
      <w:rFonts w:cs="Times New Roman"/>
    </w:rPr>
  </w:style>
  <w:style w:type="character" w:customStyle="1" w:styleId="95">
    <w:name w:val="Char Char29"/>
    <w:qFormat/>
    <w:uiPriority w:val="0"/>
    <w:rPr>
      <w:rFonts w:ascii="Times New Roman" w:hAnsi="Times New Roman" w:eastAsia="宋体"/>
      <w:b/>
      <w:kern w:val="44"/>
      <w:sz w:val="44"/>
    </w:rPr>
  </w:style>
  <w:style w:type="character" w:customStyle="1" w:styleId="96">
    <w:name w:val="标题 3 Char"/>
    <w:basedOn w:val="63"/>
    <w:qFormat/>
    <w:uiPriority w:val="0"/>
    <w:rPr>
      <w:rFonts w:ascii="Times New Roman" w:hAnsi="Times New Roman" w:eastAsia="宋体" w:cs="Times New Roman"/>
      <w:b/>
      <w:bCs/>
      <w:sz w:val="32"/>
      <w:szCs w:val="32"/>
    </w:rPr>
  </w:style>
  <w:style w:type="character" w:customStyle="1" w:styleId="97">
    <w:name w:val="标题 4 字符"/>
    <w:basedOn w:val="63"/>
    <w:link w:val="5"/>
    <w:qFormat/>
    <w:uiPriority w:val="0"/>
    <w:rPr>
      <w:rFonts w:ascii="Arial" w:hAnsi="Arial" w:eastAsia="黑体" w:cs="Times New Roman"/>
      <w:b/>
      <w:sz w:val="20"/>
      <w:szCs w:val="20"/>
    </w:rPr>
  </w:style>
  <w:style w:type="character" w:customStyle="1" w:styleId="98">
    <w:name w:val="正文文本 3 字符"/>
    <w:basedOn w:val="63"/>
    <w:link w:val="22"/>
    <w:qFormat/>
    <w:uiPriority w:val="0"/>
    <w:rPr>
      <w:rFonts w:ascii="仿宋_GB2312" w:hAnsi="Arial" w:eastAsia="仿宋_GB2312" w:cs="Times New Roman"/>
      <w:sz w:val="20"/>
      <w:szCs w:val="20"/>
    </w:rPr>
  </w:style>
  <w:style w:type="character" w:customStyle="1" w:styleId="99">
    <w:name w:val="正文文本缩进 Char"/>
    <w:basedOn w:val="63"/>
    <w:qFormat/>
    <w:uiPriority w:val="0"/>
    <w:rPr>
      <w:rFonts w:ascii="Times New Roman" w:hAnsi="Times New Roman" w:eastAsia="宋体" w:cs="Times New Roman"/>
      <w:sz w:val="20"/>
      <w:szCs w:val="20"/>
    </w:rPr>
  </w:style>
  <w:style w:type="character" w:customStyle="1" w:styleId="100">
    <w:name w:val="Plain Text Char"/>
    <w:qFormat/>
    <w:uiPriority w:val="0"/>
    <w:rPr>
      <w:rFonts w:ascii="宋体" w:hAnsi="Courier New"/>
    </w:rPr>
  </w:style>
  <w:style w:type="character" w:customStyle="1" w:styleId="101">
    <w:name w:val="HTML 预设格式 Char"/>
    <w:basedOn w:val="63"/>
    <w:qFormat/>
    <w:uiPriority w:val="0"/>
    <w:rPr>
      <w:rFonts w:ascii="Courier New" w:hAnsi="Courier New" w:eastAsia="宋体" w:cs="Courier New"/>
      <w:sz w:val="20"/>
      <w:szCs w:val="20"/>
    </w:rPr>
  </w:style>
  <w:style w:type="character" w:customStyle="1" w:styleId="102">
    <w:name w:val="批注文字 Char Char"/>
    <w:qFormat/>
    <w:uiPriority w:val="0"/>
    <w:rPr>
      <w:rFonts w:eastAsia="宋体"/>
      <w:kern w:val="2"/>
      <w:sz w:val="21"/>
      <w:lang w:val="en-US" w:eastAsia="zh-CN"/>
    </w:rPr>
  </w:style>
  <w:style w:type="character" w:customStyle="1" w:styleId="103">
    <w:name w:val="Body Text Indent Char"/>
    <w:qFormat/>
    <w:uiPriority w:val="0"/>
    <w:rPr>
      <w:rFonts w:ascii="楷体_GB2312" w:eastAsia="楷体_GB2312"/>
      <w:sz w:val="32"/>
    </w:rPr>
  </w:style>
  <w:style w:type="character" w:customStyle="1" w:styleId="104">
    <w:name w:val="已访问的超链接1"/>
    <w:qFormat/>
    <w:uiPriority w:val="0"/>
    <w:rPr>
      <w:color w:val="auto"/>
      <w:u w:val="none"/>
    </w:rPr>
  </w:style>
  <w:style w:type="character" w:customStyle="1" w:styleId="105">
    <w:name w:val="纯文本 Char Char Char"/>
    <w:qFormat/>
    <w:uiPriority w:val="0"/>
    <w:rPr>
      <w:rFonts w:ascii="宋体" w:hAnsi="Courier New" w:eastAsia="宋体"/>
      <w:kern w:val="2"/>
      <w:sz w:val="21"/>
      <w:lang w:val="en-US" w:eastAsia="zh-CN"/>
    </w:rPr>
  </w:style>
  <w:style w:type="character" w:customStyle="1" w:styleId="106">
    <w:name w:val="普通文字1 Char"/>
    <w:qFormat/>
    <w:uiPriority w:val="0"/>
    <w:rPr>
      <w:rFonts w:ascii="宋体" w:eastAsia="宋体"/>
      <w:kern w:val="2"/>
      <w:sz w:val="21"/>
      <w:lang w:val="en-US" w:eastAsia="zh-CN"/>
    </w:rPr>
  </w:style>
  <w:style w:type="character" w:customStyle="1" w:styleId="107">
    <w:name w:val="Comment Subject Char"/>
    <w:qFormat/>
    <w:uiPriority w:val="0"/>
    <w:rPr>
      <w:b/>
    </w:rPr>
  </w:style>
  <w:style w:type="character" w:customStyle="1" w:styleId="108">
    <w:name w:val="Char Char28"/>
    <w:qFormat/>
    <w:uiPriority w:val="0"/>
    <w:rPr>
      <w:rFonts w:ascii="Arial" w:hAnsi="Arial" w:eastAsia="黑体"/>
      <w:b/>
      <w:sz w:val="32"/>
    </w:rPr>
  </w:style>
  <w:style w:type="character" w:customStyle="1" w:styleId="109">
    <w:name w:val="Char Char23"/>
    <w:qFormat/>
    <w:uiPriority w:val="0"/>
    <w:rPr>
      <w:rFonts w:ascii="Arial" w:hAnsi="Arial" w:eastAsia="黑体"/>
      <w:b/>
      <w:kern w:val="2"/>
      <w:sz w:val="24"/>
    </w:rPr>
  </w:style>
  <w:style w:type="character" w:customStyle="1" w:styleId="110">
    <w:name w:val="Char Char21"/>
    <w:qFormat/>
    <w:uiPriority w:val="0"/>
    <w:rPr>
      <w:rFonts w:ascii="Arial" w:hAnsi="Arial" w:eastAsia="黑体"/>
      <w:kern w:val="2"/>
      <w:sz w:val="24"/>
    </w:rPr>
  </w:style>
  <w:style w:type="character" w:customStyle="1" w:styleId="111">
    <w:name w:val="Char Char2"/>
    <w:qFormat/>
    <w:uiPriority w:val="0"/>
    <w:rPr>
      <w:rFonts w:ascii="宋体" w:hAnsi="Courier New" w:eastAsia="宋体"/>
      <w:kern w:val="2"/>
      <w:sz w:val="21"/>
      <w:lang w:val="en-US" w:eastAsia="zh-CN"/>
    </w:rPr>
  </w:style>
  <w:style w:type="character" w:customStyle="1" w:styleId="112">
    <w:name w:val="t1"/>
    <w:qFormat/>
    <w:uiPriority w:val="0"/>
  </w:style>
  <w:style w:type="character" w:customStyle="1" w:styleId="113">
    <w:name w:val="华宇段落1 Char Char Char"/>
    <w:qFormat/>
    <w:uiPriority w:val="0"/>
    <w:rPr>
      <w:rFonts w:eastAsia="宋体"/>
      <w:kern w:val="2"/>
      <w:sz w:val="24"/>
      <w:lang w:val="en-US" w:eastAsia="zh-CN"/>
    </w:rPr>
  </w:style>
  <w:style w:type="character" w:customStyle="1" w:styleId="114">
    <w:name w:val="正文文本首行缩进 字符"/>
    <w:basedOn w:val="85"/>
    <w:link w:val="59"/>
    <w:qFormat/>
    <w:uiPriority w:val="0"/>
    <w:rPr>
      <w:rFonts w:ascii="Times New Roman" w:hAnsi="Times New Roman" w:eastAsia="宋体" w:cs="Times New Roman"/>
      <w:sz w:val="24"/>
      <w:szCs w:val="24"/>
    </w:rPr>
  </w:style>
  <w:style w:type="character" w:customStyle="1" w:styleId="115">
    <w:name w:val="纯文本 Char1"/>
    <w:qFormat/>
    <w:uiPriority w:val="0"/>
    <w:rPr>
      <w:rFonts w:ascii="宋体" w:hAnsi="Courier New"/>
      <w:kern w:val="2"/>
      <w:sz w:val="21"/>
    </w:rPr>
  </w:style>
  <w:style w:type="character" w:customStyle="1" w:styleId="116">
    <w:name w:val="textcontents"/>
    <w:basedOn w:val="63"/>
    <w:qFormat/>
    <w:uiPriority w:val="0"/>
    <w:rPr>
      <w:rFonts w:cs="Times New Roman"/>
    </w:rPr>
  </w:style>
  <w:style w:type="character" w:customStyle="1" w:styleId="117">
    <w:name w:val="Intense Quote Char2"/>
    <w:basedOn w:val="63"/>
    <w:qFormat/>
    <w:uiPriority w:val="0"/>
    <w:rPr>
      <w:rFonts w:ascii="Times New Roman" w:hAnsi="Times New Roman" w:eastAsia="宋体" w:cs="Times New Roman"/>
      <w:b/>
      <w:bCs/>
      <w:i/>
      <w:iCs/>
      <w:color w:val="4F81BD"/>
      <w:sz w:val="20"/>
      <w:szCs w:val="20"/>
    </w:rPr>
  </w:style>
  <w:style w:type="character" w:customStyle="1" w:styleId="118">
    <w:name w:val="纯文本 Char"/>
    <w:basedOn w:val="63"/>
    <w:qFormat/>
    <w:uiPriority w:val="0"/>
    <w:rPr>
      <w:rFonts w:ascii="宋体" w:hAnsi="Courier New" w:eastAsia="宋体" w:cs="Courier New"/>
      <w:sz w:val="21"/>
      <w:szCs w:val="21"/>
    </w:rPr>
  </w:style>
  <w:style w:type="character" w:customStyle="1" w:styleId="119">
    <w:name w:val="我的正文 Char Char"/>
    <w:link w:val="120"/>
    <w:qFormat/>
    <w:uiPriority w:val="0"/>
    <w:rPr>
      <w:rFonts w:ascii="宋体" w:eastAsia="宋体"/>
      <w:sz w:val="21"/>
    </w:rPr>
  </w:style>
  <w:style w:type="paragraph" w:customStyle="1" w:styleId="120">
    <w:name w:val="我的正文"/>
    <w:basedOn w:val="1"/>
    <w:link w:val="119"/>
    <w:qFormat/>
    <w:uiPriority w:val="0"/>
    <w:pPr>
      <w:widowControl/>
      <w:spacing w:line="360" w:lineRule="auto"/>
      <w:ind w:firstLine="420"/>
      <w:jc w:val="left"/>
    </w:pPr>
    <w:rPr>
      <w:rFonts w:ascii="宋体" w:hAnsi="Calibri"/>
      <w:kern w:val="0"/>
    </w:rPr>
  </w:style>
  <w:style w:type="character" w:customStyle="1" w:styleId="121">
    <w:name w:val="Title Char"/>
    <w:qFormat/>
    <w:uiPriority w:val="0"/>
    <w:rPr>
      <w:rFonts w:eastAsia="黑体"/>
      <w:b/>
      <w:sz w:val="28"/>
      <w:lang w:val="en-GB"/>
    </w:rPr>
  </w:style>
  <w:style w:type="character" w:customStyle="1" w:styleId="122">
    <w:name w:val="正文文本缩进 3 字符"/>
    <w:basedOn w:val="63"/>
    <w:link w:val="48"/>
    <w:qFormat/>
    <w:uiPriority w:val="0"/>
    <w:rPr>
      <w:rFonts w:ascii="Times New Roman" w:hAnsi="Times New Roman" w:eastAsia="宋体" w:cs="Times New Roman"/>
      <w:sz w:val="16"/>
      <w:szCs w:val="16"/>
    </w:rPr>
  </w:style>
  <w:style w:type="character" w:customStyle="1" w:styleId="123">
    <w:name w:val="Title1 Char"/>
    <w:qFormat/>
    <w:uiPriority w:val="0"/>
    <w:rPr>
      <w:rFonts w:eastAsia="宋体"/>
      <w:b/>
      <w:kern w:val="44"/>
      <w:sz w:val="44"/>
      <w:lang w:val="en-US" w:eastAsia="zh-CN"/>
    </w:rPr>
  </w:style>
  <w:style w:type="character" w:customStyle="1" w:styleId="124">
    <w:name w:val="content"/>
    <w:basedOn w:val="63"/>
    <w:qFormat/>
    <w:uiPriority w:val="0"/>
    <w:rPr>
      <w:rFonts w:cs="Times New Roman"/>
    </w:rPr>
  </w:style>
  <w:style w:type="character" w:customStyle="1" w:styleId="125">
    <w:name w:val="Char Char17"/>
    <w:qFormat/>
    <w:uiPriority w:val="0"/>
    <w:rPr>
      <w:rFonts w:ascii="宋体" w:hAnsi="Courier New"/>
      <w:kern w:val="2"/>
      <w:sz w:val="21"/>
    </w:rPr>
  </w:style>
  <w:style w:type="character" w:customStyle="1" w:styleId="126">
    <w:name w:val="标准小四 Char Char"/>
    <w:qFormat/>
    <w:uiPriority w:val="0"/>
    <w:rPr>
      <w:rFonts w:ascii="Arial" w:hAnsi="Arial" w:eastAsia="宋体"/>
      <w:kern w:val="2"/>
      <w:sz w:val="21"/>
      <w:lang w:val="en-US" w:eastAsia="zh-CN"/>
    </w:rPr>
  </w:style>
  <w:style w:type="character" w:customStyle="1" w:styleId="127">
    <w:name w:val="样式 宋体 小四"/>
    <w:qFormat/>
    <w:uiPriority w:val="0"/>
    <w:rPr>
      <w:rFonts w:ascii="宋体" w:eastAsia="宋体"/>
      <w:sz w:val="24"/>
    </w:rPr>
  </w:style>
  <w:style w:type="character" w:customStyle="1" w:styleId="128">
    <w:name w:val="ih151"/>
    <w:qFormat/>
    <w:uiPriority w:val="0"/>
    <w:rPr>
      <w:color w:val="666666"/>
      <w:sz w:val="18"/>
      <w:u w:val="none"/>
    </w:rPr>
  </w:style>
  <w:style w:type="character" w:customStyle="1" w:styleId="129">
    <w:name w:val="style13"/>
    <w:qFormat/>
    <w:uiPriority w:val="0"/>
    <w:rPr>
      <w:sz w:val="18"/>
    </w:rPr>
  </w:style>
  <w:style w:type="character" w:customStyle="1" w:styleId="130">
    <w:name w:val="纯文本 字符"/>
    <w:basedOn w:val="63"/>
    <w:link w:val="31"/>
    <w:qFormat/>
    <w:uiPriority w:val="99"/>
    <w:rPr>
      <w:rFonts w:ascii="宋体" w:hAnsi="Courier New" w:cs="Courier New"/>
      <w:kern w:val="2"/>
      <w:sz w:val="21"/>
      <w:szCs w:val="21"/>
    </w:rPr>
  </w:style>
  <w:style w:type="character" w:customStyle="1" w:styleId="131">
    <w:name w:val="标题 6 字符"/>
    <w:basedOn w:val="63"/>
    <w:link w:val="8"/>
    <w:qFormat/>
    <w:uiPriority w:val="0"/>
    <w:rPr>
      <w:rFonts w:ascii="Arial" w:hAnsi="Arial" w:eastAsia="黑体" w:cs="Times New Roman"/>
      <w:b/>
      <w:bCs/>
      <w:sz w:val="24"/>
      <w:szCs w:val="24"/>
    </w:rPr>
  </w:style>
  <w:style w:type="character" w:customStyle="1" w:styleId="132">
    <w:name w:val="style131"/>
    <w:qFormat/>
    <w:uiPriority w:val="0"/>
    <w:rPr>
      <w:sz w:val="18"/>
    </w:rPr>
  </w:style>
  <w:style w:type="character" w:customStyle="1" w:styleId="133">
    <w:name w:val="Char Char25"/>
    <w:qFormat/>
    <w:uiPriority w:val="0"/>
    <w:rPr>
      <w:rFonts w:ascii="Arial" w:hAnsi="Arial" w:eastAsia="黑体"/>
      <w:b/>
      <w:kern w:val="2"/>
      <w:sz w:val="28"/>
    </w:rPr>
  </w:style>
  <w:style w:type="character" w:customStyle="1" w:styleId="134">
    <w:name w:val="不明显强调1"/>
    <w:basedOn w:val="63"/>
    <w:qFormat/>
    <w:uiPriority w:val="0"/>
    <w:rPr>
      <w:i/>
    </w:rPr>
  </w:style>
  <w:style w:type="character" w:customStyle="1" w:styleId="135">
    <w:name w:val="标准文本 Char Char"/>
    <w:qFormat/>
    <w:uiPriority w:val="0"/>
    <w:rPr>
      <w:rFonts w:eastAsia="宋体"/>
      <w:kern w:val="2"/>
      <w:sz w:val="24"/>
      <w:lang w:val="en-US" w:eastAsia="zh-CN"/>
    </w:rPr>
  </w:style>
  <w:style w:type="character" w:customStyle="1" w:styleId="136">
    <w:name w:val="Comment Subject Char1"/>
    <w:basedOn w:val="137"/>
    <w:qFormat/>
    <w:uiPriority w:val="0"/>
    <w:rPr>
      <w:rFonts w:ascii="Times New Roman" w:hAnsi="Times New Roman" w:eastAsia="宋体" w:cs="Times New Roman"/>
      <w:b/>
      <w:bCs/>
      <w:kern w:val="2"/>
      <w:sz w:val="21"/>
      <w:szCs w:val="20"/>
    </w:rPr>
  </w:style>
  <w:style w:type="character" w:customStyle="1" w:styleId="137">
    <w:name w:val="批注文字 字符"/>
    <w:basedOn w:val="63"/>
    <w:link w:val="19"/>
    <w:qFormat/>
    <w:uiPriority w:val="99"/>
    <w:rPr>
      <w:rFonts w:ascii="Times New Roman" w:hAnsi="Times New Roman" w:eastAsia="宋体" w:cs="Times New Roman"/>
      <w:sz w:val="20"/>
      <w:szCs w:val="20"/>
    </w:rPr>
  </w:style>
  <w:style w:type="character" w:customStyle="1" w:styleId="138">
    <w:name w:val="normalfont1"/>
    <w:qFormat/>
    <w:uiPriority w:val="0"/>
    <w:rPr>
      <w:rFonts w:ascii="Times New Roman" w:hAnsi="Times New Roman"/>
      <w:sz w:val="18"/>
      <w:u w:val="none"/>
    </w:rPr>
  </w:style>
  <w:style w:type="character" w:customStyle="1" w:styleId="139">
    <w:name w:val="小四 段落 宋体 Char Char Char Char Char Char Char Char"/>
    <w:qFormat/>
    <w:uiPriority w:val="0"/>
    <w:rPr>
      <w:rFonts w:eastAsia="宋体"/>
      <w:kern w:val="2"/>
      <w:sz w:val="24"/>
      <w:lang w:val="en-US" w:eastAsia="zh-CN"/>
    </w:rPr>
  </w:style>
  <w:style w:type="character" w:customStyle="1" w:styleId="140">
    <w:name w:val="签名 字符"/>
    <w:basedOn w:val="63"/>
    <w:link w:val="40"/>
    <w:qFormat/>
    <w:uiPriority w:val="0"/>
    <w:rPr>
      <w:rFonts w:ascii="Times New Roman" w:hAnsi="Times New Roman" w:eastAsia="仿宋_GB2312" w:cs="Times New Roman"/>
      <w:kern w:val="0"/>
      <w:sz w:val="20"/>
      <w:szCs w:val="20"/>
    </w:rPr>
  </w:style>
  <w:style w:type="character" w:customStyle="1" w:styleId="141">
    <w:name w:val="标题 Char1"/>
    <w:qFormat/>
    <w:uiPriority w:val="0"/>
    <w:rPr>
      <w:rFonts w:ascii="Cambria" w:eastAsia="宋体"/>
      <w:b/>
      <w:sz w:val="32"/>
    </w:rPr>
  </w:style>
  <w:style w:type="character" w:customStyle="1" w:styleId="142">
    <w:name w:val="脚注文本 字符"/>
    <w:basedOn w:val="63"/>
    <w:link w:val="46"/>
    <w:qFormat/>
    <w:uiPriority w:val="0"/>
    <w:rPr>
      <w:rFonts w:ascii="Times New Roman" w:hAnsi="Times New Roman" w:eastAsia="宋体" w:cs="Times New Roman"/>
      <w:sz w:val="18"/>
      <w:szCs w:val="18"/>
    </w:rPr>
  </w:style>
  <w:style w:type="character" w:customStyle="1" w:styleId="143">
    <w:name w:val="页眉 字符"/>
    <w:basedOn w:val="63"/>
    <w:link w:val="39"/>
    <w:qFormat/>
    <w:uiPriority w:val="99"/>
    <w:rPr>
      <w:rFonts w:cs="Times New Roman"/>
      <w:sz w:val="18"/>
      <w:szCs w:val="18"/>
    </w:rPr>
  </w:style>
  <w:style w:type="character" w:customStyle="1" w:styleId="144">
    <w:name w:val="Quote Char Char"/>
    <w:qFormat/>
    <w:uiPriority w:val="0"/>
    <w:rPr>
      <w:rFonts w:ascii="Calibri" w:hAnsi="Calibri"/>
      <w:i/>
      <w:sz w:val="22"/>
      <w:lang w:eastAsia="en-US"/>
    </w:rPr>
  </w:style>
  <w:style w:type="character" w:customStyle="1" w:styleId="145">
    <w:name w:val="content_lineheight1"/>
    <w:basedOn w:val="63"/>
    <w:qFormat/>
    <w:uiPriority w:val="0"/>
    <w:rPr>
      <w:rFonts w:cs="Times New Roman"/>
    </w:rPr>
  </w:style>
  <w:style w:type="character" w:customStyle="1" w:styleId="146">
    <w:name w:val="标题 7 字符"/>
    <w:basedOn w:val="63"/>
    <w:link w:val="9"/>
    <w:qFormat/>
    <w:uiPriority w:val="0"/>
    <w:rPr>
      <w:rFonts w:ascii="Times New Roman" w:hAnsi="Times New Roman" w:eastAsia="宋体" w:cs="Times New Roman"/>
      <w:b/>
      <w:bCs/>
      <w:sz w:val="24"/>
      <w:szCs w:val="24"/>
    </w:rPr>
  </w:style>
  <w:style w:type="character" w:customStyle="1" w:styleId="147">
    <w:name w:val="Title Char1"/>
    <w:basedOn w:val="63"/>
    <w:qFormat/>
    <w:uiPriority w:val="0"/>
    <w:rPr>
      <w:rFonts w:ascii="Cambria" w:hAnsi="Cambria" w:cs="Times New Roman"/>
      <w:b/>
      <w:bCs/>
      <w:kern w:val="2"/>
      <w:sz w:val="32"/>
      <w:szCs w:val="32"/>
    </w:rPr>
  </w:style>
  <w:style w:type="character" w:customStyle="1" w:styleId="148">
    <w:name w:val="正文 + 宋体 Char"/>
    <w:qFormat/>
    <w:uiPriority w:val="0"/>
    <w:rPr>
      <w:rFonts w:eastAsia="宋体"/>
      <w:kern w:val="2"/>
      <w:sz w:val="24"/>
      <w:lang w:val="en-US" w:eastAsia="zh-CN"/>
    </w:rPr>
  </w:style>
  <w:style w:type="character" w:customStyle="1" w:styleId="149">
    <w:name w:val="日期 字符"/>
    <w:basedOn w:val="63"/>
    <w:link w:val="34"/>
    <w:qFormat/>
    <w:uiPriority w:val="0"/>
    <w:rPr>
      <w:rFonts w:ascii="Times New Roman" w:hAnsi="Times New Roman" w:eastAsia="宋体" w:cs="Times New Roman"/>
      <w:sz w:val="20"/>
      <w:szCs w:val="20"/>
    </w:rPr>
  </w:style>
  <w:style w:type="character" w:customStyle="1" w:styleId="150">
    <w:name w:val="特点 Char1"/>
    <w:qFormat/>
    <w:uiPriority w:val="0"/>
    <w:rPr>
      <w:rFonts w:eastAsia="宋体"/>
      <w:kern w:val="2"/>
      <w:sz w:val="21"/>
      <w:lang w:val="en-US" w:eastAsia="zh-CN"/>
    </w:rPr>
  </w:style>
  <w:style w:type="character" w:customStyle="1" w:styleId="151">
    <w:name w:val="表格抬头 Char Char"/>
    <w:link w:val="152"/>
    <w:qFormat/>
    <w:uiPriority w:val="0"/>
    <w:rPr>
      <w:rFonts w:ascii="黑体" w:eastAsia="黑体"/>
      <w:b/>
    </w:rPr>
  </w:style>
  <w:style w:type="paragraph" w:customStyle="1" w:styleId="152">
    <w:name w:val="表格抬头"/>
    <w:basedOn w:val="1"/>
    <w:link w:val="151"/>
    <w:qFormat/>
    <w:uiPriority w:val="0"/>
    <w:pPr>
      <w:jc w:val="center"/>
    </w:pPr>
    <w:rPr>
      <w:rFonts w:ascii="黑体" w:hAnsi="Calibri" w:eastAsia="黑体"/>
      <w:b/>
      <w:kern w:val="0"/>
      <w:sz w:val="20"/>
    </w:rPr>
  </w:style>
  <w:style w:type="character" w:customStyle="1" w:styleId="153">
    <w:name w:val="批注主题 字符"/>
    <w:basedOn w:val="137"/>
    <w:link w:val="58"/>
    <w:qFormat/>
    <w:uiPriority w:val="0"/>
    <w:rPr>
      <w:rFonts w:ascii="Times New Roman" w:hAnsi="Times New Roman" w:eastAsia="宋体" w:cs="Times New Roman"/>
      <w:b/>
      <w:bCs/>
      <w:sz w:val="20"/>
      <w:szCs w:val="20"/>
    </w:rPr>
  </w:style>
  <w:style w:type="character" w:customStyle="1" w:styleId="154">
    <w:name w:val="HTML Preformatted Char"/>
    <w:qFormat/>
    <w:uiPriority w:val="0"/>
    <w:rPr>
      <w:rFonts w:ascii="黑体" w:hAnsi="Courier New" w:eastAsia="黑体"/>
    </w:rPr>
  </w:style>
  <w:style w:type="character" w:customStyle="1" w:styleId="155">
    <w:name w:val="h Char Char"/>
    <w:qFormat/>
    <w:uiPriority w:val="0"/>
    <w:rPr>
      <w:rFonts w:eastAsia="宋体"/>
      <w:kern w:val="2"/>
      <w:sz w:val="18"/>
      <w:lang w:val="en-US" w:eastAsia="zh-CN"/>
    </w:rPr>
  </w:style>
  <w:style w:type="character" w:customStyle="1" w:styleId="156">
    <w:name w:val="subtitle1"/>
    <w:qFormat/>
    <w:uiPriority w:val="0"/>
    <w:rPr>
      <w:rFonts w:ascii="Georgia" w:hAnsi="Georgia"/>
      <w:b/>
      <w:color w:val="666666"/>
      <w:sz w:val="18"/>
    </w:rPr>
  </w:style>
  <w:style w:type="character" w:customStyle="1" w:styleId="157">
    <w:name w:val="样式 非加粗"/>
    <w:qFormat/>
    <w:uiPriority w:val="0"/>
    <w:rPr>
      <w:rFonts w:eastAsia="宋体"/>
      <w:sz w:val="28"/>
    </w:rPr>
  </w:style>
  <w:style w:type="character" w:customStyle="1" w:styleId="158">
    <w:name w:val="小四 段落 宋体 Char Char Char Char Char"/>
    <w:link w:val="159"/>
    <w:qFormat/>
    <w:uiPriority w:val="0"/>
    <w:rPr>
      <w:rFonts w:eastAsia="宋体"/>
      <w:kern w:val="2"/>
      <w:sz w:val="24"/>
      <w:lang w:val="en-US" w:eastAsia="zh-CN"/>
    </w:rPr>
  </w:style>
  <w:style w:type="paragraph" w:customStyle="1" w:styleId="159">
    <w:name w:val="小四 段落 宋体"/>
    <w:basedOn w:val="16"/>
    <w:link w:val="158"/>
    <w:qFormat/>
    <w:uiPriority w:val="0"/>
    <w:pPr>
      <w:tabs>
        <w:tab w:val="clear" w:pos="2952"/>
      </w:tabs>
      <w:spacing w:line="360" w:lineRule="auto"/>
      <w:ind w:left="113" w:right="113" w:firstLine="425"/>
      <w:jc w:val="left"/>
    </w:pPr>
    <w:rPr>
      <w:rFonts w:ascii="Calibri" w:hAnsi="Calibri"/>
      <w:sz w:val="24"/>
      <w:szCs w:val="20"/>
    </w:rPr>
  </w:style>
  <w:style w:type="character" w:customStyle="1" w:styleId="160">
    <w:name w:val="标题 8 字符"/>
    <w:basedOn w:val="63"/>
    <w:link w:val="10"/>
    <w:qFormat/>
    <w:uiPriority w:val="0"/>
    <w:rPr>
      <w:rFonts w:ascii="Arial" w:hAnsi="Arial" w:eastAsia="黑体" w:cs="Times New Roman"/>
      <w:sz w:val="24"/>
      <w:szCs w:val="24"/>
    </w:rPr>
  </w:style>
  <w:style w:type="character" w:customStyle="1" w:styleId="161">
    <w:name w:val="Document Map Char"/>
    <w:qFormat/>
    <w:uiPriority w:val="0"/>
    <w:rPr>
      <w:shd w:val="clear" w:color="auto" w:fill="000080"/>
    </w:rPr>
  </w:style>
  <w:style w:type="character" w:customStyle="1" w:styleId="162">
    <w:name w:val="para_small"/>
    <w:basedOn w:val="63"/>
    <w:qFormat/>
    <w:uiPriority w:val="0"/>
    <w:rPr>
      <w:rFonts w:cs="Times New Roman"/>
    </w:rPr>
  </w:style>
  <w:style w:type="character" w:customStyle="1" w:styleId="163">
    <w:name w:val="2nd level Char"/>
    <w:qFormat/>
    <w:uiPriority w:val="0"/>
    <w:rPr>
      <w:rFonts w:ascii="Arial" w:hAnsi="Arial" w:eastAsia="黑体"/>
      <w:b/>
      <w:kern w:val="2"/>
      <w:sz w:val="32"/>
      <w:lang w:val="en-US" w:eastAsia="zh-CN"/>
    </w:rPr>
  </w:style>
  <w:style w:type="character" w:customStyle="1" w:styleId="164">
    <w:name w:val="小四 段落 宋体 Char Char Char Char1"/>
    <w:qFormat/>
    <w:uiPriority w:val="0"/>
    <w:rPr>
      <w:rFonts w:eastAsia="宋体"/>
      <w:kern w:val="2"/>
      <w:sz w:val="24"/>
      <w:lang w:val="en-US" w:eastAsia="zh-CN"/>
    </w:rPr>
  </w:style>
  <w:style w:type="character" w:customStyle="1" w:styleId="165">
    <w:name w:val="Body Text Indent 2 Char1"/>
    <w:basedOn w:val="63"/>
    <w:qFormat/>
    <w:uiPriority w:val="0"/>
    <w:rPr>
      <w:rFonts w:ascii="Times New Roman" w:hAnsi="Times New Roman"/>
      <w:kern w:val="2"/>
      <w:sz w:val="21"/>
    </w:rPr>
  </w:style>
  <w:style w:type="character" w:customStyle="1" w:styleId="166">
    <w:name w:val="标题 9 字符"/>
    <w:basedOn w:val="63"/>
    <w:link w:val="11"/>
    <w:qFormat/>
    <w:uiPriority w:val="0"/>
    <w:rPr>
      <w:rFonts w:ascii="Arial" w:hAnsi="Arial" w:eastAsia="黑体" w:cs="Times New Roman"/>
      <w:sz w:val="21"/>
      <w:szCs w:val="21"/>
    </w:rPr>
  </w:style>
  <w:style w:type="character" w:customStyle="1" w:styleId="167">
    <w:name w:val="明显强调1"/>
    <w:basedOn w:val="63"/>
    <w:qFormat/>
    <w:uiPriority w:val="0"/>
    <w:rPr>
      <w:b/>
    </w:rPr>
  </w:style>
  <w:style w:type="character" w:customStyle="1" w:styleId="168">
    <w:name w:val="标题 2 字符"/>
    <w:basedOn w:val="63"/>
    <w:link w:val="3"/>
    <w:qFormat/>
    <w:uiPriority w:val="0"/>
    <w:rPr>
      <w:rFonts w:ascii="宋体" w:hAnsi="宋体" w:eastAsia="宋体" w:cs="Times New Roman"/>
      <w:b/>
      <w:sz w:val="24"/>
      <w:szCs w:val="24"/>
    </w:rPr>
  </w:style>
  <w:style w:type="character" w:customStyle="1" w:styleId="169">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70">
    <w:name w:val="Quote Char2"/>
    <w:basedOn w:val="63"/>
    <w:qFormat/>
    <w:uiPriority w:val="0"/>
    <w:rPr>
      <w:rFonts w:ascii="Times New Roman" w:hAnsi="Times New Roman" w:eastAsia="宋体" w:cs="Times New Roman"/>
      <w:i/>
      <w:iCs/>
      <w:color w:val="000000"/>
      <w:sz w:val="20"/>
      <w:szCs w:val="20"/>
    </w:rPr>
  </w:style>
  <w:style w:type="character" w:customStyle="1" w:styleId="171">
    <w:name w:val="小四 段落 宋体 Char Char Char1"/>
    <w:qFormat/>
    <w:uiPriority w:val="0"/>
    <w:rPr>
      <w:rFonts w:ascii="宋体" w:hAnsi="宋体" w:eastAsia="宋体"/>
      <w:kern w:val="2"/>
      <w:sz w:val="24"/>
      <w:lang w:val="en-US" w:eastAsia="zh-CN"/>
    </w:rPr>
  </w:style>
  <w:style w:type="character" w:customStyle="1" w:styleId="172">
    <w:name w:val="正文文本缩进 2 字符"/>
    <w:basedOn w:val="63"/>
    <w:link w:val="35"/>
    <w:qFormat/>
    <w:uiPriority w:val="0"/>
    <w:rPr>
      <w:rFonts w:ascii="Times New Roman" w:hAnsi="Times New Roman" w:eastAsia="宋体" w:cs="Times New Roman"/>
      <w:sz w:val="20"/>
      <w:szCs w:val="20"/>
    </w:rPr>
  </w:style>
  <w:style w:type="character" w:customStyle="1" w:styleId="173">
    <w:name w:val="Quote Char1"/>
    <w:basedOn w:val="63"/>
    <w:link w:val="174"/>
    <w:qFormat/>
    <w:uiPriority w:val="0"/>
    <w:rPr>
      <w:rFonts w:ascii="Times New Roman" w:hAnsi="Times New Roman"/>
      <w:i/>
      <w:iCs/>
      <w:color w:val="000000"/>
      <w:kern w:val="2"/>
      <w:sz w:val="21"/>
    </w:rPr>
  </w:style>
  <w:style w:type="paragraph" w:customStyle="1" w:styleId="174">
    <w:name w:val="引用1"/>
    <w:basedOn w:val="1"/>
    <w:next w:val="1"/>
    <w:link w:val="173"/>
    <w:qFormat/>
    <w:uiPriority w:val="0"/>
    <w:pPr>
      <w:widowControl/>
      <w:spacing w:before="200" w:line="276" w:lineRule="auto"/>
      <w:ind w:left="360" w:right="360"/>
      <w:jc w:val="left"/>
    </w:pPr>
    <w:rPr>
      <w:i/>
      <w:iCs/>
      <w:color w:val="000000"/>
      <w:sz w:val="20"/>
    </w:rPr>
  </w:style>
  <w:style w:type="character" w:customStyle="1" w:styleId="175">
    <w:name w:val="文档结构图 Char"/>
    <w:basedOn w:val="63"/>
    <w:qFormat/>
    <w:uiPriority w:val="0"/>
    <w:rPr>
      <w:rFonts w:ascii="宋体" w:hAnsi="Times New Roman" w:eastAsia="宋体" w:cs="Times New Roman"/>
      <w:sz w:val="18"/>
      <w:szCs w:val="18"/>
    </w:rPr>
  </w:style>
  <w:style w:type="character" w:customStyle="1" w:styleId="176">
    <w:name w:val="HTML 预设格式 字符"/>
    <w:basedOn w:val="63"/>
    <w:link w:val="55"/>
    <w:qFormat/>
    <w:uiPriority w:val="0"/>
    <w:rPr>
      <w:rFonts w:ascii="Courier New" w:hAnsi="Courier New" w:cs="Courier New"/>
      <w:kern w:val="2"/>
    </w:rPr>
  </w:style>
  <w:style w:type="character" w:customStyle="1" w:styleId="177">
    <w:name w:val="标准文本 Char Char Char"/>
    <w:qFormat/>
    <w:uiPriority w:val="0"/>
    <w:rPr>
      <w:rFonts w:eastAsia="宋体"/>
      <w:kern w:val="2"/>
      <w:sz w:val="24"/>
      <w:lang w:val="en-US" w:eastAsia="zh-CN"/>
    </w:rPr>
  </w:style>
  <w:style w:type="character" w:customStyle="1" w:styleId="178">
    <w:name w:val="正文文本缩进 字符"/>
    <w:basedOn w:val="63"/>
    <w:link w:val="24"/>
    <w:qFormat/>
    <w:uiPriority w:val="0"/>
    <w:rPr>
      <w:rFonts w:ascii="Times New Roman" w:hAnsi="Times New Roman"/>
      <w:kern w:val="2"/>
      <w:sz w:val="21"/>
    </w:rPr>
  </w:style>
  <w:style w:type="character" w:customStyle="1" w:styleId="179">
    <w:name w:val="标题 字符"/>
    <w:basedOn w:val="63"/>
    <w:link w:val="26"/>
    <w:qFormat/>
    <w:uiPriority w:val="0"/>
    <w:rPr>
      <w:rFonts w:ascii="Cambria" w:hAnsi="Cambria" w:eastAsia="宋体" w:cs="Times New Roman"/>
      <w:b/>
      <w:bCs/>
      <w:sz w:val="32"/>
      <w:szCs w:val="32"/>
    </w:rPr>
  </w:style>
  <w:style w:type="character" w:customStyle="1" w:styleId="180">
    <w:name w:val="纯文本 Char Char"/>
    <w:qFormat/>
    <w:uiPriority w:val="0"/>
    <w:rPr>
      <w:rFonts w:ascii="宋体" w:hAnsi="Courier New" w:eastAsia="宋体"/>
      <w:kern w:val="2"/>
      <w:sz w:val="21"/>
      <w:lang w:val="en-US" w:eastAsia="zh-CN"/>
    </w:rPr>
  </w:style>
  <w:style w:type="character" w:customStyle="1" w:styleId="181">
    <w:name w:val="case31"/>
    <w:qFormat/>
    <w:uiPriority w:val="0"/>
    <w:rPr>
      <w:sz w:val="21"/>
    </w:rPr>
  </w:style>
  <w:style w:type="character" w:customStyle="1" w:styleId="182">
    <w:name w:val="正文文本 2 字符"/>
    <w:basedOn w:val="63"/>
    <w:link w:val="54"/>
    <w:qFormat/>
    <w:uiPriority w:val="0"/>
    <w:rPr>
      <w:rFonts w:ascii="楷体_GB2312" w:hAnsi="Times New Roman" w:eastAsia="楷体_GB2312" w:cs="Times New Roman"/>
      <w:sz w:val="20"/>
      <w:szCs w:val="20"/>
    </w:rPr>
  </w:style>
  <w:style w:type="character" w:customStyle="1" w:styleId="183">
    <w:name w:val="标题 3 Char Char"/>
    <w:qFormat/>
    <w:uiPriority w:val="0"/>
    <w:rPr>
      <w:rFonts w:eastAsia="仿宋_GB2312"/>
      <w:b/>
      <w:kern w:val="2"/>
      <w:sz w:val="32"/>
      <w:lang w:val="en-US" w:eastAsia="zh-CN"/>
    </w:rPr>
  </w:style>
  <w:style w:type="character" w:customStyle="1" w:styleId="184">
    <w:name w:val="正文缩进 Char1"/>
    <w:link w:val="185"/>
    <w:qFormat/>
    <w:uiPriority w:val="0"/>
    <w:rPr>
      <w:rFonts w:ascii="Times New Roman" w:hAnsi="Times New Roman" w:eastAsia="宋体"/>
      <w:kern w:val="0"/>
      <w:sz w:val="20"/>
    </w:rPr>
  </w:style>
  <w:style w:type="paragraph" w:customStyle="1" w:styleId="185">
    <w:name w:val="正文缩进1"/>
    <w:basedOn w:val="1"/>
    <w:link w:val="184"/>
    <w:qFormat/>
    <w:uiPriority w:val="0"/>
    <w:pPr>
      <w:ind w:firstLine="420"/>
    </w:pPr>
    <w:rPr>
      <w:kern w:val="0"/>
      <w:sz w:val="20"/>
    </w:rPr>
  </w:style>
  <w:style w:type="character" w:customStyle="1" w:styleId="186">
    <w:name w:val="新图表正文 Char Char"/>
    <w:link w:val="187"/>
    <w:qFormat/>
    <w:uiPriority w:val="0"/>
    <w:rPr>
      <w:rFonts w:ascii="宋体" w:hAnsi="宋体"/>
      <w:kern w:val="2"/>
      <w:sz w:val="18"/>
      <w:szCs w:val="21"/>
      <w:lang w:val="en-US" w:eastAsia="zh-CN" w:bidi="ar-SA"/>
    </w:rPr>
  </w:style>
  <w:style w:type="paragraph" w:customStyle="1" w:styleId="187">
    <w:name w:val="新图表正文"/>
    <w:link w:val="186"/>
    <w:qFormat/>
    <w:uiPriority w:val="0"/>
    <w:pPr>
      <w:jc w:val="both"/>
    </w:pPr>
    <w:rPr>
      <w:rFonts w:ascii="宋体" w:hAnsi="宋体" w:eastAsia="宋体" w:cs="Times New Roman"/>
      <w:kern w:val="2"/>
      <w:sz w:val="18"/>
      <w:szCs w:val="21"/>
      <w:lang w:val="en-US" w:eastAsia="zh-CN" w:bidi="ar-SA"/>
    </w:rPr>
  </w:style>
  <w:style w:type="character" w:customStyle="1" w:styleId="188">
    <w:name w:val="样式 首行缩进:  2 字符 Char Char Char"/>
    <w:qFormat/>
    <w:uiPriority w:val="0"/>
    <w:rPr>
      <w:rFonts w:eastAsia="宋体"/>
      <w:kern w:val="2"/>
      <w:sz w:val="24"/>
      <w:lang w:val="en-US" w:eastAsia="zh-CN"/>
    </w:rPr>
  </w:style>
  <w:style w:type="character" w:customStyle="1" w:styleId="189">
    <w:name w:val="Intense Quote Char1"/>
    <w:basedOn w:val="63"/>
    <w:link w:val="190"/>
    <w:qFormat/>
    <w:uiPriority w:val="0"/>
    <w:rPr>
      <w:rFonts w:ascii="Times New Roman" w:hAnsi="Times New Roman"/>
      <w:b/>
      <w:bCs/>
      <w:i/>
      <w:iCs/>
      <w:color w:val="4F81BD"/>
      <w:kern w:val="2"/>
      <w:sz w:val="21"/>
    </w:rPr>
  </w:style>
  <w:style w:type="paragraph" w:customStyle="1" w:styleId="190">
    <w:name w:val="明显引用1"/>
    <w:basedOn w:val="1"/>
    <w:next w:val="1"/>
    <w:link w:val="189"/>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1">
    <w:name w:val="Char Char20"/>
    <w:qFormat/>
    <w:uiPriority w:val="0"/>
    <w:rPr>
      <w:rFonts w:ascii="Arial" w:hAnsi="Arial" w:eastAsia="黑体"/>
      <w:kern w:val="2"/>
      <w:sz w:val="21"/>
    </w:rPr>
  </w:style>
  <w:style w:type="character" w:customStyle="1" w:styleId="192">
    <w:name w:val="No Spacing Char Char"/>
    <w:link w:val="193"/>
    <w:qFormat/>
    <w:uiPriority w:val="0"/>
    <w:rPr>
      <w:rFonts w:eastAsia="微软雅黑"/>
      <w:kern w:val="2"/>
      <w:sz w:val="24"/>
      <w:szCs w:val="22"/>
      <w:lang w:val="en-US" w:eastAsia="zh-CN" w:bidi="ar-SA"/>
    </w:rPr>
  </w:style>
  <w:style w:type="paragraph" w:customStyle="1" w:styleId="193">
    <w:name w:val="无间隔2"/>
    <w:link w:val="192"/>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94">
    <w:name w:val="小四 段落 宋体 Char Char Char Char Char Char"/>
    <w:qFormat/>
    <w:uiPriority w:val="0"/>
    <w:rPr>
      <w:rFonts w:eastAsia="宋体"/>
      <w:kern w:val="2"/>
      <w:sz w:val="24"/>
      <w:lang w:val="en-US" w:eastAsia="zh-CN"/>
    </w:rPr>
  </w:style>
  <w:style w:type="character" w:customStyle="1" w:styleId="195">
    <w:name w:val="3zw"/>
    <w:basedOn w:val="63"/>
    <w:qFormat/>
    <w:uiPriority w:val="0"/>
    <w:rPr>
      <w:rFonts w:cs="Times New Roman"/>
    </w:rPr>
  </w:style>
  <w:style w:type="character" w:customStyle="1" w:styleId="196">
    <w:name w:val="Intense Quote Char Char"/>
    <w:qFormat/>
    <w:uiPriority w:val="0"/>
    <w:rPr>
      <w:rFonts w:ascii="Calibri" w:hAnsi="Calibri"/>
      <w:b/>
      <w:i/>
      <w:sz w:val="22"/>
      <w:lang w:eastAsia="en-US"/>
    </w:rPr>
  </w:style>
  <w:style w:type="character" w:customStyle="1" w:styleId="197">
    <w:name w:val="Body Text Indent 3 Char"/>
    <w:qFormat/>
    <w:uiPriority w:val="0"/>
    <w:rPr>
      <w:rFonts w:ascii="Arial" w:hAnsi="Arial" w:eastAsia="仿宋_GB2312"/>
      <w:color w:val="FFFF00"/>
      <w:sz w:val="32"/>
    </w:rPr>
  </w:style>
  <w:style w:type="character" w:customStyle="1" w:styleId="198">
    <w:name w:val="A2"/>
    <w:qFormat/>
    <w:uiPriority w:val="0"/>
    <w:rPr>
      <w:color w:val="000000"/>
      <w:sz w:val="18"/>
    </w:rPr>
  </w:style>
  <w:style w:type="character" w:customStyle="1" w:styleId="199">
    <w:name w:val="标题 1 字符"/>
    <w:basedOn w:val="63"/>
    <w:link w:val="2"/>
    <w:qFormat/>
    <w:uiPriority w:val="0"/>
    <w:rPr>
      <w:rFonts w:ascii="黑体" w:hAnsi="Times New Roman" w:eastAsia="黑体" w:cs="Times New Roman"/>
      <w:b/>
      <w:kern w:val="44"/>
      <w:sz w:val="28"/>
      <w:szCs w:val="28"/>
    </w:rPr>
  </w:style>
  <w:style w:type="character" w:customStyle="1" w:styleId="200">
    <w:name w:val="明显参考1"/>
    <w:basedOn w:val="63"/>
    <w:qFormat/>
    <w:uiPriority w:val="0"/>
    <w:rPr>
      <w:smallCaps/>
      <w:spacing w:val="5"/>
      <w:u w:val="single"/>
    </w:rPr>
  </w:style>
  <w:style w:type="character" w:customStyle="1" w:styleId="201">
    <w:name w:val="称呼 字符"/>
    <w:basedOn w:val="63"/>
    <w:link w:val="21"/>
    <w:qFormat/>
    <w:uiPriority w:val="0"/>
    <w:rPr>
      <w:rFonts w:ascii="仿宋_GB2312" w:hAnsi="Times New Roman" w:eastAsia="仿宋_GB2312" w:cs="Times New Roman"/>
      <w:sz w:val="20"/>
      <w:szCs w:val="20"/>
    </w:rPr>
  </w:style>
  <w:style w:type="character" w:customStyle="1" w:styleId="202">
    <w:name w:val="111111 Char Char"/>
    <w:link w:val="203"/>
    <w:qFormat/>
    <w:uiPriority w:val="0"/>
    <w:rPr>
      <w:rFonts w:ascii="宋体" w:hAnsi="宋体" w:eastAsia="黑体"/>
      <w:b/>
      <w:sz w:val="21"/>
    </w:rPr>
  </w:style>
  <w:style w:type="paragraph" w:customStyle="1" w:styleId="203">
    <w:name w:val="111111"/>
    <w:basedOn w:val="1"/>
    <w:link w:val="202"/>
    <w:qFormat/>
    <w:uiPriority w:val="0"/>
    <w:pPr>
      <w:spacing w:before="120" w:after="120"/>
      <w:jc w:val="center"/>
    </w:pPr>
    <w:rPr>
      <w:rFonts w:ascii="宋体" w:hAnsi="宋体" w:eastAsia="黑体"/>
      <w:b/>
      <w:kern w:val="0"/>
    </w:rPr>
  </w:style>
  <w:style w:type="character" w:customStyle="1" w:styleId="204">
    <w:name w:val="小四 段落 宋体 Char1"/>
    <w:qFormat/>
    <w:uiPriority w:val="0"/>
    <w:rPr>
      <w:rFonts w:eastAsia="宋体"/>
      <w:kern w:val="2"/>
      <w:sz w:val="24"/>
      <w:lang w:val="en-US" w:eastAsia="zh-CN"/>
    </w:rPr>
  </w:style>
  <w:style w:type="character" w:customStyle="1" w:styleId="205">
    <w:name w:val="文档结构图 字符"/>
    <w:basedOn w:val="63"/>
    <w:link w:val="18"/>
    <w:qFormat/>
    <w:uiPriority w:val="0"/>
    <w:rPr>
      <w:rFonts w:ascii="Times New Roman" w:hAnsi="Times New Roman"/>
      <w:kern w:val="2"/>
      <w:sz w:val="16"/>
      <w:szCs w:val="0"/>
    </w:rPr>
  </w:style>
  <w:style w:type="character" w:customStyle="1" w:styleId="206">
    <w:name w:val="title_emph1"/>
    <w:qFormat/>
    <w:uiPriority w:val="0"/>
    <w:rPr>
      <w:rFonts w:ascii="Arial"/>
      <w:b/>
      <w:sz w:val="18"/>
    </w:rPr>
  </w:style>
  <w:style w:type="character" w:customStyle="1" w:styleId="207">
    <w:name w:val="页脚 字符"/>
    <w:basedOn w:val="63"/>
    <w:link w:val="38"/>
    <w:qFormat/>
    <w:uiPriority w:val="99"/>
    <w:rPr>
      <w:rFonts w:cs="Times New Roman"/>
      <w:sz w:val="18"/>
      <w:szCs w:val="18"/>
    </w:rPr>
  </w:style>
  <w:style w:type="character" w:customStyle="1" w:styleId="208">
    <w:name w:val="书籍标题1"/>
    <w:basedOn w:val="63"/>
    <w:qFormat/>
    <w:uiPriority w:val="0"/>
    <w:rPr>
      <w:i/>
      <w:smallCaps/>
      <w:spacing w:val="5"/>
    </w:rPr>
  </w:style>
  <w:style w:type="character" w:customStyle="1" w:styleId="209">
    <w:name w:val="不明显参考1"/>
    <w:basedOn w:val="63"/>
    <w:qFormat/>
    <w:uiPriority w:val="0"/>
    <w:rPr>
      <w:smallCaps/>
    </w:rPr>
  </w:style>
  <w:style w:type="character" w:customStyle="1" w:styleId="210">
    <w:name w:val="样式 首行缩进:  2 字符 Char Char"/>
    <w:link w:val="211"/>
    <w:qFormat/>
    <w:uiPriority w:val="0"/>
    <w:rPr>
      <w:sz w:val="24"/>
    </w:rPr>
  </w:style>
  <w:style w:type="paragraph" w:customStyle="1" w:styleId="211">
    <w:name w:val="样式 首行缩进:  2 字符"/>
    <w:basedOn w:val="1"/>
    <w:link w:val="210"/>
    <w:qFormat/>
    <w:uiPriority w:val="0"/>
    <w:pPr>
      <w:spacing w:line="360" w:lineRule="auto"/>
      <w:ind w:firstLine="480" w:firstLineChars="200"/>
    </w:pPr>
    <w:rPr>
      <w:rFonts w:ascii="Calibri" w:hAnsi="Calibri"/>
      <w:kern w:val="0"/>
      <w:sz w:val="24"/>
    </w:rPr>
  </w:style>
  <w:style w:type="character" w:customStyle="1" w:styleId="212">
    <w:name w:val="标题 3 字符"/>
    <w:basedOn w:val="63"/>
    <w:link w:val="4"/>
    <w:qFormat/>
    <w:uiPriority w:val="0"/>
    <w:rPr>
      <w:rFonts w:ascii="宋体" w:hAnsi="宋体" w:eastAsia="宋体"/>
      <w:b/>
      <w:sz w:val="21"/>
      <w:shd w:val="clear" w:color="auto" w:fill="FFFFFF"/>
    </w:rPr>
  </w:style>
  <w:style w:type="character" w:customStyle="1" w:styleId="213">
    <w:name w:val="Char Char22"/>
    <w:qFormat/>
    <w:uiPriority w:val="0"/>
    <w:rPr>
      <w:b/>
      <w:kern w:val="2"/>
      <w:sz w:val="24"/>
    </w:rPr>
  </w:style>
  <w:style w:type="character" w:customStyle="1" w:styleId="214">
    <w:name w:val="批注框文本 字符"/>
    <w:basedOn w:val="63"/>
    <w:link w:val="37"/>
    <w:qFormat/>
    <w:uiPriority w:val="0"/>
    <w:rPr>
      <w:rFonts w:ascii="Times New Roman" w:hAnsi="Times New Roman" w:eastAsia="宋体" w:cs="Times New Roman"/>
      <w:sz w:val="18"/>
      <w:szCs w:val="18"/>
    </w:rPr>
  </w:style>
  <w:style w:type="character" w:customStyle="1" w:styleId="215">
    <w:name w:val="尾注文本 字符"/>
    <w:basedOn w:val="63"/>
    <w:link w:val="36"/>
    <w:qFormat/>
    <w:uiPriority w:val="0"/>
    <w:rPr>
      <w:rFonts w:ascii="Times New Roman" w:hAnsi="Times New Roman" w:eastAsia="宋体" w:cs="Times New Roman"/>
      <w:kern w:val="0"/>
      <w:sz w:val="24"/>
      <w:szCs w:val="24"/>
    </w:rPr>
  </w:style>
  <w:style w:type="character" w:customStyle="1" w:styleId="216">
    <w:name w:val="point_normal1"/>
    <w:qFormat/>
    <w:uiPriority w:val="0"/>
    <w:rPr>
      <w:rFonts w:ascii="Arial" w:hAnsi="Arial"/>
      <w:sz w:val="18"/>
    </w:rPr>
  </w:style>
  <w:style w:type="character" w:customStyle="1" w:styleId="217">
    <w:name w:val="Char Char26"/>
    <w:qFormat/>
    <w:uiPriority w:val="0"/>
    <w:rPr>
      <w:b/>
      <w:kern w:val="2"/>
      <w:sz w:val="32"/>
    </w:rPr>
  </w:style>
  <w:style w:type="character" w:customStyle="1" w:styleId="218">
    <w:name w:val="Char Char24"/>
    <w:qFormat/>
    <w:uiPriority w:val="0"/>
    <w:rPr>
      <w:b/>
      <w:kern w:val="2"/>
      <w:sz w:val="28"/>
    </w:rPr>
  </w:style>
  <w:style w:type="character" w:customStyle="1" w:styleId="219">
    <w:name w:val="concon"/>
    <w:qFormat/>
    <w:uiPriority w:val="0"/>
  </w:style>
  <w:style w:type="paragraph" w:customStyle="1" w:styleId="220">
    <w:name w:val="标准文本"/>
    <w:basedOn w:val="1"/>
    <w:qFormat/>
    <w:uiPriority w:val="0"/>
    <w:pPr>
      <w:spacing w:line="360" w:lineRule="auto"/>
      <w:ind w:firstLine="480" w:firstLineChars="200"/>
    </w:pPr>
    <w:rPr>
      <w:rFonts w:cs="宋体"/>
      <w:sz w:val="24"/>
      <w:szCs w:val="24"/>
    </w:rPr>
  </w:style>
  <w:style w:type="paragraph" w:customStyle="1" w:styleId="221">
    <w:name w:val="Char Char Char Char Char Char Char Char Char Char Char Char Char1"/>
    <w:basedOn w:val="1"/>
    <w:qFormat/>
    <w:uiPriority w:val="0"/>
    <w:pPr>
      <w:widowControl/>
      <w:spacing w:after="160" w:line="240" w:lineRule="exact"/>
      <w:jc w:val="left"/>
    </w:pPr>
    <w:rPr>
      <w:szCs w:val="24"/>
    </w:rPr>
  </w:style>
  <w:style w:type="paragraph" w:customStyle="1" w:styleId="222">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3">
    <w:name w:val="flType"/>
    <w:basedOn w:val="224"/>
    <w:qFormat/>
    <w:uiPriority w:val="0"/>
    <w:pPr>
      <w:spacing w:after="284"/>
    </w:pPr>
    <w:rPr>
      <w:rFonts w:eastAsia="宋体"/>
      <w:b w:val="0"/>
    </w:rPr>
  </w:style>
  <w:style w:type="paragraph" w:customStyle="1" w:styleId="224">
    <w:name w:val="flName"/>
    <w:basedOn w:val="225"/>
    <w:qFormat/>
    <w:uiPriority w:val="0"/>
    <w:pPr>
      <w:spacing w:before="0" w:line="113" w:lineRule="atLeast"/>
    </w:pPr>
  </w:style>
  <w:style w:type="paragraph" w:customStyle="1" w:styleId="225">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6">
    <w:name w:val="华宇段落1 Char"/>
    <w:basedOn w:val="1"/>
    <w:qFormat/>
    <w:uiPriority w:val="0"/>
    <w:pPr>
      <w:spacing w:line="360" w:lineRule="auto"/>
      <w:ind w:firstLine="200" w:firstLineChars="200"/>
    </w:pPr>
    <w:rPr>
      <w:bCs/>
      <w:sz w:val="24"/>
      <w:szCs w:val="24"/>
    </w:rPr>
  </w:style>
  <w:style w:type="paragraph" w:customStyle="1" w:styleId="227">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8">
    <w:name w:val="Char Char Char Char Char Char Char Char Char"/>
    <w:basedOn w:val="1"/>
    <w:qFormat/>
    <w:uiPriority w:val="0"/>
    <w:pPr>
      <w:tabs>
        <w:tab w:val="left" w:pos="360"/>
      </w:tabs>
      <w:ind w:left="200" w:hanging="200" w:hangingChars="200"/>
    </w:pPr>
    <w:rPr>
      <w:sz w:val="24"/>
      <w:szCs w:val="24"/>
    </w:rPr>
  </w:style>
  <w:style w:type="paragraph" w:customStyle="1" w:styleId="229">
    <w:name w:val="greytypebeni"/>
    <w:basedOn w:val="1"/>
    <w:qFormat/>
    <w:uiPriority w:val="0"/>
    <w:pPr>
      <w:widowControl/>
      <w:jc w:val="left"/>
    </w:pPr>
    <w:rPr>
      <w:rFonts w:ascii="宋体" w:hAnsi="宋体" w:cs="宋体"/>
      <w:kern w:val="0"/>
      <w:sz w:val="24"/>
      <w:szCs w:val="24"/>
    </w:rPr>
  </w:style>
  <w:style w:type="paragraph" w:customStyle="1" w:styleId="230">
    <w:name w:val="Char Char1 Char Char Char Char1 Char Char Char Char Char Char"/>
    <w:basedOn w:val="1"/>
    <w:qFormat/>
    <w:uiPriority w:val="0"/>
    <w:rPr>
      <w:rFonts w:ascii="Tahoma" w:hAnsi="Tahoma"/>
      <w:sz w:val="24"/>
    </w:rPr>
  </w:style>
  <w:style w:type="paragraph" w:customStyle="1" w:styleId="231">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2">
    <w:name w:val="Char Char1"/>
    <w:basedOn w:val="1"/>
    <w:qFormat/>
    <w:uiPriority w:val="0"/>
    <w:rPr>
      <w:rFonts w:ascii="Tahoma" w:hAnsi="Tahoma" w:cs="Tahoma"/>
      <w:sz w:val="24"/>
    </w:rPr>
  </w:style>
  <w:style w:type="paragraph" w:customStyle="1" w:styleId="233">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5">
    <w:name w:val="font13"/>
    <w:basedOn w:val="1"/>
    <w:qFormat/>
    <w:uiPriority w:val="0"/>
    <w:pPr>
      <w:widowControl/>
      <w:spacing w:before="100" w:beforeAutospacing="1" w:after="100" w:afterAutospacing="1"/>
      <w:jc w:val="left"/>
    </w:pPr>
    <w:rPr>
      <w:i/>
      <w:iCs/>
      <w:kern w:val="0"/>
      <w:sz w:val="36"/>
      <w:szCs w:val="36"/>
    </w:rPr>
  </w:style>
  <w:style w:type="paragraph" w:customStyle="1" w:styleId="236">
    <w:name w:val="中等深浅网格 1 - 强调文字颜色 21"/>
    <w:basedOn w:val="1"/>
    <w:qFormat/>
    <w:uiPriority w:val="0"/>
    <w:pPr>
      <w:ind w:firstLine="420" w:firstLineChars="200"/>
    </w:pPr>
    <w:rPr>
      <w:rFonts w:ascii="Calibri" w:hAnsi="Calibri"/>
      <w:szCs w:val="22"/>
    </w:rPr>
  </w:style>
  <w:style w:type="paragraph" w:customStyle="1" w:styleId="237">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u w:color="000000"/>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4"/>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5"/>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4"/>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宋体"/>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6"/>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basedOn w:val="63"/>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basedOn w:val="63"/>
    <w:qFormat/>
    <w:uiPriority w:val="0"/>
    <w:rPr>
      <w:rFonts w:hint="default" w:ascii="楷体_GB2312" w:eastAsia="楷体_GB2312" w:cs="楷体_GB2312"/>
      <w:color w:val="000000"/>
      <w:sz w:val="24"/>
      <w:szCs w:val="24"/>
      <w:u w:val="none"/>
    </w:rPr>
  </w:style>
  <w:style w:type="character" w:customStyle="1" w:styleId="427">
    <w:name w:val="tit"/>
    <w:basedOn w:val="63"/>
    <w:qFormat/>
    <w:uiPriority w:val="0"/>
    <w:rPr>
      <w:color w:val="333333"/>
      <w:sz w:val="24"/>
      <w:szCs w:val="24"/>
    </w:rPr>
  </w:style>
  <w:style w:type="character" w:customStyle="1" w:styleId="428">
    <w:name w:val="img_title18"/>
    <w:basedOn w:val="63"/>
    <w:qFormat/>
    <w:uiPriority w:val="0"/>
    <w:rPr>
      <w:vanish/>
    </w:rPr>
  </w:style>
  <w:style w:type="character" w:customStyle="1" w:styleId="429">
    <w:name w:val="nostart"/>
    <w:basedOn w:val="63"/>
    <w:qFormat/>
    <w:uiPriority w:val="0"/>
    <w:rPr>
      <w:rFonts w:ascii="Arial" w:hAnsi="Arial" w:cs="Arial"/>
      <w:color w:val="DD0000"/>
      <w:sz w:val="19"/>
      <w:szCs w:val="19"/>
    </w:rPr>
  </w:style>
  <w:style w:type="character" w:customStyle="1" w:styleId="430">
    <w:name w:val="starting"/>
    <w:basedOn w:val="63"/>
    <w:qFormat/>
    <w:uiPriority w:val="0"/>
    <w:rPr>
      <w:color w:val="13844D"/>
    </w:rPr>
  </w:style>
  <w:style w:type="character" w:customStyle="1" w:styleId="431">
    <w:name w:val="hit"/>
    <w:basedOn w:val="63"/>
    <w:qFormat/>
    <w:uiPriority w:val="0"/>
  </w:style>
  <w:style w:type="character" w:customStyle="1" w:styleId="432">
    <w:name w:val="c3"/>
    <w:basedOn w:val="63"/>
    <w:qFormat/>
    <w:uiPriority w:val="0"/>
  </w:style>
  <w:style w:type="character" w:customStyle="1" w:styleId="433">
    <w:name w:val="over8"/>
    <w:basedOn w:val="63"/>
    <w:qFormat/>
    <w:uiPriority w:val="0"/>
    <w:rPr>
      <w:color w:val="999999"/>
      <w:sz w:val="19"/>
      <w:szCs w:val="19"/>
    </w:rPr>
  </w:style>
  <w:style w:type="character" w:customStyle="1" w:styleId="434">
    <w:name w:val="right4"/>
    <w:basedOn w:val="63"/>
    <w:qFormat/>
    <w:uiPriority w:val="0"/>
    <w:rPr>
      <w:color w:val="A1A1A1"/>
    </w:rPr>
  </w:style>
  <w:style w:type="character" w:customStyle="1" w:styleId="435">
    <w:name w:val="msg-box8"/>
    <w:basedOn w:val="63"/>
    <w:qFormat/>
    <w:uiPriority w:val="0"/>
  </w:style>
  <w:style w:type="character" w:customStyle="1" w:styleId="436">
    <w:name w:val="c2"/>
    <w:basedOn w:val="63"/>
    <w:qFormat/>
    <w:uiPriority w:val="0"/>
  </w:style>
  <w:style w:type="character" w:customStyle="1" w:styleId="437">
    <w:name w:val="c1"/>
    <w:basedOn w:val="63"/>
    <w:qFormat/>
    <w:uiPriority w:val="0"/>
  </w:style>
  <w:style w:type="character" w:customStyle="1" w:styleId="438">
    <w:name w:val="tit4"/>
    <w:basedOn w:val="63"/>
    <w:qFormat/>
    <w:uiPriority w:val="0"/>
    <w:rPr>
      <w:color w:val="333333"/>
      <w:sz w:val="24"/>
      <w:szCs w:val="24"/>
    </w:rPr>
  </w:style>
  <w:style w:type="character" w:customStyle="1" w:styleId="439">
    <w:name w:val="starting8"/>
    <w:basedOn w:val="63"/>
    <w:qFormat/>
    <w:uiPriority w:val="0"/>
    <w:rPr>
      <w:color w:val="13844D"/>
    </w:rPr>
  </w:style>
  <w:style w:type="character" w:customStyle="1" w:styleId="440">
    <w:name w:val="nostart8"/>
    <w:basedOn w:val="63"/>
    <w:qFormat/>
    <w:uiPriority w:val="0"/>
    <w:rPr>
      <w:color w:val="DD0000"/>
    </w:rPr>
  </w:style>
  <w:style w:type="character" w:customStyle="1" w:styleId="441">
    <w:name w:val="over"/>
    <w:basedOn w:val="63"/>
    <w:qFormat/>
    <w:uiPriority w:val="0"/>
    <w:rPr>
      <w:color w:val="999999"/>
      <w:sz w:val="19"/>
      <w:szCs w:val="19"/>
    </w:rPr>
  </w:style>
  <w:style w:type="character" w:customStyle="1" w:styleId="442">
    <w:name w:val="msg-box"/>
    <w:basedOn w:val="63"/>
    <w:qFormat/>
    <w:uiPriority w:val="0"/>
  </w:style>
  <w:style w:type="character" w:customStyle="1" w:styleId="443">
    <w:name w:val="img_title"/>
    <w:basedOn w:val="63"/>
    <w:qFormat/>
    <w:uiPriority w:val="0"/>
    <w:rPr>
      <w:vanish/>
    </w:rPr>
  </w:style>
  <w:style w:type="character" w:customStyle="1" w:styleId="444">
    <w:name w:val="right3"/>
    <w:basedOn w:val="63"/>
    <w:qFormat/>
    <w:uiPriority w:val="0"/>
    <w:rPr>
      <w:color w:val="A1A1A1"/>
    </w:rPr>
  </w:style>
  <w:style w:type="character" w:customStyle="1" w:styleId="445">
    <w:name w:val="right"/>
    <w:basedOn w:val="63"/>
    <w:qFormat/>
    <w:uiPriority w:val="0"/>
    <w:rPr>
      <w:color w:val="A1A1A1"/>
    </w:rPr>
  </w:style>
  <w:style w:type="character" w:customStyle="1" w:styleId="446">
    <w:name w:val="starting7"/>
    <w:basedOn w:val="63"/>
    <w:qFormat/>
    <w:uiPriority w:val="0"/>
    <w:rPr>
      <w:color w:val="13844D"/>
    </w:rPr>
  </w:style>
  <w:style w:type="character" w:customStyle="1" w:styleId="447">
    <w:name w:val="tit3"/>
    <w:basedOn w:val="63"/>
    <w:qFormat/>
    <w:uiPriority w:val="0"/>
    <w:rPr>
      <w:color w:val="333333"/>
      <w:sz w:val="24"/>
      <w:szCs w:val="24"/>
    </w:rPr>
  </w:style>
  <w:style w:type="character" w:customStyle="1" w:styleId="448">
    <w:name w:val="nostart5"/>
    <w:basedOn w:val="63"/>
    <w:qFormat/>
    <w:uiPriority w:val="0"/>
    <w:rPr>
      <w:color w:val="DD0000"/>
    </w:rPr>
  </w:style>
  <w:style w:type="character" w:customStyle="1" w:styleId="449">
    <w:name w:val="starting5"/>
    <w:basedOn w:val="63"/>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basedOn w:val="63"/>
    <w:qFormat/>
    <w:uiPriority w:val="0"/>
  </w:style>
  <w:style w:type="character" w:customStyle="1" w:styleId="454">
    <w:name w:val="layui-layer-tabnow"/>
    <w:basedOn w:val="63"/>
    <w:qFormat/>
    <w:uiPriority w:val="0"/>
    <w:rPr>
      <w:bdr w:val="single" w:color="CCCCCC" w:sz="6" w:space="0"/>
      <w:shd w:val="clear" w:color="auto" w:fill="FFFFFF"/>
    </w:rPr>
  </w:style>
  <w:style w:type="character" w:customStyle="1" w:styleId="455">
    <w:name w:val="font41"/>
    <w:basedOn w:val="63"/>
    <w:qFormat/>
    <w:uiPriority w:val="0"/>
    <w:rPr>
      <w:rFonts w:hint="eastAsia" w:ascii="宋体" w:hAnsi="宋体" w:eastAsia="宋体" w:cs="宋体"/>
      <w:color w:val="000000"/>
      <w:sz w:val="22"/>
      <w:szCs w:val="22"/>
      <w:u w:val="none"/>
    </w:rPr>
  </w:style>
  <w:style w:type="character" w:customStyle="1" w:styleId="456">
    <w:name w:val="font51"/>
    <w:basedOn w:val="63"/>
    <w:qFormat/>
    <w:uiPriority w:val="0"/>
    <w:rPr>
      <w:rFonts w:hint="eastAsia" w:ascii="宋体" w:hAnsi="宋体" w:eastAsia="宋体" w:cs="宋体"/>
      <w:color w:val="000000"/>
      <w:sz w:val="24"/>
      <w:szCs w:val="24"/>
      <w:u w:val="none"/>
    </w:rPr>
  </w:style>
  <w:style w:type="character" w:customStyle="1" w:styleId="457">
    <w:name w:val="newpure-skyblue"/>
    <w:basedOn w:val="63"/>
    <w:qFormat/>
    <w:uiPriority w:val="0"/>
  </w:style>
  <w:style w:type="character" w:customStyle="1" w:styleId="458">
    <w:name w:val="line-maroon"/>
    <w:basedOn w:val="63"/>
    <w:qFormat/>
    <w:uiPriority w:val="0"/>
  </w:style>
  <w:style w:type="character" w:customStyle="1" w:styleId="459">
    <w:name w:val="width-blue"/>
    <w:basedOn w:val="63"/>
    <w:qFormat/>
    <w:uiPriority w:val="0"/>
  </w:style>
  <w:style w:type="character" w:customStyle="1" w:styleId="460">
    <w:name w:val="line-blue"/>
    <w:basedOn w:val="63"/>
    <w:qFormat/>
    <w:uiPriority w:val="0"/>
  </w:style>
  <w:style w:type="character" w:customStyle="1" w:styleId="461">
    <w:name w:val="width-red"/>
    <w:basedOn w:val="63"/>
    <w:qFormat/>
    <w:uiPriority w:val="0"/>
  </w:style>
  <w:style w:type="character" w:customStyle="1" w:styleId="462">
    <w:name w:val="newpure-darkred"/>
    <w:basedOn w:val="63"/>
    <w:qFormat/>
    <w:uiPriority w:val="0"/>
  </w:style>
  <w:style w:type="character" w:customStyle="1" w:styleId="463">
    <w:name w:val="newpure-maroon"/>
    <w:basedOn w:val="63"/>
    <w:qFormat/>
    <w:uiPriority w:val="0"/>
  </w:style>
  <w:style w:type="character" w:customStyle="1" w:styleId="464">
    <w:name w:val="default-darkred"/>
    <w:basedOn w:val="63"/>
    <w:qFormat/>
    <w:uiPriority w:val="0"/>
  </w:style>
  <w:style w:type="character" w:customStyle="1" w:styleId="465">
    <w:name w:val="line-darkred"/>
    <w:basedOn w:val="63"/>
    <w:qFormat/>
    <w:uiPriority w:val="0"/>
  </w:style>
  <w:style w:type="character" w:customStyle="1" w:styleId="466">
    <w:name w:val="button"/>
    <w:basedOn w:val="63"/>
    <w:qFormat/>
    <w:uiPriority w:val="0"/>
    <w:rPr>
      <w:sz w:val="18"/>
      <w:szCs w:val="18"/>
    </w:rPr>
  </w:style>
  <w:style w:type="character" w:customStyle="1" w:styleId="467">
    <w:name w:val="button1"/>
    <w:basedOn w:val="63"/>
    <w:qFormat/>
    <w:uiPriority w:val="0"/>
  </w:style>
  <w:style w:type="character" w:customStyle="1" w:styleId="468">
    <w:name w:val="button2"/>
    <w:basedOn w:val="63"/>
    <w:qFormat/>
    <w:uiPriority w:val="0"/>
  </w:style>
  <w:style w:type="character" w:customStyle="1" w:styleId="469">
    <w:name w:val="button3"/>
    <w:basedOn w:val="63"/>
    <w:qFormat/>
    <w:uiPriority w:val="0"/>
    <w:rPr>
      <w:sz w:val="18"/>
      <w:szCs w:val="18"/>
    </w:rPr>
  </w:style>
  <w:style w:type="character" w:customStyle="1" w:styleId="470">
    <w:name w:val="button4"/>
    <w:basedOn w:val="63"/>
    <w:qFormat/>
    <w:uiPriority w:val="0"/>
  </w:style>
  <w:style w:type="character" w:customStyle="1" w:styleId="471">
    <w:name w:val="button5"/>
    <w:basedOn w:val="63"/>
    <w:qFormat/>
    <w:uiPriority w:val="0"/>
  </w:style>
  <w:style w:type="character" w:customStyle="1" w:styleId="472">
    <w:name w:val="button6"/>
    <w:basedOn w:val="63"/>
    <w:qFormat/>
    <w:uiPriority w:val="0"/>
  </w:style>
  <w:style w:type="character" w:customStyle="1" w:styleId="473">
    <w:name w:val="button7"/>
    <w:basedOn w:val="63"/>
    <w:qFormat/>
    <w:uiPriority w:val="0"/>
  </w:style>
  <w:style w:type="character" w:customStyle="1" w:styleId="474">
    <w:name w:val="button8"/>
    <w:basedOn w:val="63"/>
    <w:qFormat/>
    <w:uiPriority w:val="0"/>
    <w:rPr>
      <w:color w:val="777575"/>
    </w:rPr>
  </w:style>
  <w:style w:type="character" w:customStyle="1" w:styleId="475">
    <w:name w:val="button9"/>
    <w:basedOn w:val="63"/>
    <w:qFormat/>
    <w:uiPriority w:val="0"/>
    <w:rPr>
      <w:sz w:val="18"/>
      <w:szCs w:val="18"/>
    </w:rPr>
  </w:style>
  <w:style w:type="character" w:customStyle="1" w:styleId="476">
    <w:name w:val="button10"/>
    <w:basedOn w:val="63"/>
    <w:qFormat/>
    <w:uiPriority w:val="0"/>
  </w:style>
  <w:style w:type="character" w:customStyle="1" w:styleId="477">
    <w:name w:val="button11"/>
    <w:basedOn w:val="63"/>
    <w:qFormat/>
    <w:uiPriority w:val="0"/>
  </w:style>
  <w:style w:type="character" w:customStyle="1" w:styleId="478">
    <w:name w:val="line-black"/>
    <w:basedOn w:val="63"/>
    <w:qFormat/>
    <w:uiPriority w:val="0"/>
  </w:style>
  <w:style w:type="character" w:customStyle="1" w:styleId="479">
    <w:name w:val="s-point"/>
    <w:basedOn w:val="63"/>
    <w:qFormat/>
    <w:uiPriority w:val="0"/>
    <w:rPr>
      <w:sz w:val="0"/>
      <w:szCs w:val="0"/>
      <w:bdr w:val="dashed" w:color="auto" w:sz="48" w:space="0"/>
    </w:rPr>
  </w:style>
  <w:style w:type="character" w:customStyle="1" w:styleId="480">
    <w:name w:val="s-point1"/>
    <w:basedOn w:val="63"/>
    <w:qFormat/>
    <w:uiPriority w:val="0"/>
    <w:rPr>
      <w:sz w:val="0"/>
      <w:szCs w:val="0"/>
      <w:bdr w:val="dashed" w:color="auto" w:sz="48" w:space="0"/>
    </w:rPr>
  </w:style>
  <w:style w:type="character" w:customStyle="1" w:styleId="481">
    <w:name w:val="s-point2"/>
    <w:basedOn w:val="63"/>
    <w:qFormat/>
    <w:uiPriority w:val="0"/>
  </w:style>
  <w:style w:type="character" w:customStyle="1" w:styleId="482">
    <w:name w:val="newpure-seablue"/>
    <w:basedOn w:val="63"/>
    <w:qFormat/>
    <w:uiPriority w:val="0"/>
  </w:style>
  <w:style w:type="character" w:customStyle="1" w:styleId="483">
    <w:name w:val="line-cyan"/>
    <w:basedOn w:val="63"/>
    <w:qFormat/>
    <w:uiPriority w:val="0"/>
  </w:style>
  <w:style w:type="character" w:customStyle="1" w:styleId="484">
    <w:name w:val="newpure-blue"/>
    <w:basedOn w:val="63"/>
    <w:qFormat/>
    <w:uiPriority w:val="0"/>
  </w:style>
  <w:style w:type="character" w:customStyle="1" w:styleId="485">
    <w:name w:val="hover144"/>
    <w:basedOn w:val="63"/>
    <w:qFormat/>
    <w:uiPriority w:val="0"/>
    <w:rPr>
      <w:sz w:val="21"/>
      <w:szCs w:val="21"/>
    </w:rPr>
  </w:style>
  <w:style w:type="character" w:customStyle="1" w:styleId="486">
    <w:name w:val="hover145"/>
    <w:basedOn w:val="63"/>
    <w:qFormat/>
    <w:uiPriority w:val="0"/>
    <w:rPr>
      <w:shd w:val="clear" w:color="auto" w:fill="F3F3F3"/>
    </w:rPr>
  </w:style>
  <w:style w:type="character" w:customStyle="1" w:styleId="487">
    <w:name w:val="hover146"/>
    <w:basedOn w:val="63"/>
    <w:qFormat/>
    <w:uiPriority w:val="0"/>
    <w:rPr>
      <w:color w:val="55AAA3"/>
    </w:rPr>
  </w:style>
  <w:style w:type="character" w:customStyle="1" w:styleId="488">
    <w:name w:val="hover147"/>
    <w:basedOn w:val="63"/>
    <w:qFormat/>
    <w:uiPriority w:val="0"/>
    <w:rPr>
      <w:shd w:val="clear" w:color="auto" w:fill="F3F3F3"/>
    </w:rPr>
  </w:style>
  <w:style w:type="character" w:customStyle="1" w:styleId="489">
    <w:name w:val="hover148"/>
    <w:basedOn w:val="63"/>
    <w:qFormat/>
    <w:uiPriority w:val="0"/>
    <w:rPr>
      <w:color w:val="BA2E2E"/>
    </w:rPr>
  </w:style>
  <w:style w:type="character" w:customStyle="1" w:styleId="490">
    <w:name w:val="hover149"/>
    <w:basedOn w:val="63"/>
    <w:qFormat/>
    <w:uiPriority w:val="0"/>
    <w:rPr>
      <w:color w:val="4799E7"/>
    </w:rPr>
  </w:style>
  <w:style w:type="character" w:customStyle="1" w:styleId="491">
    <w:name w:val="hover150"/>
    <w:basedOn w:val="63"/>
    <w:qFormat/>
    <w:uiPriority w:val="0"/>
    <w:rPr>
      <w:color w:val="393D49"/>
    </w:rPr>
  </w:style>
  <w:style w:type="character" w:customStyle="1" w:styleId="492">
    <w:name w:val="hover151"/>
    <w:basedOn w:val="63"/>
    <w:qFormat/>
    <w:uiPriority w:val="0"/>
    <w:rPr>
      <w:color w:val="ED6D00"/>
    </w:rPr>
  </w:style>
  <w:style w:type="character" w:customStyle="1" w:styleId="493">
    <w:name w:val="default-green"/>
    <w:basedOn w:val="63"/>
    <w:qFormat/>
    <w:uiPriority w:val="0"/>
  </w:style>
  <w:style w:type="character" w:customStyle="1" w:styleId="494">
    <w:name w:val="default-red"/>
    <w:basedOn w:val="63"/>
    <w:qFormat/>
    <w:uiPriority w:val="0"/>
  </w:style>
  <w:style w:type="character" w:customStyle="1" w:styleId="495">
    <w:name w:val="width-black"/>
    <w:basedOn w:val="63"/>
    <w:qFormat/>
    <w:uiPriority w:val="0"/>
  </w:style>
  <w:style w:type="character" w:customStyle="1" w:styleId="496">
    <w:name w:val="wh-sys-warn-num"/>
    <w:basedOn w:val="63"/>
    <w:qFormat/>
    <w:uiPriority w:val="0"/>
  </w:style>
  <w:style w:type="character" w:customStyle="1" w:styleId="497">
    <w:name w:val="wh-sys-warn-num1"/>
    <w:basedOn w:val="63"/>
    <w:qFormat/>
    <w:uiPriority w:val="0"/>
  </w:style>
  <w:style w:type="character" w:customStyle="1" w:styleId="498">
    <w:name w:val="wh-sys-warn-num2"/>
    <w:basedOn w:val="63"/>
    <w:qFormat/>
    <w:uiPriority w:val="0"/>
  </w:style>
  <w:style w:type="character" w:customStyle="1" w:styleId="499">
    <w:name w:val="wh-sys-warn-num3"/>
    <w:basedOn w:val="63"/>
    <w:qFormat/>
    <w:uiPriority w:val="0"/>
  </w:style>
  <w:style w:type="character" w:customStyle="1" w:styleId="500">
    <w:name w:val="wh-sys-warn-num4"/>
    <w:basedOn w:val="63"/>
    <w:qFormat/>
    <w:uiPriority w:val="0"/>
  </w:style>
  <w:style w:type="character" w:customStyle="1" w:styleId="501">
    <w:name w:val="default-cyan"/>
    <w:basedOn w:val="63"/>
    <w:qFormat/>
    <w:uiPriority w:val="0"/>
  </w:style>
  <w:style w:type="character" w:customStyle="1" w:styleId="502">
    <w:name w:val="width-green"/>
    <w:basedOn w:val="63"/>
    <w:qFormat/>
    <w:uiPriority w:val="0"/>
  </w:style>
  <w:style w:type="character" w:customStyle="1" w:styleId="503">
    <w:name w:val="office"/>
    <w:basedOn w:val="63"/>
    <w:qFormat/>
    <w:uiPriority w:val="0"/>
  </w:style>
  <w:style w:type="character" w:customStyle="1" w:styleId="504">
    <w:name w:val="line-green"/>
    <w:basedOn w:val="63"/>
    <w:qFormat/>
    <w:uiPriority w:val="0"/>
  </w:style>
  <w:style w:type="character" w:customStyle="1" w:styleId="505">
    <w:name w:val="newpure-gray"/>
    <w:basedOn w:val="63"/>
    <w:qFormat/>
    <w:uiPriority w:val="0"/>
  </w:style>
  <w:style w:type="character" w:customStyle="1" w:styleId="506">
    <w:name w:val="wh-portal-a-cursor"/>
    <w:basedOn w:val="63"/>
    <w:qFormat/>
    <w:uiPriority w:val="0"/>
    <w:rPr>
      <w:color w:val="202020"/>
    </w:rPr>
  </w:style>
  <w:style w:type="character" w:customStyle="1" w:styleId="507">
    <w:name w:val="wh-portal-a-cursor1"/>
    <w:basedOn w:val="63"/>
    <w:qFormat/>
    <w:uiPriority w:val="0"/>
  </w:style>
  <w:style w:type="character" w:customStyle="1" w:styleId="508">
    <w:name w:val="default-violet"/>
    <w:basedOn w:val="63"/>
    <w:qFormat/>
    <w:uiPriority w:val="0"/>
  </w:style>
  <w:style w:type="character" w:customStyle="1" w:styleId="509">
    <w:name w:val="line-red"/>
    <w:basedOn w:val="63"/>
    <w:qFormat/>
    <w:uiPriority w:val="0"/>
  </w:style>
  <w:style w:type="character" w:customStyle="1" w:styleId="510">
    <w:name w:val="default-seablue"/>
    <w:basedOn w:val="63"/>
    <w:qFormat/>
    <w:uiPriority w:val="0"/>
  </w:style>
  <w:style w:type="character" w:customStyle="1" w:styleId="511">
    <w:name w:val="width-violet"/>
    <w:basedOn w:val="63"/>
    <w:qFormat/>
    <w:uiPriority w:val="0"/>
  </w:style>
  <w:style w:type="character" w:customStyle="1" w:styleId="512">
    <w:name w:val="line-lightgreen"/>
    <w:basedOn w:val="63"/>
    <w:qFormat/>
    <w:uiPriority w:val="0"/>
  </w:style>
  <w:style w:type="character" w:customStyle="1" w:styleId="513">
    <w:name w:val="online-per"/>
    <w:basedOn w:val="63"/>
    <w:qFormat/>
    <w:uiPriority w:val="0"/>
    <w:rPr>
      <w:color w:val="55AAA3"/>
    </w:rPr>
  </w:style>
  <w:style w:type="character" w:customStyle="1" w:styleId="514">
    <w:name w:val="online-per1"/>
    <w:basedOn w:val="63"/>
    <w:qFormat/>
    <w:uiPriority w:val="0"/>
    <w:rPr>
      <w:color w:val="BA2E2E"/>
    </w:rPr>
  </w:style>
  <w:style w:type="character" w:customStyle="1" w:styleId="515">
    <w:name w:val="online-per2"/>
    <w:basedOn w:val="63"/>
    <w:qFormat/>
    <w:uiPriority w:val="0"/>
    <w:rPr>
      <w:color w:val="4799E7"/>
    </w:rPr>
  </w:style>
  <w:style w:type="character" w:customStyle="1" w:styleId="516">
    <w:name w:val="online-per3"/>
    <w:basedOn w:val="63"/>
    <w:qFormat/>
    <w:uiPriority w:val="0"/>
    <w:rPr>
      <w:color w:val="393D49"/>
    </w:rPr>
  </w:style>
  <w:style w:type="character" w:customStyle="1" w:styleId="517">
    <w:name w:val="online-per4"/>
    <w:basedOn w:val="63"/>
    <w:qFormat/>
    <w:uiPriority w:val="0"/>
    <w:rPr>
      <w:color w:val="ED6D00"/>
    </w:rPr>
  </w:style>
  <w:style w:type="character" w:customStyle="1" w:styleId="518">
    <w:name w:val="width-indigo"/>
    <w:basedOn w:val="63"/>
    <w:qFormat/>
    <w:uiPriority w:val="0"/>
  </w:style>
  <w:style w:type="character" w:customStyle="1" w:styleId="519">
    <w:name w:val="width-cyan"/>
    <w:basedOn w:val="63"/>
    <w:qFormat/>
    <w:uiPriority w:val="0"/>
  </w:style>
  <w:style w:type="character" w:customStyle="1" w:styleId="520">
    <w:name w:val="show2"/>
    <w:basedOn w:val="63"/>
    <w:qFormat/>
    <w:uiPriority w:val="0"/>
    <w:rPr>
      <w:color w:val="FFFFFF"/>
    </w:rPr>
  </w:style>
  <w:style w:type="character" w:customStyle="1" w:styleId="521">
    <w:name w:val="show3"/>
    <w:basedOn w:val="63"/>
    <w:qFormat/>
    <w:uiPriority w:val="0"/>
    <w:rPr>
      <w:bdr w:val="single" w:color="55AAA3" w:sz="6" w:space="0"/>
      <w:shd w:val="clear" w:color="auto" w:fill="55AAA3"/>
    </w:rPr>
  </w:style>
  <w:style w:type="character" w:customStyle="1" w:styleId="522">
    <w:name w:val="show4"/>
    <w:basedOn w:val="63"/>
    <w:qFormat/>
    <w:uiPriority w:val="0"/>
    <w:rPr>
      <w:bdr w:val="single" w:color="BA2E2E" w:sz="6" w:space="0"/>
      <w:shd w:val="clear" w:color="auto" w:fill="BA2E2E"/>
    </w:rPr>
  </w:style>
  <w:style w:type="character" w:customStyle="1" w:styleId="523">
    <w:name w:val="show5"/>
    <w:basedOn w:val="63"/>
    <w:qFormat/>
    <w:uiPriority w:val="0"/>
    <w:rPr>
      <w:bdr w:val="single" w:color="4799E7" w:sz="6" w:space="0"/>
      <w:shd w:val="clear" w:color="auto" w:fill="4799E7"/>
    </w:rPr>
  </w:style>
  <w:style w:type="character" w:customStyle="1" w:styleId="524">
    <w:name w:val="show6"/>
    <w:basedOn w:val="63"/>
    <w:qFormat/>
    <w:uiPriority w:val="0"/>
    <w:rPr>
      <w:bdr w:val="single" w:color="393D49" w:sz="6" w:space="0"/>
      <w:shd w:val="clear" w:color="auto" w:fill="393D49"/>
    </w:rPr>
  </w:style>
  <w:style w:type="character" w:customStyle="1" w:styleId="525">
    <w:name w:val="show7"/>
    <w:basedOn w:val="63"/>
    <w:qFormat/>
    <w:uiPriority w:val="0"/>
    <w:rPr>
      <w:bdr w:val="single" w:color="ED6D00" w:sz="6" w:space="0"/>
      <w:shd w:val="clear" w:color="auto" w:fill="ED6D00"/>
    </w:rPr>
  </w:style>
  <w:style w:type="character" w:customStyle="1" w:styleId="526">
    <w:name w:val="pagelist-total"/>
    <w:basedOn w:val="63"/>
    <w:qFormat/>
    <w:uiPriority w:val="0"/>
    <w:rPr>
      <w:color w:val="55AAA3"/>
    </w:rPr>
  </w:style>
  <w:style w:type="character" w:customStyle="1" w:styleId="527">
    <w:name w:val="pagelist-total1"/>
    <w:basedOn w:val="63"/>
    <w:qFormat/>
    <w:uiPriority w:val="0"/>
    <w:rPr>
      <w:color w:val="BA2E2E"/>
    </w:rPr>
  </w:style>
  <w:style w:type="character" w:customStyle="1" w:styleId="528">
    <w:name w:val="pagelist-total2"/>
    <w:basedOn w:val="63"/>
    <w:qFormat/>
    <w:uiPriority w:val="0"/>
    <w:rPr>
      <w:color w:val="4799E7"/>
    </w:rPr>
  </w:style>
  <w:style w:type="character" w:customStyle="1" w:styleId="529">
    <w:name w:val="pagelist-total3"/>
    <w:basedOn w:val="63"/>
    <w:qFormat/>
    <w:uiPriority w:val="0"/>
    <w:rPr>
      <w:color w:val="393D49"/>
    </w:rPr>
  </w:style>
  <w:style w:type="character" w:customStyle="1" w:styleId="530">
    <w:name w:val="pagelist-total4"/>
    <w:basedOn w:val="63"/>
    <w:qFormat/>
    <w:uiPriority w:val="0"/>
    <w:rPr>
      <w:color w:val="ED6D00"/>
    </w:rPr>
  </w:style>
  <w:style w:type="character" w:customStyle="1" w:styleId="531">
    <w:name w:val="q-meta-author"/>
    <w:basedOn w:val="63"/>
    <w:qFormat/>
    <w:uiPriority w:val="0"/>
    <w:rPr>
      <w:color w:val="55AAA3"/>
    </w:rPr>
  </w:style>
  <w:style w:type="character" w:customStyle="1" w:styleId="532">
    <w:name w:val="q-meta-author1"/>
    <w:basedOn w:val="63"/>
    <w:qFormat/>
    <w:uiPriority w:val="0"/>
    <w:rPr>
      <w:color w:val="BA2E2E"/>
    </w:rPr>
  </w:style>
  <w:style w:type="character" w:customStyle="1" w:styleId="533">
    <w:name w:val="q-meta-author2"/>
    <w:basedOn w:val="63"/>
    <w:qFormat/>
    <w:uiPriority w:val="0"/>
    <w:rPr>
      <w:color w:val="4799E7"/>
    </w:rPr>
  </w:style>
  <w:style w:type="character" w:customStyle="1" w:styleId="534">
    <w:name w:val="q-meta-author3"/>
    <w:basedOn w:val="63"/>
    <w:qFormat/>
    <w:uiPriority w:val="0"/>
    <w:rPr>
      <w:color w:val="393D49"/>
    </w:rPr>
  </w:style>
  <w:style w:type="character" w:customStyle="1" w:styleId="535">
    <w:name w:val="q-meta-author4"/>
    <w:basedOn w:val="63"/>
    <w:qFormat/>
    <w:uiPriority w:val="0"/>
    <w:rPr>
      <w:color w:val="ED6D00"/>
    </w:rPr>
  </w:style>
  <w:style w:type="character" w:customStyle="1" w:styleId="536">
    <w:name w:val="fa_ico_docu"/>
    <w:basedOn w:val="63"/>
    <w:qFormat/>
    <w:uiPriority w:val="0"/>
  </w:style>
  <w:style w:type="character" w:customStyle="1" w:styleId="537">
    <w:name w:val="default-purple"/>
    <w:basedOn w:val="63"/>
    <w:qFormat/>
    <w:uiPriority w:val="0"/>
  </w:style>
  <w:style w:type="character" w:customStyle="1" w:styleId="538">
    <w:name w:val="default-orange"/>
    <w:basedOn w:val="63"/>
    <w:qFormat/>
    <w:uiPriority w:val="0"/>
  </w:style>
  <w:style w:type="character" w:customStyle="1" w:styleId="539">
    <w:name w:val="default-pink"/>
    <w:basedOn w:val="63"/>
    <w:qFormat/>
    <w:uiPriority w:val="0"/>
  </w:style>
  <w:style w:type="character" w:customStyle="1" w:styleId="540">
    <w:name w:val="default-blue"/>
    <w:basedOn w:val="63"/>
    <w:qFormat/>
    <w:uiPriority w:val="0"/>
  </w:style>
  <w:style w:type="character" w:customStyle="1" w:styleId="541">
    <w:name w:val="line-skyblue"/>
    <w:basedOn w:val="63"/>
    <w:qFormat/>
    <w:uiPriority w:val="0"/>
  </w:style>
  <w:style w:type="character" w:customStyle="1" w:styleId="542">
    <w:name w:val="default-lightgreen"/>
    <w:basedOn w:val="63"/>
    <w:qFormat/>
    <w:uiPriority w:val="0"/>
  </w:style>
  <w:style w:type="character" w:customStyle="1" w:styleId="543">
    <w:name w:val="line-indigo"/>
    <w:basedOn w:val="63"/>
    <w:qFormat/>
    <w:uiPriority w:val="0"/>
  </w:style>
  <w:style w:type="character" w:customStyle="1" w:styleId="544">
    <w:name w:val="default-gray"/>
    <w:basedOn w:val="63"/>
    <w:qFormat/>
    <w:uiPriority w:val="0"/>
  </w:style>
  <w:style w:type="character" w:customStyle="1" w:styleId="545">
    <w:name w:val="newpure-purple"/>
    <w:basedOn w:val="63"/>
    <w:qFormat/>
    <w:uiPriority w:val="0"/>
  </w:style>
  <w:style w:type="character" w:customStyle="1" w:styleId="546">
    <w:name w:val="default-skyblue"/>
    <w:basedOn w:val="63"/>
    <w:qFormat/>
    <w:uiPriority w:val="0"/>
  </w:style>
  <w:style w:type="character" w:customStyle="1" w:styleId="547">
    <w:name w:val="line-orange"/>
    <w:basedOn w:val="63"/>
    <w:qFormat/>
    <w:uiPriority w:val="0"/>
  </w:style>
  <w:style w:type="character" w:customStyle="1" w:styleId="548">
    <w:name w:val="width-skyblue"/>
    <w:basedOn w:val="63"/>
    <w:qFormat/>
    <w:uiPriority w:val="0"/>
  </w:style>
  <w:style w:type="character" w:customStyle="1" w:styleId="549">
    <w:name w:val="default-indigo"/>
    <w:basedOn w:val="63"/>
    <w:qFormat/>
    <w:uiPriority w:val="0"/>
  </w:style>
  <w:style w:type="character" w:customStyle="1" w:styleId="550">
    <w:name w:val="default-darkblue"/>
    <w:basedOn w:val="63"/>
    <w:qFormat/>
    <w:uiPriority w:val="0"/>
  </w:style>
  <w:style w:type="character" w:customStyle="1" w:styleId="551">
    <w:name w:val="width-pink"/>
    <w:basedOn w:val="63"/>
    <w:qFormat/>
    <w:uiPriority w:val="0"/>
  </w:style>
  <w:style w:type="character" w:customStyle="1" w:styleId="552">
    <w:name w:val="default-maroon"/>
    <w:basedOn w:val="63"/>
    <w:qFormat/>
    <w:uiPriority w:val="0"/>
  </w:style>
  <w:style w:type="character" w:customStyle="1" w:styleId="553">
    <w:name w:val="default-brown"/>
    <w:basedOn w:val="63"/>
    <w:qFormat/>
    <w:uiPriority w:val="0"/>
  </w:style>
  <w:style w:type="character" w:customStyle="1" w:styleId="554">
    <w:name w:val="default-black"/>
    <w:basedOn w:val="63"/>
    <w:qFormat/>
    <w:uiPriority w:val="0"/>
  </w:style>
  <w:style w:type="character" w:customStyle="1" w:styleId="555">
    <w:name w:val="line-pink"/>
    <w:basedOn w:val="63"/>
    <w:qFormat/>
    <w:uiPriority w:val="0"/>
  </w:style>
  <w:style w:type="character" w:customStyle="1" w:styleId="556">
    <w:name w:val="line-purple"/>
    <w:basedOn w:val="63"/>
    <w:qFormat/>
    <w:uiPriority w:val="0"/>
  </w:style>
  <w:style w:type="character" w:customStyle="1" w:styleId="557">
    <w:name w:val="line-seablue"/>
    <w:basedOn w:val="63"/>
    <w:qFormat/>
    <w:uiPriority w:val="0"/>
  </w:style>
  <w:style w:type="character" w:customStyle="1" w:styleId="558">
    <w:name w:val="line-violet"/>
    <w:basedOn w:val="63"/>
    <w:qFormat/>
    <w:uiPriority w:val="0"/>
  </w:style>
  <w:style w:type="character" w:customStyle="1" w:styleId="559">
    <w:name w:val="line-darkblue"/>
    <w:basedOn w:val="63"/>
    <w:qFormat/>
    <w:uiPriority w:val="0"/>
  </w:style>
  <w:style w:type="character" w:customStyle="1" w:styleId="560">
    <w:name w:val="width-lightgreen"/>
    <w:basedOn w:val="63"/>
    <w:qFormat/>
    <w:uiPriority w:val="0"/>
  </w:style>
  <w:style w:type="character" w:customStyle="1" w:styleId="561">
    <w:name w:val="line-brown"/>
    <w:basedOn w:val="63"/>
    <w:qFormat/>
    <w:uiPriority w:val="0"/>
  </w:style>
  <w:style w:type="character" w:customStyle="1" w:styleId="562">
    <w:name w:val="line-gray"/>
    <w:basedOn w:val="63"/>
    <w:qFormat/>
    <w:uiPriority w:val="0"/>
  </w:style>
  <w:style w:type="character" w:customStyle="1" w:styleId="563">
    <w:name w:val="newpure-cyan"/>
    <w:basedOn w:val="63"/>
    <w:qFormat/>
    <w:uiPriority w:val="0"/>
  </w:style>
  <w:style w:type="character" w:customStyle="1" w:styleId="564">
    <w:name w:val="newpure-black"/>
    <w:basedOn w:val="63"/>
    <w:qFormat/>
    <w:uiPriority w:val="0"/>
  </w:style>
  <w:style w:type="character" w:customStyle="1" w:styleId="565">
    <w:name w:val="newpure-red"/>
    <w:basedOn w:val="63"/>
    <w:qFormat/>
    <w:uiPriority w:val="0"/>
  </w:style>
  <w:style w:type="character" w:customStyle="1" w:styleId="566">
    <w:name w:val="newpure-lightgreen"/>
    <w:basedOn w:val="63"/>
    <w:qFormat/>
    <w:uiPriority w:val="0"/>
  </w:style>
  <w:style w:type="character" w:customStyle="1" w:styleId="567">
    <w:name w:val="newpure-darkblue"/>
    <w:basedOn w:val="63"/>
    <w:qFormat/>
    <w:uiPriority w:val="0"/>
  </w:style>
  <w:style w:type="character" w:customStyle="1" w:styleId="568">
    <w:name w:val="newpure-pink"/>
    <w:basedOn w:val="63"/>
    <w:qFormat/>
    <w:uiPriority w:val="0"/>
  </w:style>
  <w:style w:type="character" w:customStyle="1" w:styleId="569">
    <w:name w:val="newpure-orange"/>
    <w:basedOn w:val="63"/>
    <w:qFormat/>
    <w:uiPriority w:val="0"/>
  </w:style>
  <w:style w:type="character" w:customStyle="1" w:styleId="570">
    <w:name w:val="width-gray"/>
    <w:basedOn w:val="63"/>
    <w:qFormat/>
    <w:uiPriority w:val="0"/>
  </w:style>
  <w:style w:type="character" w:customStyle="1" w:styleId="571">
    <w:name w:val="newpure-green"/>
    <w:basedOn w:val="63"/>
    <w:qFormat/>
    <w:uiPriority w:val="0"/>
  </w:style>
  <w:style w:type="character" w:customStyle="1" w:styleId="572">
    <w:name w:val="newpure-violet"/>
    <w:basedOn w:val="63"/>
    <w:qFormat/>
    <w:uiPriority w:val="0"/>
  </w:style>
  <w:style w:type="character" w:customStyle="1" w:styleId="573">
    <w:name w:val="width-seablue"/>
    <w:basedOn w:val="63"/>
    <w:qFormat/>
    <w:uiPriority w:val="0"/>
  </w:style>
  <w:style w:type="character" w:customStyle="1" w:styleId="574">
    <w:name w:val="newpure-indigo"/>
    <w:basedOn w:val="63"/>
    <w:qFormat/>
    <w:uiPriority w:val="0"/>
  </w:style>
  <w:style w:type="character" w:customStyle="1" w:styleId="575">
    <w:name w:val="newpure-brown"/>
    <w:basedOn w:val="63"/>
    <w:qFormat/>
    <w:uiPriority w:val="0"/>
  </w:style>
  <w:style w:type="character" w:customStyle="1" w:styleId="576">
    <w:name w:val="width-darkred"/>
    <w:basedOn w:val="63"/>
    <w:qFormat/>
    <w:uiPriority w:val="0"/>
  </w:style>
  <w:style w:type="character" w:customStyle="1" w:styleId="577">
    <w:name w:val="width-orange"/>
    <w:basedOn w:val="63"/>
    <w:qFormat/>
    <w:uiPriority w:val="0"/>
  </w:style>
  <w:style w:type="character" w:customStyle="1" w:styleId="578">
    <w:name w:val="width-darkblue"/>
    <w:basedOn w:val="63"/>
    <w:qFormat/>
    <w:uiPriority w:val="0"/>
  </w:style>
  <w:style w:type="character" w:customStyle="1" w:styleId="579">
    <w:name w:val="width-purple"/>
    <w:basedOn w:val="63"/>
    <w:qFormat/>
    <w:uiPriority w:val="0"/>
  </w:style>
  <w:style w:type="character" w:customStyle="1" w:styleId="580">
    <w:name w:val="width-maroon"/>
    <w:basedOn w:val="63"/>
    <w:qFormat/>
    <w:uiPriority w:val="0"/>
  </w:style>
  <w:style w:type="character" w:customStyle="1" w:styleId="581">
    <w:name w:val="width-brown"/>
    <w:basedOn w:val="63"/>
    <w:qFormat/>
    <w:uiPriority w:val="0"/>
  </w:style>
  <w:style w:type="character" w:customStyle="1" w:styleId="582">
    <w:name w:val="switch"/>
    <w:basedOn w:val="63"/>
    <w:qFormat/>
    <w:uiPriority w:val="0"/>
    <w:rPr>
      <w:vanish/>
      <w:shd w:val="clear" w:color="auto" w:fill="FFFFFF"/>
    </w:rPr>
  </w:style>
  <w:style w:type="character" w:customStyle="1" w:styleId="583">
    <w:name w:val="switch1"/>
    <w:basedOn w:val="63"/>
    <w:qFormat/>
    <w:uiPriority w:val="0"/>
    <w:rPr>
      <w:vanish/>
      <w:shd w:val="clear" w:color="auto" w:fill="FFFFFF"/>
    </w:rPr>
  </w:style>
  <w:style w:type="character" w:customStyle="1" w:styleId="584">
    <w:name w:val="wh-hd-lspan"/>
    <w:basedOn w:val="63"/>
    <w:qFormat/>
    <w:uiPriority w:val="0"/>
  </w:style>
  <w:style w:type="character" w:customStyle="1" w:styleId="585">
    <w:name w:val="wh-portal-overtime2"/>
    <w:basedOn w:val="63"/>
    <w:qFormat/>
    <w:uiPriority w:val="0"/>
    <w:rPr>
      <w:color w:val="FF0000"/>
    </w:rPr>
  </w:style>
  <w:style w:type="character" w:customStyle="1" w:styleId="586">
    <w:name w:val="wh-portal-overtime21"/>
    <w:basedOn w:val="63"/>
    <w:qFormat/>
    <w:uiPriority w:val="0"/>
    <w:rPr>
      <w:color w:val="FF0000"/>
    </w:rPr>
  </w:style>
  <w:style w:type="character" w:customStyle="1" w:styleId="587">
    <w:name w:val="wh-portal-overtime"/>
    <w:basedOn w:val="63"/>
    <w:qFormat/>
    <w:uiPriority w:val="0"/>
  </w:style>
  <w:style w:type="character" w:customStyle="1" w:styleId="588">
    <w:name w:val="wh-portal-overtime1"/>
    <w:basedOn w:val="63"/>
    <w:qFormat/>
    <w:uiPriority w:val="0"/>
  </w:style>
  <w:style w:type="character" w:customStyle="1" w:styleId="589">
    <w:name w:val="stockinfo"/>
    <w:basedOn w:val="63"/>
    <w:qFormat/>
    <w:uiPriority w:val="0"/>
  </w:style>
  <w:style w:type="character" w:customStyle="1" w:styleId="590">
    <w:name w:val="grey20"/>
    <w:basedOn w:val="63"/>
    <w:qFormat/>
    <w:uiPriority w:val="0"/>
    <w:rPr>
      <w:color w:val="999999"/>
    </w:rPr>
  </w:style>
  <w:style w:type="character" w:customStyle="1" w:styleId="591">
    <w:name w:val="grey21"/>
    <w:basedOn w:val="63"/>
    <w:qFormat/>
    <w:uiPriority w:val="0"/>
    <w:rPr>
      <w:color w:val="999999"/>
    </w:rPr>
  </w:style>
  <w:style w:type="character" w:customStyle="1" w:styleId="592">
    <w:name w:val="fa_ico_open"/>
    <w:basedOn w:val="63"/>
    <w:qFormat/>
    <w:uiPriority w:val="0"/>
    <w:rPr>
      <w:color w:val="777575"/>
    </w:rPr>
  </w:style>
  <w:style w:type="character" w:customStyle="1" w:styleId="593">
    <w:name w:val="font91"/>
    <w:basedOn w:val="63"/>
    <w:qFormat/>
    <w:uiPriority w:val="0"/>
    <w:rPr>
      <w:rFonts w:hint="default" w:ascii="Times New Roman" w:hAnsi="Times New Roman" w:cs="Times New Roman"/>
      <w:color w:val="000000"/>
      <w:sz w:val="18"/>
      <w:szCs w:val="18"/>
      <w:u w:val="none"/>
    </w:rPr>
  </w:style>
  <w:style w:type="character" w:customStyle="1" w:styleId="594">
    <w:name w:val="font71"/>
    <w:basedOn w:val="63"/>
    <w:qFormat/>
    <w:uiPriority w:val="0"/>
    <w:rPr>
      <w:rFonts w:hint="eastAsia" w:ascii="宋体" w:hAnsi="宋体" w:eastAsia="宋体" w:cs="宋体"/>
      <w:color w:val="FF0000"/>
      <w:sz w:val="20"/>
      <w:szCs w:val="20"/>
      <w:u w:val="none"/>
    </w:rPr>
  </w:style>
  <w:style w:type="character" w:customStyle="1" w:styleId="595">
    <w:name w:val="font61"/>
    <w:basedOn w:val="63"/>
    <w:qFormat/>
    <w:uiPriority w:val="0"/>
    <w:rPr>
      <w:rFonts w:hint="eastAsia" w:ascii="宋体" w:hAnsi="宋体" w:eastAsia="宋体" w:cs="宋体"/>
      <w:color w:val="000000"/>
      <w:sz w:val="16"/>
      <w:szCs w:val="16"/>
      <w:u w:val="none"/>
    </w:rPr>
  </w:style>
  <w:style w:type="character" w:customStyle="1" w:styleId="596">
    <w:name w:val="font121"/>
    <w:basedOn w:val="63"/>
    <w:qFormat/>
    <w:uiPriority w:val="0"/>
    <w:rPr>
      <w:rFonts w:hint="default" w:ascii="Times New Roman" w:hAnsi="Times New Roman" w:cs="Times New Roman"/>
      <w:color w:val="000000"/>
      <w:sz w:val="16"/>
      <w:szCs w:val="16"/>
      <w:u w:val="none"/>
    </w:rPr>
  </w:style>
  <w:style w:type="character" w:customStyle="1" w:styleId="597">
    <w:name w:val="font01"/>
    <w:basedOn w:val="63"/>
    <w:qFormat/>
    <w:uiPriority w:val="0"/>
    <w:rPr>
      <w:rFonts w:hint="eastAsia" w:ascii="宋体" w:hAnsi="宋体" w:eastAsia="宋体" w:cs="宋体"/>
      <w:b/>
      <w:color w:val="000000"/>
      <w:sz w:val="18"/>
      <w:szCs w:val="18"/>
      <w:u w:val="none"/>
    </w:rPr>
  </w:style>
  <w:style w:type="paragraph" w:customStyle="1" w:styleId="598">
    <w:name w:val="编号列项（三级）"/>
    <w:qFormat/>
    <w:uiPriority w:val="0"/>
    <w:pPr>
      <w:numPr>
        <w:ilvl w:val="2"/>
        <w:numId w:val="6"/>
      </w:numPr>
    </w:pPr>
    <w:rPr>
      <w:rFonts w:ascii="宋体" w:hAnsi="Times New Roman" w:eastAsia="宋体" w:cs="Times New Roman"/>
      <w:sz w:val="21"/>
      <w:lang w:val="en-US" w:eastAsia="zh-CN" w:bidi="ar-SA"/>
    </w:rPr>
  </w:style>
  <w:style w:type="table" w:customStyle="1" w:styleId="599">
    <w:name w:val="Table Normal"/>
    <w:unhideWhenUsed/>
    <w:qFormat/>
    <w:uiPriority w:val="0"/>
    <w:tblPr>
      <w:tblCellMar>
        <w:top w:w="0" w:type="dxa"/>
        <w:left w:w="0" w:type="dxa"/>
        <w:bottom w:w="0" w:type="dxa"/>
        <w:right w:w="0" w:type="dxa"/>
      </w:tblCellMar>
    </w:tblPr>
  </w:style>
  <w:style w:type="paragraph" w:customStyle="1" w:styleId="600">
    <w:name w:val="Table Text"/>
    <w:basedOn w:val="1"/>
    <w:semiHidden/>
    <w:qFormat/>
    <w:uiPriority w:val="0"/>
    <w:rPr>
      <w:rFonts w:ascii="宋体" w:hAnsi="宋体" w:cs="宋体"/>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CEB743-4FD6-48B3-B76D-86C1BC263A7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11178</Words>
  <Characters>11982</Characters>
  <Lines>101</Lines>
  <Paragraphs>28</Paragraphs>
  <TotalTime>14</TotalTime>
  <ScaleCrop>false</ScaleCrop>
  <LinksUpToDate>false</LinksUpToDate>
  <CharactersWithSpaces>13307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2022-10-31T08:50:00Z</dcterms:created>
  <dc:creator>Windows 用户</dc:creator>
  <cp:lastModifiedBy>w'w</cp:lastModifiedBy>
  <cp:lastPrinted>2026-06-03T01:37:00Z</cp:lastPrinted>
  <dcterms:modified xsi:type="dcterms:W3CDTF">2026-09-01T07:16:27Z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9DFDA26C9724475DBE477D45FFBDEEA8_13</vt:lpwstr>
  </property>
  <property fmtid="{D5CDD505-2E9C-101B-9397-08002B2CF9AE}" pid="4" name="KSOTemplateDocerSaveRecord">
    <vt:lpwstr>eyJoZGlkIjoiODg5OTFhMDZlNTRlMDA0MmIxOWM3MTZhYWRlMmFjYWMiLCJ1c2VySWQiOiI1MDM3OTU2NDYifQ==</vt:lpwstr>
  </property>
</Properties>
</file>