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1E1380">
      <w:pPr>
        <w:spacing w:line="480" w:lineRule="exact"/>
        <w:rPr>
          <w:rFonts w:hint="eastAsia" w:ascii="宋体" w:eastAsia="宋体"/>
          <w:color w:val="auto"/>
          <w:sz w:val="44"/>
          <w:szCs w:val="44"/>
          <w:highlight w:val="none"/>
          <w:lang w:eastAsia="zh-CN"/>
        </w:rPr>
      </w:pPr>
    </w:p>
    <w:p w14:paraId="7128504D">
      <w:pPr>
        <w:pStyle w:val="82"/>
        <w:ind w:left="0" w:leftChars="0"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安通建设集团(2026)皖0811民初5188号案诉讼代理服务（重新采购）</w:t>
      </w:r>
    </w:p>
    <w:p w14:paraId="4A9923AF">
      <w:pPr>
        <w:pStyle w:val="82"/>
        <w:ind w:left="0" w:leftChars="0" w:firstLine="0" w:firstLineChars="0"/>
        <w:jc w:val="center"/>
        <w:rPr>
          <w:rFonts w:hint="default" w:ascii="仿宋_GB2312" w:hAnsi="宋体" w:eastAsia="仿宋_GB2312"/>
          <w:b/>
          <w:color w:val="auto"/>
          <w:sz w:val="48"/>
          <w:szCs w:val="48"/>
          <w:highlight w:val="none"/>
          <w:lang w:val="en-US" w:eastAsia="zh-CN"/>
        </w:rPr>
      </w:pPr>
    </w:p>
    <w:p w14:paraId="22E13E14">
      <w:pPr>
        <w:pStyle w:val="82"/>
        <w:ind w:left="0" w:leftChars="0" w:firstLine="0" w:firstLineChars="0"/>
        <w:rPr>
          <w:color w:val="auto"/>
          <w:highlight w:val="none"/>
        </w:rPr>
      </w:pPr>
    </w:p>
    <w:p w14:paraId="166112D3">
      <w:pPr>
        <w:pStyle w:val="82"/>
        <w:rPr>
          <w:color w:val="auto"/>
          <w:highlight w:val="none"/>
        </w:rPr>
      </w:pPr>
    </w:p>
    <w:p w14:paraId="2AF2A3DA">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7343547">
      <w:pPr>
        <w:pStyle w:val="82"/>
        <w:spacing w:before="120"/>
        <w:ind w:firstLine="350"/>
        <w:rPr>
          <w:color w:val="auto"/>
          <w:highlight w:val="none"/>
        </w:rPr>
      </w:pPr>
    </w:p>
    <w:p w14:paraId="351B47E7">
      <w:pPr>
        <w:spacing w:line="480" w:lineRule="exact"/>
        <w:jc w:val="center"/>
        <w:rPr>
          <w:rFonts w:ascii="宋体" w:cs="宋体"/>
          <w:b/>
          <w:bCs/>
          <w:color w:val="auto"/>
          <w:sz w:val="48"/>
          <w:szCs w:val="48"/>
          <w:highlight w:val="none"/>
        </w:rPr>
      </w:pPr>
    </w:p>
    <w:p w14:paraId="682B95F9">
      <w:pPr>
        <w:pStyle w:val="82"/>
        <w:rPr>
          <w:color w:val="auto"/>
          <w:highlight w:val="none"/>
        </w:rPr>
      </w:pPr>
    </w:p>
    <w:p w14:paraId="42206FC8">
      <w:pPr>
        <w:spacing w:line="480" w:lineRule="exact"/>
        <w:jc w:val="center"/>
        <w:rPr>
          <w:rFonts w:hint="default" w:ascii="宋体" w:hAnsi="宋体" w:eastAsia="宋体" w:cs="仿宋_GB2312"/>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AQJK-CG-2026-075</w:t>
      </w:r>
    </w:p>
    <w:p w14:paraId="2F0EEB41">
      <w:pPr>
        <w:pStyle w:val="82"/>
        <w:spacing w:before="120"/>
        <w:ind w:left="0" w:leftChars="0" w:firstLine="0" w:firstLineChars="0"/>
        <w:rPr>
          <w:color w:val="auto"/>
          <w:highlight w:val="none"/>
        </w:rPr>
      </w:pPr>
    </w:p>
    <w:p w14:paraId="4E5A5848">
      <w:pPr>
        <w:pStyle w:val="82"/>
        <w:spacing w:before="120"/>
        <w:ind w:left="0" w:leftChars="0" w:firstLine="0" w:firstLineChars="0"/>
        <w:rPr>
          <w:color w:val="auto"/>
          <w:highlight w:val="none"/>
        </w:rPr>
      </w:pPr>
    </w:p>
    <w:p w14:paraId="2EB8AC39">
      <w:pPr>
        <w:spacing w:line="480" w:lineRule="exact"/>
        <w:rPr>
          <w:rFonts w:ascii="宋体" w:hAnsi="宋体" w:cs="仿宋_GB2312"/>
          <w:color w:val="auto"/>
          <w:szCs w:val="21"/>
          <w:highlight w:val="none"/>
        </w:rPr>
      </w:pPr>
    </w:p>
    <w:p w14:paraId="2CF0AD88">
      <w:pPr>
        <w:pStyle w:val="26"/>
        <w:rPr>
          <w:rFonts w:ascii="宋体" w:hAnsi="宋体" w:cs="仿宋_GB2312"/>
          <w:color w:val="auto"/>
          <w:szCs w:val="21"/>
          <w:highlight w:val="none"/>
        </w:rPr>
      </w:pPr>
    </w:p>
    <w:p w14:paraId="017E76BD">
      <w:pPr>
        <w:pStyle w:val="26"/>
        <w:rPr>
          <w:rFonts w:ascii="宋体" w:hAnsi="宋体" w:cs="仿宋_GB2312"/>
          <w:color w:val="auto"/>
          <w:szCs w:val="21"/>
          <w:highlight w:val="none"/>
        </w:rPr>
      </w:pPr>
    </w:p>
    <w:p w14:paraId="1AE2474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仿宋_GB2312"/>
          <w:b/>
          <w:color w:val="auto"/>
          <w:sz w:val="30"/>
          <w:szCs w:val="30"/>
          <w:highlight w:val="none"/>
          <w:u w:val="single"/>
          <w:lang w:val="en-US" w:eastAsia="zh-CN"/>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安庆市安通建设集团有限公司</w:t>
      </w:r>
      <w:r>
        <w:rPr>
          <w:rFonts w:hint="eastAsia" w:ascii="宋体" w:hAnsi="宋体" w:cs="仿宋_GB2312"/>
          <w:b/>
          <w:color w:val="auto"/>
          <w:sz w:val="30"/>
          <w:szCs w:val="30"/>
          <w:highlight w:val="none"/>
          <w:u w:val="single"/>
          <w:lang w:val="en-US" w:eastAsia="zh-CN"/>
        </w:rPr>
        <w:t xml:space="preserve"> </w:t>
      </w:r>
    </w:p>
    <w:p w14:paraId="13C898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仿宋_GB2312"/>
          <w:b/>
          <w:color w:val="auto"/>
          <w:sz w:val="30"/>
          <w:szCs w:val="30"/>
          <w:highlight w:val="none"/>
          <w:u w:val="single"/>
        </w:rPr>
      </w:pPr>
    </w:p>
    <w:p w14:paraId="68B35081">
      <w:pPr>
        <w:pStyle w:val="82"/>
        <w:rPr>
          <w:color w:val="auto"/>
          <w:highlight w:val="none"/>
        </w:rPr>
      </w:pPr>
    </w:p>
    <w:p w14:paraId="5A81F5FD">
      <w:pPr>
        <w:pStyle w:val="82"/>
        <w:ind w:left="0" w:leftChars="0" w:firstLine="0" w:firstLineChars="0"/>
        <w:rPr>
          <w:color w:val="auto"/>
          <w:highlight w:val="none"/>
        </w:rPr>
      </w:pPr>
    </w:p>
    <w:p w14:paraId="7F323A9D">
      <w:pPr>
        <w:spacing w:line="360" w:lineRule="auto"/>
        <w:rPr>
          <w:rFonts w:ascii="宋体" w:hAnsi="宋体" w:cs="仿宋_GB2312"/>
          <w:b/>
          <w:color w:val="auto"/>
          <w:sz w:val="24"/>
          <w:highlight w:val="none"/>
        </w:rPr>
      </w:pPr>
    </w:p>
    <w:p w14:paraId="6367D6EB">
      <w:pPr>
        <w:spacing w:line="480" w:lineRule="exact"/>
        <w:jc w:val="center"/>
        <w:rPr>
          <w:rFonts w:ascii="宋体" w:hAnsi="宋体" w:cs="仿宋_GB2312"/>
          <w:color w:val="auto"/>
          <w:szCs w:val="21"/>
          <w:highlight w:val="none"/>
        </w:rPr>
      </w:pPr>
      <w:r>
        <w:rPr>
          <w:rFonts w:hint="eastAsia" w:ascii="宋体" w:hAnsi="宋体" w:cs="仿宋_GB2312"/>
          <w:b/>
          <w:color w:val="auto"/>
          <w:sz w:val="30"/>
          <w:szCs w:val="30"/>
          <w:highlight w:val="none"/>
          <w:lang w:eastAsia="zh-CN"/>
        </w:rPr>
        <w:t>安庆市交通控股集团有限公司集采中心</w:t>
      </w:r>
    </w:p>
    <w:p w14:paraId="1A4841D3">
      <w:pPr>
        <w:spacing w:line="480" w:lineRule="exact"/>
        <w:jc w:val="center"/>
        <w:rPr>
          <w:rFonts w:hint="eastAsia" w:ascii="宋体" w:hAnsi="宋体" w:cs="仿宋_GB2312"/>
          <w:color w:val="auto"/>
          <w:sz w:val="32"/>
          <w:szCs w:val="32"/>
          <w:highlight w:val="none"/>
        </w:rPr>
      </w:pPr>
    </w:p>
    <w:p w14:paraId="1E140E55">
      <w:pPr>
        <w:spacing w:line="480" w:lineRule="exact"/>
        <w:jc w:val="center"/>
        <w:rPr>
          <w:rFonts w:hint="eastAsia" w:ascii="宋体" w:hAnsi="宋体" w:cs="仿宋_GB2312"/>
          <w:color w:val="auto"/>
          <w:sz w:val="32"/>
          <w:szCs w:val="32"/>
          <w:highlight w:val="none"/>
        </w:rPr>
      </w:pPr>
    </w:p>
    <w:p w14:paraId="44EA262C">
      <w:pPr>
        <w:spacing w:line="480" w:lineRule="exact"/>
        <w:jc w:val="center"/>
        <w:rPr>
          <w:rFonts w:hint="eastAsia" w:ascii="宋体" w:hAnsi="宋体" w:cs="仿宋_GB2312"/>
          <w:color w:val="auto"/>
          <w:sz w:val="32"/>
          <w:szCs w:val="32"/>
          <w:highlight w:val="none"/>
        </w:rPr>
      </w:pPr>
    </w:p>
    <w:p w14:paraId="25029AE8">
      <w:pPr>
        <w:spacing w:line="480" w:lineRule="exact"/>
        <w:jc w:val="center"/>
        <w:rPr>
          <w:rFonts w:hint="eastAsia" w:ascii="宋体" w:hAnsi="宋体" w:cs="仿宋_GB2312"/>
          <w:color w:val="auto"/>
          <w:sz w:val="32"/>
          <w:szCs w:val="32"/>
          <w:highlight w:val="none"/>
        </w:rPr>
      </w:pPr>
    </w:p>
    <w:p w14:paraId="4B14E407">
      <w:pPr>
        <w:spacing w:line="480" w:lineRule="exact"/>
        <w:jc w:val="center"/>
        <w:rPr>
          <w:color w:val="auto"/>
          <w:highlight w:val="none"/>
        </w:r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7DCB51AF">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lang w:val="zh-CN"/>
        </w:rPr>
        <w:t>录</w:t>
      </w:r>
    </w:p>
    <w:p w14:paraId="3D8BD52D">
      <w:pPr>
        <w:pStyle w:val="41"/>
        <w:tabs>
          <w:tab w:val="right" w:leader="dot" w:pos="9070"/>
        </w:tabs>
        <w:spacing w:line="480" w:lineRule="auto"/>
        <w:rPr>
          <w:color w:val="auto"/>
          <w:sz w:val="28"/>
          <w:szCs w:val="28"/>
          <w:highlight w:val="none"/>
        </w:rPr>
      </w:pPr>
      <w:bookmarkStart w:id="0" w:name="_Toc23467"/>
      <w:bookmarkStart w:id="1" w:name="_Toc21464"/>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1</w:t>
      </w:r>
    </w:p>
    <w:p w14:paraId="51698EBE">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rFonts w:hint="eastAsia"/>
          <w:color w:val="auto"/>
          <w:sz w:val="28"/>
          <w:szCs w:val="28"/>
          <w:highlight w:val="none"/>
          <w:lang w:val="en-US" w:eastAsia="zh-CN"/>
        </w:rPr>
        <w:t>6</w:t>
      </w:r>
      <w:r>
        <w:rPr>
          <w:color w:val="auto"/>
          <w:sz w:val="28"/>
          <w:szCs w:val="28"/>
          <w:highlight w:val="none"/>
        </w:rPr>
        <w:fldChar w:fldCharType="end"/>
      </w:r>
    </w:p>
    <w:p w14:paraId="35922FCE">
      <w:pPr>
        <w:pStyle w:val="41"/>
        <w:tabs>
          <w:tab w:val="right" w:leader="dot" w:pos="9070"/>
        </w:tabs>
        <w:spacing w:line="48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9</w:t>
      </w:r>
    </w:p>
    <w:p w14:paraId="03F48B5D">
      <w:pPr>
        <w:pStyle w:val="41"/>
        <w:tabs>
          <w:tab w:val="right" w:leader="dot" w:pos="9070"/>
        </w:tabs>
        <w:spacing w:line="480" w:lineRule="auto"/>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lang w:val="en-US" w:eastAsia="zh-CN"/>
        </w:rPr>
        <w:t>2</w:t>
      </w:r>
      <w:r>
        <w:rPr>
          <w:rFonts w:hint="eastAsia"/>
          <w:color w:val="auto"/>
          <w:sz w:val="28"/>
          <w:szCs w:val="28"/>
          <w:highlight w:val="none"/>
        </w:rPr>
        <w:fldChar w:fldCharType="end"/>
      </w:r>
      <w:r>
        <w:rPr>
          <w:rFonts w:hint="eastAsia"/>
          <w:color w:val="auto"/>
          <w:sz w:val="28"/>
          <w:szCs w:val="28"/>
          <w:highlight w:val="none"/>
          <w:lang w:val="en-US" w:eastAsia="zh-CN"/>
        </w:rPr>
        <w:t>1</w:t>
      </w:r>
    </w:p>
    <w:p w14:paraId="1484603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lang w:val="en-US" w:eastAsia="zh-CN"/>
        </w:rPr>
        <w:t>3</w:t>
      </w:r>
      <w:r>
        <w:rPr>
          <w:rFonts w:hint="eastAsia"/>
          <w:color w:val="auto"/>
          <w:sz w:val="28"/>
          <w:szCs w:val="28"/>
          <w:highlight w:val="none"/>
        </w:rPr>
        <w:fldChar w:fldCharType="end"/>
      </w:r>
      <w:r>
        <w:rPr>
          <w:rFonts w:hint="eastAsia"/>
          <w:color w:val="auto"/>
          <w:sz w:val="28"/>
          <w:szCs w:val="28"/>
          <w:highlight w:val="none"/>
          <w:lang w:val="en-US" w:eastAsia="zh-CN"/>
        </w:rPr>
        <w:t>1</w:t>
      </w:r>
      <w:r>
        <w:rPr>
          <w:color w:val="auto"/>
          <w:sz w:val="28"/>
          <w:szCs w:val="28"/>
          <w:highlight w:val="none"/>
        </w:rPr>
        <w:fldChar w:fldCharType="end"/>
      </w:r>
      <w:bookmarkEnd w:id="0"/>
      <w:bookmarkEnd w:id="1"/>
      <w:bookmarkEnd w:id="2"/>
    </w:p>
    <w:p w14:paraId="35C5842F">
      <w:pPr>
        <w:rPr>
          <w:rFonts w:ascii="Arial" w:hAnsi="Arial" w:eastAsia="黑体"/>
          <w:b/>
          <w:i w:val="0"/>
          <w:color w:val="auto"/>
          <w:sz w:val="32"/>
          <w:szCs w:val="32"/>
          <w:highlight w:val="none"/>
        </w:rPr>
      </w:pPr>
      <w:r>
        <w:rPr>
          <w:rFonts w:hint="eastAsia" w:ascii="Arial" w:hAnsi="Arial" w:eastAsia="黑体"/>
          <w:b/>
          <w:i w:val="0"/>
          <w:color w:val="auto"/>
          <w:sz w:val="32"/>
          <w:szCs w:val="32"/>
          <w:highlight w:val="none"/>
          <w:lang w:eastAsia="zh-CN"/>
        </w:rPr>
        <w:br w:type="page"/>
      </w:r>
    </w:p>
    <w:p w14:paraId="77D98324">
      <w:pPr>
        <w:pStyle w:val="41"/>
        <w:numPr>
          <w:ilvl w:val="0"/>
          <w:numId w:val="6"/>
        </w:numPr>
        <w:tabs>
          <w:tab w:val="right" w:leader="dot" w:pos="9070"/>
        </w:tabs>
        <w:spacing w:line="480" w:lineRule="auto"/>
        <w:jc w:val="center"/>
        <w:rPr>
          <w:rFonts w:ascii="Arial" w:hAnsi="Arial" w:eastAsia="黑体"/>
          <w:b/>
          <w:i w:val="0"/>
          <w:color w:val="auto"/>
          <w:sz w:val="32"/>
          <w:szCs w:val="32"/>
          <w:highlight w:val="none"/>
        </w:rPr>
      </w:pPr>
      <w:r>
        <w:rPr>
          <w:rFonts w:hint="eastAsia" w:ascii="Arial" w:hAnsi="Arial" w:eastAsia="黑体"/>
          <w:b/>
          <w:i w:val="0"/>
          <w:color w:val="auto"/>
          <w:sz w:val="32"/>
          <w:szCs w:val="32"/>
          <w:highlight w:val="none"/>
          <w:lang w:eastAsia="zh-CN"/>
        </w:rPr>
        <w:t>安通建设集团(2026)皖0811民初5188号案诉讼代理服务（重新采购）</w:t>
      </w:r>
      <w:r>
        <w:rPr>
          <w:rFonts w:hint="eastAsia" w:ascii="Arial" w:hAnsi="Arial" w:eastAsia="黑体"/>
          <w:b/>
          <w:i w:val="0"/>
          <w:color w:val="auto"/>
          <w:sz w:val="30"/>
          <w:szCs w:val="30"/>
          <w:highlight w:val="none"/>
        </w:rPr>
        <w:t>比选公告</w:t>
      </w:r>
    </w:p>
    <w:p w14:paraId="75BCEEC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
          <w:bCs/>
          <w:color w:val="auto"/>
          <w:sz w:val="32"/>
          <w:szCs w:val="32"/>
          <w:highlight w:val="none"/>
        </w:rPr>
      </w:pPr>
      <w:bookmarkStart w:id="4" w:name="_Toc35393798"/>
      <w:bookmarkStart w:id="5" w:name="_Toc35393629"/>
      <w:bookmarkStart w:id="6" w:name="_Toc28359012"/>
      <w:bookmarkStart w:id="7" w:name="_Toc28359089"/>
      <w:r>
        <w:rPr>
          <w:rFonts w:hint="eastAsia" w:ascii="仿宋" w:hAnsi="仿宋" w:eastAsia="仿宋" w:cs="仿宋"/>
          <w:color w:val="auto"/>
          <w:sz w:val="30"/>
          <w:szCs w:val="30"/>
          <w:highlight w:val="none"/>
          <w:lang w:eastAsia="zh-CN"/>
        </w:rPr>
        <w:t>安庆市交通控股集团有限公司集采中心</w:t>
      </w:r>
      <w:r>
        <w:rPr>
          <w:rFonts w:hint="eastAsia" w:ascii="仿宋" w:hAnsi="仿宋" w:eastAsia="仿宋" w:cs="仿宋"/>
          <w:color w:val="auto"/>
          <w:sz w:val="30"/>
          <w:szCs w:val="30"/>
          <w:highlight w:val="none"/>
        </w:rPr>
        <w:t>受</w:t>
      </w:r>
      <w:r>
        <w:rPr>
          <w:rFonts w:hint="eastAsia" w:ascii="仿宋" w:hAnsi="仿宋" w:eastAsia="仿宋" w:cs="仿宋"/>
          <w:color w:val="auto"/>
          <w:sz w:val="30"/>
          <w:szCs w:val="30"/>
          <w:highlight w:val="none"/>
          <w:lang w:eastAsia="zh-CN"/>
        </w:rPr>
        <w:t>安庆市安通建设集团有限公司</w:t>
      </w:r>
      <w:r>
        <w:rPr>
          <w:rFonts w:hint="eastAsia" w:ascii="仿宋" w:hAnsi="仿宋" w:eastAsia="仿宋" w:cs="仿宋"/>
          <w:color w:val="auto"/>
          <w:sz w:val="30"/>
          <w:szCs w:val="30"/>
          <w:highlight w:val="none"/>
        </w:rPr>
        <w:t>委托，现对</w:t>
      </w:r>
      <w:r>
        <w:rPr>
          <w:rFonts w:hint="eastAsia" w:ascii="仿宋" w:hAnsi="仿宋" w:eastAsia="仿宋" w:cs="仿宋"/>
          <w:color w:val="auto"/>
          <w:sz w:val="30"/>
          <w:szCs w:val="30"/>
          <w:highlight w:val="none"/>
          <w:u w:val="single"/>
          <w:lang w:eastAsia="zh-CN"/>
        </w:rPr>
        <w:t>安通建设集团(2026)皖0811民初5188号案诉讼代理服务（重新采购）</w:t>
      </w: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AQJK-CG-2026-075</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）进行比选。</w:t>
      </w:r>
    </w:p>
    <w:p w14:paraId="077FE8F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一、项目基本情况：</w:t>
      </w:r>
    </w:p>
    <w:p w14:paraId="4541B70A">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eastAsia="zh-CN"/>
        </w:rPr>
      </w:pPr>
      <w:r>
        <w:rPr>
          <w:rFonts w:hint="eastAsia" w:ascii="仿宋" w:hAnsi="仿宋" w:eastAsia="仿宋" w:cs="仿宋"/>
          <w:color w:val="auto"/>
          <w:sz w:val="30"/>
          <w:szCs w:val="30"/>
          <w:highlight w:val="none"/>
          <w:u w:val="none"/>
        </w:rPr>
        <w:t>项目名称：</w:t>
      </w:r>
      <w:r>
        <w:rPr>
          <w:rFonts w:hint="eastAsia" w:ascii="仿宋" w:hAnsi="仿宋" w:eastAsia="仿宋" w:cs="仿宋"/>
          <w:color w:val="auto"/>
          <w:sz w:val="30"/>
          <w:szCs w:val="30"/>
          <w:highlight w:val="none"/>
          <w:u w:val="none"/>
          <w:lang w:eastAsia="zh-CN"/>
        </w:rPr>
        <w:t>安通建设集团(2026)皖0811民初5188号案诉讼代理服务（重新采购）。</w:t>
      </w:r>
      <w:r>
        <w:rPr>
          <w:rFonts w:hint="eastAsia" w:ascii="仿宋" w:hAnsi="仿宋" w:eastAsia="仿宋" w:cs="仿宋"/>
          <w:color w:val="auto"/>
          <w:sz w:val="30"/>
          <w:szCs w:val="30"/>
          <w:highlight w:val="none"/>
          <w:u w:val="none"/>
          <w:lang w:val="en-US" w:eastAsia="zh-CN"/>
        </w:rPr>
        <w:t>根据</w:t>
      </w:r>
      <w:r>
        <w:rPr>
          <w:rFonts w:hint="eastAsia" w:ascii="仿宋" w:hAnsi="仿宋" w:eastAsia="仿宋" w:cs="仿宋"/>
          <w:color w:val="auto"/>
          <w:sz w:val="30"/>
          <w:szCs w:val="30"/>
          <w:highlight w:val="none"/>
          <w:u w:val="none"/>
          <w:lang w:eastAsia="zh-CN"/>
        </w:rPr>
        <w:t>安庆市交通控股集团有限公司法律顾问咨询服务商采购项目比选</w:t>
      </w:r>
      <w:r>
        <w:rPr>
          <w:rFonts w:hint="eastAsia" w:ascii="仿宋" w:hAnsi="仿宋" w:eastAsia="仿宋" w:cs="仿宋"/>
          <w:color w:val="auto"/>
          <w:sz w:val="30"/>
          <w:szCs w:val="30"/>
          <w:highlight w:val="none"/>
          <w:u w:val="none"/>
          <w:lang w:val="en-US" w:eastAsia="zh-CN"/>
        </w:rPr>
        <w:t>文件约定，成交人服务期内，涉诉争议标的额1000万元以上的案件，由采购人组织入选的5家供应商比选报价，根据比价结果另行签订合同。</w:t>
      </w:r>
    </w:p>
    <w:p w14:paraId="1D1A71CA">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案件概况</w:t>
      </w:r>
      <w:r>
        <w:rPr>
          <w:rFonts w:hint="eastAsia" w:ascii="仿宋" w:hAnsi="仿宋" w:eastAsia="仿宋" w:cs="仿宋"/>
          <w:color w:val="auto"/>
          <w:sz w:val="30"/>
          <w:szCs w:val="30"/>
          <w:highlight w:val="none"/>
          <w:u w:val="none"/>
          <w:lang w:eastAsia="zh-CN"/>
        </w:rPr>
        <w:t>：</w:t>
      </w:r>
    </w:p>
    <w:p w14:paraId="4EF86BFF">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原告：蓝城房产建设管理集团有限公司；</w:t>
      </w:r>
    </w:p>
    <w:p w14:paraId="129120D7">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被告：①被告1:安庆市通盛置业有限公司；②被告2:安庆市安通建设集团有限公司；</w:t>
      </w:r>
    </w:p>
    <w:p w14:paraId="6883533C">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诉讼标的额：16712546.38元；</w:t>
      </w:r>
    </w:p>
    <w:p w14:paraId="21BBE94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具体详见比选文件附件《安庆市宜秀区人民法院传票文书【案号：(2026)皖0811民初5188号】》及证据明细。</w:t>
      </w:r>
    </w:p>
    <w:p w14:paraId="12B80C78">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最高限价</w:t>
      </w:r>
      <w:r>
        <w:rPr>
          <w:rFonts w:hint="eastAsia" w:ascii="仿宋" w:hAnsi="仿宋" w:eastAsia="仿宋" w:cs="仿宋"/>
          <w:color w:val="auto"/>
          <w:sz w:val="30"/>
          <w:szCs w:val="30"/>
          <w:highlight w:val="none"/>
          <w:u w:val="none"/>
        </w:rPr>
        <w:t>：</w:t>
      </w:r>
      <w:r>
        <w:rPr>
          <w:rFonts w:hint="eastAsia" w:ascii="仿宋" w:hAnsi="仿宋" w:eastAsia="仿宋" w:cs="仿宋"/>
          <w:color w:val="auto"/>
          <w:sz w:val="30"/>
          <w:szCs w:val="30"/>
          <w:highlight w:val="none"/>
          <w:u w:val="none"/>
          <w:lang w:val="en-US" w:eastAsia="zh-CN"/>
        </w:rPr>
        <w:t>以根据安徽省物价局2016年2月10日发布的《安徽律师收费标准》{皖价服[2016]13号}文件得出的计算结果（以下限为准）*50%为本次比选的最高限价，即114562.73元。</w:t>
      </w:r>
    </w:p>
    <w:p w14:paraId="03AEFC4B">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付款方式：若案件周期大于一年，则在案件首次开庭后一年后支付至基础服务费的30%，剩余代理费待案件终结并办理结算后一次性支付；若案件在一年内终结，则所有案件代理费均在案件终结并办理结算后一次性支付</w:t>
      </w:r>
      <w:r>
        <w:rPr>
          <w:rFonts w:hint="eastAsia" w:ascii="仿宋" w:hAnsi="仿宋" w:eastAsia="仿宋" w:cs="仿宋"/>
          <w:color w:val="auto"/>
          <w:sz w:val="30"/>
          <w:szCs w:val="30"/>
          <w:highlight w:val="none"/>
          <w:u w:val="none"/>
          <w:lang w:eastAsia="zh-CN"/>
        </w:rPr>
        <w:t>。</w:t>
      </w:r>
    </w:p>
    <w:p w14:paraId="2A6A9F0D">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服务期限：自接受采购人委托通知之日起到案件执行终结，包括所有诉讼阶段，包括但不限于一审、二审、再审（如有）、强制执行等全部司法阶段；若本案出具终审裁判文书后，原告基于同一事实、同一法律关系另行起诉的，成交人仍应提供全流程代理服务，对应服务成本已全部包含在合同总价内，采购人无需另行支付任何费用。</w:t>
      </w:r>
    </w:p>
    <w:p w14:paraId="4B2A4E90">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评标办法：最低评标价法</w:t>
      </w:r>
    </w:p>
    <w:p w14:paraId="5FC9BD9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二、参选人的资格要求：</w:t>
      </w:r>
    </w:p>
    <w:bookmarkEnd w:id="4"/>
    <w:bookmarkEnd w:id="5"/>
    <w:bookmarkEnd w:id="6"/>
    <w:bookmarkEnd w:id="7"/>
    <w:p w14:paraId="1B68A11A">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1.可参选对象：安庆市交通控股集团有限公司法律顾问咨询服务商采购项目成交人。</w:t>
      </w:r>
    </w:p>
    <w:p w14:paraId="0EBCDE3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2.本项目不接受联合体参选。</w:t>
      </w:r>
    </w:p>
    <w:p w14:paraId="2CCD4A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kern w:val="2"/>
          <w:sz w:val="30"/>
          <w:szCs w:val="30"/>
          <w:highlight w:val="none"/>
          <w:lang w:val="en-US" w:eastAsia="zh-CN" w:bidi="ar-SA"/>
        </w:rPr>
        <w:t>参选人有以下情形不得参与本次比选活动：</w:t>
      </w:r>
    </w:p>
    <w:p w14:paraId="59DBF700">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3.1被列入安庆市交通控股集团有限公司黑名单管理系统；</w:t>
      </w:r>
    </w:p>
    <w:p w14:paraId="7B3192F9">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3.2在安庆市交通控股集团有限公司处罚限制期限内的投标人或参选人；</w:t>
      </w:r>
    </w:p>
    <w:p w14:paraId="05968A48">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3.3前期参与安庆市交通控股集团有限公司组织的招标采购活动获得中标候选人资格而放弃中标资格不签订合同的投标人或参选人，在处罚期内的投标人或参选人不得参与本次比选活动。</w:t>
      </w:r>
    </w:p>
    <w:p w14:paraId="017DC52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三、比选文件获取：</w:t>
      </w:r>
    </w:p>
    <w:p w14:paraId="509686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1.潜在参选人</w:t>
      </w:r>
      <w:r>
        <w:rPr>
          <w:rFonts w:hint="eastAsia" w:ascii="仿宋" w:hAnsi="仿宋" w:eastAsia="仿宋" w:cs="仿宋"/>
          <w:color w:val="auto"/>
          <w:sz w:val="30"/>
          <w:szCs w:val="30"/>
          <w:highlight w:val="none"/>
          <w:u w:val="none"/>
        </w:rPr>
        <w:t>于</w:t>
      </w:r>
      <w:r>
        <w:rPr>
          <w:rFonts w:hint="eastAsia" w:ascii="仿宋" w:hAnsi="仿宋" w:eastAsia="仿宋" w:cs="仿宋"/>
          <w:color w:val="auto"/>
          <w:sz w:val="30"/>
          <w:szCs w:val="30"/>
          <w:highlight w:val="none"/>
          <w:u w:val="none"/>
          <w:lang w:val="en-US" w:eastAsia="zh-CN"/>
        </w:rPr>
        <w:t>2026</w:t>
      </w:r>
      <w:r>
        <w:rPr>
          <w:rFonts w:hint="eastAsia" w:ascii="仿宋" w:hAnsi="仿宋" w:eastAsia="仿宋" w:cs="仿宋"/>
          <w:color w:val="auto"/>
          <w:sz w:val="30"/>
          <w:szCs w:val="30"/>
          <w:highlight w:val="none"/>
          <w:u w:val="none"/>
        </w:rPr>
        <w:t>年</w:t>
      </w:r>
      <w:r>
        <w:rPr>
          <w:rFonts w:hint="eastAsia" w:ascii="仿宋" w:hAnsi="仿宋" w:eastAsia="仿宋" w:cs="仿宋"/>
          <w:color w:val="auto"/>
          <w:sz w:val="30"/>
          <w:szCs w:val="30"/>
          <w:highlight w:val="none"/>
          <w:u w:val="none"/>
          <w:lang w:val="en-US" w:eastAsia="zh-CN"/>
        </w:rPr>
        <w:t>8</w:t>
      </w:r>
      <w:r>
        <w:rPr>
          <w:rFonts w:hint="eastAsia" w:ascii="仿宋" w:hAnsi="仿宋" w:eastAsia="仿宋" w:cs="仿宋"/>
          <w:color w:val="auto"/>
          <w:sz w:val="30"/>
          <w:szCs w:val="30"/>
          <w:highlight w:val="none"/>
          <w:u w:val="none"/>
        </w:rPr>
        <w:t>月</w:t>
      </w:r>
      <w:r>
        <w:rPr>
          <w:rFonts w:hint="eastAsia" w:ascii="仿宋" w:hAnsi="仿宋" w:eastAsia="仿宋" w:cs="仿宋"/>
          <w:color w:val="auto"/>
          <w:sz w:val="30"/>
          <w:szCs w:val="30"/>
          <w:highlight w:val="none"/>
          <w:u w:val="none"/>
          <w:lang w:val="en-US" w:eastAsia="zh-CN"/>
        </w:rPr>
        <w:t>9</w:t>
      </w:r>
      <w:r>
        <w:rPr>
          <w:rFonts w:hint="eastAsia" w:ascii="仿宋" w:hAnsi="仿宋" w:eastAsia="仿宋" w:cs="仿宋"/>
          <w:color w:val="auto"/>
          <w:sz w:val="30"/>
          <w:szCs w:val="30"/>
          <w:highlight w:val="none"/>
          <w:u w:val="none"/>
        </w:rPr>
        <w:t>日17</w:t>
      </w:r>
      <w:r>
        <w:rPr>
          <w:rFonts w:hint="eastAsia" w:ascii="仿宋" w:hAnsi="仿宋" w:eastAsia="仿宋" w:cs="仿宋"/>
          <w:color w:val="auto"/>
          <w:sz w:val="30"/>
          <w:szCs w:val="30"/>
          <w:highlight w:val="none"/>
        </w:rPr>
        <w:t>点30分前，每天8:00至17:30（北京时间）登录安庆市交通控股集团有限公司</w:t>
      </w:r>
      <w:r>
        <w:rPr>
          <w:rFonts w:hint="eastAsia" w:ascii="仿宋" w:hAnsi="仿宋" w:eastAsia="仿宋" w:cs="仿宋"/>
          <w:color w:val="auto"/>
          <w:sz w:val="30"/>
          <w:szCs w:val="30"/>
          <w:highlight w:val="none"/>
          <w:lang w:eastAsia="zh-CN"/>
        </w:rPr>
        <w:t>集采平台</w:t>
      </w:r>
      <w:r>
        <w:rPr>
          <w:rFonts w:hint="eastAsia" w:ascii="仿宋" w:hAnsi="仿宋" w:eastAsia="仿宋" w:cs="仿宋"/>
          <w:color w:val="auto"/>
          <w:sz w:val="30"/>
          <w:szCs w:val="30"/>
          <w:highlight w:val="none"/>
        </w:rPr>
        <w:t>（http://jc.zh0556.com/）获取比选文件。</w:t>
      </w:r>
    </w:p>
    <w:p w14:paraId="2EF9AB3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2.参选文件及相关资料工本费：不收取。</w:t>
      </w:r>
    </w:p>
    <w:p w14:paraId="57BB57A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rPr>
        <w:t>3.报名方式：</w:t>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将“确定参与比</w:t>
      </w:r>
      <w:r>
        <w:rPr>
          <w:rFonts w:hint="eastAsia" w:ascii="仿宋" w:hAnsi="仿宋" w:eastAsia="仿宋" w:cs="仿宋"/>
          <w:strike w:val="0"/>
          <w:dstrike w:val="0"/>
          <w:color w:val="auto"/>
          <w:sz w:val="30"/>
          <w:szCs w:val="30"/>
          <w:highlight w:val="none"/>
          <w:u w:val="none"/>
        </w:rPr>
        <w:t>选的函”盖供应商公章在</w:t>
      </w:r>
      <w:r>
        <w:rPr>
          <w:rFonts w:hint="eastAsia" w:ascii="仿宋" w:hAnsi="仿宋" w:eastAsia="仿宋" w:cs="仿宋"/>
          <w:strike w:val="0"/>
          <w:dstrike w:val="0"/>
          <w:color w:val="auto"/>
          <w:sz w:val="30"/>
          <w:szCs w:val="30"/>
          <w:highlight w:val="none"/>
          <w:u w:val="none"/>
          <w:lang w:val="en-US" w:eastAsia="zh-CN"/>
        </w:rPr>
        <w:t>2026</w:t>
      </w:r>
      <w:r>
        <w:rPr>
          <w:rFonts w:hint="eastAsia" w:ascii="仿宋" w:hAnsi="仿宋" w:eastAsia="仿宋" w:cs="仿宋"/>
          <w:strike w:val="0"/>
          <w:dstrike w:val="0"/>
          <w:color w:val="auto"/>
          <w:sz w:val="30"/>
          <w:szCs w:val="30"/>
          <w:highlight w:val="none"/>
          <w:u w:val="none"/>
        </w:rPr>
        <w:t>年</w:t>
      </w:r>
      <w:r>
        <w:rPr>
          <w:rFonts w:hint="eastAsia" w:ascii="仿宋" w:hAnsi="仿宋" w:eastAsia="仿宋" w:cs="仿宋"/>
          <w:color w:val="auto"/>
          <w:sz w:val="30"/>
          <w:szCs w:val="30"/>
          <w:highlight w:val="none"/>
          <w:u w:val="none"/>
          <w:lang w:val="en-US" w:eastAsia="zh-CN"/>
        </w:rPr>
        <w:t>8</w:t>
      </w:r>
      <w:r>
        <w:rPr>
          <w:rFonts w:hint="eastAsia" w:ascii="仿宋" w:hAnsi="仿宋" w:eastAsia="仿宋" w:cs="仿宋"/>
          <w:color w:val="auto"/>
          <w:sz w:val="30"/>
          <w:szCs w:val="30"/>
          <w:highlight w:val="none"/>
          <w:u w:val="none"/>
        </w:rPr>
        <w:t>月</w:t>
      </w:r>
      <w:r>
        <w:rPr>
          <w:rFonts w:hint="eastAsia" w:ascii="仿宋" w:hAnsi="仿宋" w:eastAsia="仿宋" w:cs="仿宋"/>
          <w:color w:val="auto"/>
          <w:sz w:val="30"/>
          <w:szCs w:val="30"/>
          <w:highlight w:val="none"/>
          <w:u w:val="none"/>
          <w:lang w:val="en-US" w:eastAsia="zh-CN"/>
        </w:rPr>
        <w:t>9</w:t>
      </w:r>
      <w:bookmarkStart w:id="83" w:name="_GoBack"/>
      <w:bookmarkEnd w:id="83"/>
      <w:r>
        <w:rPr>
          <w:rFonts w:hint="eastAsia" w:ascii="仿宋" w:hAnsi="仿宋" w:eastAsia="仿宋" w:cs="仿宋"/>
          <w:color w:val="auto"/>
          <w:sz w:val="30"/>
          <w:szCs w:val="30"/>
          <w:highlight w:val="none"/>
          <w:u w:val="none"/>
        </w:rPr>
        <w:t>日</w:t>
      </w:r>
      <w:r>
        <w:rPr>
          <w:rFonts w:hint="eastAsia" w:ascii="仿宋" w:hAnsi="仿宋" w:eastAsia="仿宋" w:cs="仿宋"/>
          <w:strike w:val="0"/>
          <w:dstrike w:val="0"/>
          <w:color w:val="auto"/>
          <w:sz w:val="30"/>
          <w:szCs w:val="30"/>
          <w:highlight w:val="none"/>
          <w:u w:val="none"/>
        </w:rPr>
        <w:t>17</w:t>
      </w:r>
      <w:r>
        <w:rPr>
          <w:rFonts w:hint="eastAsia" w:ascii="仿宋" w:hAnsi="仿宋" w:eastAsia="仿宋" w:cs="仿宋"/>
          <w:color w:val="auto"/>
          <w:sz w:val="30"/>
          <w:szCs w:val="30"/>
          <w:highlight w:val="none"/>
        </w:rPr>
        <w:t>点30分前发邮箱</w:t>
      </w:r>
      <w:r>
        <w:rPr>
          <w:rFonts w:hint="eastAsia" w:ascii="仿宋" w:hAnsi="仿宋" w:eastAsia="仿宋" w:cs="仿宋"/>
          <w:color w:val="auto"/>
          <w:sz w:val="30"/>
          <w:szCs w:val="30"/>
          <w:highlight w:val="none"/>
          <w:lang w:val="en-US" w:eastAsia="zh-CN"/>
        </w:rPr>
        <w:t>1179928670</w:t>
      </w:r>
      <w:r>
        <w:rPr>
          <w:rFonts w:hint="eastAsia" w:ascii="仿宋" w:hAnsi="仿宋" w:eastAsia="仿宋" w:cs="仿宋"/>
          <w:color w:val="auto"/>
          <w:sz w:val="30"/>
          <w:szCs w:val="30"/>
          <w:highlight w:val="none"/>
        </w:rPr>
        <w:t>@qq.com（报名截止后发送，报名无效）</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t>。</w:t>
      </w:r>
    </w:p>
    <w:p w14:paraId="380EB7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.已发确认参与函，而放弃参加比选的参选人，须在比选时间截止日前一天以公司名义向1179928670@</w:t>
      </w:r>
      <w:r>
        <w:rPr>
          <w:rFonts w:hint="eastAsia" w:ascii="仿宋" w:hAnsi="仿宋" w:eastAsia="仿宋" w:cs="仿宋"/>
          <w:color w:val="auto"/>
          <w:sz w:val="30"/>
          <w:szCs w:val="30"/>
          <w:highlight w:val="none"/>
          <w:lang w:val="en-US" w:eastAsia="zh-CN"/>
        </w:rPr>
        <w:t>QQ</w:t>
      </w:r>
      <w:r>
        <w:rPr>
          <w:rFonts w:hint="eastAsia" w:ascii="仿宋" w:hAnsi="仿宋" w:eastAsia="仿宋" w:cs="仿宋"/>
          <w:color w:val="auto"/>
          <w:sz w:val="30"/>
          <w:szCs w:val="30"/>
          <w:highlight w:val="none"/>
        </w:rPr>
        <w:t>.com发送放弃参与函（格式自拟）</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否则</w:t>
      </w:r>
      <w:r>
        <w:rPr>
          <w:rFonts w:hint="eastAsia" w:ascii="仿宋" w:hAnsi="仿宋" w:eastAsia="仿宋" w:cs="仿宋"/>
          <w:color w:val="auto"/>
          <w:sz w:val="30"/>
          <w:szCs w:val="30"/>
          <w:highlight w:val="none"/>
          <w:lang w:val="en-US" w:eastAsia="zh-CN"/>
        </w:rPr>
        <w:t>采购</w:t>
      </w:r>
      <w:r>
        <w:rPr>
          <w:rFonts w:hint="eastAsia" w:ascii="仿宋" w:hAnsi="仿宋" w:eastAsia="仿宋" w:cs="仿宋"/>
          <w:color w:val="auto"/>
          <w:sz w:val="30"/>
          <w:szCs w:val="30"/>
          <w:highlight w:val="none"/>
        </w:rPr>
        <w:t>管理人将予拉入集团黑名单处理</w:t>
      </w:r>
      <w:r>
        <w:rPr>
          <w:rFonts w:hint="eastAsia" w:ascii="仿宋" w:hAnsi="仿宋" w:eastAsia="仿宋" w:cs="仿宋"/>
          <w:color w:val="auto"/>
          <w:sz w:val="30"/>
          <w:szCs w:val="30"/>
          <w:highlight w:val="none"/>
          <w:lang w:eastAsia="zh-CN"/>
        </w:rPr>
        <w:t>。</w:t>
      </w:r>
    </w:p>
    <w:p w14:paraId="5BD5B09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四、比选时间及地点：</w:t>
      </w:r>
    </w:p>
    <w:p w14:paraId="06B63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时间：</w:t>
      </w:r>
      <w:r>
        <w:rPr>
          <w:rFonts w:hint="eastAsia" w:ascii="仿宋" w:hAnsi="仿宋" w:eastAsia="仿宋" w:cs="仿宋"/>
          <w:color w:val="auto"/>
          <w:sz w:val="30"/>
          <w:szCs w:val="30"/>
          <w:highlight w:val="none"/>
          <w:u w:val="none"/>
          <w:lang w:val="en-US" w:eastAsia="zh-CN"/>
        </w:rPr>
        <w:t>2026</w:t>
      </w:r>
      <w:r>
        <w:rPr>
          <w:rFonts w:hint="eastAsia" w:ascii="仿宋" w:hAnsi="仿宋" w:eastAsia="仿宋" w:cs="仿宋"/>
          <w:color w:val="auto"/>
          <w:sz w:val="30"/>
          <w:szCs w:val="30"/>
          <w:highlight w:val="none"/>
          <w:u w:val="none"/>
        </w:rPr>
        <w:t>年</w:t>
      </w:r>
      <w:r>
        <w:rPr>
          <w:rFonts w:hint="eastAsia" w:ascii="仿宋" w:hAnsi="仿宋" w:eastAsia="仿宋" w:cs="仿宋"/>
          <w:color w:val="auto"/>
          <w:sz w:val="30"/>
          <w:szCs w:val="30"/>
          <w:highlight w:val="none"/>
          <w:u w:val="none"/>
          <w:lang w:val="en-US" w:eastAsia="zh-CN"/>
        </w:rPr>
        <w:t>8</w:t>
      </w:r>
      <w:r>
        <w:rPr>
          <w:rFonts w:hint="eastAsia" w:ascii="仿宋" w:hAnsi="仿宋" w:eastAsia="仿宋" w:cs="仿宋"/>
          <w:color w:val="auto"/>
          <w:sz w:val="30"/>
          <w:szCs w:val="30"/>
          <w:highlight w:val="none"/>
          <w:u w:val="none"/>
        </w:rPr>
        <w:t>月</w:t>
      </w:r>
      <w:r>
        <w:rPr>
          <w:rFonts w:hint="eastAsia" w:ascii="仿宋" w:hAnsi="仿宋" w:eastAsia="仿宋" w:cs="仿宋"/>
          <w:color w:val="auto"/>
          <w:sz w:val="30"/>
          <w:szCs w:val="30"/>
          <w:highlight w:val="none"/>
          <w:u w:val="none"/>
          <w:lang w:val="en-US" w:eastAsia="zh-CN"/>
        </w:rPr>
        <w:t>10</w:t>
      </w:r>
      <w:r>
        <w:rPr>
          <w:rFonts w:hint="eastAsia" w:ascii="仿宋" w:hAnsi="仿宋" w:eastAsia="仿宋" w:cs="仿宋"/>
          <w:color w:val="auto"/>
          <w:sz w:val="30"/>
          <w:szCs w:val="30"/>
          <w:highlight w:val="none"/>
          <w:u w:val="none"/>
        </w:rPr>
        <w:t>日</w:t>
      </w:r>
      <w:r>
        <w:rPr>
          <w:rFonts w:hint="eastAsia" w:ascii="仿宋" w:hAnsi="仿宋" w:eastAsia="仿宋" w:cs="仿宋"/>
          <w:color w:val="auto"/>
          <w:sz w:val="30"/>
          <w:szCs w:val="30"/>
          <w:highlight w:val="none"/>
          <w:u w:val="none"/>
          <w:lang w:val="en-US" w:eastAsia="zh-CN"/>
        </w:rPr>
        <w:t>15</w:t>
      </w:r>
      <w:r>
        <w:rPr>
          <w:rFonts w:hint="eastAsia" w:ascii="仿宋" w:hAnsi="仿宋" w:eastAsia="仿宋" w:cs="仿宋"/>
          <w:color w:val="auto"/>
          <w:sz w:val="30"/>
          <w:szCs w:val="30"/>
          <w:highlight w:val="none"/>
          <w:u w:val="none"/>
        </w:rPr>
        <w:t>时</w:t>
      </w:r>
      <w:r>
        <w:rPr>
          <w:rFonts w:hint="eastAsia" w:ascii="仿宋" w:hAnsi="仿宋" w:eastAsia="仿宋" w:cs="仿宋"/>
          <w:color w:val="auto"/>
          <w:sz w:val="30"/>
          <w:szCs w:val="30"/>
          <w:highlight w:val="none"/>
          <w:u w:val="none"/>
          <w:lang w:val="en-US" w:eastAsia="zh-CN"/>
        </w:rPr>
        <w:t>30</w:t>
      </w:r>
      <w:r>
        <w:rPr>
          <w:rFonts w:hint="eastAsia" w:ascii="仿宋" w:hAnsi="仿宋" w:eastAsia="仿宋" w:cs="仿宋"/>
          <w:color w:val="auto"/>
          <w:sz w:val="30"/>
          <w:szCs w:val="30"/>
          <w:highlight w:val="none"/>
          <w:u w:val="none"/>
        </w:rPr>
        <w:t>分</w:t>
      </w:r>
    </w:p>
    <w:p w14:paraId="213CC8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地点：安庆市大观区集贤南路52号二楼集采中心开标室</w:t>
      </w:r>
    </w:p>
    <w:p w14:paraId="653CA2C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五、其他补充事宜：</w:t>
      </w:r>
    </w:p>
    <w:p w14:paraId="7A872AA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1.参选人的联系人电话(手机)、电子邮箱等通讯方式在比选过程中必须保持畅通，否则因上述原因造成的后果，责任自负。</w:t>
      </w:r>
    </w:p>
    <w:p w14:paraId="1F28733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2.本项目比选实行纸质参选，比选活动线下完成。比选时参选人需要按时到达比选现场进行签到</w:t>
      </w:r>
      <w:r>
        <w:rPr>
          <w:rFonts w:hint="eastAsia" w:ascii="仿宋" w:hAnsi="仿宋" w:eastAsia="仿宋" w:cs="仿宋"/>
          <w:color w:val="auto"/>
          <w:sz w:val="30"/>
          <w:szCs w:val="30"/>
          <w:highlight w:val="none"/>
          <w:lang w:val="en-US" w:eastAsia="zh-CN"/>
        </w:rPr>
        <w:t>并递交投标文件</w:t>
      </w:r>
      <w:r>
        <w:rPr>
          <w:rFonts w:hint="eastAsia" w:ascii="仿宋" w:hAnsi="仿宋" w:eastAsia="仿宋" w:cs="仿宋"/>
          <w:color w:val="auto"/>
          <w:sz w:val="30"/>
          <w:szCs w:val="30"/>
          <w:highlight w:val="none"/>
        </w:rPr>
        <w:t>，因参选人未按时</w:t>
      </w:r>
      <w:r>
        <w:rPr>
          <w:rFonts w:hint="eastAsia" w:ascii="仿宋" w:hAnsi="仿宋" w:eastAsia="仿宋" w:cs="仿宋"/>
          <w:color w:val="auto"/>
          <w:sz w:val="30"/>
          <w:szCs w:val="30"/>
          <w:highlight w:val="none"/>
          <w:lang w:eastAsia="zh-CN"/>
        </w:rPr>
        <w:t>到达</w:t>
      </w:r>
      <w:r>
        <w:rPr>
          <w:rFonts w:hint="eastAsia" w:ascii="仿宋" w:hAnsi="仿宋" w:eastAsia="仿宋" w:cs="仿宋"/>
          <w:color w:val="auto"/>
          <w:sz w:val="30"/>
          <w:szCs w:val="30"/>
          <w:highlight w:val="none"/>
        </w:rPr>
        <w:t>比选现场，则视为主动放弃，对比选造成的不利后果由其自行承担。</w:t>
      </w:r>
    </w:p>
    <w:p w14:paraId="2841A692">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3.成交人应在采购人要求的时间内与采购人签订合同。</w:t>
      </w:r>
    </w:p>
    <w:p w14:paraId="69E1E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bookmarkStart w:id="8" w:name="_Toc28359095"/>
      <w:bookmarkStart w:id="9" w:name="_Toc28359018"/>
      <w:bookmarkStart w:id="10" w:name="_Toc35393805"/>
      <w:bookmarkStart w:id="11" w:name="_Toc35393636"/>
      <w:r>
        <w:rPr>
          <w:rFonts w:hint="eastAsia" w:ascii="仿宋" w:hAnsi="仿宋" w:eastAsia="仿宋" w:cs="仿宋"/>
          <w:b/>
          <w:bCs w:val="0"/>
          <w:color w:val="auto"/>
          <w:sz w:val="32"/>
          <w:szCs w:val="32"/>
          <w:highlight w:val="none"/>
          <w:lang w:val="en-US" w:eastAsia="zh-CN"/>
        </w:rPr>
        <w:t>六</w:t>
      </w:r>
      <w:r>
        <w:rPr>
          <w:rFonts w:hint="eastAsia" w:ascii="仿宋" w:hAnsi="仿宋" w:eastAsia="仿宋" w:cs="仿宋"/>
          <w:b/>
          <w:bCs w:val="0"/>
          <w:color w:val="auto"/>
          <w:sz w:val="32"/>
          <w:szCs w:val="32"/>
          <w:highlight w:val="none"/>
        </w:rPr>
        <w:t>、凡对本次比选提出询问，请按以下方式联系</w:t>
      </w:r>
      <w:bookmarkEnd w:id="8"/>
      <w:bookmarkEnd w:id="9"/>
      <w:bookmarkEnd w:id="10"/>
      <w:bookmarkEnd w:id="11"/>
    </w:p>
    <w:p w14:paraId="3691C05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bookmarkStart w:id="12" w:name="_Toc28359019"/>
      <w:bookmarkStart w:id="13" w:name="_Toc28359096"/>
      <w:bookmarkStart w:id="14" w:name="_Toc35393806"/>
      <w:bookmarkStart w:id="15" w:name="_Toc35393637"/>
      <w:r>
        <w:rPr>
          <w:rFonts w:hint="eastAsia" w:ascii="仿宋" w:hAnsi="仿宋" w:eastAsia="仿宋" w:cs="仿宋"/>
          <w:color w:val="auto"/>
          <w:sz w:val="30"/>
          <w:szCs w:val="30"/>
          <w:highlight w:val="none"/>
        </w:rPr>
        <w:t>1.采购人信息</w:t>
      </w:r>
      <w:bookmarkEnd w:id="12"/>
      <w:bookmarkEnd w:id="13"/>
      <w:bookmarkEnd w:id="14"/>
      <w:bookmarkEnd w:id="15"/>
    </w:p>
    <w:p w14:paraId="1DABCD8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称：安庆市安通建设集团有限公司</w:t>
      </w:r>
    </w:p>
    <w:p w14:paraId="265F57B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址：安徽省安庆市宜秀区大桥街道振风大道与龙眠山路交叉口东北角</w:t>
      </w:r>
    </w:p>
    <w:p w14:paraId="417863B7">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人：冯刘飞</w:t>
      </w:r>
    </w:p>
    <w:p w14:paraId="240E7B5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联系方式：0556-8880050</w:t>
      </w:r>
    </w:p>
    <w:p w14:paraId="232C70F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p>
    <w:p w14:paraId="56BEA14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2.采购管理部门信息</w:t>
      </w:r>
    </w:p>
    <w:p w14:paraId="7408381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称：安庆市交通控股集团有限公司集采中心</w:t>
      </w:r>
    </w:p>
    <w:p w14:paraId="601A967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址：安庆市大观区集贤南路52号</w:t>
      </w:r>
    </w:p>
    <w:p w14:paraId="48623EB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人：王欣怡</w:t>
      </w:r>
    </w:p>
    <w:p w14:paraId="0358993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30"/>
          <w:szCs w:val="30"/>
          <w:highlight w:val="none"/>
          <w:lang w:val="en-US" w:eastAsia="zh-CN"/>
        </w:rPr>
        <w:t>联系方式：</w:t>
      </w:r>
      <w:r>
        <w:rPr>
          <w:rFonts w:hint="eastAsia" w:ascii="仿宋" w:hAnsi="仿宋" w:eastAsia="仿宋" w:cs="仿宋"/>
          <w:i w:val="0"/>
          <w:iCs w:val="0"/>
          <w:caps w:val="0"/>
          <w:color w:val="auto"/>
          <w:spacing w:val="0"/>
          <w:sz w:val="30"/>
          <w:szCs w:val="30"/>
          <w:highlight w:val="none"/>
          <w:shd w:val="clear" w:fill="FFFFFF"/>
        </w:rPr>
        <w:t>0556-5990510</w:t>
      </w:r>
    </w:p>
    <w:p w14:paraId="01548478">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BE92320">
      <w:pPr>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Times New Roman"/>
          <w:color w:val="auto"/>
          <w:sz w:val="28"/>
          <w:szCs w:val="28"/>
          <w:highlight w:val="none"/>
          <w:u w:val="none"/>
        </w:rPr>
      </w:pPr>
      <w:r>
        <w:rPr>
          <w:rFonts w:hint="eastAsia" w:ascii="仿宋" w:hAnsi="仿宋" w:eastAsia="仿宋" w:cs="Times New Roman"/>
          <w:b w:val="0"/>
          <w:bCs w:val="0"/>
          <w:color w:val="auto"/>
          <w:sz w:val="32"/>
          <w:szCs w:val="32"/>
          <w:highlight w:val="none"/>
          <w:u w:val="none"/>
          <w:lang w:val="en-US" w:eastAsia="zh-CN"/>
        </w:rPr>
        <w:t>附：</w:t>
      </w:r>
    </w:p>
    <w:p w14:paraId="47253E42">
      <w:pPr>
        <w:keepNext/>
        <w:keepLines/>
        <w:widowControl w:val="0"/>
        <w:spacing w:before="340" w:after="330" w:line="578" w:lineRule="auto"/>
        <w:jc w:val="center"/>
        <w:outlineLvl w:val="0"/>
        <w:rPr>
          <w:rFonts w:hint="eastAsia" w:ascii="宋体" w:hAnsi="宋体" w:eastAsia="宋体" w:cs="宋体"/>
          <w:b/>
          <w:bCs/>
          <w:color w:val="auto"/>
          <w:kern w:val="44"/>
          <w:sz w:val="44"/>
          <w:szCs w:val="44"/>
          <w:highlight w:val="none"/>
          <w:lang w:val="en-US" w:eastAsia="zh-CN" w:bidi="ar-SA"/>
        </w:rPr>
      </w:pPr>
      <w:bookmarkStart w:id="16" w:name="_Toc13660"/>
      <w:r>
        <w:rPr>
          <w:rFonts w:hint="eastAsia" w:ascii="宋体" w:hAnsi="宋体" w:eastAsia="宋体" w:cs="宋体"/>
          <w:b/>
          <w:bCs/>
          <w:color w:val="auto"/>
          <w:kern w:val="44"/>
          <w:sz w:val="44"/>
          <w:szCs w:val="44"/>
          <w:highlight w:val="none"/>
          <w:lang w:val="en-US" w:eastAsia="zh-CN" w:bidi="ar-SA"/>
        </w:rPr>
        <w:t>确定参与比选的函</w:t>
      </w:r>
      <w:bookmarkEnd w:id="16"/>
    </w:p>
    <w:p w14:paraId="43B04224">
      <w:pPr>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安庆市交通控股集团有限公司集采中心：</w:t>
      </w:r>
    </w:p>
    <w:p w14:paraId="035D8B86">
      <w:pPr>
        <w:ind w:firstLine="64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我单位确定参与</w:t>
      </w:r>
      <w:r>
        <w:rPr>
          <w:rFonts w:hint="eastAsia" w:ascii="仿宋" w:hAnsi="仿宋" w:eastAsia="仿宋" w:cs="仿宋"/>
          <w:b w:val="0"/>
          <w:bCs w:val="0"/>
          <w:color w:val="auto"/>
          <w:sz w:val="32"/>
          <w:szCs w:val="32"/>
          <w:highlight w:val="none"/>
          <w:u w:val="single"/>
          <w:lang w:val="en-US" w:eastAsia="zh-CN"/>
        </w:rPr>
        <w:t>安通建设集团(2026)皖0811民初5188号案诉讼代理服务（重新采购）</w:t>
      </w:r>
      <w:r>
        <w:rPr>
          <w:rFonts w:hint="eastAsia" w:ascii="仿宋" w:hAnsi="仿宋" w:eastAsia="仿宋" w:cs="仿宋"/>
          <w:b w:val="0"/>
          <w:bCs w:val="0"/>
          <w:color w:val="auto"/>
          <w:sz w:val="32"/>
          <w:szCs w:val="32"/>
          <w:highlight w:val="none"/>
          <w:u w:val="none"/>
          <w:lang w:val="en-US" w:eastAsia="zh-CN"/>
        </w:rPr>
        <w:t>项目，并承诺按比选文件的要求，按时参与比选开标。</w:t>
      </w:r>
    </w:p>
    <w:p w14:paraId="667FC54F">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联系人：</w:t>
      </w:r>
    </w:p>
    <w:p w14:paraId="7F6F12C3">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联系电话：</w:t>
      </w:r>
    </w:p>
    <w:p w14:paraId="37147403">
      <w:pPr>
        <w:ind w:firstLine="640"/>
        <w:jc w:val="both"/>
        <w:rPr>
          <w:rFonts w:hint="eastAsia" w:ascii="仿宋" w:hAnsi="仿宋" w:eastAsia="仿宋" w:cs="仿宋"/>
          <w:b w:val="0"/>
          <w:bCs w:val="0"/>
          <w:color w:val="auto"/>
          <w:sz w:val="32"/>
          <w:szCs w:val="32"/>
          <w:highlight w:val="none"/>
          <w:u w:val="none"/>
          <w:lang w:val="en-US" w:eastAsia="zh-CN"/>
        </w:rPr>
      </w:pPr>
    </w:p>
    <w:p w14:paraId="02AC4DF3">
      <w:pPr>
        <w:pStyle w:val="81"/>
        <w:rPr>
          <w:rFonts w:hint="eastAsia" w:ascii="仿宋" w:hAnsi="仿宋" w:eastAsia="仿宋" w:cs="仿宋"/>
          <w:b w:val="0"/>
          <w:bCs w:val="0"/>
          <w:color w:val="auto"/>
          <w:sz w:val="32"/>
          <w:szCs w:val="32"/>
          <w:highlight w:val="none"/>
          <w:u w:val="none"/>
          <w:lang w:val="en-US" w:eastAsia="zh-CN"/>
        </w:rPr>
      </w:pPr>
    </w:p>
    <w:p w14:paraId="3BBAE40A">
      <w:pPr>
        <w:pStyle w:val="81"/>
        <w:rPr>
          <w:rFonts w:hint="eastAsia" w:ascii="仿宋" w:hAnsi="仿宋" w:eastAsia="仿宋" w:cs="仿宋"/>
          <w:b w:val="0"/>
          <w:bCs w:val="0"/>
          <w:color w:val="auto"/>
          <w:sz w:val="32"/>
          <w:szCs w:val="32"/>
          <w:highlight w:val="none"/>
          <w:u w:val="none"/>
          <w:lang w:val="en-US" w:eastAsia="zh-CN"/>
        </w:rPr>
      </w:pPr>
    </w:p>
    <w:p w14:paraId="324B7CC7">
      <w:pPr>
        <w:pStyle w:val="81"/>
        <w:rPr>
          <w:rFonts w:hint="eastAsia" w:ascii="仿宋" w:hAnsi="仿宋" w:eastAsia="仿宋" w:cs="仿宋"/>
          <w:b w:val="0"/>
          <w:bCs w:val="0"/>
          <w:color w:val="auto"/>
          <w:sz w:val="32"/>
          <w:szCs w:val="32"/>
          <w:highlight w:val="none"/>
          <w:u w:val="none"/>
          <w:lang w:val="en-US" w:eastAsia="zh-CN"/>
        </w:rPr>
      </w:pPr>
    </w:p>
    <w:p w14:paraId="2A947E7E">
      <w:pPr>
        <w:wordWrap w:val="0"/>
        <w:ind w:firstLine="640"/>
        <w:jc w:val="right"/>
        <w:rPr>
          <w:rFonts w:hint="default"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 xml:space="preserve">单位名称（盖章）                   </w:t>
      </w:r>
    </w:p>
    <w:p w14:paraId="0FFD0F8D">
      <w:pPr>
        <w:ind w:firstLine="640"/>
        <w:jc w:val="right"/>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年   月   日</w:t>
      </w:r>
    </w:p>
    <w:p w14:paraId="28D5CEEA">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D32225D">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7" w:name="_Toc11223"/>
      <w:bookmarkStart w:id="18" w:name="_Toc54941329"/>
      <w:bookmarkStart w:id="19" w:name="_Toc26069"/>
      <w:r>
        <w:rPr>
          <w:rFonts w:hint="eastAsia" w:ascii="Arial" w:hAnsi="Arial"/>
          <w:color w:val="auto"/>
          <w:kern w:val="2"/>
          <w:sz w:val="32"/>
          <w:szCs w:val="32"/>
          <w:highlight w:val="none"/>
        </w:rPr>
        <w:t>第二章  比选须知</w:t>
      </w:r>
      <w:bookmarkEnd w:id="3"/>
      <w:bookmarkEnd w:id="17"/>
      <w:bookmarkEnd w:id="18"/>
      <w:bookmarkEnd w:id="19"/>
    </w:p>
    <w:p w14:paraId="4F179406">
      <w:pPr>
        <w:pStyle w:val="3"/>
        <w:rPr>
          <w:rFonts w:cs="Tahoma"/>
          <w:bCs/>
          <w:color w:val="auto"/>
          <w:kern w:val="0"/>
          <w:sz w:val="32"/>
          <w:szCs w:val="32"/>
          <w:highlight w:val="none"/>
        </w:rPr>
      </w:pPr>
      <w:bookmarkStart w:id="20" w:name="_Toc17862"/>
      <w:bookmarkStart w:id="21" w:name="_Toc54941330"/>
      <w:bookmarkStart w:id="22" w:name="_Toc439316871"/>
      <w:r>
        <w:rPr>
          <w:rFonts w:hint="eastAsia" w:cs="Tahoma"/>
          <w:bCs/>
          <w:color w:val="auto"/>
          <w:kern w:val="0"/>
          <w:sz w:val="32"/>
          <w:szCs w:val="32"/>
          <w:highlight w:val="none"/>
        </w:rPr>
        <w:t>第一节 参选人须知前附表</w:t>
      </w:r>
      <w:bookmarkEnd w:id="20"/>
      <w:bookmarkEnd w:id="21"/>
      <w:bookmarkEnd w:id="22"/>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25AD4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591DD2">
            <w:pPr>
              <w:keepNext w:val="0"/>
              <w:keepLines w:val="0"/>
              <w:pageBreakBefore w:val="0"/>
              <w:suppressLineNumbers w:val="0"/>
              <w:kinsoku/>
              <w:wordWrap/>
              <w:overflowPunct/>
              <w:topLinePunct w:val="0"/>
              <w:bidi w:val="0"/>
              <w:spacing w:before="0" w:beforeAutospacing="0" w:after="0" w:afterAutospacing="0" w:line="420" w:lineRule="exact"/>
              <w:ind w:left="0" w:right="-358"/>
              <w:textAlignment w:val="auto"/>
              <w:rPr>
                <w:rFonts w:hint="default"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1A66B73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42D55860">
            <w:pPr>
              <w:keepNext w:val="0"/>
              <w:keepLines w:val="0"/>
              <w:pageBreakBefore w:val="0"/>
              <w:suppressLineNumbers w:val="0"/>
              <w:tabs>
                <w:tab w:val="left" w:pos="1180"/>
              </w:tabs>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说明与要求</w:t>
            </w:r>
          </w:p>
        </w:tc>
      </w:tr>
      <w:tr w14:paraId="22AEB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27FE82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1</w:t>
            </w:r>
          </w:p>
        </w:tc>
        <w:tc>
          <w:tcPr>
            <w:tcW w:w="2125" w:type="dxa"/>
            <w:tcBorders>
              <w:top w:val="single" w:color="auto" w:sz="4" w:space="0"/>
              <w:left w:val="single" w:color="auto" w:sz="4" w:space="0"/>
              <w:bottom w:val="single" w:color="auto" w:sz="4" w:space="0"/>
              <w:right w:val="single" w:color="auto" w:sz="4" w:space="0"/>
            </w:tcBorders>
            <w:vAlign w:val="center"/>
          </w:tcPr>
          <w:p w14:paraId="4B61788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b w:val="0"/>
                <w:bCs w:val="0"/>
                <w:color w:val="auto"/>
                <w:sz w:val="21"/>
                <w:szCs w:val="21"/>
                <w:highlight w:val="none"/>
              </w:rPr>
            </w:pPr>
            <w:r>
              <w:rPr>
                <w:rFonts w:hint="eastAsia" w:ascii="宋体" w:hAnsi="宋体"/>
                <w:b w:val="0"/>
                <w:bCs w:val="0"/>
                <w:color w:val="auto"/>
                <w:sz w:val="21"/>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116AEE7">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安通建设集团(2026)皖0811民初5188号案诉讼代理服务（重新采购）</w:t>
            </w:r>
          </w:p>
        </w:tc>
      </w:tr>
      <w:tr w14:paraId="0DAFA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1119068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w:t>
            </w:r>
          </w:p>
        </w:tc>
        <w:tc>
          <w:tcPr>
            <w:tcW w:w="2125" w:type="dxa"/>
            <w:tcBorders>
              <w:top w:val="single" w:color="auto" w:sz="4" w:space="0"/>
              <w:left w:val="single" w:color="auto" w:sz="4" w:space="0"/>
              <w:bottom w:val="single" w:color="auto" w:sz="4" w:space="0"/>
              <w:right w:val="single" w:color="auto" w:sz="4" w:space="0"/>
            </w:tcBorders>
            <w:vAlign w:val="center"/>
          </w:tcPr>
          <w:p w14:paraId="35A02CA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b w:val="0"/>
                <w:bCs w:val="0"/>
                <w:color w:val="auto"/>
                <w:sz w:val="21"/>
                <w:szCs w:val="21"/>
                <w:highlight w:val="none"/>
              </w:rPr>
            </w:pPr>
            <w:r>
              <w:rPr>
                <w:rFonts w:hint="eastAsia" w:ascii="宋体" w:hAnsi="宋体" w:eastAsia="宋体" w:cs="Times New Roman"/>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473DFA8">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ascii="宋体"/>
                <w:b w:val="0"/>
                <w:bCs w:val="0"/>
                <w:caps/>
                <w:smallCaps w:val="0"/>
                <w:color w:val="auto"/>
                <w:spacing w:val="0"/>
                <w:sz w:val="21"/>
                <w:szCs w:val="21"/>
                <w:highlight w:val="none"/>
                <w:lang w:val="en-US" w:eastAsia="zh-CN"/>
              </w:rPr>
            </w:pPr>
            <w:r>
              <w:rPr>
                <w:rFonts w:hint="eastAsia" w:ascii="宋体"/>
                <w:b w:val="0"/>
                <w:bCs w:val="0"/>
                <w:caps/>
                <w:smallCaps w:val="0"/>
                <w:color w:val="auto"/>
                <w:spacing w:val="0"/>
                <w:sz w:val="21"/>
                <w:szCs w:val="21"/>
                <w:highlight w:val="none"/>
                <w:lang w:val="en-US" w:eastAsia="zh-CN"/>
              </w:rPr>
              <w:t>AQJK-CG-2026-075</w:t>
            </w:r>
          </w:p>
        </w:tc>
      </w:tr>
      <w:tr w14:paraId="5E246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D5A74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eastAsia="宋体"/>
                <w:color w:val="auto"/>
                <w:szCs w:val="21"/>
                <w:highlight w:val="none"/>
                <w:lang w:val="en-US" w:eastAsia="zh-CN"/>
              </w:rPr>
            </w:pPr>
            <w:r>
              <w:rPr>
                <w:rFonts w:hint="eastAsia" w:ascii="宋体"/>
                <w:color w:val="auto"/>
                <w:szCs w:val="21"/>
                <w:highlight w:val="none"/>
                <w:lang w:val="en-US" w:eastAsia="zh-CN"/>
              </w:rPr>
              <w:t>3</w:t>
            </w:r>
          </w:p>
        </w:tc>
        <w:tc>
          <w:tcPr>
            <w:tcW w:w="2125" w:type="dxa"/>
            <w:tcBorders>
              <w:top w:val="single" w:color="auto" w:sz="4" w:space="0"/>
              <w:left w:val="single" w:color="auto" w:sz="4" w:space="0"/>
              <w:bottom w:val="single" w:color="auto" w:sz="4" w:space="0"/>
              <w:right w:val="single" w:color="auto" w:sz="4" w:space="0"/>
            </w:tcBorders>
            <w:vAlign w:val="center"/>
          </w:tcPr>
          <w:p w14:paraId="0A11FFD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b w:val="0"/>
                <w:bCs w:val="0"/>
                <w:color w:val="auto"/>
                <w:sz w:val="21"/>
                <w:szCs w:val="21"/>
                <w:highlight w:val="none"/>
                <w:lang w:eastAsia="zh-CN"/>
              </w:rPr>
            </w:pPr>
            <w:r>
              <w:rPr>
                <w:rFonts w:hint="eastAsia" w:ascii="宋体" w:hAnsi="宋体"/>
                <w:b w:val="0"/>
                <w:bCs w:val="0"/>
                <w:color w:val="auto"/>
                <w:sz w:val="21"/>
                <w:szCs w:val="21"/>
                <w:highlight w:val="none"/>
                <w:lang w:eastAsia="zh-CN"/>
              </w:rPr>
              <w:t>采购人</w:t>
            </w:r>
          </w:p>
        </w:tc>
        <w:tc>
          <w:tcPr>
            <w:tcW w:w="6356" w:type="dxa"/>
            <w:tcBorders>
              <w:top w:val="single" w:color="auto" w:sz="4" w:space="0"/>
              <w:left w:val="single" w:color="auto" w:sz="4" w:space="0"/>
              <w:bottom w:val="single" w:color="auto" w:sz="4" w:space="0"/>
            </w:tcBorders>
            <w:vAlign w:val="center"/>
          </w:tcPr>
          <w:p w14:paraId="2EC96699">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eastAsia" w:eastAsia="宋体"/>
                <w:b w:val="0"/>
                <w:bCs w:val="0"/>
                <w:color w:val="auto"/>
                <w:sz w:val="21"/>
                <w:szCs w:val="21"/>
                <w:highlight w:val="none"/>
                <w:lang w:eastAsia="zh-CN"/>
              </w:rPr>
            </w:pPr>
            <w:r>
              <w:rPr>
                <w:rFonts w:hint="eastAsia"/>
                <w:b w:val="0"/>
                <w:bCs w:val="0"/>
                <w:color w:val="auto"/>
                <w:sz w:val="21"/>
                <w:szCs w:val="21"/>
                <w:highlight w:val="none"/>
                <w:lang w:eastAsia="zh-CN"/>
              </w:rPr>
              <w:t>安庆市安通建设集团有限公司</w:t>
            </w:r>
          </w:p>
        </w:tc>
      </w:tr>
      <w:tr w14:paraId="38066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7A631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4</w:t>
            </w:r>
          </w:p>
        </w:tc>
        <w:tc>
          <w:tcPr>
            <w:tcW w:w="2125" w:type="dxa"/>
            <w:tcBorders>
              <w:top w:val="single" w:color="auto" w:sz="4" w:space="0"/>
              <w:left w:val="single" w:color="auto" w:sz="4" w:space="0"/>
              <w:bottom w:val="single" w:color="auto" w:sz="4" w:space="0"/>
              <w:right w:val="single" w:color="auto" w:sz="4" w:space="0"/>
            </w:tcBorders>
            <w:vAlign w:val="center"/>
          </w:tcPr>
          <w:p w14:paraId="4AD2E69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采购管理</w:t>
            </w:r>
            <w:r>
              <w:rPr>
                <w:rFonts w:hint="eastAsia" w:ascii="宋体" w:hAnsi="宋体" w:cs="宋体"/>
                <w:color w:val="auto"/>
                <w:szCs w:val="21"/>
                <w:highlight w:val="none"/>
                <w:lang w:val="en-US" w:eastAsia="zh-CN"/>
              </w:rPr>
              <w:t>部门</w:t>
            </w:r>
          </w:p>
        </w:tc>
        <w:tc>
          <w:tcPr>
            <w:tcW w:w="6356" w:type="dxa"/>
            <w:tcBorders>
              <w:top w:val="single" w:color="auto" w:sz="4" w:space="0"/>
              <w:left w:val="single" w:color="auto" w:sz="4" w:space="0"/>
              <w:bottom w:val="single" w:color="auto" w:sz="4" w:space="0"/>
            </w:tcBorders>
            <w:vAlign w:val="center"/>
          </w:tcPr>
          <w:p w14:paraId="08F2E3D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Times New Roman" w:eastAsia="宋体" w:cs="宋体"/>
                <w:color w:val="auto"/>
                <w:kern w:val="0"/>
                <w:sz w:val="21"/>
                <w:szCs w:val="21"/>
                <w:highlight w:val="none"/>
                <w:lang w:val="en-US" w:eastAsia="zh-CN" w:bidi="ar-SA"/>
              </w:rPr>
            </w:pPr>
            <w:r>
              <w:rPr>
                <w:rFonts w:hint="eastAsia" w:cs="Times New Roman"/>
                <w:color w:val="auto"/>
                <w:szCs w:val="21"/>
                <w:highlight w:val="none"/>
                <w:lang w:val="en-US" w:eastAsia="zh-CN"/>
              </w:rPr>
              <w:t>安庆市交通控股集团有限公司集采中心</w:t>
            </w:r>
          </w:p>
        </w:tc>
      </w:tr>
      <w:tr w14:paraId="6BF06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91087A0">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5</w:t>
            </w:r>
          </w:p>
        </w:tc>
        <w:tc>
          <w:tcPr>
            <w:tcW w:w="2125" w:type="dxa"/>
            <w:tcBorders>
              <w:top w:val="single" w:color="auto" w:sz="4" w:space="0"/>
              <w:left w:val="single" w:color="auto" w:sz="4" w:space="0"/>
              <w:bottom w:val="single" w:color="auto" w:sz="4" w:space="0"/>
              <w:right w:val="single" w:color="auto" w:sz="4" w:space="0"/>
            </w:tcBorders>
            <w:vAlign w:val="center"/>
          </w:tcPr>
          <w:p w14:paraId="15ED8534">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030592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自筹</w:t>
            </w:r>
          </w:p>
        </w:tc>
      </w:tr>
      <w:tr w14:paraId="6A045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5C619CE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6</w:t>
            </w:r>
          </w:p>
        </w:tc>
        <w:tc>
          <w:tcPr>
            <w:tcW w:w="2125" w:type="dxa"/>
            <w:tcBorders>
              <w:top w:val="single" w:color="auto" w:sz="4" w:space="0"/>
              <w:left w:val="single" w:color="auto" w:sz="4" w:space="0"/>
              <w:right w:val="single" w:color="auto" w:sz="4" w:space="0"/>
            </w:tcBorders>
            <w:vAlign w:val="center"/>
          </w:tcPr>
          <w:p w14:paraId="637C96A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最高投标限价</w:t>
            </w:r>
          </w:p>
        </w:tc>
        <w:tc>
          <w:tcPr>
            <w:tcW w:w="6356" w:type="dxa"/>
            <w:tcBorders>
              <w:top w:val="single" w:color="auto" w:sz="4" w:space="0"/>
              <w:left w:val="single" w:color="auto" w:sz="4" w:space="0"/>
              <w:bottom w:val="single" w:color="auto" w:sz="4" w:space="0"/>
            </w:tcBorders>
            <w:vAlign w:val="center"/>
          </w:tcPr>
          <w:p w14:paraId="2FB81315">
            <w:pPr>
              <w:keepNext w:val="0"/>
              <w:keepLines w:val="0"/>
              <w:pageBreakBefore w:val="0"/>
              <w:numPr>
                <w:ilvl w:val="0"/>
                <w:numId w:val="0"/>
              </w:numPr>
              <w:suppressLineNumbers w:val="0"/>
              <w:kinsoku/>
              <w:wordWrap/>
              <w:overflowPunct/>
              <w:topLinePunct w:val="0"/>
              <w:bidi w:val="0"/>
              <w:spacing w:before="0" w:beforeAutospacing="0" w:after="0" w:afterAutospacing="0" w:line="420" w:lineRule="exact"/>
              <w:ind w:left="0" w:right="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11747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8BD70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7</w:t>
            </w:r>
          </w:p>
        </w:tc>
        <w:tc>
          <w:tcPr>
            <w:tcW w:w="2125" w:type="dxa"/>
            <w:tcBorders>
              <w:top w:val="single" w:color="auto" w:sz="4" w:space="0"/>
              <w:left w:val="single" w:color="auto" w:sz="4" w:space="0"/>
              <w:bottom w:val="single" w:color="auto" w:sz="4" w:space="0"/>
              <w:right w:val="single" w:color="auto" w:sz="4" w:space="0"/>
            </w:tcBorders>
            <w:vAlign w:val="center"/>
          </w:tcPr>
          <w:p w14:paraId="3B9D9AA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资格条件</w:t>
            </w:r>
          </w:p>
        </w:tc>
        <w:tc>
          <w:tcPr>
            <w:tcW w:w="6356" w:type="dxa"/>
            <w:tcBorders>
              <w:top w:val="single" w:color="auto" w:sz="4" w:space="0"/>
              <w:left w:val="single" w:color="auto" w:sz="4" w:space="0"/>
              <w:bottom w:val="single" w:color="auto" w:sz="4" w:space="0"/>
            </w:tcBorders>
            <w:vAlign w:val="center"/>
          </w:tcPr>
          <w:p w14:paraId="7DBF2BA3">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color w:val="auto"/>
                <w:szCs w:val="21"/>
                <w:highlight w:val="none"/>
                <w:lang w:val="en-US" w:eastAsia="zh-CN"/>
              </w:rPr>
            </w:pPr>
            <w:r>
              <w:rPr>
                <w:rFonts w:hint="eastAsia"/>
                <w:color w:val="auto"/>
                <w:szCs w:val="21"/>
                <w:highlight w:val="none"/>
                <w:lang w:val="en-US" w:eastAsia="zh-CN"/>
              </w:rPr>
              <w:t>1.具有合法有效的营业执照。</w:t>
            </w:r>
          </w:p>
          <w:p w14:paraId="0570D9DC">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2.本项目不接受联合体。</w:t>
            </w:r>
          </w:p>
        </w:tc>
      </w:tr>
      <w:tr w14:paraId="3A8B1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F5ACED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8</w:t>
            </w:r>
          </w:p>
        </w:tc>
        <w:tc>
          <w:tcPr>
            <w:tcW w:w="2125" w:type="dxa"/>
            <w:tcBorders>
              <w:top w:val="single" w:color="auto" w:sz="4" w:space="0"/>
              <w:left w:val="single" w:color="auto" w:sz="4" w:space="0"/>
              <w:bottom w:val="single" w:color="auto" w:sz="4" w:space="0"/>
              <w:right w:val="single" w:color="auto" w:sz="4" w:space="0"/>
            </w:tcBorders>
            <w:vAlign w:val="center"/>
          </w:tcPr>
          <w:p w14:paraId="52205EC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24DBBFF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eastAsia="宋体"/>
                <w:color w:val="auto"/>
                <w:szCs w:val="21"/>
                <w:highlight w:val="none"/>
                <w:lang w:eastAsia="zh-CN"/>
              </w:rPr>
            </w:pPr>
            <w:r>
              <w:rPr>
                <w:rFonts w:hint="eastAsia" w:ascii="宋体"/>
                <w:color w:val="auto"/>
                <w:szCs w:val="21"/>
                <w:highlight w:val="none"/>
              </w:rPr>
              <w:t>资格后审</w:t>
            </w:r>
          </w:p>
        </w:tc>
      </w:tr>
      <w:tr w14:paraId="74E74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55217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9</w:t>
            </w:r>
          </w:p>
        </w:tc>
        <w:tc>
          <w:tcPr>
            <w:tcW w:w="2125" w:type="dxa"/>
            <w:tcBorders>
              <w:top w:val="single" w:color="auto" w:sz="4" w:space="0"/>
              <w:left w:val="single" w:color="auto" w:sz="4" w:space="0"/>
              <w:bottom w:val="single" w:color="auto" w:sz="4" w:space="0"/>
              <w:right w:val="single" w:color="auto" w:sz="4" w:space="0"/>
            </w:tcBorders>
            <w:vAlign w:val="center"/>
          </w:tcPr>
          <w:p w14:paraId="297130E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F6E6A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ascii="宋体"/>
                <w:color w:val="auto"/>
                <w:szCs w:val="21"/>
                <w:highlight w:val="none"/>
              </w:rPr>
            </w:pPr>
            <w:r>
              <w:rPr>
                <w:rFonts w:hint="eastAsia" w:ascii="宋体" w:hAnsi="宋体"/>
                <w:color w:val="auto"/>
                <w:szCs w:val="21"/>
                <w:highlight w:val="none"/>
              </w:rPr>
              <w:t>比选招标</w:t>
            </w:r>
          </w:p>
        </w:tc>
      </w:tr>
      <w:tr w14:paraId="51D6B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7479D9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653A40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有效期</w:t>
            </w:r>
          </w:p>
        </w:tc>
        <w:tc>
          <w:tcPr>
            <w:tcW w:w="6356" w:type="dxa"/>
            <w:tcBorders>
              <w:top w:val="single" w:color="auto" w:sz="4" w:space="0"/>
              <w:left w:val="single" w:color="auto" w:sz="4" w:space="0"/>
              <w:bottom w:val="single" w:color="auto" w:sz="4" w:space="0"/>
            </w:tcBorders>
            <w:vAlign w:val="center"/>
          </w:tcPr>
          <w:p w14:paraId="1062F443">
            <w:pPr>
              <w:keepNext w:val="0"/>
              <w:keepLines w:val="0"/>
              <w:pageBreakBefore w:val="0"/>
              <w:suppressLineNumbers w:val="0"/>
              <w:kinsoku/>
              <w:wordWrap/>
              <w:overflowPunct/>
              <w:topLinePunct w:val="0"/>
              <w:bidi w:val="0"/>
              <w:spacing w:before="0" w:beforeAutospacing="0" w:after="0" w:afterAutospacing="0" w:line="420" w:lineRule="exact"/>
              <w:ind w:left="-2" w:leftChars="-1" w:right="0" w:firstLine="2"/>
              <w:textAlignment w:val="auto"/>
              <w:rPr>
                <w:rFonts w:hint="default" w:ascii="宋体"/>
                <w:color w:val="auto"/>
                <w:szCs w:val="21"/>
                <w:highlight w:val="none"/>
              </w:rPr>
            </w:pPr>
            <w:r>
              <w:rPr>
                <w:rFonts w:hint="eastAsia" w:ascii="宋体" w:hAnsi="宋体"/>
                <w:color w:val="auto"/>
                <w:szCs w:val="21"/>
                <w:highlight w:val="none"/>
                <w:u w:val="single"/>
                <w:lang w:val="en-US" w:eastAsia="zh-CN"/>
              </w:rPr>
              <w:t>9</w:t>
            </w:r>
            <w:r>
              <w:rPr>
                <w:rFonts w:hint="default" w:ascii="宋体" w:hAnsi="宋体"/>
                <w:color w:val="auto"/>
                <w:szCs w:val="21"/>
                <w:highlight w:val="none"/>
                <w:u w:val="single"/>
              </w:rPr>
              <w:t>0日历天</w:t>
            </w:r>
            <w:r>
              <w:rPr>
                <w:rFonts w:hint="eastAsia" w:ascii="宋体" w:hAnsi="宋体"/>
                <w:color w:val="auto"/>
                <w:szCs w:val="21"/>
                <w:highlight w:val="none"/>
                <w:u w:val="single"/>
              </w:rPr>
              <w:t>（从</w:t>
            </w:r>
            <w:r>
              <w:rPr>
                <w:rFonts w:hint="eastAsia" w:ascii="宋体" w:hAnsi="宋体"/>
                <w:color w:val="auto"/>
                <w:szCs w:val="21"/>
                <w:highlight w:val="none"/>
                <w:u w:val="single"/>
                <w:lang w:eastAsia="zh-CN"/>
              </w:rPr>
              <w:t>参选文件递交</w:t>
            </w:r>
            <w:r>
              <w:rPr>
                <w:rFonts w:hint="eastAsia" w:ascii="宋体" w:hAnsi="宋体"/>
                <w:color w:val="auto"/>
                <w:szCs w:val="21"/>
                <w:highlight w:val="none"/>
                <w:u w:val="single"/>
              </w:rPr>
              <w:t>截止时间算起）</w:t>
            </w:r>
          </w:p>
        </w:tc>
      </w:tr>
      <w:tr w14:paraId="7C45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EE111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11</w:t>
            </w:r>
          </w:p>
        </w:tc>
        <w:tc>
          <w:tcPr>
            <w:tcW w:w="2125" w:type="dxa"/>
            <w:tcBorders>
              <w:top w:val="single" w:color="auto" w:sz="4" w:space="0"/>
              <w:left w:val="single" w:color="auto" w:sz="4" w:space="0"/>
              <w:bottom w:val="single" w:color="auto" w:sz="4" w:space="0"/>
              <w:right w:val="single" w:color="auto" w:sz="4" w:space="0"/>
            </w:tcBorders>
            <w:vAlign w:val="center"/>
          </w:tcPr>
          <w:p w14:paraId="66DC060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保证金</w:t>
            </w:r>
          </w:p>
        </w:tc>
        <w:tc>
          <w:tcPr>
            <w:tcW w:w="6356" w:type="dxa"/>
            <w:tcBorders>
              <w:top w:val="single" w:color="auto" w:sz="4" w:space="0"/>
              <w:left w:val="single" w:color="auto" w:sz="4" w:space="0"/>
              <w:bottom w:val="single" w:color="auto" w:sz="4" w:space="0"/>
            </w:tcBorders>
            <w:vAlign w:val="center"/>
          </w:tcPr>
          <w:p w14:paraId="4BF023C5">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0"/>
                <w:highlight w:val="none"/>
                <w:lang w:val="en-US" w:eastAsia="zh-CN"/>
              </w:rPr>
            </w:pPr>
            <w:r>
              <w:rPr>
                <w:rFonts w:hint="eastAsia"/>
                <w:color w:val="auto"/>
                <w:szCs w:val="20"/>
                <w:highlight w:val="none"/>
                <w:lang w:val="en-US" w:eastAsia="zh-CN"/>
              </w:rPr>
              <w:t>本项目不收取</w:t>
            </w:r>
          </w:p>
        </w:tc>
      </w:tr>
      <w:tr w14:paraId="7EACE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EC8800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67B51F0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s="宋体"/>
                <w:color w:val="auto"/>
                <w:szCs w:val="21"/>
                <w:highlight w:val="none"/>
                <w:lang w:eastAsia="zh-CN"/>
              </w:rPr>
              <w:t>递交</w:t>
            </w:r>
            <w:r>
              <w:rPr>
                <w:rFonts w:hint="eastAsia" w:ascii="宋体" w:hAnsi="宋体" w:cs="宋体"/>
                <w:color w:val="auto"/>
                <w:szCs w:val="21"/>
                <w:highlight w:val="none"/>
                <w:lang w:val="en-US" w:eastAsia="zh-CN"/>
              </w:rPr>
              <w:t>参选文件</w:t>
            </w:r>
          </w:p>
        </w:tc>
        <w:tc>
          <w:tcPr>
            <w:tcW w:w="6356" w:type="dxa"/>
            <w:tcBorders>
              <w:top w:val="single" w:color="auto" w:sz="4" w:space="0"/>
              <w:left w:val="single" w:color="auto" w:sz="4" w:space="0"/>
              <w:bottom w:val="single" w:color="auto" w:sz="4" w:space="0"/>
            </w:tcBorders>
            <w:vAlign w:val="center"/>
          </w:tcPr>
          <w:p w14:paraId="3E732722">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1.参选文件份数：壹份正本，贰份副本；</w:t>
            </w:r>
          </w:p>
          <w:p w14:paraId="72305ABA">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2.参选人应将参选文件的正本和副本同时装于一个袋内。包装密封，并于密封袋上加盖单位公章。密封袋上须写明：项目名称、供应商名称、项目编号。</w:t>
            </w:r>
          </w:p>
          <w:p w14:paraId="6650E3AA">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3</w:t>
            </w:r>
            <w:r>
              <w:rPr>
                <w:rFonts w:hint="eastAsia" w:ascii="宋体" w:hAnsi="宋体" w:eastAsia="宋体" w:cs="宋体"/>
                <w:b/>
                <w:bCs/>
                <w:color w:val="auto"/>
                <w:sz w:val="21"/>
                <w:szCs w:val="21"/>
                <w:highlight w:val="none"/>
                <w:u w:val="none"/>
                <w:lang w:val="en-US" w:eastAsia="zh-CN"/>
              </w:rPr>
              <w:t>.参选文件正本和副本均需胶装成册并标明页码，不得采用活页或容易拆解的装订形式。</w:t>
            </w:r>
          </w:p>
          <w:p w14:paraId="123E4BC5">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4.参选文件封面的需清楚地注明“正本”或“副本”。</w:t>
            </w:r>
          </w:p>
          <w:p w14:paraId="2674B5D0">
            <w:pPr>
              <w:pStyle w:val="22"/>
              <w:keepNext w:val="0"/>
              <w:keepLines w:val="0"/>
              <w:widowControl/>
              <w:numPr>
                <w:ilvl w:val="0"/>
                <w:numId w:val="0"/>
              </w:numPr>
              <w:suppressLineNumbers w:val="0"/>
              <w:spacing w:before="0" w:beforeAutospacing="0" w:after="0" w:afterAutospacing="0" w:line="420" w:lineRule="exact"/>
              <w:ind w:left="0" w:right="0"/>
              <w:jc w:val="both"/>
              <w:rPr>
                <w:rFonts w:hint="default" w:ascii="宋体" w:hAnsi="宋体" w:eastAsia="宋体" w:cs="宋体"/>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5.参选人须在递交参选文件截止时间前，到达比选地点现场递交参选文件。</w:t>
            </w:r>
          </w:p>
        </w:tc>
      </w:tr>
      <w:tr w14:paraId="561A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27FB0B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40835B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7F80010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20" w:lineRule="exact"/>
              <w:ind w:left="0" w:right="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安庆市交通控股集团有限公司</w:t>
            </w:r>
            <w:r>
              <w:rPr>
                <w:rFonts w:hint="eastAsia" w:cs="Times New Roman"/>
                <w:color w:val="auto"/>
                <w:szCs w:val="21"/>
                <w:highlight w:val="none"/>
                <w:lang w:val="en-US" w:eastAsia="zh-CN"/>
              </w:rPr>
              <w:t>集采平台</w:t>
            </w:r>
            <w:r>
              <w:rPr>
                <w:rFonts w:hint="eastAsia" w:ascii="Times New Roman" w:hAnsi="Times New Roman" w:eastAsia="宋体" w:cs="Times New Roman"/>
                <w:color w:val="auto"/>
                <w:szCs w:val="21"/>
                <w:highlight w:val="none"/>
                <w:lang w:val="en-US" w:eastAsia="zh-CN"/>
              </w:rPr>
              <w:t>（http：//jc.zh0556.com/）</w:t>
            </w:r>
            <w:r>
              <w:rPr>
                <w:rFonts w:hint="eastAsia" w:ascii="宋体" w:hAnsi="宋体" w:eastAsia="宋体" w:cs="宋体"/>
                <w:color w:val="auto"/>
                <w:sz w:val="21"/>
                <w:szCs w:val="21"/>
                <w:highlight w:val="none"/>
                <w:lang w:val="en-US" w:eastAsia="zh-CN"/>
              </w:rPr>
              <w:t>发布。</w:t>
            </w:r>
          </w:p>
        </w:tc>
      </w:tr>
      <w:tr w14:paraId="7DA3F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1E4B2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59DBC0E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参选截止</w:t>
            </w:r>
            <w:r>
              <w:rPr>
                <w:rFonts w:hint="eastAsia" w:ascii="宋体" w:hAnsi="宋体"/>
                <w:color w:val="auto"/>
                <w:szCs w:val="21"/>
                <w:highlight w:val="none"/>
              </w:rPr>
              <w:t>时间和地点</w:t>
            </w:r>
          </w:p>
        </w:tc>
        <w:tc>
          <w:tcPr>
            <w:tcW w:w="6356" w:type="dxa"/>
            <w:tcBorders>
              <w:top w:val="single" w:color="auto" w:sz="4" w:space="0"/>
              <w:left w:val="single" w:color="auto" w:sz="4" w:space="0"/>
              <w:bottom w:val="single" w:color="auto" w:sz="4" w:space="0"/>
            </w:tcBorders>
            <w:vAlign w:val="center"/>
          </w:tcPr>
          <w:p w14:paraId="58A9FC49">
            <w:pPr>
              <w:keepNext w:val="0"/>
              <w:keepLines w:val="0"/>
              <w:suppressLineNumbers w:val="0"/>
              <w:spacing w:before="0" w:beforeAutospacing="0" w:after="0" w:afterAutospacing="0" w:line="420" w:lineRule="exact"/>
              <w:ind w:left="0" w:right="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北京时间:</w:t>
            </w:r>
            <w:r>
              <w:rPr>
                <w:rFonts w:hint="eastAsia" w:ascii="宋体" w:hAnsi="宋体" w:cs="宋体"/>
                <w:b w:val="0"/>
                <w:bCs w:val="0"/>
                <w:color w:val="auto"/>
                <w:szCs w:val="21"/>
                <w:highlight w:val="none"/>
                <w:lang w:val="en-US" w:eastAsia="zh-CN"/>
              </w:rPr>
              <w:t>2026</w:t>
            </w:r>
            <w:r>
              <w:rPr>
                <w:rFonts w:hint="eastAsia" w:ascii="宋体" w:hAnsi="宋体" w:cs="宋体"/>
                <w:b w:val="0"/>
                <w:bCs w:val="0"/>
                <w:color w:val="auto"/>
                <w:szCs w:val="21"/>
                <w:highlight w:val="none"/>
              </w:rPr>
              <w:t>年</w:t>
            </w:r>
            <w:r>
              <w:rPr>
                <w:rFonts w:hint="eastAsia" w:ascii="宋体" w:hAnsi="宋体" w:cs="宋体"/>
                <w:b w:val="0"/>
                <w:bCs w:val="0"/>
                <w:color w:val="auto"/>
                <w:szCs w:val="21"/>
                <w:highlight w:val="none"/>
                <w:lang w:val="en-US" w:eastAsia="zh-CN"/>
              </w:rPr>
              <w:t>8</w:t>
            </w:r>
            <w:r>
              <w:rPr>
                <w:rFonts w:hint="eastAsia" w:ascii="宋体" w:hAnsi="宋体" w:cs="宋体"/>
                <w:b w:val="0"/>
                <w:bCs w:val="0"/>
                <w:color w:val="auto"/>
                <w:szCs w:val="21"/>
                <w:highlight w:val="none"/>
              </w:rPr>
              <w:t>月</w:t>
            </w:r>
            <w:r>
              <w:rPr>
                <w:rFonts w:hint="eastAsia" w:ascii="宋体" w:hAnsi="宋体" w:cs="宋体"/>
                <w:b w:val="0"/>
                <w:bCs w:val="0"/>
                <w:color w:val="auto"/>
                <w:szCs w:val="21"/>
                <w:highlight w:val="none"/>
                <w:lang w:val="en-US" w:eastAsia="zh-CN"/>
              </w:rPr>
              <w:t>10</w:t>
            </w:r>
            <w:r>
              <w:rPr>
                <w:rFonts w:hint="eastAsia" w:ascii="宋体" w:hAnsi="宋体" w:cs="宋体"/>
                <w:b w:val="0"/>
                <w:bCs w:val="0"/>
                <w:color w:val="auto"/>
                <w:szCs w:val="21"/>
                <w:highlight w:val="none"/>
              </w:rPr>
              <w:t>日</w:t>
            </w:r>
            <w:r>
              <w:rPr>
                <w:rFonts w:hint="eastAsia" w:ascii="宋体" w:hAnsi="宋体" w:cs="宋体"/>
                <w:b w:val="0"/>
                <w:bCs w:val="0"/>
                <w:color w:val="auto"/>
                <w:szCs w:val="21"/>
                <w:highlight w:val="none"/>
                <w:lang w:val="en-US" w:eastAsia="zh-CN"/>
              </w:rPr>
              <w:t>15</w:t>
            </w:r>
            <w:r>
              <w:rPr>
                <w:rFonts w:hint="eastAsia" w:ascii="宋体" w:hAnsi="宋体" w:cs="宋体"/>
                <w:b w:val="0"/>
                <w:bCs w:val="0"/>
                <w:color w:val="auto"/>
                <w:szCs w:val="21"/>
                <w:highlight w:val="none"/>
              </w:rPr>
              <w:t>时</w:t>
            </w:r>
            <w:r>
              <w:rPr>
                <w:rFonts w:hint="eastAsia" w:ascii="宋体" w:hAnsi="宋体" w:cs="宋体"/>
                <w:b w:val="0"/>
                <w:bCs w:val="0"/>
                <w:color w:val="auto"/>
                <w:szCs w:val="21"/>
                <w:highlight w:val="none"/>
                <w:lang w:val="en-US" w:eastAsia="zh-CN"/>
              </w:rPr>
              <w:t>30</w:t>
            </w:r>
            <w:r>
              <w:rPr>
                <w:rFonts w:hint="eastAsia" w:ascii="宋体" w:hAnsi="宋体" w:cs="宋体"/>
                <w:b w:val="0"/>
                <w:bCs w:val="0"/>
                <w:color w:val="auto"/>
                <w:szCs w:val="21"/>
                <w:highlight w:val="none"/>
              </w:rPr>
              <w:t>分</w:t>
            </w:r>
          </w:p>
          <w:p w14:paraId="224C4887">
            <w:pPr>
              <w:keepNext w:val="0"/>
              <w:keepLines w:val="0"/>
              <w:suppressLineNumbers w:val="0"/>
              <w:spacing w:before="0" w:beforeAutospacing="0" w:after="0" w:afterAutospacing="0" w:line="420" w:lineRule="exact"/>
              <w:ind w:left="0" w:right="0"/>
              <w:rPr>
                <w:rFonts w:hint="default" w:ascii="宋体" w:hAnsi="宋体" w:eastAsia="宋体" w:cs="宋体"/>
                <w:color w:val="auto"/>
                <w:sz w:val="21"/>
                <w:szCs w:val="21"/>
                <w:highlight w:val="none"/>
                <w:lang w:val="en-US" w:eastAsia="zh-CN"/>
              </w:rPr>
            </w:pPr>
            <w:r>
              <w:rPr>
                <w:rFonts w:hint="eastAsia" w:ascii="宋体" w:hAnsi="宋体" w:cs="宋体"/>
                <w:b w:val="0"/>
                <w:bCs w:val="0"/>
                <w:color w:val="auto"/>
                <w:szCs w:val="21"/>
                <w:highlight w:val="none"/>
              </w:rPr>
              <w:t>地点:安庆市大观区集贤南路52号二楼集采中心开标室</w:t>
            </w:r>
          </w:p>
        </w:tc>
      </w:tr>
      <w:tr w14:paraId="6CA16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04501A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12AD85F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7DB9DD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color w:val="auto"/>
                <w:szCs w:val="21"/>
                <w:highlight w:val="none"/>
                <w:lang w:eastAsia="zh-CN"/>
              </w:rPr>
              <w:t>最低评标价法</w:t>
            </w:r>
          </w:p>
        </w:tc>
      </w:tr>
      <w:tr w14:paraId="60EBB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8875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395893C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0ECF2FB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是否要求投标人递交履约保证金：</w:t>
            </w:r>
          </w:p>
          <w:p w14:paraId="0269AE3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☑不要求</w:t>
            </w:r>
          </w:p>
          <w:p w14:paraId="31A9300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要求，具体如下：</w:t>
            </w:r>
          </w:p>
          <w:p w14:paraId="451634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（1）比例：中标合同金额的 2 ％。</w:t>
            </w:r>
          </w:p>
          <w:p w14:paraId="2C50FE81">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（2）履约保证金形式：</w:t>
            </w:r>
          </w:p>
          <w:p w14:paraId="2DB6691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银行转账</w:t>
            </w:r>
          </w:p>
          <w:p w14:paraId="34ADE4A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银行电汇</w:t>
            </w:r>
          </w:p>
          <w:p w14:paraId="696E27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银行保函</w:t>
            </w:r>
          </w:p>
          <w:p w14:paraId="12E4DDA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担保机构担保</w:t>
            </w:r>
          </w:p>
          <w:p w14:paraId="7229BCA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保证保险</w:t>
            </w:r>
          </w:p>
          <w:p w14:paraId="4DA7434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（3）具体要求：</w:t>
            </w:r>
          </w:p>
          <w:p w14:paraId="0FEAF8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①采用银行保函的，应为不可撤销、不可转让的见索即付独立保函。</w:t>
            </w:r>
          </w:p>
          <w:p w14:paraId="44FA5A3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②采用担保机构担保的，应为依法取得融资担保业务经营许可证的融资担保机构出具的不可撤销、不可转让的见索即付独立保函。</w:t>
            </w:r>
          </w:p>
          <w:p w14:paraId="5A7087D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③采用保证保险的，应为保险公司出具的不可撤销、不可转让的见索即付保证保险。</w:t>
            </w:r>
          </w:p>
          <w:p w14:paraId="357E067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（4）本招标项目是否减免履约保证金：</w:t>
            </w:r>
          </w:p>
          <w:p w14:paraId="2205B9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不减免</w:t>
            </w:r>
          </w:p>
          <w:p w14:paraId="469F707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减免，适用减免履约保证金的情形：</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w:t>
            </w:r>
          </w:p>
          <w:p w14:paraId="166E3F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（5）其他要求：</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cs="宋体"/>
                <w:color w:val="auto"/>
                <w:sz w:val="21"/>
                <w:szCs w:val="21"/>
                <w:highlight w:val="none"/>
                <w:u w:val="none"/>
                <w:lang w:val="en-US" w:eastAsia="zh-CN"/>
              </w:rPr>
              <w:t>。</w:t>
            </w:r>
          </w:p>
        </w:tc>
      </w:tr>
      <w:tr w14:paraId="3FC87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545BD9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top"/>
          </w:tcPr>
          <w:p w14:paraId="20FA3D6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szCs w:val="21"/>
                <w:highlight w:val="none"/>
                <w:lang w:val="en-US" w:eastAsia="zh-CN"/>
              </w:rPr>
              <w:t>专家评审费（元）</w:t>
            </w:r>
          </w:p>
        </w:tc>
        <w:tc>
          <w:tcPr>
            <w:tcW w:w="6356" w:type="dxa"/>
            <w:tcBorders>
              <w:top w:val="single" w:color="auto" w:sz="4" w:space="0"/>
              <w:left w:val="single" w:color="auto" w:sz="4" w:space="0"/>
              <w:bottom w:val="single" w:color="auto" w:sz="4" w:space="0"/>
            </w:tcBorders>
            <w:vAlign w:val="center"/>
          </w:tcPr>
          <w:p w14:paraId="177C30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Times New Roman"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szCs w:val="21"/>
                <w:highlight w:val="none"/>
                <w:lang w:val="en-US" w:eastAsia="zh-CN"/>
              </w:rPr>
              <w:t>由成交人承担</w:t>
            </w:r>
          </w:p>
        </w:tc>
      </w:tr>
      <w:tr w14:paraId="7C0EE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2D8EC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EBD4E1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3F0E5C22">
            <w:pPr>
              <w:keepNext w:val="0"/>
              <w:keepLines w:val="0"/>
              <w:suppressLineNumbers w:val="0"/>
              <w:spacing w:before="0" w:beforeAutospacing="0" w:after="0" w:afterAutospacing="0" w:line="360" w:lineRule="auto"/>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详见比选公告。</w:t>
            </w:r>
          </w:p>
        </w:tc>
      </w:tr>
      <w:tr w14:paraId="7B297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91D85C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2BA55E6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报价要求</w:t>
            </w:r>
          </w:p>
        </w:tc>
        <w:tc>
          <w:tcPr>
            <w:tcW w:w="6356" w:type="dxa"/>
            <w:tcBorders>
              <w:top w:val="single" w:color="auto" w:sz="4" w:space="0"/>
              <w:left w:val="single" w:color="auto" w:sz="4" w:space="0"/>
              <w:bottom w:val="single" w:color="auto" w:sz="4" w:space="0"/>
            </w:tcBorders>
            <w:vAlign w:val="center"/>
          </w:tcPr>
          <w:p w14:paraId="415F2D0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1、报价应含参选人完成本项目所有工作内容。</w:t>
            </w:r>
          </w:p>
          <w:p w14:paraId="350A07B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2、为完成本比选文件规定的义务，参选人认为有必要计入的其它费用。</w:t>
            </w:r>
          </w:p>
        </w:tc>
      </w:tr>
      <w:tr w14:paraId="21F80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42BBFF4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20</w:t>
            </w:r>
          </w:p>
        </w:tc>
        <w:tc>
          <w:tcPr>
            <w:tcW w:w="2125" w:type="dxa"/>
            <w:tcBorders>
              <w:top w:val="single" w:color="auto" w:sz="4" w:space="0"/>
              <w:left w:val="single" w:color="auto" w:sz="4" w:space="0"/>
              <w:bottom w:val="single" w:color="auto" w:sz="4" w:space="0"/>
              <w:right w:val="single" w:color="auto" w:sz="4" w:space="0"/>
            </w:tcBorders>
            <w:vAlign w:val="center"/>
          </w:tcPr>
          <w:p w14:paraId="0E83A7C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73CB534D">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本比选文件的解释权归</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w:t>
            </w:r>
          </w:p>
          <w:p w14:paraId="69E27864">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成交人</w:t>
            </w:r>
            <w:r>
              <w:rPr>
                <w:rFonts w:hint="eastAsia" w:ascii="宋体" w:hAnsi="宋体" w:eastAsia="宋体" w:cs="宋体"/>
                <w:color w:val="auto"/>
                <w:sz w:val="21"/>
                <w:szCs w:val="21"/>
                <w:highlight w:val="none"/>
                <w:lang w:val="en-US" w:eastAsia="zh-CN"/>
              </w:rPr>
              <w:t>必须具有</w:t>
            </w:r>
            <w:r>
              <w:rPr>
                <w:rFonts w:hint="eastAsia" w:ascii="宋体" w:hAnsi="宋体" w:eastAsia="宋体" w:cs="宋体"/>
                <w:color w:val="auto"/>
                <w:sz w:val="21"/>
                <w:szCs w:val="21"/>
                <w:highlight w:val="none"/>
              </w:rPr>
              <w:t>相应资质，</w:t>
            </w:r>
            <w:r>
              <w:rPr>
                <w:rFonts w:hint="eastAsia" w:ascii="宋体" w:hAnsi="宋体" w:eastAsia="宋体" w:cs="宋体"/>
                <w:color w:val="auto"/>
                <w:sz w:val="21"/>
                <w:szCs w:val="21"/>
                <w:highlight w:val="none"/>
                <w:lang w:val="en-US" w:eastAsia="zh-CN"/>
              </w:rPr>
              <w:t>不得委托或分包</w:t>
            </w:r>
            <w:r>
              <w:rPr>
                <w:rFonts w:hint="eastAsia" w:ascii="宋体" w:hAnsi="宋体" w:eastAsia="宋体" w:cs="宋体"/>
                <w:color w:val="auto"/>
                <w:sz w:val="21"/>
                <w:szCs w:val="21"/>
                <w:highlight w:val="none"/>
              </w:rPr>
              <w:t>。</w:t>
            </w:r>
          </w:p>
          <w:p w14:paraId="2A2009EE">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Times New Roman" w:hAnsi="Times New Roman" w:eastAsia="宋体" w:cs="Times New Roman"/>
                <w:color w:val="auto"/>
                <w:kern w:val="2"/>
                <w:sz w:val="21"/>
                <w:szCs w:val="20"/>
                <w:highlight w:val="none"/>
                <w:lang w:val="en-US" w:eastAsia="zh-CN" w:bidi="ar-SA"/>
              </w:rPr>
              <w:t>本次采购管理部门为</w:t>
            </w:r>
            <w:r>
              <w:rPr>
                <w:rFonts w:hint="eastAsia" w:cs="Times New Roman"/>
                <w:color w:val="auto"/>
                <w:kern w:val="2"/>
                <w:sz w:val="21"/>
                <w:szCs w:val="20"/>
                <w:highlight w:val="none"/>
                <w:lang w:val="en-US" w:eastAsia="zh-CN" w:bidi="ar-SA"/>
              </w:rPr>
              <w:t>安庆市交通控股集团有限公司集采中心</w:t>
            </w:r>
            <w:r>
              <w:rPr>
                <w:rFonts w:hint="eastAsia" w:ascii="Times New Roman" w:hAnsi="Times New Roman" w:eastAsia="宋体" w:cs="Times New Roman"/>
                <w:color w:val="auto"/>
                <w:kern w:val="2"/>
                <w:sz w:val="21"/>
                <w:szCs w:val="20"/>
                <w:highlight w:val="none"/>
                <w:lang w:val="en-US" w:eastAsia="zh-CN" w:bidi="ar-SA"/>
              </w:rPr>
              <w:t>，</w:t>
            </w:r>
            <w:r>
              <w:rPr>
                <w:rFonts w:hint="eastAsia" w:ascii="宋体" w:hAnsi="宋体" w:cs="宋体"/>
                <w:color w:val="auto"/>
                <w:sz w:val="21"/>
                <w:szCs w:val="21"/>
                <w:highlight w:val="none"/>
                <w:lang w:val="en-US" w:eastAsia="zh-CN"/>
              </w:rPr>
              <w:t>具体合同签订</w:t>
            </w:r>
            <w:r>
              <w:rPr>
                <w:rFonts w:hint="eastAsia" w:ascii="宋体" w:hAnsi="宋体" w:eastAsia="宋体" w:cs="宋体"/>
                <w:color w:val="auto"/>
                <w:sz w:val="21"/>
                <w:szCs w:val="21"/>
                <w:highlight w:val="none"/>
                <w:lang w:val="en-US" w:eastAsia="zh-CN"/>
              </w:rPr>
              <w:t>主体为</w:t>
            </w:r>
            <w:r>
              <w:rPr>
                <w:rFonts w:hint="eastAsia" w:ascii="宋体" w:hAnsi="宋体" w:cs="宋体"/>
                <w:color w:val="auto"/>
                <w:sz w:val="21"/>
                <w:szCs w:val="21"/>
                <w:highlight w:val="none"/>
                <w:lang w:val="en-US" w:eastAsia="zh-CN"/>
              </w:rPr>
              <w:t>“安庆市安通建设集团有限公司”，特此说明</w:t>
            </w:r>
            <w:r>
              <w:rPr>
                <w:rFonts w:hint="eastAsia" w:ascii="宋体" w:hAnsi="宋体" w:eastAsia="宋体" w:cs="宋体"/>
                <w:color w:val="auto"/>
                <w:sz w:val="21"/>
                <w:szCs w:val="21"/>
                <w:highlight w:val="none"/>
                <w:lang w:val="en-US" w:eastAsia="zh-CN"/>
              </w:rPr>
              <w:t>。</w:t>
            </w:r>
          </w:p>
        </w:tc>
      </w:tr>
      <w:tr w14:paraId="57E61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352F510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D535F8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02496D54">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凡有意参加</w:t>
            </w:r>
            <w:r>
              <w:rPr>
                <w:rFonts w:hint="eastAsia"/>
                <w:color w:val="auto"/>
                <w:szCs w:val="20"/>
                <w:highlight w:val="none"/>
                <w:lang w:val="en-US" w:eastAsia="zh-CN"/>
              </w:rPr>
              <w:t>比选</w:t>
            </w:r>
            <w:r>
              <w:rPr>
                <w:rFonts w:hint="eastAsia"/>
                <w:color w:val="auto"/>
                <w:szCs w:val="20"/>
                <w:highlight w:val="none"/>
              </w:rPr>
              <w:t>的单位，在参与过程中，遇排斥潜在</w:t>
            </w:r>
            <w:r>
              <w:rPr>
                <w:rFonts w:hint="eastAsia"/>
                <w:color w:val="auto"/>
                <w:szCs w:val="20"/>
                <w:highlight w:val="none"/>
                <w:lang w:val="en-US" w:eastAsia="zh-CN"/>
              </w:rPr>
              <w:t>参选</w:t>
            </w:r>
            <w:r>
              <w:rPr>
                <w:rFonts w:hint="eastAsia"/>
                <w:color w:val="auto"/>
                <w:szCs w:val="20"/>
                <w:highlight w:val="none"/>
              </w:rPr>
              <w:t>人等现象，可在开标截止时间1日前向</w:t>
            </w:r>
            <w:r>
              <w:rPr>
                <w:rFonts w:hint="eastAsia"/>
                <w:color w:val="auto"/>
                <w:szCs w:val="20"/>
                <w:highlight w:val="none"/>
                <w:lang w:eastAsia="zh-CN"/>
              </w:rPr>
              <w:t>采购</w:t>
            </w:r>
            <w:r>
              <w:rPr>
                <w:rFonts w:hint="eastAsia"/>
                <w:color w:val="auto"/>
                <w:szCs w:val="20"/>
                <w:highlight w:val="none"/>
              </w:rPr>
              <w:t>部门提出书面质疑。如对质疑答复不满，可在开标截止时间前不少于12小时将书面投诉材料送达至监察部门。</w:t>
            </w:r>
          </w:p>
          <w:p w14:paraId="4AAD54AF">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地址：安庆市交通控股集团有限公司纪检监察室</w:t>
            </w:r>
          </w:p>
          <w:p w14:paraId="20A56451">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电话：0556-5595102。</w:t>
            </w:r>
          </w:p>
        </w:tc>
      </w:tr>
    </w:tbl>
    <w:p w14:paraId="000A6E10">
      <w:pPr>
        <w:rPr>
          <w:rFonts w:ascii="宋体" w:hAnsi="宋体"/>
          <w:color w:val="auto"/>
          <w:kern w:val="0"/>
          <w:highlight w:val="none"/>
          <w:lang w:val="zh-CN"/>
        </w:rPr>
      </w:pPr>
      <w:bookmarkStart w:id="23" w:name="_Toc439316872"/>
      <w:r>
        <w:rPr>
          <w:color w:val="auto"/>
          <w:kern w:val="0"/>
          <w:highlight w:val="none"/>
          <w:lang w:val="zh-CN"/>
        </w:rPr>
        <w:br w:type="page"/>
      </w:r>
    </w:p>
    <w:bookmarkEnd w:id="23"/>
    <w:p w14:paraId="47E36A46">
      <w:pPr>
        <w:pStyle w:val="3"/>
        <w:spacing w:beforeLines="0" w:afterLines="0"/>
        <w:ind w:firstLine="0" w:firstLineChars="0"/>
        <w:jc w:val="center"/>
        <w:outlineLvl w:val="1"/>
        <w:rPr>
          <w:rFonts w:ascii="宋体" w:hAnsi="宋体" w:eastAsia="宋体" w:cs="Tahoma"/>
          <w:bCs/>
          <w:color w:val="auto"/>
          <w:kern w:val="0"/>
          <w:sz w:val="32"/>
          <w:szCs w:val="32"/>
          <w:highlight w:val="none"/>
          <w:lang w:val="zh-CN"/>
        </w:rPr>
      </w:pPr>
      <w:bookmarkStart w:id="24" w:name="_Toc16271"/>
      <w:bookmarkStart w:id="25" w:name="_Toc2521"/>
      <w:bookmarkStart w:id="26" w:name="_Toc12394"/>
      <w:bookmarkStart w:id="27" w:name="_Toc54941331"/>
      <w:bookmarkStart w:id="28" w:name="_Toc54941337"/>
      <w:bookmarkStart w:id="29" w:name="_Toc476584426"/>
      <w:r>
        <w:rPr>
          <w:rFonts w:hint="eastAsia" w:ascii="宋体" w:hAnsi="宋体" w:eastAsia="宋体" w:cs="Tahoma"/>
          <w:bCs/>
          <w:color w:val="auto"/>
          <w:kern w:val="0"/>
          <w:sz w:val="32"/>
          <w:szCs w:val="32"/>
          <w:highlight w:val="none"/>
          <w:lang w:val="zh-CN"/>
        </w:rPr>
        <w:t>第二节</w:t>
      </w:r>
      <w:r>
        <w:rPr>
          <w:rFonts w:ascii="宋体" w:hAnsi="宋体" w:eastAsia="宋体" w:cs="Tahoma"/>
          <w:bCs/>
          <w:color w:val="auto"/>
          <w:kern w:val="0"/>
          <w:sz w:val="32"/>
          <w:szCs w:val="32"/>
          <w:highlight w:val="none"/>
          <w:lang w:val="zh-CN"/>
        </w:rPr>
        <w:t xml:space="preserve"> </w:t>
      </w:r>
      <w:r>
        <w:rPr>
          <w:rFonts w:hint="eastAsia" w:cs="Tahoma"/>
          <w:bCs/>
          <w:color w:val="auto"/>
          <w:kern w:val="0"/>
          <w:sz w:val="32"/>
          <w:szCs w:val="32"/>
          <w:highlight w:val="none"/>
          <w:lang w:val="en-US" w:eastAsia="zh-CN"/>
        </w:rPr>
        <w:t>参选人</w:t>
      </w:r>
      <w:r>
        <w:rPr>
          <w:rFonts w:hint="eastAsia" w:ascii="宋体" w:hAnsi="宋体" w:eastAsia="宋体" w:cs="Tahoma"/>
          <w:bCs/>
          <w:color w:val="auto"/>
          <w:kern w:val="0"/>
          <w:sz w:val="32"/>
          <w:szCs w:val="32"/>
          <w:highlight w:val="none"/>
          <w:lang w:val="zh-CN"/>
        </w:rPr>
        <w:t>须知</w:t>
      </w:r>
      <w:bookmarkEnd w:id="24"/>
      <w:bookmarkEnd w:id="25"/>
      <w:bookmarkEnd w:id="26"/>
      <w:bookmarkEnd w:id="27"/>
    </w:p>
    <w:bookmarkEnd w:id="28"/>
    <w:bookmarkEnd w:id="29"/>
    <w:p w14:paraId="587B3BA4">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0" w:name="_Toc4481592"/>
      <w:bookmarkStart w:id="31" w:name="_Toc28310"/>
      <w:bookmarkStart w:id="32" w:name="_Toc23618"/>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一</w:t>
      </w:r>
      <w:r>
        <w:rPr>
          <w:rFonts w:hint="eastAsia" w:ascii="Arial" w:hAnsi="Arial" w:eastAsia="宋体"/>
          <w:b/>
          <w:color w:val="auto"/>
          <w:kern w:val="0"/>
          <w:sz w:val="32"/>
          <w:highlight w:val="none"/>
        </w:rPr>
        <w:t>）总则</w:t>
      </w:r>
      <w:bookmarkEnd w:id="30"/>
    </w:p>
    <w:p w14:paraId="523EA11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1、定义</w:t>
      </w:r>
    </w:p>
    <w:p w14:paraId="0EF1F4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1.1、采购单位是指采购人和采购管理部门。</w:t>
      </w:r>
    </w:p>
    <w:p w14:paraId="6B2CC9F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1.2、参选人是指对“参选人须知前附表”序号2所指的项目表现出兴趣，按照规定的程序，从采购单位获取了比选文件，并实际参与了该项目投标活动的供应商。</w:t>
      </w:r>
    </w:p>
    <w:p w14:paraId="490AB598">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2、参选人资格要求</w:t>
      </w:r>
    </w:p>
    <w:p w14:paraId="5D407D2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2.1、参与本项目的参选人必须满足的要求：详见参选人须知前附表。</w:t>
      </w:r>
    </w:p>
    <w:p w14:paraId="3637AD1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2.2、参选人之间如果存在下列情形之一的，不得同时参加同一包别或者不分包别的同一项目投标：</w:t>
      </w:r>
    </w:p>
    <w:p w14:paraId="5A4B635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（1）法定代表人为同一个人的两个及两个以上法人；</w:t>
      </w:r>
    </w:p>
    <w:p w14:paraId="6517A6B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（2）母公司、全资子公司及其控股公司；</w:t>
      </w:r>
    </w:p>
    <w:p w14:paraId="13ADAE1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（3）法律和行政法规规定的其他情形。</w:t>
      </w:r>
    </w:p>
    <w:p w14:paraId="468F9237">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2.3、参选人必须确保自己信息真实、准确，否则，参选人因此蒙受损失，采购单位概不负责。</w:t>
      </w:r>
    </w:p>
    <w:p w14:paraId="778A29C9">
      <w:pPr>
        <w:adjustRightInd w:val="0"/>
        <w:spacing w:line="500" w:lineRule="exact"/>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3、联合体投标</w:t>
      </w:r>
    </w:p>
    <w:p w14:paraId="540C070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本项目不接受联合体</w:t>
      </w:r>
    </w:p>
    <w:p w14:paraId="6315C778">
      <w:pPr>
        <w:adjustRightInd w:val="0"/>
        <w:spacing w:line="500" w:lineRule="exact"/>
        <w:ind w:firstLine="413" w:firstLineChars="196"/>
        <w:rPr>
          <w:rFonts w:ascii="宋体" w:hAnsi="宋体" w:eastAsia="宋体"/>
          <w:bCs/>
          <w:color w:val="auto"/>
          <w:szCs w:val="21"/>
          <w:highlight w:val="none"/>
        </w:rPr>
      </w:pPr>
      <w:r>
        <w:rPr>
          <w:rFonts w:hint="eastAsia" w:ascii="宋体" w:hAnsi="宋体" w:eastAsia="宋体"/>
          <w:b/>
          <w:color w:val="auto"/>
          <w:szCs w:val="21"/>
          <w:highlight w:val="none"/>
        </w:rPr>
        <w:t>4、比选费用：</w:t>
      </w:r>
      <w:r>
        <w:rPr>
          <w:rFonts w:hint="eastAsia" w:ascii="宋体" w:hAnsi="宋体" w:eastAsia="宋体"/>
          <w:bCs/>
          <w:color w:val="auto"/>
          <w:szCs w:val="21"/>
          <w:highlight w:val="none"/>
        </w:rPr>
        <w:t>参选人必须自行承担参加比选的所有费用。不论中标与否，采购单位在任何情况下均无义务和责任承担这些费用。</w:t>
      </w:r>
    </w:p>
    <w:p w14:paraId="11E74D89">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5、参选人有以下情形不得参与本次投标活动</w:t>
      </w:r>
    </w:p>
    <w:p w14:paraId="6DBE251E">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5.1被列入安庆市交通控股集团有限公司黑名单管理系统。</w:t>
      </w:r>
    </w:p>
    <w:p w14:paraId="66B23B6B">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5.2在安庆市交通控股集团有限公司处罚限制期限内的投标人。</w:t>
      </w:r>
    </w:p>
    <w:p w14:paraId="5AE625E2">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4F044542">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3" w:name="_Toc479622044"/>
      <w:bookmarkStart w:id="34" w:name="_Toc8536"/>
      <w:bookmarkStart w:id="35" w:name="_Toc4481593"/>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二</w:t>
      </w:r>
      <w:r>
        <w:rPr>
          <w:rFonts w:hint="eastAsia" w:ascii="Arial" w:hAnsi="Arial" w:eastAsia="宋体"/>
          <w:b/>
          <w:color w:val="auto"/>
          <w:kern w:val="0"/>
          <w:sz w:val="32"/>
          <w:highlight w:val="none"/>
        </w:rPr>
        <w:t>）</w:t>
      </w:r>
      <w:bookmarkEnd w:id="33"/>
      <w:bookmarkEnd w:id="34"/>
      <w:bookmarkEnd w:id="35"/>
      <w:r>
        <w:rPr>
          <w:rFonts w:hint="eastAsia" w:ascii="Arial" w:hAnsi="Arial" w:eastAsia="宋体"/>
          <w:b/>
          <w:color w:val="auto"/>
          <w:kern w:val="0"/>
          <w:sz w:val="32"/>
          <w:highlight w:val="none"/>
        </w:rPr>
        <w:t>比选文件</w:t>
      </w:r>
    </w:p>
    <w:p w14:paraId="3DC33FF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6、比选文件的构成</w:t>
      </w:r>
    </w:p>
    <w:p w14:paraId="226642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6.1、比选文件包括：</w:t>
      </w:r>
    </w:p>
    <w:p w14:paraId="1088002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（1）第一章  比选公告；</w:t>
      </w:r>
    </w:p>
    <w:p w14:paraId="38D39F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（2）第二章  参选人须知；</w:t>
      </w:r>
    </w:p>
    <w:p w14:paraId="7A639ED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（3）第三章  </w:t>
      </w:r>
      <w:r>
        <w:rPr>
          <w:rFonts w:hint="eastAsia" w:ascii="宋体" w:hAnsi="宋体" w:eastAsia="宋体"/>
          <w:color w:val="auto"/>
          <w:szCs w:val="21"/>
          <w:highlight w:val="none"/>
          <w:lang w:eastAsia="zh-CN"/>
        </w:rPr>
        <w:t>项目需求及技术要求</w:t>
      </w:r>
      <w:r>
        <w:rPr>
          <w:rFonts w:hint="eastAsia" w:ascii="宋体" w:hAnsi="宋体" w:eastAsia="宋体"/>
          <w:color w:val="auto"/>
          <w:szCs w:val="21"/>
          <w:highlight w:val="none"/>
        </w:rPr>
        <w:t>；</w:t>
      </w:r>
    </w:p>
    <w:p w14:paraId="3504C3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（4）第四章  合同主要条款；</w:t>
      </w:r>
    </w:p>
    <w:p w14:paraId="66F41A3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（5）第五章  参选文件格式。</w:t>
      </w:r>
    </w:p>
    <w:p w14:paraId="4A494B01">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6.2、参选人应认真阅读和充分理解比选文件中所有的内容。如果参选人没有满足比选文件的有关要求，其风险由参选人自行承担。</w:t>
      </w:r>
    </w:p>
    <w:p w14:paraId="10CB846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16F8C81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7、比选文件的澄清</w:t>
      </w:r>
    </w:p>
    <w:p w14:paraId="39A5E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7.1、参选人可以要求采购单位对比选文件中的有关问题进行答疑或澄清。</w:t>
      </w:r>
    </w:p>
    <w:p w14:paraId="2D86895B">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7.2、参选人对比选文件如有异议，应在投标截止日期前向采购单位提出。</w:t>
      </w:r>
    </w:p>
    <w:p w14:paraId="5B54AB1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39B0A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7.4、采购单位对在规定时间收到的且需要做出澄清的问题，将以8款所述方式进行答复，但不说明问题的来源。</w:t>
      </w:r>
    </w:p>
    <w:p w14:paraId="5E5E35C2">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8、比选文件的修改</w:t>
      </w:r>
    </w:p>
    <w:p w14:paraId="2F29380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8.1、采购单位可以对比选文件进行修改。</w:t>
      </w:r>
    </w:p>
    <w:p w14:paraId="1DD4DAED">
      <w:pPr>
        <w:spacing w:line="50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8.2、采购单位对参选人异议的答复和对比选文件的</w:t>
      </w:r>
      <w:r>
        <w:rPr>
          <w:rFonts w:ascii="宋体" w:hAnsi="宋体" w:eastAsia="宋体"/>
          <w:b/>
          <w:bCs/>
          <w:color w:val="auto"/>
          <w:szCs w:val="21"/>
          <w:highlight w:val="none"/>
        </w:rPr>
        <w:t>澄</w:t>
      </w:r>
      <w:r>
        <w:rPr>
          <w:rFonts w:hint="eastAsia" w:ascii="宋体" w:hAnsi="宋体" w:eastAsia="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6A0F514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8.3、</w:t>
      </w:r>
      <w:bookmarkStart w:id="36" w:name="_Toc9821"/>
      <w:r>
        <w:rPr>
          <w:rFonts w:hint="eastAsia" w:ascii="宋体" w:hAnsi="宋体" w:eastAsia="宋体"/>
          <w:color w:val="auto"/>
          <w:szCs w:val="21"/>
          <w:highlight w:val="none"/>
        </w:rPr>
        <w:t>当比选文件与对比选文件的澄清、修改、补充等在同一内容的表述上不一致时，以最后发出的为准。</w:t>
      </w:r>
    </w:p>
    <w:p w14:paraId="65EB125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olor w:val="auto"/>
          <w:szCs w:val="21"/>
          <w:highlight w:val="none"/>
        </w:rPr>
        <w:t>。</w:t>
      </w:r>
    </w:p>
    <w:bookmarkEnd w:id="36"/>
    <w:p w14:paraId="2CB1309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9、参选文件的构成</w:t>
      </w:r>
    </w:p>
    <w:p w14:paraId="250E05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9.1、参选文件应该按照“参选文件格式”规定的内容和顺序进行编写。</w:t>
      </w:r>
    </w:p>
    <w:p w14:paraId="4149DD6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9.2、参选人应提交“参选人须知前附表”中规定的参选文件。</w:t>
      </w:r>
    </w:p>
    <w:p w14:paraId="5360D9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9.3、参选人必须对其参选文件的真实性与准确性负责。参选人一旦中标，其参选文件将作为合同的重要组成部分。</w:t>
      </w:r>
    </w:p>
    <w:p w14:paraId="4F11894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9.4、参选人提供的</w:t>
      </w:r>
      <w:r>
        <w:rPr>
          <w:rFonts w:hint="eastAsia" w:ascii="宋体" w:hAnsi="宋体" w:eastAsia="宋体"/>
          <w:color w:val="auto"/>
          <w:szCs w:val="21"/>
          <w:highlight w:val="none"/>
          <w:lang w:val="en-US" w:eastAsia="zh-CN"/>
        </w:rPr>
        <w:t>货物/</w:t>
      </w:r>
      <w:r>
        <w:rPr>
          <w:rFonts w:hint="eastAsia" w:ascii="宋体" w:hAnsi="宋体" w:eastAsia="宋体"/>
          <w:color w:val="auto"/>
          <w:szCs w:val="21"/>
          <w:highlight w:val="none"/>
          <w:lang w:eastAsia="zh-CN"/>
        </w:rPr>
        <w:t>服务</w:t>
      </w:r>
      <w:r>
        <w:rPr>
          <w:rFonts w:hint="eastAsia" w:ascii="宋体" w:hAnsi="宋体" w:eastAsia="宋体"/>
          <w:color w:val="auto"/>
          <w:szCs w:val="21"/>
          <w:highlight w:val="none"/>
        </w:rPr>
        <w:t>能满足比选文件约定的实质性要求。否则，其参选文件在评标时有可能被认为是对比选文件未做出实质性的响应，而被评标委员会终止对其做进一步的评审。</w:t>
      </w:r>
    </w:p>
    <w:p w14:paraId="53D6F47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10、投标报价</w:t>
      </w:r>
    </w:p>
    <w:p w14:paraId="064CD3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10.1、参选文件的报价表上应清楚地标明参选人拟提供</w:t>
      </w:r>
      <w:r>
        <w:rPr>
          <w:rFonts w:hint="eastAsia" w:ascii="宋体" w:hAnsi="宋体" w:eastAsia="宋体"/>
          <w:color w:val="auto"/>
          <w:szCs w:val="21"/>
          <w:highlight w:val="none"/>
          <w:lang w:val="en-US" w:eastAsia="zh-CN"/>
        </w:rPr>
        <w:t>货物/服务</w:t>
      </w:r>
      <w:r>
        <w:rPr>
          <w:rFonts w:hint="eastAsia" w:ascii="宋体" w:hAnsi="宋体" w:eastAsia="宋体"/>
          <w:color w:val="auto"/>
          <w:szCs w:val="21"/>
          <w:highlight w:val="none"/>
        </w:rPr>
        <w:t>的名称、价格等内容。</w:t>
      </w:r>
    </w:p>
    <w:p w14:paraId="5BDD4DE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10.2、除非特别要求，每个项目（或每个包）只允许有一个方案、一个报价。多方案、多报价的参选文件将视为无效参选文件。</w:t>
      </w:r>
    </w:p>
    <w:p w14:paraId="432008D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10.3、参选人的报价应包含满足本次招标需求的所有费用（包括但不限于：人工费、材料费、运输费、保险、税金等）。</w:t>
      </w:r>
    </w:p>
    <w:p w14:paraId="2AF0D2AD">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10.4、投标报价高于最高投标限价为投标无效。</w:t>
      </w:r>
    </w:p>
    <w:p w14:paraId="2F3B11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10.5、若参选报价函中报价的大写金额和小写金额不一致的，以大写金额为准；单价金额小数点有明显错位的，应以总价为准，并修正单价。</w:t>
      </w:r>
    </w:p>
    <w:p w14:paraId="51CD780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10.6、</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中报价与参选文件中相应内容不一致的，以</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中报价为准。</w:t>
      </w:r>
    </w:p>
    <w:p w14:paraId="173664E4">
      <w:pPr>
        <w:spacing w:line="500" w:lineRule="exact"/>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11、投标货币：</w:t>
      </w:r>
      <w:r>
        <w:rPr>
          <w:rFonts w:hint="eastAsia" w:ascii="宋体" w:hAnsi="宋体" w:eastAsia="宋体"/>
          <w:color w:val="auto"/>
          <w:szCs w:val="21"/>
          <w:highlight w:val="none"/>
        </w:rPr>
        <w:t>人民币。</w:t>
      </w:r>
    </w:p>
    <w:p w14:paraId="2950B393">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12、投标保证金：本项目不收取</w:t>
      </w:r>
    </w:p>
    <w:p w14:paraId="3ECCDCB1">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13、投标有效期</w:t>
      </w:r>
    </w:p>
    <w:p w14:paraId="1ECC730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14.投标有效期见“参选人须知前附表”的规定。</w:t>
      </w:r>
    </w:p>
    <w:p w14:paraId="4770828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14.1、在投标有效期内，参选人不得要求撤销或修改其参选文件。</w:t>
      </w:r>
    </w:p>
    <w:p w14:paraId="386CD46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14.2、投标有效期从投标截止之日算起。</w:t>
      </w:r>
    </w:p>
    <w:p w14:paraId="059B075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639570B2">
      <w:pPr>
        <w:spacing w:line="500" w:lineRule="exact"/>
        <w:ind w:firstLine="422" w:firstLineChars="200"/>
        <w:rPr>
          <w:rFonts w:ascii="宋体" w:hAnsi="宋体" w:eastAsia="宋体"/>
          <w:b/>
          <w:color w:val="auto"/>
          <w:kern w:val="0"/>
          <w:szCs w:val="21"/>
          <w:highlight w:val="none"/>
        </w:rPr>
      </w:pPr>
      <w:r>
        <w:rPr>
          <w:rFonts w:hint="eastAsia" w:ascii="宋体" w:hAnsi="宋体" w:eastAsia="宋体"/>
          <w:b/>
          <w:color w:val="auto"/>
          <w:kern w:val="0"/>
          <w:szCs w:val="21"/>
          <w:highlight w:val="none"/>
        </w:rPr>
        <w:t>15、参选文件的签署</w:t>
      </w:r>
    </w:p>
    <w:p w14:paraId="7C87106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15.1、参选人应按“参选人须知前附表”约定的份数和比选文件约定的格式，编制并提交参选文件。</w:t>
      </w:r>
    </w:p>
    <w:p w14:paraId="1878F9D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15.2、参选文件应由参选人的法定代表人或个体工商户经营者或授权委托人签署，并加盖单位公章。</w:t>
      </w:r>
    </w:p>
    <w:p w14:paraId="34BA288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15.3、参选文件不得行间插字、涂改或增删。如有修改错漏处，必须由参选人的法定代表人或个体工商户经营者或授权委托人签字，并加盖单位公章。</w:t>
      </w:r>
    </w:p>
    <w:p w14:paraId="218999A3">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EAB5DB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15.5、参选文件封面、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内容及质量要求不符合比选文件要求的，视为无效标。由授权委托人签字或盖章的在参选文件中须同时提交授权书。</w:t>
      </w:r>
    </w:p>
    <w:p w14:paraId="20314949">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7" w:name="_Toc4481594"/>
      <w:bookmarkStart w:id="38" w:name="_Toc12503"/>
      <w:bookmarkStart w:id="39" w:name="_Toc25319"/>
      <w:bookmarkStart w:id="40" w:name="_Toc479622046"/>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三</w:t>
      </w:r>
      <w:r>
        <w:rPr>
          <w:rFonts w:hint="eastAsia" w:ascii="Arial" w:hAnsi="Arial" w:eastAsia="宋体"/>
          <w:b/>
          <w:color w:val="auto"/>
          <w:kern w:val="0"/>
          <w:sz w:val="32"/>
          <w:highlight w:val="none"/>
        </w:rPr>
        <w:t>）参选文件的提交</w:t>
      </w:r>
      <w:bookmarkEnd w:id="37"/>
      <w:bookmarkEnd w:id="38"/>
      <w:bookmarkEnd w:id="39"/>
      <w:bookmarkEnd w:id="40"/>
    </w:p>
    <w:p w14:paraId="15254A47">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16、参选文件的装订、密封和标记</w:t>
      </w:r>
    </w:p>
    <w:p w14:paraId="2F248F1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16.1、参选文件正本和副本均需胶装成册并标明页码，不得采用活页或容易拆解的装订形式。</w:t>
      </w:r>
    </w:p>
    <w:p w14:paraId="602BB33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16.2、参选人应将参选文件的正本和副本同时装于一个袋内。包装密封，并于密封袋上加盖单位公章。</w:t>
      </w:r>
    </w:p>
    <w:p w14:paraId="3ABC06DA">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16.3、密封袋上应写明：项目名称、参选单位名称、项目编号（加盖单位公章），详见参选人须知前附表。</w:t>
      </w:r>
    </w:p>
    <w:p w14:paraId="2C11055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16.4、未按参选人须知要求装订、密封和标记的参选文件，将认定为投标无效。</w:t>
      </w:r>
    </w:p>
    <w:p w14:paraId="1AF6A4CE">
      <w:pPr>
        <w:spacing w:line="360" w:lineRule="auto"/>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16.5、查验证件</w:t>
      </w:r>
    </w:p>
    <w:p w14:paraId="2C37328F">
      <w:pPr>
        <w:spacing w:line="360" w:lineRule="auto"/>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16.5.1、采购人审查参选人以下证件，若证件不全或不符合要求，则查验不合格。</w:t>
      </w:r>
    </w:p>
    <w:p w14:paraId="353F41CD">
      <w:pPr>
        <w:spacing w:line="360" w:lineRule="auto"/>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法定代表人或个体工商户经营者应出示有效二代居民身份证、授权委托人应出示有效二代居民身份证、授权书；（授权书格式见附件）。</w:t>
      </w:r>
    </w:p>
    <w:p w14:paraId="76CEC66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17、投标截止时间</w:t>
      </w:r>
    </w:p>
    <w:p w14:paraId="214A60E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4F1B69">
      <w:pPr>
        <w:widowControl/>
        <w:spacing w:line="500" w:lineRule="exact"/>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B1932F0">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18、参选文件的修改与撤回</w:t>
      </w:r>
    </w:p>
    <w:p w14:paraId="6FC78CB2">
      <w:pPr>
        <w:widowControl/>
        <w:spacing w:line="500" w:lineRule="exact"/>
        <w:ind w:firstLine="420" w:firstLineChars="200"/>
        <w:jc w:val="left"/>
        <w:rPr>
          <w:rFonts w:ascii="宋体" w:hAnsi="宋体" w:eastAsia="宋体"/>
          <w:color w:val="auto"/>
          <w:szCs w:val="21"/>
          <w:highlight w:val="none"/>
        </w:rPr>
      </w:pPr>
      <w:bookmarkStart w:id="41" w:name="_Toc479622047"/>
      <w:bookmarkStart w:id="42" w:name="_Toc23598"/>
      <w:r>
        <w:rPr>
          <w:rFonts w:hint="eastAsia" w:ascii="宋体" w:hAnsi="宋体" w:eastAsia="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AAD7D0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B1B0C81">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18.3、在投标截止时间之后，参选人不得对其参选文件做任何修改。</w:t>
      </w:r>
    </w:p>
    <w:p w14:paraId="15C379C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19、在规定的投标有效期内，参选人不得撤回其参选文件。</w:t>
      </w:r>
    </w:p>
    <w:p w14:paraId="489C7E36">
      <w:pPr>
        <w:widowControl/>
        <w:spacing w:line="500" w:lineRule="exact"/>
        <w:ind w:firstLine="420" w:firstLineChars="200"/>
        <w:jc w:val="left"/>
        <w:rPr>
          <w:rFonts w:ascii="宋体" w:hAnsi="宋体" w:eastAsia="宋体"/>
          <w:color w:val="auto"/>
          <w:szCs w:val="21"/>
          <w:highlight w:val="none"/>
        </w:rPr>
      </w:pPr>
    </w:p>
    <w:p w14:paraId="22E061B5">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43" w:name="_Toc4481595"/>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四</w:t>
      </w:r>
      <w:r>
        <w:rPr>
          <w:rFonts w:hint="eastAsia" w:ascii="Arial" w:hAnsi="Arial" w:eastAsia="宋体"/>
          <w:b/>
          <w:color w:val="auto"/>
          <w:kern w:val="0"/>
          <w:sz w:val="32"/>
          <w:highlight w:val="none"/>
        </w:rPr>
        <w:t>）开标</w:t>
      </w:r>
      <w:bookmarkEnd w:id="41"/>
      <w:bookmarkEnd w:id="42"/>
      <w:bookmarkEnd w:id="43"/>
    </w:p>
    <w:p w14:paraId="22FFC87B">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20、开标时间和地点：</w:t>
      </w:r>
      <w:r>
        <w:rPr>
          <w:rFonts w:hint="eastAsia" w:ascii="宋体" w:hAnsi="宋体" w:eastAsia="宋体"/>
          <w:color w:val="auto"/>
          <w:szCs w:val="21"/>
          <w:highlight w:val="none"/>
        </w:rPr>
        <w:t>采购单位将在监督人员监督下依据“参选人须知前附表”约定的时间和地点开标，所有参选人的法定代表人或个体工商户经营者或其授权委托人自愿参加现场开标，未参加现场开标的参选人应无条件认可整个开标过程。</w:t>
      </w:r>
    </w:p>
    <w:p w14:paraId="362124F4">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21、开标程序</w:t>
      </w:r>
    </w:p>
    <w:p w14:paraId="0D54905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21.1、开标由采购单位代表主持，主持人按下列程序进行：</w:t>
      </w:r>
    </w:p>
    <w:p w14:paraId="34D0D99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21.1.1、宣布项目名称、介绍参会人员；</w:t>
      </w:r>
    </w:p>
    <w:p w14:paraId="5677A9F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21.1.2、宣布开标纪律；</w:t>
      </w:r>
    </w:p>
    <w:p w14:paraId="00FBBAC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21.1.3、由</w:t>
      </w:r>
      <w:r>
        <w:rPr>
          <w:rFonts w:hint="eastAsia" w:ascii="宋体" w:hAnsi="宋体" w:eastAsia="宋体"/>
          <w:color w:val="auto"/>
          <w:szCs w:val="21"/>
          <w:highlight w:val="none"/>
        </w:rPr>
        <w:t>采购人</w:t>
      </w:r>
      <w:r>
        <w:rPr>
          <w:rFonts w:hint="eastAsia" w:ascii="宋体" w:hAnsi="宋体" w:eastAsia="宋体" w:cs="宋体"/>
          <w:color w:val="auto"/>
          <w:szCs w:val="21"/>
          <w:highlight w:val="none"/>
        </w:rPr>
        <w:t>代表和监督人员查验参选人相关证件资料并宣布查验结果；</w:t>
      </w:r>
    </w:p>
    <w:p w14:paraId="0A59AFF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21.1.4、参与现场开标的各参选人互相检查参选文件的密封情况，并确认参选人是否存在异议； </w:t>
      </w:r>
    </w:p>
    <w:p w14:paraId="570FDC9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21.1.5、依次当众开标，公布参选人名称、报价及参选报价函其他内容，并记录在案；</w:t>
      </w:r>
    </w:p>
    <w:p w14:paraId="0F01A7B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21.1.6、</w:t>
      </w:r>
      <w:r>
        <w:rPr>
          <w:rFonts w:hint="eastAsia" w:ascii="宋体" w:hAnsi="宋体" w:eastAsia="宋体"/>
          <w:color w:val="auto"/>
          <w:szCs w:val="21"/>
          <w:highlight w:val="none"/>
        </w:rPr>
        <w:t>采购人</w:t>
      </w:r>
      <w:r>
        <w:rPr>
          <w:rFonts w:hint="eastAsia" w:ascii="宋体" w:hAnsi="宋体" w:eastAsia="宋体" w:cs="宋体"/>
          <w:color w:val="auto"/>
          <w:szCs w:val="21"/>
          <w:highlight w:val="none"/>
        </w:rPr>
        <w:t>代表、监督人员、记录人等有关人员在开标记录表上签字确认；</w:t>
      </w:r>
    </w:p>
    <w:p w14:paraId="24A58E4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21.1.7、进入评审阶段；</w:t>
      </w:r>
    </w:p>
    <w:p w14:paraId="3EF13D1F">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21.1.8、宣布评审结果。</w:t>
      </w:r>
    </w:p>
    <w:p w14:paraId="4E7CCA7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s="宋体"/>
          <w:color w:val="auto"/>
          <w:szCs w:val="21"/>
          <w:highlight w:val="none"/>
        </w:rPr>
        <w:t>21.2、参选</w:t>
      </w:r>
      <w:r>
        <w:rPr>
          <w:rFonts w:hint="eastAsia" w:ascii="宋体" w:hAnsi="宋体" w:eastAsia="宋体"/>
          <w:color w:val="auto"/>
          <w:szCs w:val="21"/>
          <w:highlight w:val="none"/>
        </w:rPr>
        <w:t>人必须对其参选文件中所有资料的真实性负责。若发现参选人有弄虚作假行为的，投标无效，由相关管理部门按照比选文件相应条款对其做相应处罚。</w:t>
      </w:r>
    </w:p>
    <w:p w14:paraId="577D5EF7">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22、参选文件的有效性</w:t>
      </w:r>
    </w:p>
    <w:p w14:paraId="256A1E6C">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 xml:space="preserve">22.1、参选文件有下列情形之一的，将不予受理： </w:t>
      </w:r>
    </w:p>
    <w:p w14:paraId="75CA57C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 xml:space="preserve">（1）逾期送达的或者未送达至指定地点的； </w:t>
      </w:r>
    </w:p>
    <w:p w14:paraId="0492485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（2）未按比选文件要求包装、密封的。</w:t>
      </w:r>
    </w:p>
    <w:p w14:paraId="6821B2CF">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22.2、开标过程中发现有下列情况的，由评标委员会评审后，认定为投标无效：</w:t>
      </w:r>
    </w:p>
    <w:p w14:paraId="6DA1974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22.2.1、参选人未按要求参加开标会、未按要求出示材料供现场查验或经查验不合格的、参选文件份数少于比选文件要求；</w:t>
      </w:r>
    </w:p>
    <w:p w14:paraId="35C546D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22.2.2、未按约定格式提供、填写参选文件封面、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内容及质量要求或参选文件封面、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内容及质量要求未加盖参选人公章并经法定代表人或个体工商户经营者或授权委托人签字或加盖印章；</w:t>
      </w:r>
    </w:p>
    <w:p w14:paraId="7BAA2E6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22.2.3、参选报价高于最高投标限价的；</w:t>
      </w:r>
    </w:p>
    <w:p w14:paraId="4CF11786">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22.2.4、法律法规及比选文件规定的其他情形。</w:t>
      </w:r>
    </w:p>
    <w:p w14:paraId="4E9B3C9C">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22.3、参选人存在下列情形之一，经评标委员会评审后，为参选无效：</w:t>
      </w:r>
    </w:p>
    <w:p w14:paraId="7C2B9C56">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(1)被责令停业且处于有效期内的；</w:t>
      </w:r>
    </w:p>
    <w:p w14:paraId="14FB6FE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(2)被安庆市行政区域内公共资源交易监管部门限制参选资格且处于有效期内；</w:t>
      </w:r>
    </w:p>
    <w:p w14:paraId="3615A9A6">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(3)财产被接管或冻结可能影响本项目正常实施的；</w:t>
      </w:r>
    </w:p>
    <w:p w14:paraId="2DB3780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(4)法律法规规定及比选文件约定的其他情形。</w:t>
      </w:r>
    </w:p>
    <w:p w14:paraId="7F975AA6">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44" w:name="_Toc4481596"/>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五</w:t>
      </w:r>
      <w:r>
        <w:rPr>
          <w:rFonts w:hint="eastAsia" w:ascii="Arial" w:hAnsi="Arial" w:eastAsia="宋体"/>
          <w:b/>
          <w:color w:val="auto"/>
          <w:kern w:val="0"/>
          <w:sz w:val="32"/>
          <w:highlight w:val="none"/>
        </w:rPr>
        <w:t>）评标</w:t>
      </w:r>
      <w:bookmarkEnd w:id="31"/>
      <w:bookmarkEnd w:id="44"/>
    </w:p>
    <w:p w14:paraId="5772DEE6">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23、评标委员会</w:t>
      </w:r>
      <w:r>
        <w:rPr>
          <w:rFonts w:hint="eastAsia" w:ascii="宋体" w:hAnsi="宋体" w:eastAsia="宋体"/>
          <w:color w:val="auto"/>
          <w:szCs w:val="21"/>
          <w:highlight w:val="none"/>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w:t>
      </w:r>
      <w:r>
        <w:rPr>
          <w:rFonts w:hint="eastAsia" w:ascii="宋体" w:hAnsi="宋体" w:cs="宋体"/>
          <w:color w:val="auto"/>
          <w:szCs w:val="21"/>
          <w:highlight w:val="none"/>
          <w:lang w:eastAsia="zh-CN"/>
        </w:rPr>
        <w:t>最低评标价法</w:t>
      </w:r>
      <w:r>
        <w:rPr>
          <w:rFonts w:hint="eastAsia" w:ascii="宋体" w:hAnsi="宋体" w:cs="宋体"/>
          <w:color w:val="auto"/>
          <w:szCs w:val="21"/>
          <w:highlight w:val="none"/>
        </w:rPr>
        <w:t>。</w:t>
      </w:r>
    </w:p>
    <w:p w14:paraId="2FB6D3EC">
      <w:pPr>
        <w:spacing w:line="360" w:lineRule="auto"/>
        <w:ind w:firstLine="422" w:firstLineChars="200"/>
        <w:jc w:val="left"/>
        <w:rPr>
          <w:rFonts w:hint="eastAsia"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25.1、参选文件符合性审查，包括但不限于以下内容：</w:t>
      </w:r>
    </w:p>
    <w:p w14:paraId="01D5B70F">
      <w:pPr>
        <w:spacing w:line="50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7EDC7A8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6B54D90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311769A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6A3D838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54EC045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7D70960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338DC3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176426A2">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1FAF8985">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25.6、失信核查</w:t>
      </w:r>
    </w:p>
    <w:p w14:paraId="327D9C7F">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7E9900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7646350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26、开标评标异常情况处理</w:t>
      </w:r>
    </w:p>
    <w:p w14:paraId="7E6C3B8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(1)提交参选文件的参选人不足</w:t>
      </w:r>
      <w:r>
        <w:rPr>
          <w:rFonts w:hint="eastAsia" w:ascii="宋体" w:hAnsi="宋体"/>
          <w:color w:val="auto"/>
          <w:szCs w:val="21"/>
          <w:highlight w:val="none"/>
          <w:lang w:val="en-US" w:eastAsia="zh-CN"/>
        </w:rPr>
        <w:t>2</w:t>
      </w:r>
      <w:r>
        <w:rPr>
          <w:rFonts w:hint="eastAsia" w:ascii="宋体" w:hAnsi="宋体"/>
          <w:color w:val="auto"/>
          <w:szCs w:val="21"/>
          <w:highlight w:val="none"/>
        </w:rPr>
        <w:t>家的；</w:t>
      </w:r>
    </w:p>
    <w:p w14:paraId="71DE92F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2B89BF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(3)参选人的报价均高于最高投标限价的；</w:t>
      </w:r>
    </w:p>
    <w:p w14:paraId="7F444059">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78658C91">
      <w:pPr>
        <w:widowControl/>
        <w:spacing w:line="500" w:lineRule="exact"/>
        <w:ind w:firstLine="405"/>
        <w:jc w:val="left"/>
        <w:rPr>
          <w:rFonts w:hint="eastAsia" w:ascii="宋体" w:hAnsi="宋体"/>
          <w:b/>
          <w:color w:val="auto"/>
          <w:szCs w:val="21"/>
          <w:highlight w:val="none"/>
        </w:rPr>
      </w:pPr>
      <w:r>
        <w:rPr>
          <w:rFonts w:hint="eastAsia" w:ascii="宋体" w:hAnsi="宋体"/>
          <w:b/>
          <w:color w:val="auto"/>
          <w:szCs w:val="21"/>
          <w:highlight w:val="none"/>
        </w:rPr>
        <w:t>27、评标过程的保密性</w:t>
      </w:r>
    </w:p>
    <w:p w14:paraId="6ACE9FB8">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27.1、</w:t>
      </w:r>
      <w:bookmarkStart w:id="45" w:name="_Toc15032"/>
      <w:bookmarkStart w:id="46" w:name="_Toc418517858"/>
      <w:bookmarkStart w:id="47" w:name="_Toc417655921"/>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27.4、中标通知书</w:t>
      </w:r>
      <w:bookmarkEnd w:id="45"/>
      <w:bookmarkEnd w:id="46"/>
      <w:bookmarkEnd w:id="47"/>
    </w:p>
    <w:p w14:paraId="56080307">
      <w:pPr>
        <w:widowControl/>
        <w:spacing w:line="360" w:lineRule="auto"/>
        <w:ind w:firstLine="420" w:firstLineChars="200"/>
        <w:rPr>
          <w:rFonts w:hint="eastAsia"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62CD93C0">
      <w:pPr>
        <w:spacing w:line="360" w:lineRule="auto"/>
        <w:ind w:firstLine="420" w:firstLineChars="200"/>
        <w:rPr>
          <w:rFonts w:hAnsi="宋体" w:eastAsia="宋体" w:cs="宋体"/>
          <w:b/>
          <w:color w:val="auto"/>
          <w:szCs w:val="24"/>
          <w:highlight w:val="none"/>
        </w:rPr>
      </w:pPr>
      <w:bookmarkStart w:id="48" w:name="_Toc10586"/>
      <w:bookmarkStart w:id="49" w:name="_Toc19876"/>
      <w:bookmarkStart w:id="50" w:name="_Toc457998294"/>
      <w:bookmarkStart w:id="51" w:name="_Toc31095"/>
      <w:bookmarkStart w:id="52" w:name="_Toc10987"/>
      <w:bookmarkStart w:id="53" w:name="_Toc478821422"/>
      <w:bookmarkStart w:id="54" w:name="_Toc433721697"/>
      <w:bookmarkStart w:id="55" w:name="_Toc456882340"/>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8"/>
      <w:bookmarkEnd w:id="49"/>
      <w:bookmarkEnd w:id="50"/>
      <w:bookmarkEnd w:id="51"/>
      <w:bookmarkEnd w:id="52"/>
      <w:bookmarkEnd w:id="53"/>
      <w:bookmarkEnd w:id="54"/>
      <w:bookmarkEnd w:id="55"/>
    </w:p>
    <w:p w14:paraId="480FC087">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56" w:name="_Toc4481597"/>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六</w:t>
      </w:r>
      <w:r>
        <w:rPr>
          <w:rFonts w:hint="eastAsia" w:ascii="Arial" w:hAnsi="Arial" w:eastAsia="宋体"/>
          <w:b/>
          <w:color w:val="auto"/>
          <w:kern w:val="0"/>
          <w:sz w:val="32"/>
          <w:highlight w:val="none"/>
        </w:rPr>
        <w:t>）合同授予</w:t>
      </w:r>
      <w:bookmarkEnd w:id="56"/>
    </w:p>
    <w:p w14:paraId="6F8B77F8">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w:t>
      </w:r>
      <w:bookmarkStart w:id="57" w:name="_Toc21358"/>
      <w:bookmarkStart w:id="58" w:name="_Toc417655923"/>
      <w:bookmarkStart w:id="59" w:name="_Toc418517860"/>
      <w:r>
        <w:rPr>
          <w:rFonts w:hint="eastAsia" w:ascii="宋体" w:hAnsi="宋体" w:eastAsia="宋体"/>
          <w:color w:val="auto"/>
          <w:szCs w:val="21"/>
          <w:highlight w:val="none"/>
        </w:rPr>
        <w:t>签订合同</w:t>
      </w:r>
      <w:bookmarkEnd w:id="57"/>
      <w:bookmarkEnd w:id="58"/>
      <w:bookmarkEnd w:id="59"/>
    </w:p>
    <w:p w14:paraId="08679D9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28.1.1、中标人的中标价即为合同价款。</w:t>
      </w:r>
    </w:p>
    <w:p w14:paraId="37C6B42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BCD6F8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28.1.3、中标人（中标候选人）被取消中标资格的，采购人可以按照评标委员会提出的中标候选人名单排序依次确定其他中标候选人为中标人，或重新组织采购。</w:t>
      </w:r>
    </w:p>
    <w:bookmarkEnd w:id="32"/>
    <w:p w14:paraId="5289B393">
      <w:pPr>
        <w:widowControl/>
        <w:spacing w:line="440" w:lineRule="exact"/>
        <w:ind w:firstLine="420"/>
        <w:jc w:val="left"/>
        <w:rPr>
          <w:rFonts w:ascii="宋体" w:cs="宋体"/>
          <w:b/>
          <w:bCs/>
          <w:snapToGrid w:val="0"/>
          <w:color w:val="auto"/>
          <w:kern w:val="0"/>
          <w:sz w:val="32"/>
          <w:szCs w:val="32"/>
          <w:highlight w:val="none"/>
        </w:rPr>
      </w:pPr>
      <w:r>
        <w:rPr>
          <w:rFonts w:ascii="宋体" w:cs="宋体"/>
          <w:b/>
          <w:bCs/>
          <w:snapToGrid w:val="0"/>
          <w:color w:val="auto"/>
          <w:kern w:val="0"/>
          <w:sz w:val="32"/>
          <w:szCs w:val="32"/>
          <w:highlight w:val="none"/>
        </w:rPr>
        <w:br w:type="page"/>
      </w:r>
    </w:p>
    <w:p w14:paraId="0E33F2A9">
      <w:pPr>
        <w:pStyle w:val="2"/>
        <w:numPr>
          <w:ilvl w:val="0"/>
          <w:numId w:val="9"/>
        </w:numPr>
        <w:spacing w:before="62" w:beforeLines="20" w:after="62" w:afterLines="20" w:line="480" w:lineRule="exact"/>
        <w:ind w:firstLine="0" w:firstLineChars="0"/>
        <w:jc w:val="center"/>
        <w:rPr>
          <w:rFonts w:hint="eastAsia"/>
          <w:color w:val="auto"/>
          <w:highlight w:val="none"/>
        </w:rPr>
      </w:pPr>
      <w:bookmarkStart w:id="60" w:name="_Toc10569"/>
      <w:bookmarkStart w:id="61" w:name="_Toc11149"/>
      <w:bookmarkStart w:id="62" w:name="_Toc54941340"/>
      <w:r>
        <w:rPr>
          <w:rFonts w:hint="eastAsia" w:ascii="Arial" w:hAnsi="Arial"/>
          <w:color w:val="auto"/>
          <w:kern w:val="2"/>
          <w:sz w:val="32"/>
          <w:szCs w:val="32"/>
          <w:highlight w:val="none"/>
        </w:rPr>
        <w:t xml:space="preserve"> </w:t>
      </w:r>
      <w:r>
        <w:rPr>
          <w:rFonts w:hint="eastAsia" w:ascii="Arial" w:hAnsi="Arial"/>
          <w:color w:val="auto"/>
          <w:kern w:val="2"/>
          <w:sz w:val="32"/>
          <w:szCs w:val="32"/>
          <w:highlight w:val="none"/>
          <w:lang w:eastAsia="zh-CN"/>
        </w:rPr>
        <w:t>项目需求及技术要求</w:t>
      </w:r>
    </w:p>
    <w:p w14:paraId="2848D28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项目比选基本信息详见下表：</w:t>
      </w:r>
    </w:p>
    <w:tbl>
      <w:tblPr>
        <w:tblStyle w:val="61"/>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88"/>
        <w:gridCol w:w="7482"/>
      </w:tblGrid>
      <w:tr w14:paraId="2123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588" w:type="dxa"/>
            <w:tcMar>
              <w:top w:w="60" w:type="dxa"/>
              <w:left w:w="120" w:type="dxa"/>
              <w:bottom w:w="30" w:type="dxa"/>
              <w:right w:w="120" w:type="dxa"/>
            </w:tcMar>
          </w:tcPr>
          <w:p w14:paraId="33D4AF51">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w:t>
            </w:r>
          </w:p>
        </w:tc>
        <w:tc>
          <w:tcPr>
            <w:tcW w:w="7482" w:type="dxa"/>
            <w:tcMar>
              <w:top w:w="60" w:type="dxa"/>
              <w:left w:w="120" w:type="dxa"/>
              <w:bottom w:w="30" w:type="dxa"/>
              <w:right w:w="120" w:type="dxa"/>
            </w:tcMar>
          </w:tcPr>
          <w:p w14:paraId="07408A3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w:t>
            </w:r>
          </w:p>
        </w:tc>
      </w:tr>
      <w:tr w14:paraId="4E1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65F570DB">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采购人</w:t>
            </w:r>
          </w:p>
        </w:tc>
        <w:tc>
          <w:tcPr>
            <w:tcW w:w="7482" w:type="dxa"/>
            <w:tcMar>
              <w:top w:w="60" w:type="dxa"/>
              <w:left w:w="120" w:type="dxa"/>
              <w:bottom w:w="30" w:type="dxa"/>
              <w:right w:w="120" w:type="dxa"/>
            </w:tcMar>
            <w:vAlign w:val="center"/>
          </w:tcPr>
          <w:p w14:paraId="6D24735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安庆市安通建设集团有限公司</w:t>
            </w:r>
          </w:p>
        </w:tc>
      </w:tr>
      <w:tr w14:paraId="304F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1F3C4A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参选对象</w:t>
            </w:r>
          </w:p>
        </w:tc>
        <w:tc>
          <w:tcPr>
            <w:tcW w:w="7482" w:type="dxa"/>
            <w:tcMar>
              <w:top w:w="60" w:type="dxa"/>
              <w:left w:w="120" w:type="dxa"/>
              <w:bottom w:w="30" w:type="dxa"/>
              <w:right w:w="120" w:type="dxa"/>
            </w:tcMar>
            <w:vAlign w:val="center"/>
          </w:tcPr>
          <w:p w14:paraId="0E45F3D0">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市交控集团</w:t>
            </w:r>
            <w:r>
              <w:rPr>
                <w:rFonts w:hint="eastAsia" w:ascii="仿宋" w:hAnsi="仿宋" w:eastAsia="仿宋" w:cs="仿宋"/>
                <w:color w:val="auto"/>
                <w:sz w:val="24"/>
                <w:szCs w:val="24"/>
                <w:highlight w:val="none"/>
              </w:rPr>
              <w:t>法律顾问服务合格供应商库内5家律师事务所</w:t>
            </w:r>
          </w:p>
        </w:tc>
      </w:tr>
      <w:tr w14:paraId="19AB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B3561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比选案件</w:t>
            </w:r>
          </w:p>
        </w:tc>
        <w:tc>
          <w:tcPr>
            <w:tcW w:w="7482" w:type="dxa"/>
            <w:tcMar>
              <w:top w:w="60" w:type="dxa"/>
              <w:left w:w="120" w:type="dxa"/>
              <w:bottom w:w="30" w:type="dxa"/>
              <w:right w:w="120" w:type="dxa"/>
            </w:tcMar>
            <w:vAlign w:val="center"/>
          </w:tcPr>
          <w:p w14:paraId="4DF518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(2026)皖0811民初5188号案（蓝城公司诉讼案），标的额约1671.26</w:t>
            </w:r>
            <w:r>
              <w:rPr>
                <w:rFonts w:hint="eastAsia" w:ascii="仿宋" w:hAnsi="仿宋" w:eastAsia="仿宋" w:cs="仿宋"/>
                <w:color w:val="auto"/>
                <w:sz w:val="24"/>
                <w:szCs w:val="24"/>
                <w:highlight w:val="none"/>
              </w:rPr>
              <w:t>万元，</w:t>
            </w:r>
            <w:r>
              <w:rPr>
                <w:rFonts w:hint="eastAsia" w:ascii="仿宋" w:hAnsi="仿宋" w:eastAsia="仿宋" w:cs="仿宋"/>
                <w:color w:val="auto"/>
                <w:sz w:val="24"/>
                <w:szCs w:val="24"/>
                <w:highlight w:val="none"/>
                <w:lang w:val="en-US" w:eastAsia="zh-CN"/>
              </w:rPr>
              <w:t>属于</w:t>
            </w:r>
            <w:r>
              <w:rPr>
                <w:rFonts w:hint="eastAsia" w:ascii="仿宋" w:hAnsi="仿宋" w:eastAsia="仿宋" w:cs="仿宋"/>
                <w:color w:val="auto"/>
                <w:sz w:val="24"/>
                <w:szCs w:val="24"/>
                <w:highlight w:val="none"/>
              </w:rPr>
              <w:t>大额标的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具体详见附件法院文书。</w:t>
            </w:r>
          </w:p>
        </w:tc>
      </w:tr>
      <w:tr w14:paraId="2CBB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138FD24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报价要求</w:t>
            </w:r>
          </w:p>
        </w:tc>
        <w:tc>
          <w:tcPr>
            <w:tcW w:w="7482" w:type="dxa"/>
            <w:tcMar>
              <w:top w:w="60" w:type="dxa"/>
              <w:left w:w="120" w:type="dxa"/>
              <w:bottom w:w="30" w:type="dxa"/>
              <w:right w:w="120" w:type="dxa"/>
            </w:tcMar>
            <w:vAlign w:val="center"/>
          </w:tcPr>
          <w:p w14:paraId="400FB042">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投报本次诉讼代理服务费总价。</w:t>
            </w:r>
          </w:p>
          <w:p w14:paraId="462305E5">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说明：</w:t>
            </w:r>
          </w:p>
          <w:p w14:paraId="021FF81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（1）本次代理服务费采用基础服务费 + 胜诉结算尾款的风险代理计费模式；</w:t>
            </w:r>
          </w:p>
          <w:p w14:paraId="2EB08580">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（2）基础服务费按成交总价的 40%计取，金额固定不变，不受案件审理结果影响，对应代理人完成本案全部应诉及代理服务工作；</w:t>
            </w:r>
          </w:p>
          <w:p w14:paraId="50D7BE6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（3）风险提成部分最高不超过成交总价的 60%，根据本案终审判决结果据实结算。核算公式：风险提成 = 成交总价 × 60% × 尾款核算比例，尾款核算比例按合同约定计取。</w:t>
            </w:r>
          </w:p>
        </w:tc>
      </w:tr>
      <w:tr w14:paraId="0B8B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0B189E7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最高限价</w:t>
            </w:r>
          </w:p>
        </w:tc>
        <w:tc>
          <w:tcPr>
            <w:tcW w:w="7482" w:type="dxa"/>
            <w:tcMar>
              <w:top w:w="60" w:type="dxa"/>
              <w:left w:w="120" w:type="dxa"/>
              <w:bottom w:w="30" w:type="dxa"/>
              <w:right w:w="120" w:type="dxa"/>
            </w:tcMar>
            <w:vAlign w:val="center"/>
          </w:tcPr>
          <w:p w14:paraId="08D7D1DB">
            <w:pPr>
              <w:pStyle w:val="4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以根据安徽省物价局2016年2月10日发布的《安徽律师收费标准》{皖价服[2016]13号}文件得出的计算结果（以下限为准）*50%为本次比选的最高限价，即114562.73元。</w:t>
            </w:r>
          </w:p>
        </w:tc>
      </w:tr>
      <w:tr w14:paraId="0C19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4D64FC1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服务期限</w:t>
            </w:r>
          </w:p>
        </w:tc>
        <w:tc>
          <w:tcPr>
            <w:tcW w:w="7482" w:type="dxa"/>
            <w:tcMar>
              <w:top w:w="60" w:type="dxa"/>
              <w:left w:w="120" w:type="dxa"/>
              <w:bottom w:w="30" w:type="dxa"/>
              <w:right w:w="120" w:type="dxa"/>
            </w:tcMar>
            <w:vAlign w:val="center"/>
          </w:tcPr>
          <w:p w14:paraId="0915E84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自接受采购人委托通知之日起到案件执行终结，包括所有诉讼阶段，包括但不限于一审、二审、再审（如有）、强制执行等全部司法阶段；若本案出具终审裁判文书后，原告基于同一事实、同一法律关系另行起诉的，</w:t>
            </w:r>
            <w:r>
              <w:rPr>
                <w:rFonts w:hint="eastAsia" w:ascii="仿宋" w:hAnsi="仿宋" w:eastAsia="仿宋" w:cs="仿宋"/>
                <w:color w:val="auto"/>
                <w:sz w:val="24"/>
                <w:szCs w:val="24"/>
                <w:highlight w:val="none"/>
                <w:lang w:val="en-US" w:eastAsia="zh-CN"/>
              </w:rPr>
              <w:t>成交人</w:t>
            </w:r>
            <w:r>
              <w:rPr>
                <w:rFonts w:hint="default" w:ascii="仿宋" w:hAnsi="仿宋" w:eastAsia="仿宋" w:cs="仿宋"/>
                <w:color w:val="auto"/>
                <w:sz w:val="24"/>
                <w:szCs w:val="24"/>
                <w:highlight w:val="none"/>
                <w:lang w:eastAsia="zh-CN"/>
              </w:rPr>
              <w:t>仍应提供全流程代理服务，对应服务成本已全部包含在合同总价内，采购人无需另行支付任何费用。</w:t>
            </w:r>
          </w:p>
        </w:tc>
      </w:tr>
      <w:tr w14:paraId="4235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9DF5A5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付款方式</w:t>
            </w:r>
          </w:p>
        </w:tc>
        <w:tc>
          <w:tcPr>
            <w:tcW w:w="7482" w:type="dxa"/>
            <w:tcMar>
              <w:top w:w="60" w:type="dxa"/>
              <w:left w:w="120" w:type="dxa"/>
              <w:bottom w:w="30" w:type="dxa"/>
              <w:right w:w="120" w:type="dxa"/>
            </w:tcMar>
            <w:vAlign w:val="center"/>
          </w:tcPr>
          <w:p w14:paraId="38C9142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若案件周期大于一年，则在案件首次开庭后一年后支付至基础服务费的30%，剩余代理费待案件终结并办理结算后一次性支付；若案件在一年内终结，则所有案件代理费均在案件终结并办理结算后一次性支付。</w:t>
            </w:r>
          </w:p>
        </w:tc>
      </w:tr>
      <w:tr w14:paraId="4B80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8E463B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w:t>
            </w:r>
            <w:r>
              <w:rPr>
                <w:rFonts w:hint="default" w:ascii="仿宋" w:hAnsi="仿宋" w:eastAsia="仿宋" w:cs="仿宋"/>
                <w:color w:val="auto"/>
                <w:sz w:val="24"/>
                <w:szCs w:val="24"/>
                <w:highlight w:val="none"/>
                <w:lang w:eastAsia="zh-CN"/>
              </w:rPr>
              <w:t>及结算</w:t>
            </w:r>
            <w:r>
              <w:rPr>
                <w:rFonts w:hint="eastAsia" w:ascii="仿宋" w:hAnsi="仿宋" w:eastAsia="仿宋" w:cs="仿宋"/>
                <w:color w:val="auto"/>
                <w:sz w:val="24"/>
                <w:szCs w:val="24"/>
                <w:highlight w:val="none"/>
                <w:lang w:val="en-US" w:eastAsia="zh-CN"/>
              </w:rPr>
              <w:t>要求</w:t>
            </w:r>
          </w:p>
        </w:tc>
        <w:tc>
          <w:tcPr>
            <w:tcW w:w="7482" w:type="dxa"/>
            <w:tcMar>
              <w:top w:w="60" w:type="dxa"/>
              <w:left w:w="120" w:type="dxa"/>
              <w:bottom w:w="30" w:type="dxa"/>
              <w:right w:w="120" w:type="dxa"/>
            </w:tcMar>
            <w:vAlign w:val="center"/>
          </w:tcPr>
          <w:p w14:paraId="3305EB8F">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涵盖立案、庭审、证据梳理、文书起草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文件邮寄收发等所有诉讼阶段（包括但不限于一审、二审、终审等）所有内容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除此以外不再额外收取其他任何费用；案件如涉及异地差旅费、造价鉴定协助费等其他相关费用，均须考虑在报价内；</w:t>
            </w:r>
          </w:p>
          <w:p w14:paraId="45B2602F">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报价包含本案全流程所有查询、复印、交通、食宿、文书、鉴定辅助、执行异议等全部衍生支出，采购人无需另行支付任何费用；</w:t>
            </w:r>
          </w:p>
          <w:p w14:paraId="2D8FFD59">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本次比选案件代理费（律师费）采用“基础服务费+风险提成（终审判决后结算尾款）”的结算方式，即基础服务费按总报价*40%固定包干，剩余代理费根据诉讼结果据实结算，最高不超过成交总价的 60%，具体详见合同有关约定；</w:t>
            </w:r>
          </w:p>
          <w:p w14:paraId="19506891">
            <w:pPr>
              <w:pStyle w:val="459"/>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其他说明：若发生原告撤诉</w:t>
            </w:r>
            <w:r>
              <w:rPr>
                <w:rFonts w:hint="eastAsia"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lang w:eastAsia="zh-CN"/>
              </w:rPr>
              <w:t>原被告达成庭前/庭外和解情形等其他情况的，最终案件代理费</w:t>
            </w:r>
            <w:r>
              <w:rPr>
                <w:rFonts w:hint="eastAsia" w:ascii="仿宋" w:hAnsi="仿宋" w:eastAsia="仿宋" w:cs="仿宋"/>
                <w:color w:val="auto"/>
                <w:sz w:val="24"/>
                <w:szCs w:val="24"/>
                <w:highlight w:val="none"/>
                <w:lang w:val="en-US" w:eastAsia="zh-CN"/>
              </w:rPr>
              <w:t>根据合同约定的结算规则核定</w:t>
            </w:r>
            <w:r>
              <w:rPr>
                <w:rFonts w:hint="default" w:ascii="仿宋" w:hAnsi="仿宋" w:eastAsia="仿宋" w:cs="仿宋"/>
                <w:color w:val="auto"/>
                <w:sz w:val="24"/>
                <w:szCs w:val="24"/>
                <w:highlight w:val="none"/>
                <w:lang w:eastAsia="zh-CN"/>
              </w:rPr>
              <w:t>。</w:t>
            </w:r>
          </w:p>
        </w:tc>
      </w:tr>
      <w:tr w14:paraId="495A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A2FB035">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服务内容</w:t>
            </w:r>
          </w:p>
        </w:tc>
        <w:tc>
          <w:tcPr>
            <w:tcW w:w="7482" w:type="dxa"/>
            <w:tcMar>
              <w:top w:w="60" w:type="dxa"/>
              <w:left w:w="120" w:type="dxa"/>
              <w:bottom w:w="30" w:type="dxa"/>
              <w:right w:w="120" w:type="dxa"/>
            </w:tcMar>
            <w:vAlign w:val="center"/>
          </w:tcPr>
          <w:p w14:paraId="32459CA0">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1.证据归集整理：全面调查、收集案涉合同、费用确认单、往来函件、转账凭证等全部涉案证据，完成证据分类、梳理及举证材料编制；</w:t>
            </w:r>
          </w:p>
          <w:p w14:paraId="5334FAE9">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2.法律文书处理：起草起诉状、答辩状、代理词、调解协议、执行申请书、异议申请书等全套诉讼、执行法律文书，负责全部文书的打印、邮寄、送达、签收管理；</w:t>
            </w:r>
          </w:p>
          <w:p w14:paraId="535ECB07">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3.庭审及协商工作：全程参与诉前协商、庭外谈判、法院调解、一审/二审/再审庭审等全部司法程序，当庭发表代理意见、开展举证质证与法庭辩论；</w:t>
            </w:r>
          </w:p>
          <w:p w14:paraId="1DEECDF3">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4.强制执行代理：案件进入执行阶段后，全权办理被执行人财产线索查询、财产查控、查封冻结、案款对接回收等全部执行相关事务；</w:t>
            </w:r>
          </w:p>
          <w:p w14:paraId="2197C997">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5.反诉专项代理：依据已收集的案件证据材料，代为研判、起草反诉材料，依法提起反诉并核算主张反诉金额，全程跟进反诉审理流程；</w:t>
            </w:r>
          </w:p>
          <w:p w14:paraId="1DAB8B1E">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6.配套事务包干：承担本案全流程衍生配套工作，包括但不限于工商、不动产、银行档案查询、材料复印、执行异议/复议办理、司法鉴定对接协助等全部辅助工作；</w:t>
            </w:r>
          </w:p>
          <w:p w14:paraId="2CC645C3">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7.除本条款列明事项外，凡与本案一审、二审、再审、执行全流程相关的必要法律事务，均属于乙方服务范围，相关成本全部包含在合同总价内。</w:t>
            </w:r>
          </w:p>
          <w:p w14:paraId="5EACE148">
            <w:pPr>
              <w:pStyle w:val="45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right="0" w:rightChars="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8.</w:t>
            </w:r>
            <w:r>
              <w:rPr>
                <w:rFonts w:hint="default" w:ascii="仿宋" w:hAnsi="仿宋" w:eastAsia="仿宋" w:cs="仿宋"/>
                <w:color w:val="auto"/>
                <w:sz w:val="24"/>
                <w:szCs w:val="24"/>
                <w:highlight w:val="none"/>
                <w:lang w:eastAsia="zh-CN"/>
              </w:rPr>
              <w:t>费用补充说明：①合同总价为固定包干价，已综合覆盖</w:t>
            </w:r>
            <w:r>
              <w:rPr>
                <w:rFonts w:hint="eastAsia" w:ascii="仿宋" w:hAnsi="仿宋" w:eastAsia="仿宋" w:cs="仿宋"/>
                <w:color w:val="auto"/>
                <w:sz w:val="24"/>
                <w:szCs w:val="24"/>
                <w:highlight w:val="none"/>
                <w:lang w:val="en-US" w:eastAsia="zh-CN"/>
              </w:rPr>
              <w:t>成交人</w:t>
            </w:r>
            <w:r>
              <w:rPr>
                <w:rFonts w:hint="default" w:ascii="仿宋" w:hAnsi="仿宋" w:eastAsia="仿宋" w:cs="仿宋"/>
                <w:color w:val="auto"/>
                <w:sz w:val="24"/>
                <w:szCs w:val="24"/>
                <w:highlight w:val="none"/>
                <w:lang w:eastAsia="zh-CN"/>
              </w:rPr>
              <w:t>完成上述全部服务所需交通费、住宿费、餐饮费、材料复印费、异地办案差旅、鉴定辅助配套支出等所有相关费用，</w:t>
            </w:r>
            <w:r>
              <w:rPr>
                <w:rFonts w:hint="eastAsia" w:ascii="仿宋" w:hAnsi="仿宋" w:eastAsia="仿宋" w:cs="仿宋"/>
                <w:color w:val="auto"/>
                <w:sz w:val="24"/>
                <w:szCs w:val="24"/>
                <w:highlight w:val="none"/>
                <w:lang w:val="en-US" w:eastAsia="zh-CN"/>
              </w:rPr>
              <w:t>采购人</w:t>
            </w:r>
            <w:r>
              <w:rPr>
                <w:rFonts w:hint="default" w:ascii="仿宋" w:hAnsi="仿宋" w:eastAsia="仿宋" w:cs="仿宋"/>
                <w:color w:val="auto"/>
                <w:sz w:val="24"/>
                <w:szCs w:val="24"/>
                <w:highlight w:val="none"/>
                <w:lang w:eastAsia="zh-CN"/>
              </w:rPr>
              <w:t>无需另行支付任何款项；②案涉全流程证据调取、文书制作、庭审、调解、反诉、执行、异议等全部法律事务均由</w:t>
            </w:r>
            <w:r>
              <w:rPr>
                <w:rFonts w:hint="eastAsia" w:ascii="仿宋" w:hAnsi="仿宋" w:eastAsia="仿宋" w:cs="仿宋"/>
                <w:color w:val="auto"/>
                <w:sz w:val="24"/>
                <w:szCs w:val="24"/>
                <w:highlight w:val="none"/>
                <w:lang w:val="en-US" w:eastAsia="zh-CN"/>
              </w:rPr>
              <w:t>成交人</w:t>
            </w:r>
            <w:r>
              <w:rPr>
                <w:rFonts w:hint="default" w:ascii="仿宋" w:hAnsi="仿宋" w:eastAsia="仿宋" w:cs="仿宋"/>
                <w:color w:val="auto"/>
                <w:sz w:val="24"/>
                <w:szCs w:val="24"/>
                <w:highlight w:val="none"/>
                <w:lang w:eastAsia="zh-CN"/>
              </w:rPr>
              <w:t>独立完成；</w:t>
            </w:r>
            <w:r>
              <w:rPr>
                <w:rFonts w:hint="eastAsia" w:ascii="仿宋" w:hAnsi="仿宋" w:eastAsia="仿宋" w:cs="仿宋"/>
                <w:color w:val="auto"/>
                <w:sz w:val="24"/>
                <w:szCs w:val="24"/>
                <w:highlight w:val="none"/>
                <w:lang w:val="en-US" w:eastAsia="zh-CN"/>
              </w:rPr>
              <w:t>采购人</w:t>
            </w:r>
            <w:r>
              <w:rPr>
                <w:rFonts w:hint="default" w:ascii="仿宋" w:hAnsi="仿宋" w:eastAsia="仿宋" w:cs="仿宋"/>
                <w:color w:val="auto"/>
                <w:sz w:val="24"/>
                <w:szCs w:val="24"/>
                <w:highlight w:val="none"/>
                <w:lang w:eastAsia="zh-CN"/>
              </w:rPr>
              <w:t>仅配合提供自身留存的合同、函件、付款凭证等基础原始资料，不承担证据整理、文书起草、外出调查等代理工作。</w:t>
            </w:r>
          </w:p>
        </w:tc>
      </w:tr>
    </w:tbl>
    <w:p w14:paraId="56AE91F7">
      <w:pPr>
        <w:rPr>
          <w:rFonts w:hint="eastAsia" w:ascii="宋体" w:hAnsi="宋体" w:cs="宋体"/>
          <w:color w:val="auto"/>
          <w:szCs w:val="21"/>
          <w:highlight w:val="none"/>
        </w:rPr>
      </w:pPr>
      <w:r>
        <w:rPr>
          <w:rFonts w:hint="eastAsia" w:ascii="宋体" w:hAnsi="宋体" w:cs="宋体"/>
          <w:color w:val="auto"/>
          <w:szCs w:val="21"/>
          <w:highlight w:val="none"/>
        </w:rPr>
        <w:br w:type="page"/>
      </w:r>
    </w:p>
    <w:bookmarkEnd w:id="60"/>
    <w:bookmarkEnd w:id="61"/>
    <w:bookmarkEnd w:id="62"/>
    <w:p w14:paraId="55747123">
      <w:pPr>
        <w:pStyle w:val="2"/>
        <w:numPr>
          <w:ilvl w:val="0"/>
          <w:numId w:val="9"/>
        </w:numPr>
        <w:spacing w:before="62" w:beforeLines="20" w:after="62" w:afterLines="20" w:line="480" w:lineRule="exact"/>
        <w:ind w:left="0" w:leftChars="0" w:firstLine="0" w:firstLineChars="0"/>
        <w:jc w:val="center"/>
        <w:rPr>
          <w:rFonts w:hint="eastAsia" w:ascii="Arial" w:hAnsi="Arial"/>
          <w:color w:val="auto"/>
          <w:kern w:val="2"/>
          <w:sz w:val="32"/>
          <w:szCs w:val="32"/>
          <w:highlight w:val="none"/>
          <w:lang w:val="en-US" w:eastAsia="zh-CN"/>
        </w:rPr>
      </w:pPr>
      <w:bookmarkStart w:id="63" w:name="_Toc54941341"/>
      <w:bookmarkStart w:id="64" w:name="_Toc8981"/>
      <w:bookmarkStart w:id="65" w:name="_Toc25399"/>
      <w:bookmarkStart w:id="66" w:name="_Toc439316880"/>
      <w:r>
        <w:rPr>
          <w:rFonts w:hint="eastAsia" w:ascii="Arial" w:hAnsi="Arial"/>
          <w:color w:val="auto"/>
          <w:kern w:val="2"/>
          <w:sz w:val="32"/>
          <w:szCs w:val="32"/>
          <w:highlight w:val="none"/>
          <w:lang w:val="en-US" w:eastAsia="zh-CN"/>
        </w:rPr>
        <w:t>安通建设集团(2026)皖0811民初5188号案诉讼</w:t>
      </w:r>
    </w:p>
    <w:p w14:paraId="0ADF93E7">
      <w:pPr>
        <w:pStyle w:val="2"/>
        <w:numPr>
          <w:ilvl w:val="0"/>
          <w:numId w:val="0"/>
        </w:numPr>
        <w:spacing w:before="62" w:beforeLines="20" w:after="62" w:afterLines="20" w:line="480" w:lineRule="exact"/>
        <w:ind w:leftChars="0"/>
        <w:jc w:val="center"/>
        <w:rPr>
          <w:rFonts w:hint="default"/>
          <w:color w:val="auto"/>
          <w:highlight w:val="none"/>
          <w:lang w:val="en-US" w:eastAsia="zh-CN"/>
        </w:rPr>
      </w:pPr>
      <w:r>
        <w:rPr>
          <w:rFonts w:hint="eastAsia" w:ascii="Arial" w:hAnsi="Arial"/>
          <w:color w:val="auto"/>
          <w:kern w:val="2"/>
          <w:sz w:val="32"/>
          <w:szCs w:val="32"/>
          <w:highlight w:val="none"/>
          <w:lang w:val="en-US" w:eastAsia="zh-CN"/>
        </w:rPr>
        <w:t>委托代理服务合同</w:t>
      </w:r>
    </w:p>
    <w:p w14:paraId="023F6188">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none"/>
          <w:lang w:eastAsia="zh-CN"/>
        </w:rPr>
      </w:pPr>
      <w:r>
        <w:rPr>
          <w:rFonts w:hint="eastAsia" w:ascii="仿宋" w:hAnsi="仿宋" w:eastAsia="仿宋" w:cs="仿宋"/>
          <w:b w:val="0"/>
          <w:bCs/>
          <w:color w:val="auto"/>
          <w:sz w:val="28"/>
          <w:szCs w:val="28"/>
          <w:highlight w:val="none"/>
          <w:lang w:val="en-US" w:eastAsia="zh-CN"/>
        </w:rPr>
        <w:t>采购</w:t>
      </w:r>
      <w:r>
        <w:rPr>
          <w:rFonts w:hint="eastAsia" w:ascii="仿宋" w:hAnsi="仿宋" w:eastAsia="仿宋" w:cs="仿宋"/>
          <w:b w:val="0"/>
          <w:bCs/>
          <w:color w:val="auto"/>
          <w:sz w:val="28"/>
          <w:szCs w:val="28"/>
          <w:highlight w:val="none"/>
        </w:rPr>
        <w:t>人（甲方）：</w:t>
      </w:r>
      <w:r>
        <w:rPr>
          <w:rFonts w:hint="eastAsia" w:ascii="仿宋" w:hAnsi="仿宋" w:eastAsia="仿宋" w:cs="仿宋"/>
          <w:b w:val="0"/>
          <w:bCs/>
          <w:color w:val="auto"/>
          <w:sz w:val="28"/>
          <w:szCs w:val="28"/>
          <w:highlight w:val="none"/>
          <w:u w:val="single"/>
          <w:lang w:eastAsia="zh-CN"/>
        </w:rPr>
        <w:t>安庆市安通建设集团有限公司</w:t>
      </w:r>
      <w:r>
        <w:rPr>
          <w:rFonts w:hint="eastAsia" w:ascii="仿宋" w:hAnsi="仿宋" w:eastAsia="仿宋" w:cs="仿宋"/>
          <w:b w:val="0"/>
          <w:bCs/>
          <w:color w:val="auto"/>
          <w:sz w:val="28"/>
          <w:szCs w:val="28"/>
          <w:highlight w:val="none"/>
          <w:u w:val="none"/>
          <w:lang w:eastAsia="zh-CN"/>
        </w:rPr>
        <w:t>（</w:t>
      </w:r>
      <w:r>
        <w:rPr>
          <w:rFonts w:hint="eastAsia" w:ascii="仿宋" w:hAnsi="仿宋" w:eastAsia="仿宋" w:cs="仿宋"/>
          <w:b w:val="0"/>
          <w:bCs/>
          <w:color w:val="auto"/>
          <w:sz w:val="28"/>
          <w:szCs w:val="28"/>
          <w:highlight w:val="none"/>
          <w:u w:val="none"/>
          <w:lang w:val="en-US" w:eastAsia="zh-CN"/>
        </w:rPr>
        <w:t>简称“安通公司”</w:t>
      </w:r>
      <w:r>
        <w:rPr>
          <w:rFonts w:hint="eastAsia" w:ascii="仿宋" w:hAnsi="仿宋" w:eastAsia="仿宋" w:cs="仿宋"/>
          <w:b w:val="0"/>
          <w:bCs/>
          <w:color w:val="auto"/>
          <w:sz w:val="28"/>
          <w:szCs w:val="28"/>
          <w:highlight w:val="none"/>
          <w:u w:val="none"/>
          <w:lang w:eastAsia="zh-CN"/>
        </w:rPr>
        <w:t>）</w:t>
      </w:r>
    </w:p>
    <w:p w14:paraId="61158992">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default"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成交</w:t>
      </w:r>
      <w:r>
        <w:rPr>
          <w:rFonts w:hint="eastAsia" w:ascii="仿宋" w:hAnsi="仿宋" w:eastAsia="仿宋" w:cs="仿宋"/>
          <w:b w:val="0"/>
          <w:bCs/>
          <w:color w:val="auto"/>
          <w:sz w:val="28"/>
          <w:szCs w:val="28"/>
          <w:highlight w:val="none"/>
        </w:rPr>
        <w:t>人（乙方）：</w:t>
      </w:r>
      <w:r>
        <w:rPr>
          <w:rFonts w:hint="eastAsia" w:ascii="仿宋" w:hAnsi="仿宋" w:eastAsia="仿宋" w:cs="仿宋"/>
          <w:b w:val="0"/>
          <w:bCs/>
          <w:color w:val="auto"/>
          <w:sz w:val="28"/>
          <w:szCs w:val="28"/>
          <w:highlight w:val="none"/>
          <w:u w:val="single"/>
          <w:lang w:val="en-US" w:eastAsia="zh-CN"/>
        </w:rPr>
        <w:t xml:space="preserve">                        </w:t>
      </w:r>
    </w:p>
    <w:p w14:paraId="206D769F">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157" w:afterLines="5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相关方（丙方）：</w:t>
      </w:r>
      <w:r>
        <w:rPr>
          <w:rFonts w:hint="eastAsia" w:ascii="仿宋" w:hAnsi="仿宋" w:eastAsia="仿宋" w:cs="仿宋"/>
          <w:b w:val="0"/>
          <w:bCs/>
          <w:color w:val="auto"/>
          <w:sz w:val="28"/>
          <w:szCs w:val="28"/>
          <w:highlight w:val="none"/>
          <w:u w:val="single"/>
          <w:lang w:val="en-US" w:eastAsia="zh-CN"/>
        </w:rPr>
        <w:t>安庆市通盛置业有限公司</w:t>
      </w:r>
      <w:r>
        <w:rPr>
          <w:rFonts w:hint="eastAsia" w:ascii="仿宋" w:hAnsi="仿宋" w:eastAsia="仿宋" w:cs="仿宋"/>
          <w:b w:val="0"/>
          <w:bCs/>
          <w:color w:val="auto"/>
          <w:sz w:val="28"/>
          <w:szCs w:val="28"/>
          <w:highlight w:val="none"/>
          <w:u w:val="none"/>
          <w:lang w:eastAsia="zh-CN"/>
        </w:rPr>
        <w:t>（</w:t>
      </w:r>
      <w:r>
        <w:rPr>
          <w:rFonts w:hint="eastAsia" w:ascii="仿宋" w:hAnsi="仿宋" w:eastAsia="仿宋" w:cs="仿宋"/>
          <w:b w:val="0"/>
          <w:bCs/>
          <w:color w:val="auto"/>
          <w:sz w:val="28"/>
          <w:szCs w:val="28"/>
          <w:highlight w:val="none"/>
          <w:u w:val="none"/>
          <w:lang w:val="en-US" w:eastAsia="zh-CN"/>
        </w:rPr>
        <w:t>简称“通盛公司”</w:t>
      </w:r>
      <w:r>
        <w:rPr>
          <w:rFonts w:hint="eastAsia" w:ascii="仿宋" w:hAnsi="仿宋" w:eastAsia="仿宋" w:cs="仿宋"/>
          <w:b w:val="0"/>
          <w:bCs/>
          <w:color w:val="auto"/>
          <w:sz w:val="28"/>
          <w:szCs w:val="28"/>
          <w:highlight w:val="none"/>
          <w:u w:val="none"/>
          <w:lang w:eastAsia="zh-CN"/>
        </w:rPr>
        <w:t>）</w:t>
      </w:r>
    </w:p>
    <w:p w14:paraId="76300354">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u w:val="none"/>
        </w:rPr>
      </w:pPr>
      <w:r>
        <w:rPr>
          <w:rFonts w:hint="eastAsia" w:ascii="仿宋" w:hAnsi="仿宋" w:eastAsia="仿宋" w:cs="仿宋"/>
          <w:bCs/>
          <w:color w:val="auto"/>
          <w:sz w:val="28"/>
          <w:szCs w:val="28"/>
          <w:highlight w:val="none"/>
        </w:rPr>
        <w:t>甲方与</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u w:val="none"/>
          <w:lang w:eastAsia="zh-CN"/>
        </w:rPr>
        <w:t>（</w:t>
      </w:r>
      <w:r>
        <w:rPr>
          <w:rFonts w:hint="eastAsia" w:ascii="仿宋" w:hAnsi="仿宋" w:eastAsia="仿宋" w:cs="仿宋"/>
          <w:bCs/>
          <w:color w:val="auto"/>
          <w:sz w:val="28"/>
          <w:szCs w:val="28"/>
          <w:highlight w:val="none"/>
          <w:u w:val="none"/>
          <w:lang w:val="en-US" w:eastAsia="zh-CN"/>
        </w:rPr>
        <w:t>简称</w:t>
      </w:r>
      <w:r>
        <w:rPr>
          <w:rFonts w:hint="eastAsia" w:ascii="仿宋" w:hAnsi="仿宋" w:eastAsia="仿宋" w:cs="仿宋"/>
          <w:bCs/>
          <w:color w:val="auto"/>
          <w:sz w:val="28"/>
          <w:szCs w:val="28"/>
          <w:highlight w:val="none"/>
          <w:u w:val="single"/>
          <w:lang w:val="en-US" w:eastAsia="zh-CN"/>
        </w:rPr>
        <w:t>“              ”</w:t>
      </w:r>
      <w:r>
        <w:rPr>
          <w:rFonts w:hint="eastAsia" w:ascii="仿宋" w:hAnsi="仿宋" w:eastAsia="仿宋" w:cs="仿宋"/>
          <w:bCs/>
          <w:color w:val="auto"/>
          <w:sz w:val="28"/>
          <w:szCs w:val="28"/>
          <w:highlight w:val="none"/>
          <w:u w:val="none"/>
          <w:lang w:eastAsia="zh-CN"/>
        </w:rPr>
        <w:t>）</w:t>
      </w:r>
      <w:r>
        <w:rPr>
          <w:rFonts w:hint="eastAsia" w:ascii="仿宋" w:hAnsi="仿宋" w:eastAsia="仿宋" w:cs="仿宋"/>
          <w:bCs/>
          <w:color w:val="auto"/>
          <w:sz w:val="28"/>
          <w:szCs w:val="28"/>
          <w:highlight w:val="none"/>
          <w:u w:val="none"/>
        </w:rPr>
        <w:t>因</w:t>
      </w:r>
    </w:p>
    <w:p w14:paraId="76C4E84B">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项目</w:t>
      </w:r>
      <w:r>
        <w:rPr>
          <w:rFonts w:hint="eastAsia" w:ascii="仿宋" w:hAnsi="仿宋" w:eastAsia="仿宋" w:cs="仿宋"/>
          <w:bCs/>
          <w:color w:val="auto"/>
          <w:sz w:val="28"/>
          <w:szCs w:val="28"/>
          <w:highlight w:val="none"/>
        </w:rPr>
        <w:t>地点：</w:t>
      </w:r>
      <w:r>
        <w:rPr>
          <w:rFonts w:hint="eastAsia" w:ascii="仿宋" w:hAnsi="仿宋" w:eastAsia="仿宋" w:cs="仿宋"/>
          <w:bCs/>
          <w:color w:val="auto"/>
          <w:sz w:val="28"/>
          <w:szCs w:val="28"/>
          <w:highlight w:val="none"/>
          <w:u w:val="single"/>
          <w:lang w:val="en-US" w:eastAsia="zh-CN"/>
        </w:rPr>
        <w:t>安徽安庆</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合同</w:t>
      </w:r>
      <w:r>
        <w:rPr>
          <w:rFonts w:hint="eastAsia" w:ascii="仿宋" w:hAnsi="仿宋" w:eastAsia="仿宋" w:cs="仿宋"/>
          <w:bCs/>
          <w:color w:val="auto"/>
          <w:sz w:val="28"/>
          <w:szCs w:val="28"/>
          <w:highlight w:val="none"/>
        </w:rPr>
        <w:t>的</w:t>
      </w:r>
      <w:r>
        <w:rPr>
          <w:rFonts w:hint="eastAsia" w:ascii="仿宋" w:hAnsi="仿宋" w:eastAsia="仿宋" w:cs="仿宋"/>
          <w:bCs/>
          <w:color w:val="auto"/>
          <w:sz w:val="28"/>
          <w:szCs w:val="28"/>
          <w:highlight w:val="none"/>
          <w:lang w:val="en-US" w:eastAsia="zh-CN"/>
        </w:rPr>
        <w:t>义务</w:t>
      </w:r>
      <w:r>
        <w:rPr>
          <w:rFonts w:hint="eastAsia" w:ascii="仿宋" w:hAnsi="仿宋" w:eastAsia="仿宋" w:cs="仿宋"/>
          <w:bCs/>
          <w:color w:val="auto"/>
          <w:sz w:val="28"/>
          <w:szCs w:val="28"/>
          <w:highlight w:val="none"/>
        </w:rPr>
        <w:t>履行发生争议，纠纷类型为</w:t>
      </w:r>
      <w:r>
        <w:rPr>
          <w:rFonts w:hint="eastAsia" w:ascii="仿宋" w:hAnsi="仿宋" w:eastAsia="仿宋" w:cs="仿宋"/>
          <w:bCs/>
          <w:color w:val="auto"/>
          <w:sz w:val="28"/>
          <w:szCs w:val="28"/>
          <w:highlight w:val="none"/>
          <w:u w:val="single"/>
          <w:lang w:val="en-US" w:eastAsia="zh-CN"/>
        </w:rPr>
        <w:t>关联债务承担及支付（具体详见法律文书）</w:t>
      </w:r>
      <w:r>
        <w:rPr>
          <w:rFonts w:hint="eastAsia" w:ascii="仿宋" w:hAnsi="仿宋" w:eastAsia="仿宋" w:cs="仿宋"/>
          <w:bCs/>
          <w:color w:val="auto"/>
          <w:sz w:val="28"/>
          <w:szCs w:val="28"/>
          <w:highlight w:val="none"/>
        </w:rPr>
        <w:t>，需委托乙方代理相关法律事务</w:t>
      </w:r>
      <w:r>
        <w:rPr>
          <w:rFonts w:hint="eastAsia" w:ascii="仿宋" w:hAnsi="仿宋" w:eastAsia="仿宋" w:cs="仿宋"/>
          <w:bCs/>
          <w:color w:val="auto"/>
          <w:sz w:val="28"/>
          <w:szCs w:val="28"/>
          <w:highlight w:val="none"/>
          <w:lang w:eastAsia="zh-CN"/>
        </w:rPr>
        <w:t>；</w:t>
      </w:r>
    </w:p>
    <w:p w14:paraId="27DB1BDD">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lang w:eastAsia="zh-CN"/>
        </w:rPr>
        <w:t>乙方具备处理</w:t>
      </w:r>
      <w:r>
        <w:rPr>
          <w:rFonts w:hint="eastAsia" w:ascii="仿宋" w:hAnsi="仿宋" w:eastAsia="仿宋" w:cs="仿宋"/>
          <w:bCs/>
          <w:color w:val="auto"/>
          <w:sz w:val="28"/>
          <w:szCs w:val="28"/>
          <w:highlight w:val="none"/>
          <w:lang w:val="en-US" w:eastAsia="zh-CN"/>
        </w:rPr>
        <w:t>民事合同</w:t>
      </w:r>
      <w:r>
        <w:rPr>
          <w:rFonts w:hint="eastAsia" w:ascii="仿宋" w:hAnsi="仿宋" w:eastAsia="仿宋" w:cs="仿宋"/>
          <w:bCs/>
          <w:color w:val="auto"/>
          <w:sz w:val="28"/>
          <w:szCs w:val="28"/>
          <w:highlight w:val="none"/>
          <w:lang w:eastAsia="zh-CN"/>
        </w:rPr>
        <w:t>纠纷的专业资质及经验，指派</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lang w:eastAsia="zh-CN"/>
        </w:rPr>
        <w:t>律师（执业证号：</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lang w:eastAsia="zh-CN"/>
        </w:rPr>
        <w:t>）作为</w:t>
      </w:r>
      <w:r>
        <w:rPr>
          <w:rFonts w:hint="eastAsia" w:ascii="仿宋" w:hAnsi="仿宋" w:eastAsia="仿宋" w:cs="仿宋"/>
          <w:bCs/>
          <w:color w:val="auto"/>
          <w:sz w:val="28"/>
          <w:szCs w:val="28"/>
          <w:highlight w:val="none"/>
          <w:lang w:val="en-US" w:eastAsia="zh-CN"/>
        </w:rPr>
        <w:t>主办</w:t>
      </w:r>
      <w:r>
        <w:rPr>
          <w:rFonts w:hint="eastAsia" w:ascii="仿宋" w:hAnsi="仿宋" w:eastAsia="仿宋" w:cs="仿宋"/>
          <w:bCs/>
          <w:color w:val="auto"/>
          <w:sz w:val="28"/>
          <w:szCs w:val="28"/>
          <w:highlight w:val="none"/>
          <w:lang w:eastAsia="zh-CN"/>
        </w:rPr>
        <w:t>律师；</w:t>
      </w:r>
    </w:p>
    <w:p w14:paraId="5978D699">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lang w:eastAsia="zh-CN"/>
        </w:rPr>
        <w:t>丙方为甲方的全资子公司，系</w:t>
      </w:r>
      <w:r>
        <w:rPr>
          <w:rFonts w:hint="eastAsia" w:ascii="仿宋" w:hAnsi="仿宋" w:eastAsia="仿宋" w:cs="仿宋"/>
          <w:bCs/>
          <w:color w:val="auto"/>
          <w:sz w:val="28"/>
          <w:szCs w:val="28"/>
          <w:highlight w:val="none"/>
          <w:lang w:val="en-US" w:eastAsia="zh-CN"/>
        </w:rPr>
        <w:t>案涉委托代建合同的委托人</w:t>
      </w:r>
      <w:r>
        <w:rPr>
          <w:rFonts w:hint="eastAsia" w:ascii="仿宋" w:hAnsi="仿宋" w:eastAsia="仿宋" w:cs="仿宋"/>
          <w:bCs/>
          <w:color w:val="auto"/>
          <w:sz w:val="28"/>
          <w:szCs w:val="28"/>
          <w:highlight w:val="none"/>
          <w:lang w:eastAsia="zh-CN"/>
        </w:rPr>
        <w:t>，负责提供案涉</w:t>
      </w:r>
      <w:r>
        <w:rPr>
          <w:rFonts w:hint="eastAsia" w:ascii="仿宋" w:hAnsi="仿宋" w:eastAsia="仿宋" w:cs="仿宋"/>
          <w:bCs/>
          <w:color w:val="auto"/>
          <w:sz w:val="28"/>
          <w:szCs w:val="28"/>
          <w:highlight w:val="none"/>
          <w:lang w:val="en-US" w:eastAsia="zh-CN"/>
        </w:rPr>
        <w:t>纠纷</w:t>
      </w:r>
      <w:r>
        <w:rPr>
          <w:rFonts w:hint="eastAsia" w:ascii="仿宋" w:hAnsi="仿宋" w:eastAsia="仿宋" w:cs="仿宋"/>
          <w:bCs/>
          <w:color w:val="auto"/>
          <w:sz w:val="28"/>
          <w:szCs w:val="28"/>
          <w:highlight w:val="none"/>
          <w:lang w:eastAsia="zh-CN"/>
        </w:rPr>
        <w:t>有关的证据材料，承担本项目相关的各类费用；</w:t>
      </w:r>
    </w:p>
    <w:p w14:paraId="40092EE4">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color w:val="auto"/>
          <w:highlight w:val="none"/>
          <w:lang w:eastAsia="zh-CN"/>
        </w:rPr>
      </w:pPr>
      <w:r>
        <w:rPr>
          <w:rFonts w:hint="eastAsia" w:ascii="仿宋" w:hAnsi="仿宋" w:eastAsia="仿宋" w:cs="仿宋"/>
          <w:bCs/>
          <w:color w:val="auto"/>
          <w:sz w:val="28"/>
          <w:szCs w:val="28"/>
          <w:highlight w:val="none"/>
          <w:lang w:eastAsia="zh-CN"/>
        </w:rPr>
        <w:t>根据《中华人民共和国民法典》《中华人民共和国律师法》等规定，双方协商一致，订立本合同。</w:t>
      </w:r>
    </w:p>
    <w:p w14:paraId="1195B86E">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一、代理事项与权限</w:t>
      </w:r>
    </w:p>
    <w:p w14:paraId="29135210">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（一）代理阶段</w:t>
      </w:r>
    </w:p>
    <w:p w14:paraId="22C21E5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非诉阶段（协商 / 调解 / 造价鉴定）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诉讼一审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诉讼二审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再审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强制执行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全阶段代理</w:t>
      </w:r>
    </w:p>
    <w:p w14:paraId="2EC79423">
      <w:pPr>
        <w:pStyle w:val="459"/>
        <w:keepNext w:val="0"/>
        <w:keepLines w:val="0"/>
        <w:pageBreakBefore w:val="0"/>
        <w:widowControl w:val="0"/>
        <w:kinsoku/>
        <w:overflowPunct/>
        <w:topLinePunct w:val="0"/>
        <w:autoSpaceDE/>
        <w:autoSpaceDN/>
        <w:bidi w:val="0"/>
        <w:adjustRightInd w:val="0"/>
        <w:snapToGrid w:val="0"/>
        <w:spacing w:before="0" w:after="0"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服务期限：自接受</w:t>
      </w:r>
      <w:r>
        <w:rPr>
          <w:rFonts w:hint="eastAsia" w:ascii="仿宋" w:hAnsi="仿宋" w:eastAsia="仿宋" w:cs="仿宋"/>
          <w:color w:val="auto"/>
          <w:sz w:val="28"/>
          <w:szCs w:val="28"/>
          <w:highlight w:val="none"/>
          <w:lang w:val="en-US" w:eastAsia="zh-CN"/>
        </w:rPr>
        <w:t>甲方、丙方</w:t>
      </w:r>
      <w:r>
        <w:rPr>
          <w:rFonts w:hint="eastAsia" w:ascii="仿宋" w:hAnsi="仿宋" w:eastAsia="仿宋" w:cs="仿宋"/>
          <w:color w:val="auto"/>
          <w:sz w:val="28"/>
          <w:szCs w:val="28"/>
          <w:highlight w:val="none"/>
        </w:rPr>
        <w:t>委托通知之日起到案件执行终结，包括所有诉讼阶段，包括但不限于一审、二审、再审（如有）、强制执行等全部司法阶段；若本案出具终审裁判文书后，原告基于同一事实、同一法律关系另行起诉的，乙方仍应提供全流程代理服务，对应服务成本已全部包含在本合同总价内，采购人无需另行支付任何费用。</w:t>
      </w:r>
    </w:p>
    <w:p w14:paraId="53AD43CD">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（二）具体服务内容</w:t>
      </w:r>
    </w:p>
    <w:p w14:paraId="288D78AF">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证据归集整理：全面调查、收集案涉合同、费用确认单、往来函件、转账凭证等全部涉案证据，完成证据分类、梳理及举证材料</w:t>
      </w:r>
      <w:r>
        <w:rPr>
          <w:rFonts w:hint="eastAsia" w:ascii="仿宋" w:hAnsi="仿宋" w:eastAsia="仿宋" w:cs="仿宋"/>
          <w:color w:val="auto"/>
          <w:sz w:val="28"/>
          <w:szCs w:val="28"/>
          <w:highlight w:val="none"/>
          <w:lang w:val="en-US" w:eastAsia="zh-CN"/>
        </w:rPr>
        <w:t>编制</w:t>
      </w:r>
      <w:r>
        <w:rPr>
          <w:rFonts w:hint="eastAsia" w:ascii="仿宋" w:hAnsi="仿宋" w:eastAsia="仿宋" w:cs="仿宋"/>
          <w:color w:val="auto"/>
          <w:sz w:val="28"/>
          <w:szCs w:val="28"/>
          <w:highlight w:val="none"/>
        </w:rPr>
        <w:t>；</w:t>
      </w:r>
    </w:p>
    <w:p w14:paraId="39F66EAB">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法律文书处理：起草起诉状、答辩状、代理词、调解协议、执行申请书、异议申请书等全套诉讼、执行法律文书，负责全部文书的打印、邮寄、送达、签收管理；</w:t>
      </w:r>
    </w:p>
    <w:p w14:paraId="705FCFFF">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庭审及协商工作：全程参与诉前协商、庭外谈判、法院调解、一审/二审/再审庭审等全部司法程序，当庭发表代理意见、开展举证质证与法庭辩论；</w:t>
      </w:r>
    </w:p>
    <w:p w14:paraId="36797905">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强制执行代理：案件进入执行阶段后，全权办理被执行人财产线索查询、财产查控、查封冻结、案款对接回收等全部执行相关事务；</w:t>
      </w:r>
    </w:p>
    <w:p w14:paraId="2084B890">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反诉专项代理：依据已收集的案件证据材料，代为研判、起草反诉材料，依法提起反诉并核算主张反诉金额，全程跟进反诉审理流程；</w:t>
      </w:r>
    </w:p>
    <w:p w14:paraId="2354AA10">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配套事务包干：承担本案全流程衍生配套工作，包括但不限于工商、不动产、银行档案查询、材料复印、执行异议/复议办理、司法鉴定对接协助等全部辅助工作</w:t>
      </w:r>
      <w:r>
        <w:rPr>
          <w:rFonts w:hint="eastAsia" w:ascii="仿宋" w:hAnsi="仿宋" w:eastAsia="仿宋" w:cs="仿宋"/>
          <w:color w:val="auto"/>
          <w:sz w:val="28"/>
          <w:szCs w:val="28"/>
          <w:highlight w:val="none"/>
          <w:lang w:eastAsia="zh-CN"/>
        </w:rPr>
        <w:t>；</w:t>
      </w:r>
    </w:p>
    <w:p w14:paraId="4148DFD1">
      <w:pPr>
        <w:pStyle w:val="459"/>
        <w:keepNext w:val="0"/>
        <w:keepLines w:val="0"/>
        <w:pageBreakBefore w:val="0"/>
        <w:widowControl w:val="0"/>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除本条款列明事项外，凡与本案一审、二审、再审、执行全流程相关的必要法律事务，均属于乙方服务范围，相关成本全部包含在合同总价内。</w:t>
      </w:r>
    </w:p>
    <w:p w14:paraId="67FACF1A">
      <w:pPr>
        <w:pStyle w:val="459"/>
        <w:keepNext w:val="0"/>
        <w:keepLines w:val="0"/>
        <w:pageBreakBefore w:val="0"/>
        <w:widowControl/>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费用补充说明</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val="en-US" w:eastAsia="zh-CN"/>
        </w:rPr>
        <w:t>①本合同总价为固定包干价，已综合覆盖乙方完成上述全部服务所需交通费、住宿费、餐饮费、材料复印费、异地办案差旅、鉴定辅助配套支出等所有相关费用，甲方、丙方无需另行支付任何款项；②案涉全流程证据调取、文书制作、庭审、调解、反诉、执行、异议等全部法律事务均由乙方独立完成；甲方、丙方仅配合提供自身留存的合同、函件、付款凭证等基础原始资料，不承担证据整理、文书起草、外出调查等代理工作</w:t>
      </w:r>
      <w:r>
        <w:rPr>
          <w:rFonts w:hint="eastAsia" w:ascii="仿宋" w:hAnsi="仿宋" w:eastAsia="仿宋" w:cs="仿宋"/>
          <w:color w:val="auto"/>
          <w:sz w:val="28"/>
          <w:szCs w:val="28"/>
          <w:highlight w:val="none"/>
        </w:rPr>
        <w:t>。</w:t>
      </w:r>
    </w:p>
    <w:p w14:paraId="23BDEA3C">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（三）代理权限</w:t>
      </w:r>
    </w:p>
    <w:p w14:paraId="6DF9E76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一般授权（代为提交证据、出庭辩论等）</w:t>
      </w:r>
    </w:p>
    <w:p w14:paraId="27FDE42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特别授权：代为承认、变更、放弃诉讼请求，开展调解、和解协商，代为签收、领取本案相关法律文书；</w:t>
      </w:r>
    </w:p>
    <w:p w14:paraId="7E7291D2">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乙方开展和解、作出放弃重大债权的处分行为前，必须事先书面征求甲方意见，未取得甲方书面许可不得擅自实施</w:t>
      </w:r>
      <w:bookmarkStart w:id="67" w:name="_Toc7509"/>
      <w:r>
        <w:rPr>
          <w:rFonts w:hint="eastAsia" w:ascii="仿宋" w:hAnsi="仿宋" w:eastAsia="仿宋" w:cs="仿宋"/>
          <w:color w:val="auto"/>
          <w:sz w:val="28"/>
          <w:szCs w:val="28"/>
          <w:highlight w:val="none"/>
          <w:lang w:eastAsia="zh-CN"/>
        </w:rPr>
        <w:t>，否则由此产生的全部损失由乙方承担。</w:t>
      </w:r>
    </w:p>
    <w:p w14:paraId="0C3591DA">
      <w:pPr>
        <w:pStyle w:val="45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案件概况</w:t>
      </w:r>
      <w:bookmarkEnd w:id="67"/>
    </w:p>
    <w:p w14:paraId="456679F3">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原告：蓝城房产建设管理集团有限公司；</w:t>
      </w:r>
    </w:p>
    <w:p w14:paraId="16AFBED5">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被告：①被告1:安庆市通盛置业有限公司；②被告2:安庆市安通建设集团有限公司；</w:t>
      </w:r>
    </w:p>
    <w:p w14:paraId="02165BF2">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诉讼标的额：16712546.38元；</w:t>
      </w:r>
    </w:p>
    <w:p w14:paraId="07003A6A">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具体详见比选文件附件《安庆市宜秀区人民法院传票文书【案号：(2026)皖0811民初5188号】》及证据明细。</w:t>
      </w:r>
    </w:p>
    <w:p w14:paraId="76795066">
      <w:pPr>
        <w:pStyle w:val="45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bookmarkStart w:id="68" w:name="_Toc11261"/>
      <w:r>
        <w:rPr>
          <w:rFonts w:hint="eastAsia" w:ascii="仿宋" w:hAnsi="仿宋" w:eastAsia="仿宋" w:cs="仿宋"/>
          <w:b/>
          <w:bCs/>
          <w:color w:val="auto"/>
          <w:sz w:val="28"/>
          <w:szCs w:val="28"/>
          <w:highlight w:val="none"/>
          <w:lang w:val="en-US" w:eastAsia="zh-CN"/>
        </w:rPr>
        <w:t>（五）代理团队配置</w:t>
      </w:r>
      <w:bookmarkEnd w:id="68"/>
    </w:p>
    <w:tbl>
      <w:tblPr>
        <w:tblStyle w:val="61"/>
        <w:tblW w:w="8687"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2"/>
        <w:gridCol w:w="1637"/>
        <w:gridCol w:w="2205"/>
        <w:gridCol w:w="1575"/>
        <w:gridCol w:w="2318"/>
      </w:tblGrid>
      <w:tr w14:paraId="5E7D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7" w:hRule="exact"/>
          <w:tblHeader/>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3903EE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姓名</w:t>
            </w: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279A7D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本案团队角色</w:t>
            </w: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33F737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职务</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5DF73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r>
              <w:rPr>
                <w:rFonts w:hint="eastAsia" w:ascii="仿宋" w:hAnsi="仿宋" w:eastAsia="仿宋" w:cs="仿宋"/>
                <w:color w:val="auto"/>
                <w:kern w:val="2"/>
                <w:sz w:val="21"/>
                <w:szCs w:val="21"/>
                <w:highlight w:val="none"/>
                <w:lang w:val="en-US" w:eastAsia="zh-CN" w:bidi="ar"/>
              </w:rPr>
              <w:t>法律从业年限</w:t>
            </w: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05A1F2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执业资格证号</w:t>
            </w:r>
          </w:p>
        </w:tc>
      </w:tr>
      <w:tr w14:paraId="5BD3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5FE6BA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4C340E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7ECFF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28974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5903E0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p>
        </w:tc>
      </w:tr>
      <w:tr w14:paraId="6029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5F20D3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77D09B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0AA36F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E1C06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11E01E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p>
        </w:tc>
      </w:tr>
      <w:tr w14:paraId="116A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right"/>
        </w:trPr>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497ABC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仿宋" w:hAnsi="仿宋" w:eastAsia="仿宋" w:cs="仿宋"/>
                <w:color w:val="auto"/>
                <w:sz w:val="21"/>
                <w:szCs w:val="21"/>
                <w:highlight w:val="none"/>
                <w:lang w:val="en-US"/>
              </w:rPr>
            </w:pPr>
          </w:p>
        </w:tc>
        <w:tc>
          <w:tcPr>
            <w:tcW w:w="1637" w:type="dxa"/>
            <w:tcBorders>
              <w:top w:val="single" w:color="auto" w:sz="4" w:space="0"/>
              <w:left w:val="single" w:color="auto" w:sz="4" w:space="0"/>
              <w:bottom w:val="single" w:color="auto" w:sz="4" w:space="0"/>
              <w:right w:val="single" w:color="auto" w:sz="4" w:space="0"/>
            </w:tcBorders>
            <w:shd w:val="clear" w:color="auto" w:fill="auto"/>
            <w:vAlign w:val="center"/>
          </w:tcPr>
          <w:p w14:paraId="6B4007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auto"/>
                <w:sz w:val="21"/>
                <w:szCs w:val="21"/>
                <w:highlight w:val="none"/>
                <w:lang w:val="en-US"/>
              </w:rPr>
            </w:pPr>
          </w:p>
        </w:tc>
        <w:tc>
          <w:tcPr>
            <w:tcW w:w="2205" w:type="dxa"/>
            <w:tcBorders>
              <w:top w:val="single" w:color="auto" w:sz="4" w:space="0"/>
              <w:left w:val="single" w:color="auto" w:sz="4" w:space="0"/>
              <w:bottom w:val="single" w:color="auto" w:sz="4" w:space="0"/>
              <w:right w:val="single" w:color="auto" w:sz="4" w:space="0"/>
            </w:tcBorders>
            <w:shd w:val="clear" w:color="auto" w:fill="auto"/>
            <w:vAlign w:val="center"/>
          </w:tcPr>
          <w:p w14:paraId="3AC1FC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FAD5A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sz w:val="21"/>
                <w:szCs w:val="21"/>
                <w:highlight w:val="none"/>
                <w:lang w:val="en-US"/>
              </w:rPr>
            </w:pPr>
          </w:p>
        </w:tc>
        <w:tc>
          <w:tcPr>
            <w:tcW w:w="2318" w:type="dxa"/>
            <w:tcBorders>
              <w:top w:val="single" w:color="auto" w:sz="4" w:space="0"/>
              <w:left w:val="single" w:color="auto" w:sz="4" w:space="0"/>
              <w:bottom w:val="single" w:color="auto" w:sz="4" w:space="0"/>
              <w:right w:val="single" w:color="auto" w:sz="4" w:space="0"/>
            </w:tcBorders>
            <w:shd w:val="clear" w:color="auto" w:fill="auto"/>
            <w:vAlign w:val="center"/>
          </w:tcPr>
          <w:p w14:paraId="5D5B96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仿宋" w:hAnsi="仿宋" w:eastAsia="仿宋" w:cs="仿宋"/>
                <w:color w:val="auto"/>
                <w:kern w:val="2"/>
                <w:sz w:val="21"/>
                <w:szCs w:val="21"/>
                <w:highlight w:val="none"/>
                <w:lang w:val="en-US" w:eastAsia="zh-CN" w:bidi="ar"/>
              </w:rPr>
            </w:pPr>
          </w:p>
        </w:tc>
      </w:tr>
    </w:tbl>
    <w:p w14:paraId="31E062E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560" w:firstLineChars="200"/>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乙方</w:t>
      </w:r>
      <w:r>
        <w:rPr>
          <w:rFonts w:hint="default" w:ascii="仿宋" w:hAnsi="仿宋" w:eastAsia="仿宋" w:cs="仿宋"/>
          <w:color w:val="auto"/>
          <w:kern w:val="0"/>
          <w:sz w:val="28"/>
          <w:szCs w:val="28"/>
          <w:highlight w:val="none"/>
          <w:lang w:val="en-US" w:eastAsia="zh-CN"/>
        </w:rPr>
        <w:t>承诺配置的主办律师在服务期限内禁止擅自更换，确需更换的须提前30天报</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审批，</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同意后方能更换，且更换后的主办律师资质水平不得低于参选时承诺的主办律师。同时，申请更换主办律师并经</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同意的情形仍该视为</w:t>
      </w:r>
      <w:r>
        <w:rPr>
          <w:rFonts w:hint="eastAsia" w:ascii="仿宋" w:hAnsi="仿宋" w:eastAsia="仿宋" w:cs="仿宋"/>
          <w:color w:val="auto"/>
          <w:kern w:val="0"/>
          <w:sz w:val="28"/>
          <w:szCs w:val="28"/>
          <w:highlight w:val="none"/>
          <w:lang w:val="en-US" w:eastAsia="zh-CN"/>
        </w:rPr>
        <w:t>乙方</w:t>
      </w:r>
      <w:r>
        <w:rPr>
          <w:rFonts w:hint="default" w:ascii="仿宋" w:hAnsi="仿宋" w:eastAsia="仿宋" w:cs="仿宋"/>
          <w:color w:val="auto"/>
          <w:kern w:val="0"/>
          <w:sz w:val="28"/>
          <w:szCs w:val="28"/>
          <w:highlight w:val="none"/>
          <w:lang w:val="en-US" w:eastAsia="zh-CN"/>
        </w:rPr>
        <w:t>违约，</w:t>
      </w:r>
      <w:r>
        <w:rPr>
          <w:rFonts w:hint="eastAsia" w:ascii="仿宋" w:hAnsi="仿宋" w:eastAsia="仿宋" w:cs="仿宋"/>
          <w:color w:val="auto"/>
          <w:kern w:val="0"/>
          <w:sz w:val="28"/>
          <w:szCs w:val="28"/>
          <w:highlight w:val="none"/>
          <w:lang w:val="en-US" w:eastAsia="zh-CN"/>
        </w:rPr>
        <w:t>甲方</w:t>
      </w:r>
      <w:r>
        <w:rPr>
          <w:rFonts w:hint="default" w:ascii="仿宋" w:hAnsi="仿宋" w:eastAsia="仿宋" w:cs="仿宋"/>
          <w:color w:val="auto"/>
          <w:kern w:val="0"/>
          <w:sz w:val="28"/>
          <w:szCs w:val="28"/>
          <w:highlight w:val="none"/>
          <w:lang w:val="en-US" w:eastAsia="zh-CN"/>
        </w:rPr>
        <w:t>有权按</w:t>
      </w:r>
      <w:r>
        <w:rPr>
          <w:rFonts w:hint="eastAsia" w:ascii="仿宋" w:hAnsi="仿宋" w:eastAsia="仿宋" w:cs="仿宋"/>
          <w:color w:val="auto"/>
          <w:kern w:val="0"/>
          <w:sz w:val="28"/>
          <w:szCs w:val="28"/>
          <w:highlight w:val="none"/>
          <w:lang w:val="en-US" w:eastAsia="zh-CN"/>
        </w:rPr>
        <w:t>5000</w:t>
      </w:r>
      <w:r>
        <w:rPr>
          <w:rFonts w:hint="default" w:ascii="仿宋" w:hAnsi="仿宋" w:eastAsia="仿宋" w:cs="仿宋"/>
          <w:color w:val="auto"/>
          <w:kern w:val="0"/>
          <w:sz w:val="28"/>
          <w:szCs w:val="28"/>
          <w:highlight w:val="none"/>
          <w:lang w:val="en-US" w:eastAsia="zh-CN"/>
        </w:rPr>
        <w:t>元/次</w:t>
      </w:r>
      <w:r>
        <w:rPr>
          <w:rFonts w:hint="eastAsia" w:ascii="仿宋" w:hAnsi="仿宋" w:eastAsia="仿宋" w:cs="仿宋"/>
          <w:color w:val="auto"/>
          <w:kern w:val="0"/>
          <w:sz w:val="28"/>
          <w:szCs w:val="28"/>
          <w:highlight w:val="none"/>
          <w:lang w:val="en-US" w:eastAsia="zh-CN"/>
        </w:rPr>
        <w:t>的标准</w:t>
      </w:r>
      <w:r>
        <w:rPr>
          <w:rFonts w:hint="default" w:ascii="仿宋" w:hAnsi="仿宋" w:eastAsia="仿宋" w:cs="仿宋"/>
          <w:color w:val="auto"/>
          <w:kern w:val="0"/>
          <w:sz w:val="28"/>
          <w:szCs w:val="28"/>
          <w:highlight w:val="none"/>
          <w:lang w:val="en-US" w:eastAsia="zh-CN"/>
        </w:rPr>
        <w:t>向</w:t>
      </w:r>
      <w:r>
        <w:rPr>
          <w:rFonts w:hint="eastAsia" w:ascii="仿宋" w:hAnsi="仿宋" w:eastAsia="仿宋" w:cs="仿宋"/>
          <w:color w:val="auto"/>
          <w:kern w:val="0"/>
          <w:sz w:val="28"/>
          <w:szCs w:val="28"/>
          <w:highlight w:val="none"/>
          <w:lang w:val="en-US" w:eastAsia="zh-CN"/>
        </w:rPr>
        <w:t>乙方</w:t>
      </w:r>
      <w:r>
        <w:rPr>
          <w:rFonts w:hint="default" w:ascii="仿宋" w:hAnsi="仿宋" w:eastAsia="仿宋" w:cs="仿宋"/>
          <w:color w:val="auto"/>
          <w:kern w:val="0"/>
          <w:sz w:val="28"/>
          <w:szCs w:val="28"/>
          <w:highlight w:val="none"/>
          <w:lang w:val="en-US" w:eastAsia="zh-CN"/>
        </w:rPr>
        <w:t>收取违约金。</w:t>
      </w:r>
    </w:p>
    <w:p w14:paraId="2866001C">
      <w:pPr>
        <w:pStyle w:val="459"/>
        <w:pageBreakBefore w:val="0"/>
        <w:numPr>
          <w:ilvl w:val="0"/>
          <w:numId w:val="13"/>
        </w:numPr>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bookmarkStart w:id="69" w:name="_Toc347"/>
      <w:r>
        <w:rPr>
          <w:rFonts w:hint="eastAsia" w:ascii="仿宋" w:hAnsi="仿宋" w:eastAsia="仿宋" w:cs="仿宋"/>
          <w:b/>
          <w:bCs/>
          <w:color w:val="auto"/>
          <w:sz w:val="28"/>
          <w:szCs w:val="28"/>
          <w:highlight w:val="none"/>
          <w:lang w:val="en-US" w:eastAsia="zh-CN"/>
        </w:rPr>
        <w:t>合同金额</w:t>
      </w:r>
      <w:bookmarkEnd w:id="69"/>
    </w:p>
    <w:p w14:paraId="78AFFA5C">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560" w:firstLineChars="200"/>
        <w:textAlignment w:val="auto"/>
        <w:rPr>
          <w:rFonts w:hint="eastAsia" w:ascii="仿宋" w:hAnsi="仿宋" w:eastAsia="仿宋" w:cs="仿宋"/>
          <w:color w:val="auto"/>
          <w:kern w:val="0"/>
          <w:sz w:val="28"/>
          <w:szCs w:val="28"/>
          <w:highlight w:val="none"/>
          <w:u w:val="none"/>
          <w:lang w:val="en-US" w:eastAsia="zh-CN"/>
        </w:rPr>
      </w:pPr>
      <w:r>
        <w:rPr>
          <w:rFonts w:hint="eastAsia" w:ascii="仿宋" w:hAnsi="仿宋" w:eastAsia="仿宋" w:cs="仿宋"/>
          <w:color w:val="auto"/>
          <w:kern w:val="0"/>
          <w:sz w:val="28"/>
          <w:szCs w:val="28"/>
          <w:highlight w:val="none"/>
          <w:lang w:val="en-US" w:eastAsia="zh-CN"/>
        </w:rPr>
        <w:t>本合同总价为</w:t>
      </w:r>
      <w:r>
        <w:rPr>
          <w:rFonts w:hint="eastAsia" w:ascii="仿宋" w:hAnsi="仿宋" w:eastAsia="仿宋" w:cs="仿宋"/>
          <w:color w:val="auto"/>
          <w:kern w:val="0"/>
          <w:sz w:val="28"/>
          <w:szCs w:val="28"/>
          <w:highlight w:val="none"/>
          <w:u w:val="single"/>
          <w:lang w:val="en-US" w:eastAsia="zh-CN"/>
        </w:rPr>
        <w:t xml:space="preserve">              （小写：¥            ）</w:t>
      </w:r>
      <w:r>
        <w:rPr>
          <w:rFonts w:hint="eastAsia" w:ascii="仿宋" w:hAnsi="仿宋" w:eastAsia="仿宋" w:cs="仿宋"/>
          <w:color w:val="auto"/>
          <w:kern w:val="0"/>
          <w:sz w:val="28"/>
          <w:szCs w:val="28"/>
          <w:highlight w:val="none"/>
          <w:u w:val="none"/>
          <w:lang w:val="en-US" w:eastAsia="zh-CN"/>
        </w:rPr>
        <w:t>。按“基础服务费+风险提成（终审判决后结算尾款）”的方式结算案件代理费，具体划分如下：</w:t>
      </w:r>
    </w:p>
    <w:p w14:paraId="46135CAB">
      <w:pPr>
        <w:pStyle w:val="459"/>
        <w:keepNext w:val="0"/>
        <w:keepLines w:val="0"/>
        <w:pageBreakBefore w:val="0"/>
        <w:widowControl w:val="0"/>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kern w:val="0"/>
          <w:sz w:val="28"/>
          <w:szCs w:val="28"/>
          <w:highlight w:val="none"/>
          <w:u w:val="none"/>
          <w:lang w:val="en-US" w:eastAsia="zh-CN"/>
        </w:rPr>
        <w:t>基础服务费为合同总价的40%，即</w:t>
      </w:r>
      <w:r>
        <w:rPr>
          <w:rFonts w:hint="eastAsia" w:ascii="仿宋" w:hAnsi="仿宋" w:eastAsia="仿宋" w:cs="仿宋"/>
          <w:color w:val="auto"/>
          <w:kern w:val="0"/>
          <w:sz w:val="28"/>
          <w:szCs w:val="28"/>
          <w:highlight w:val="none"/>
          <w:u w:val="single"/>
          <w:lang w:val="en-US" w:eastAsia="zh-CN"/>
        </w:rPr>
        <w:t xml:space="preserve">              （小写：¥            ）</w:t>
      </w:r>
      <w:r>
        <w:rPr>
          <w:rFonts w:hint="eastAsia" w:ascii="仿宋" w:hAnsi="仿宋" w:eastAsia="仿宋" w:cs="仿宋"/>
          <w:color w:val="auto"/>
          <w:kern w:val="0"/>
          <w:sz w:val="28"/>
          <w:szCs w:val="28"/>
          <w:highlight w:val="none"/>
          <w:u w:val="none"/>
          <w:lang w:val="en-US" w:eastAsia="zh-CN"/>
        </w:rPr>
        <w:t>，该部分费用不受案件裁判结果影响，仅按合同约定结算规则及付款节点核算支付；</w:t>
      </w:r>
    </w:p>
    <w:p w14:paraId="2386706A">
      <w:pPr>
        <w:pStyle w:val="459"/>
        <w:keepNext w:val="0"/>
        <w:keepLines w:val="0"/>
        <w:pageBreakBefore w:val="0"/>
        <w:widowControl w:val="0"/>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kern w:val="0"/>
          <w:sz w:val="28"/>
          <w:szCs w:val="28"/>
          <w:highlight w:val="none"/>
          <w:u w:val="none"/>
          <w:lang w:val="en-US" w:eastAsia="zh-CN"/>
        </w:rPr>
        <w:t>风险提成：最高限额为合同总价的60%，根据案件最终判决结果据实结算，计算公式：风险提成=合同总价×60%×尾款核算比例</w:t>
      </w:r>
      <w:r>
        <w:rPr>
          <w:rFonts w:hint="eastAsia" w:ascii="仿宋" w:hAnsi="仿宋" w:eastAsia="仿宋" w:cs="仿宋"/>
          <w:color w:val="auto"/>
          <w:sz w:val="28"/>
          <w:szCs w:val="28"/>
          <w:highlight w:val="none"/>
          <w:u w:val="none"/>
          <w:lang w:val="en-US" w:eastAsia="zh-CN"/>
        </w:rPr>
        <w:t>。</w:t>
      </w:r>
    </w:p>
    <w:p w14:paraId="34488F25">
      <w:pPr>
        <w:pStyle w:val="459"/>
        <w:pageBreakBefore w:val="0"/>
        <w:numPr>
          <w:ilvl w:val="0"/>
          <w:numId w:val="13"/>
        </w:numPr>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结算规则</w:t>
      </w:r>
    </w:p>
    <w:p w14:paraId="7C2AD8E8">
      <w:pPr>
        <w:pStyle w:val="459"/>
        <w:keepNext w:val="0"/>
        <w:keepLines w:val="0"/>
        <w:pageBreakBefore w:val="0"/>
        <w:widowControl w:val="0"/>
        <w:numPr>
          <w:ilvl w:val="0"/>
          <w:numId w:val="15"/>
        </w:numPr>
        <w:kinsoku/>
        <w:wordWrap/>
        <w:overflowPunct/>
        <w:topLinePunct w:val="0"/>
        <w:autoSpaceDE/>
        <w:autoSpaceDN/>
        <w:bidi w:val="0"/>
        <w:adjustRightInd w:val="0"/>
        <w:snapToGrid w:val="0"/>
        <w:spacing w:before="0" w:after="0" w:line="540" w:lineRule="exact"/>
        <w:ind w:left="0" w:leftChars="0" w:firstLine="562"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bCs/>
          <w:color w:val="auto"/>
          <w:sz w:val="28"/>
          <w:szCs w:val="28"/>
          <w:highlight w:val="none"/>
          <w:u w:val="none"/>
          <w:lang w:val="en-US" w:eastAsia="zh-CN"/>
        </w:rPr>
        <w:t>尾款核算规则：</w:t>
      </w:r>
      <w:r>
        <w:rPr>
          <w:rFonts w:hint="eastAsia" w:ascii="仿宋" w:hAnsi="仿宋" w:eastAsia="仿宋" w:cs="仿宋"/>
          <w:b w:val="0"/>
          <w:bCs w:val="0"/>
          <w:color w:val="auto"/>
          <w:sz w:val="28"/>
          <w:szCs w:val="28"/>
          <w:highlight w:val="none"/>
          <w:u w:val="none"/>
          <w:lang w:val="en-US" w:eastAsia="zh-CN"/>
        </w:rPr>
        <w:t>尾款核算比例=（1－终审判决被告实际应付总金额÷原告起诉主张由被告承担的全部诉求总金额）×100%</w:t>
      </w:r>
    </w:p>
    <w:p w14:paraId="1D80FED2">
      <w:pPr>
        <w:pStyle w:val="459"/>
        <w:keepNext w:val="0"/>
        <w:keepLines w:val="0"/>
        <w:pageBreakBefore w:val="0"/>
        <w:widowControl w:val="0"/>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公式中“终审判决被告实际应付总金额”、“原告起诉主张由被告承担的全部诉求总金额”，均包含但不限于涉案本金、逾期利息、诉讼费、财产保全费、保全保函费、案涉反诉请求金额等全部款项。</w:t>
      </w:r>
    </w:p>
    <w:p w14:paraId="4F046109">
      <w:pPr>
        <w:pStyle w:val="459"/>
        <w:keepNext w:val="0"/>
        <w:keepLines w:val="0"/>
        <w:pageBreakBefore w:val="0"/>
        <w:widowControl w:val="0"/>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对计算得出的尾款核算比例实行区间锁定：</w:t>
      </w:r>
    </w:p>
    <w:p w14:paraId="79BB7343">
      <w:pPr>
        <w:pStyle w:val="459"/>
        <w:keepNext w:val="0"/>
        <w:keepLines w:val="0"/>
        <w:pageBreakBefore w:val="0"/>
        <w:widowControl w:val="0"/>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计算结果＜0% 时，实际执行比例按 0% 计取；</w:t>
      </w:r>
    </w:p>
    <w:p w14:paraId="5F194A83">
      <w:pPr>
        <w:pStyle w:val="459"/>
        <w:keepNext w:val="0"/>
        <w:keepLines w:val="0"/>
        <w:pageBreakBefore w:val="0"/>
        <w:widowControl w:val="0"/>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计算结果≥0% 且≤100% 时，按公式计算原值执行；</w:t>
      </w:r>
    </w:p>
    <w:p w14:paraId="3495BAD7">
      <w:pPr>
        <w:pStyle w:val="459"/>
        <w:keepNext w:val="0"/>
        <w:keepLines w:val="0"/>
        <w:pageBreakBefore w:val="0"/>
        <w:widowControl w:val="0"/>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计算结果＞100% 时，实际执行比例按 100% 计取。</w:t>
      </w:r>
    </w:p>
    <w:p w14:paraId="4FBBFCC9">
      <w:pPr>
        <w:pStyle w:val="459"/>
        <w:keepNext w:val="0"/>
        <w:keepLines w:val="0"/>
        <w:pageBreakBefore w:val="0"/>
        <w:widowControl w:val="0"/>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本条款核算规则仅适用于人民法院出具终审判决书情形；原被告达成庭前、庭外和解且未出具判决书的，以双方书面确认的被告应付总金额作为核算基数。</w:t>
      </w:r>
    </w:p>
    <w:p w14:paraId="15D12D89">
      <w:pPr>
        <w:pStyle w:val="459"/>
        <w:keepNext w:val="0"/>
        <w:keepLines w:val="0"/>
        <w:pageBreakBefore w:val="0"/>
        <w:widowControl w:val="0"/>
        <w:numPr>
          <w:ilvl w:val="0"/>
          <w:numId w:val="15"/>
        </w:numPr>
        <w:kinsoku/>
        <w:wordWrap/>
        <w:overflowPunct/>
        <w:topLinePunct w:val="0"/>
        <w:autoSpaceDE/>
        <w:autoSpaceDN/>
        <w:bidi w:val="0"/>
        <w:adjustRightInd w:val="0"/>
        <w:snapToGrid w:val="0"/>
        <w:spacing w:before="0" w:after="0" w:line="540" w:lineRule="exact"/>
        <w:ind w:left="0" w:leftChars="0" w:firstLine="562" w:firstLineChars="200"/>
        <w:jc w:val="both"/>
        <w:textAlignment w:val="auto"/>
        <w:rPr>
          <w:rFonts w:hint="eastAsia" w:ascii="仿宋" w:hAnsi="仿宋" w:eastAsia="仿宋" w:cs="仿宋"/>
          <w:b/>
          <w:bCs/>
          <w:color w:val="auto"/>
          <w:sz w:val="28"/>
          <w:szCs w:val="28"/>
          <w:highlight w:val="none"/>
          <w:lang w:val="en-US" w:eastAsia="zh-CN"/>
        </w:rPr>
      </w:pPr>
      <w:r>
        <w:rPr>
          <w:rFonts w:hint="default" w:ascii="仿宋" w:hAnsi="仿宋" w:eastAsia="仿宋" w:cs="仿宋"/>
          <w:b/>
          <w:bCs/>
          <w:color w:val="auto"/>
          <w:sz w:val="28"/>
          <w:szCs w:val="28"/>
          <w:highlight w:val="none"/>
          <w:u w:val="none"/>
          <w:lang w:val="en-US" w:eastAsia="zh-CN"/>
        </w:rPr>
        <w:t>原告撤诉、和解特殊结算规则</w:t>
      </w:r>
      <w:r>
        <w:rPr>
          <w:rFonts w:hint="eastAsia" w:ascii="仿宋" w:hAnsi="仿宋" w:eastAsia="仿宋" w:cs="仿宋"/>
          <w:b/>
          <w:bCs/>
          <w:color w:val="auto"/>
          <w:sz w:val="28"/>
          <w:szCs w:val="28"/>
          <w:highlight w:val="none"/>
          <w:u w:val="none"/>
          <w:lang w:val="en-US" w:eastAsia="zh-CN"/>
        </w:rPr>
        <w:t>：</w:t>
      </w:r>
    </w:p>
    <w:p w14:paraId="6AFF1225">
      <w:pPr>
        <w:pStyle w:val="459"/>
        <w:keepNext w:val="0"/>
        <w:keepLines w:val="0"/>
        <w:pageBreakBefore w:val="0"/>
        <w:widowControl w:val="0"/>
        <w:numPr>
          <w:ilvl w:val="0"/>
          <w:numId w:val="18"/>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原告单方撤诉情形</w:t>
      </w:r>
    </w:p>
    <w:p w14:paraId="37E261DB">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若乙方尚未开展实质性应诉工作，则甲方无需向乙方支付任何代理费用；仅接收甲方和丙方提供材料、口头沟通案情，未制作书面证据清单、未出具正式法律文书、未对接人民法院及对方当事人的，认定为未开展实质性应诉工作。</w:t>
      </w:r>
    </w:p>
    <w:p w14:paraId="786555C0">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若乙方已开展实质性应诉工作，则据实结算调整后基础服务费，风险提成全部不予计取、不予支付，具体规则如下：</w:t>
      </w:r>
    </w:p>
    <w:p w14:paraId="78DF0D96">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仅完成证据归集、梳理、制作证据清单，未起草正式应诉文书，未参与调解、外出调查及出庭工作，结算比例为合同总价 ×10%；</w:t>
      </w:r>
    </w:p>
    <w:p w14:paraId="09AB1C50">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完成证据整理工作并起草全套应诉文书，未参与调解、外出调查及出庭工作，结算比例为合同总价 ×20%；</w:t>
      </w:r>
    </w:p>
    <w:p w14:paraId="6CD7D7E9">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完成证据、文书相关工作，同时发生参与诉前或庭审调解、赴法院递交材料阅卷、外出调查取证、线上线下出庭、案件听证谈话任一行为，结算比例为合同总价 ×30%；</w:t>
      </w:r>
    </w:p>
    <w:p w14:paraId="6A6EF373">
      <w:pPr>
        <w:pStyle w:val="459"/>
        <w:keepNext w:val="0"/>
        <w:keepLines w:val="0"/>
        <w:pageBreakBefore w:val="0"/>
        <w:widowControl w:val="0"/>
        <w:numPr>
          <w:ilvl w:val="0"/>
          <w:numId w:val="20"/>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结算时按照乙方实际完成的最高等级工作对应单一情形计费，各情形费用不叠加计算；无论乙方完成多少项工作，原告撤诉情形下基础服务费结算总额上限为合同总价 30%，不因工作量增加、办案时长延长而调整。</w:t>
      </w:r>
    </w:p>
    <w:p w14:paraId="17D0B494">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实质性应诉工作范围：完成证据归集、整理、分类、装订、举证目录制作；起草答辩状、证据质证意见、代理思路、反诉材料、调解方案等正式法律文书并提交甲方或人民法院；参与人民法院组织的诉前调解、线上线下调解谈话、与原告方协商谈判；前往人民法院阅卷、递交材料、参加线上线下庭审、听证、问话；开展不动产、工商、银行、涉诉档案等外部调查取证工作。开庭完毕、法庭辩论终结但尚未宣判期间原告申请撤诉的，属于本条项下实质性应诉工作范畴。</w:t>
      </w:r>
    </w:p>
    <w:p w14:paraId="5D69C9BA">
      <w:pPr>
        <w:pStyle w:val="459"/>
        <w:keepNext w:val="0"/>
        <w:keepLines w:val="0"/>
        <w:pageBreakBefore w:val="0"/>
        <w:widowControl w:val="0"/>
        <w:numPr>
          <w:ilvl w:val="0"/>
          <w:numId w:val="1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结算佐证与认定要求：乙方申请结算应当同步提交完整工作佐证材料，包括证据目录、文书定稿底稿、法院送达回执、调解记录、出庭笔录、调查取证材料、合同各方工作沟通台账。乙方主张适用对应情形结算费用的，由乙方承担举证责任，无法提供完整对应佐证材料的，统一按照最低情形标准结算。</w:t>
      </w:r>
    </w:p>
    <w:p w14:paraId="59DD986A">
      <w:pPr>
        <w:pStyle w:val="459"/>
        <w:keepNext w:val="0"/>
        <w:keepLines w:val="0"/>
        <w:pageBreakBefore w:val="0"/>
        <w:widowControl w:val="0"/>
        <w:numPr>
          <w:ilvl w:val="0"/>
          <w:numId w:val="18"/>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原、被告达成庭前/庭外和解情形</w:t>
      </w:r>
    </w:p>
    <w:p w14:paraId="6EB46CE0">
      <w:pPr>
        <w:pStyle w:val="459"/>
        <w:keepNext w:val="0"/>
        <w:keepLines w:val="0"/>
        <w:pageBreakBefore w:val="0"/>
        <w:widowControl w:val="0"/>
        <w:numPr>
          <w:ilvl w:val="0"/>
          <w:numId w:val="2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基础服务费＝合同总价×40%×90%；</w:t>
      </w:r>
    </w:p>
    <w:p w14:paraId="53D07351">
      <w:pPr>
        <w:pStyle w:val="459"/>
        <w:keepNext w:val="0"/>
        <w:keepLines w:val="0"/>
        <w:pageBreakBefore w:val="0"/>
        <w:widowControl w:val="0"/>
        <w:numPr>
          <w:ilvl w:val="0"/>
          <w:numId w:val="21"/>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风险提成=合同总价×60%×尾款核算比例，尾款核算比例仍按合同有关约定执行。</w:t>
      </w:r>
    </w:p>
    <w:p w14:paraId="261F72AA">
      <w:pPr>
        <w:pStyle w:val="459"/>
        <w:pageBreakBefore w:val="0"/>
        <w:numPr>
          <w:ilvl w:val="0"/>
          <w:numId w:val="13"/>
        </w:numPr>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b/>
          <w:bCs/>
          <w:color w:val="auto"/>
          <w:sz w:val="28"/>
          <w:szCs w:val="28"/>
          <w:highlight w:val="none"/>
          <w:lang w:val="en-US" w:eastAsia="zh-CN"/>
        </w:rPr>
      </w:pPr>
      <w:bookmarkStart w:id="70" w:name="_Toc7791"/>
      <w:r>
        <w:rPr>
          <w:rFonts w:hint="eastAsia" w:ascii="仿宋" w:hAnsi="仿宋" w:eastAsia="仿宋" w:cs="仿宋"/>
          <w:b/>
          <w:bCs/>
          <w:color w:val="auto"/>
          <w:sz w:val="28"/>
          <w:szCs w:val="28"/>
          <w:highlight w:val="none"/>
          <w:lang w:val="en-US" w:eastAsia="zh-CN"/>
        </w:rPr>
        <w:t>履约保证金</w:t>
      </w:r>
      <w:bookmarkEnd w:id="70"/>
    </w:p>
    <w:p w14:paraId="0E091183">
      <w:pPr>
        <w:pStyle w:val="459"/>
        <w:keepNext w:val="0"/>
        <w:keepLines w:val="0"/>
        <w:pageBreakBefore w:val="0"/>
        <w:widowControl w:val="0"/>
        <w:kinsoku/>
        <w:wordWrap/>
        <w:overflowPunct/>
        <w:topLinePunct w:val="0"/>
        <w:autoSpaceDE/>
        <w:autoSpaceDN/>
        <w:bidi w:val="0"/>
        <w:adjustRightInd w:val="0"/>
        <w:snapToGrid w:val="0"/>
        <w:spacing w:before="0" w:after="0"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根据《安庆市交通控股集团有限公司法律顾问咨询服务商采购项目》比选文件约定，乙方须向安庆市交通控股集团有限公司缴纳5000元履约保证金；根据《安通建设集团(2026)皖0811民初5188号案诉讼代理服务（重新采购）比选文件》约定，本合同不再额外收取履约保证金。</w:t>
      </w:r>
    </w:p>
    <w:p w14:paraId="178F8A78">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二、双方权利与义务</w:t>
      </w:r>
    </w:p>
    <w:p w14:paraId="6E2E0B58">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（一）甲方权利义务</w:t>
      </w:r>
    </w:p>
    <w:p w14:paraId="1D1CDDAE">
      <w:pPr>
        <w:pStyle w:val="459"/>
        <w:keepNext w:val="0"/>
        <w:keepLines w:val="0"/>
        <w:pageBreakBefore w:val="0"/>
        <w:widowControl/>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如实提供</w:t>
      </w:r>
      <w:r>
        <w:rPr>
          <w:rFonts w:hint="eastAsia" w:ascii="仿宋" w:hAnsi="仿宋" w:eastAsia="仿宋" w:cs="仿宋"/>
          <w:color w:val="auto"/>
          <w:sz w:val="28"/>
          <w:szCs w:val="28"/>
          <w:highlight w:val="none"/>
          <w:lang w:val="en-US" w:eastAsia="zh-CN"/>
        </w:rPr>
        <w:t>委托</w:t>
      </w:r>
      <w:r>
        <w:rPr>
          <w:rFonts w:hint="eastAsia" w:ascii="仿宋" w:hAnsi="仿宋" w:eastAsia="仿宋" w:cs="仿宋"/>
          <w:color w:val="auto"/>
          <w:sz w:val="28"/>
          <w:szCs w:val="28"/>
          <w:highlight w:val="none"/>
        </w:rPr>
        <w:t>合同、付款凭证、</w:t>
      </w:r>
      <w:r>
        <w:rPr>
          <w:rFonts w:hint="eastAsia" w:ascii="仿宋" w:hAnsi="仿宋" w:eastAsia="仿宋" w:cs="仿宋"/>
          <w:color w:val="auto"/>
          <w:sz w:val="28"/>
          <w:szCs w:val="28"/>
          <w:highlight w:val="none"/>
          <w:lang w:val="en-US" w:eastAsia="zh-CN"/>
        </w:rPr>
        <w:t>过程</w:t>
      </w:r>
      <w:r>
        <w:rPr>
          <w:rFonts w:hint="eastAsia" w:ascii="仿宋" w:hAnsi="仿宋" w:eastAsia="仿宋" w:cs="仿宋"/>
          <w:color w:val="auto"/>
          <w:sz w:val="28"/>
          <w:szCs w:val="28"/>
          <w:highlight w:val="none"/>
        </w:rPr>
        <w:t>资料等全部证据，对真实性承担法律责任；</w:t>
      </w:r>
    </w:p>
    <w:p w14:paraId="65E5A0CB">
      <w:pPr>
        <w:pStyle w:val="459"/>
        <w:keepNext w:val="0"/>
        <w:keepLines w:val="0"/>
        <w:pageBreakBefore w:val="0"/>
        <w:widowControl w:val="0"/>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配合乙方调查取证、鉴定及庭审活动，指定</w:t>
      </w:r>
      <w:r>
        <w:rPr>
          <w:rFonts w:hint="eastAsia" w:ascii="仿宋" w:hAnsi="仿宋" w:eastAsia="仿宋" w:cs="仿宋"/>
          <w:color w:val="auto"/>
          <w:sz w:val="28"/>
          <w:szCs w:val="28"/>
          <w:highlight w:val="none"/>
          <w:u w:val="single"/>
          <w:lang w:val="en-US" w:eastAsia="zh-CN"/>
        </w:rPr>
        <w:t>程琼</w:t>
      </w:r>
      <w:r>
        <w:rPr>
          <w:rFonts w:hint="eastAsia" w:ascii="仿宋" w:hAnsi="仿宋" w:eastAsia="仿宋" w:cs="仿宋"/>
          <w:color w:val="auto"/>
          <w:sz w:val="28"/>
          <w:szCs w:val="28"/>
          <w:highlight w:val="none"/>
        </w:rPr>
        <w:t>为联系人（电话：</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），负责对接案件事宜；</w:t>
      </w:r>
    </w:p>
    <w:p w14:paraId="35D0DE06">
      <w:pPr>
        <w:pStyle w:val="459"/>
        <w:keepNext w:val="0"/>
        <w:keepLines w:val="0"/>
        <w:pageBreakBefore w:val="0"/>
        <w:widowControl/>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按约定支付律师费及代垫费用；</w:t>
      </w:r>
    </w:p>
    <w:p w14:paraId="76464066">
      <w:pPr>
        <w:pStyle w:val="459"/>
        <w:keepNext w:val="0"/>
        <w:keepLines w:val="0"/>
        <w:pageBreakBefore w:val="0"/>
        <w:widowControl/>
        <w:numPr>
          <w:ilvl w:val="0"/>
          <w:numId w:val="2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有权要求乙方每月书面汇报案件进展。</w:t>
      </w:r>
    </w:p>
    <w:p w14:paraId="176361D1">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（二）乙方权利义务</w:t>
      </w:r>
    </w:p>
    <w:p w14:paraId="5EFA178E">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指派约定律师承办案件，如需更换需经甲方书面同意；</w:t>
      </w:r>
    </w:p>
    <w:p w14:paraId="27FE6E2F">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勤勉履行代理职责，不得泄露甲方商业秘密及工程技术信息；</w:t>
      </w:r>
    </w:p>
    <w:p w14:paraId="73F8692D">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对涉及工程价款、质量等专业问题，应出具书面法律分析意见；</w:t>
      </w:r>
    </w:p>
    <w:p w14:paraId="3587FE61">
      <w:pPr>
        <w:pStyle w:val="459"/>
        <w:keepNext w:val="0"/>
        <w:keepLines w:val="0"/>
        <w:pageBreakBefore w:val="0"/>
        <w:widowControl/>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重大决策（如和解方案、鉴定机构选择）需提前 3 个工作日书面征求甲方意见</w:t>
      </w:r>
      <w:r>
        <w:rPr>
          <w:rFonts w:hint="eastAsia" w:ascii="仿宋" w:hAnsi="仿宋" w:eastAsia="仿宋" w:cs="仿宋"/>
          <w:color w:val="auto"/>
          <w:sz w:val="28"/>
          <w:szCs w:val="28"/>
          <w:highlight w:val="none"/>
          <w:lang w:eastAsia="zh-CN"/>
        </w:rPr>
        <w:t>；</w:t>
      </w:r>
    </w:p>
    <w:p w14:paraId="7EBA68C2">
      <w:pPr>
        <w:pStyle w:val="459"/>
        <w:keepNext w:val="0"/>
        <w:keepLines w:val="0"/>
        <w:pageBreakBefore w:val="0"/>
        <w:widowControl w:val="0"/>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全面考虑可能涉及到的文件资料并要求甲方提供，因乙方未尽提醒义务导致甲方忽略关键证据材料的，乙方须按成交价的10%承担赔偿义务。</w:t>
      </w:r>
    </w:p>
    <w:p w14:paraId="231A520F">
      <w:pPr>
        <w:pStyle w:val="459"/>
        <w:keepNext w:val="0"/>
        <w:keepLines w:val="0"/>
        <w:pageBreakBefore w:val="0"/>
        <w:widowControl w:val="0"/>
        <w:numPr>
          <w:ilvl w:val="0"/>
          <w:numId w:val="2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乙方未经甲方书面同意擅自和解、放弃重大债权、遗漏关键诉讼程序造成甲方损失的，甲方有权扣除全部未付代理费，并按合同总价 20% 主张违约金，不足以弥补损失的乙方另行赔偿。</w:t>
      </w:r>
    </w:p>
    <w:p w14:paraId="1E25D09D">
      <w:pPr>
        <w:pStyle w:val="8"/>
        <w:keepNext w:val="0"/>
        <w:keepLines w:val="0"/>
        <w:pageBreakBefore w:val="0"/>
        <w:widowControl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三、律师费用及支付方式</w:t>
      </w:r>
    </w:p>
    <w:p w14:paraId="1F9190A1">
      <w:pPr>
        <w:pStyle w:val="9"/>
        <w:keepNext w:val="0"/>
        <w:keepLines w:val="0"/>
        <w:pageBreakBefore w:val="0"/>
        <w:widowControl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（一）律师费计算方式（三选一）</w:t>
      </w:r>
    </w:p>
    <w:p w14:paraId="294FA57C">
      <w:pPr>
        <w:pStyle w:val="459"/>
        <w:keepNext w:val="0"/>
        <w:keepLines w:val="0"/>
        <w:pageBreakBefore w:val="0"/>
        <w:widowControl w:val="0"/>
        <w:numPr>
          <w:ilvl w:val="0"/>
          <w:numId w:val="2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固定收费：人民币</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w:t>
      </w:r>
    </w:p>
    <w:p w14:paraId="0322EDB1">
      <w:pPr>
        <w:pStyle w:val="459"/>
        <w:keepNext w:val="0"/>
        <w:keepLines w:val="0"/>
        <w:pageBreakBefore w:val="0"/>
        <w:widowControl w:val="0"/>
        <w:numPr>
          <w:ilvl w:val="0"/>
          <w:numId w:val="2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风险代理：按生效法律文书确定回款金额的</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 收取（最高不超过 18%）</w:t>
      </w:r>
    </w:p>
    <w:p w14:paraId="689A8CE6">
      <w:pPr>
        <w:pStyle w:val="459"/>
        <w:keepNext w:val="0"/>
        <w:keepLines w:val="0"/>
        <w:pageBreakBefore w:val="0"/>
        <w:widowControl w:val="0"/>
        <w:numPr>
          <w:ilvl w:val="0"/>
          <w:numId w:val="24"/>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基础</w:t>
      </w: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费+风险提成</w:t>
      </w:r>
      <w:r>
        <w:rPr>
          <w:rFonts w:hint="eastAsia" w:ascii="仿宋" w:hAnsi="仿宋" w:eastAsia="仿宋" w:cs="仿宋"/>
          <w:color w:val="auto"/>
          <w:sz w:val="28"/>
          <w:szCs w:val="28"/>
          <w:highlight w:val="none"/>
          <w:lang w:eastAsia="zh-CN"/>
        </w:rPr>
        <w:t>（终审判决后结算尾款）</w:t>
      </w:r>
      <w:r>
        <w:rPr>
          <w:rFonts w:hint="eastAsia" w:ascii="仿宋" w:hAnsi="仿宋" w:eastAsia="仿宋" w:cs="仿宋"/>
          <w:color w:val="auto"/>
          <w:sz w:val="28"/>
          <w:szCs w:val="28"/>
          <w:highlight w:val="none"/>
        </w:rPr>
        <w:t>：基础</w:t>
      </w: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费</w:t>
      </w:r>
      <w:r>
        <w:rPr>
          <w:rFonts w:hint="eastAsia" w:ascii="仿宋" w:hAnsi="仿宋" w:eastAsia="仿宋" w:cs="仿宋"/>
          <w:color w:val="auto"/>
          <w:sz w:val="28"/>
          <w:szCs w:val="28"/>
          <w:highlight w:val="none"/>
          <w:lang w:val="en-US" w:eastAsia="zh-CN"/>
        </w:rPr>
        <w:t>为</w:t>
      </w:r>
      <w:r>
        <w:rPr>
          <w:rFonts w:hint="eastAsia" w:ascii="仿宋" w:hAnsi="仿宋" w:eastAsia="仿宋" w:cs="仿宋"/>
          <w:color w:val="auto"/>
          <w:sz w:val="28"/>
          <w:szCs w:val="28"/>
          <w:highlight w:val="none"/>
          <w:u w:val="single"/>
          <w:lang w:val="en-US" w:eastAsia="zh-CN"/>
        </w:rPr>
        <w:t>成交价*40%</w:t>
      </w:r>
      <w:r>
        <w:rPr>
          <w:rFonts w:hint="eastAsia" w:ascii="仿宋" w:hAnsi="仿宋" w:eastAsia="仿宋" w:cs="仿宋"/>
          <w:color w:val="auto"/>
          <w:sz w:val="28"/>
          <w:szCs w:val="28"/>
          <w:highlight w:val="none"/>
        </w:rPr>
        <w:t>，风险提成</w:t>
      </w:r>
      <w:r>
        <w:rPr>
          <w:rFonts w:hint="eastAsia" w:ascii="仿宋" w:hAnsi="仿宋" w:eastAsia="仿宋" w:cs="仿宋"/>
          <w:color w:val="auto"/>
          <w:sz w:val="28"/>
          <w:szCs w:val="28"/>
          <w:highlight w:val="none"/>
          <w:lang w:val="en-US" w:eastAsia="zh-CN"/>
        </w:rPr>
        <w:t>上限按比选文件约定为</w:t>
      </w:r>
      <w:r>
        <w:rPr>
          <w:rFonts w:hint="eastAsia" w:ascii="仿宋" w:hAnsi="仿宋" w:eastAsia="仿宋" w:cs="仿宋"/>
          <w:color w:val="auto"/>
          <w:sz w:val="28"/>
          <w:szCs w:val="28"/>
          <w:highlight w:val="none"/>
          <w:u w:val="single"/>
          <w:lang w:val="en-US" w:eastAsia="zh-CN"/>
        </w:rPr>
        <w:t>成交价*60%*尾款核算比例</w:t>
      </w:r>
      <w:r>
        <w:rPr>
          <w:rFonts w:hint="eastAsia" w:ascii="仿宋" w:hAnsi="仿宋" w:eastAsia="仿宋" w:cs="仿宋"/>
          <w:color w:val="auto"/>
          <w:sz w:val="28"/>
          <w:szCs w:val="28"/>
          <w:highlight w:val="none"/>
        </w:rPr>
        <w:t>收取</w:t>
      </w:r>
      <w:r>
        <w:rPr>
          <w:rFonts w:hint="eastAsia" w:ascii="仿宋" w:hAnsi="仿宋" w:eastAsia="仿宋" w:cs="仿宋"/>
          <w:color w:val="auto"/>
          <w:sz w:val="28"/>
          <w:szCs w:val="28"/>
          <w:highlight w:val="none"/>
          <w:lang w:eastAsia="zh-CN"/>
        </w:rPr>
        <w:t>。</w:t>
      </w:r>
    </w:p>
    <w:p w14:paraId="2490A5B8">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（二）支付节点</w:t>
      </w:r>
    </w:p>
    <w:p w14:paraId="2E0EA55C">
      <w:pPr>
        <w:pStyle w:val="459"/>
        <w:keepNext w:val="0"/>
        <w:keepLines w:val="0"/>
        <w:pageBreakBefore w:val="0"/>
        <w:widowControl w:val="0"/>
        <w:numPr>
          <w:ilvl w:val="0"/>
          <w:numId w:val="25"/>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固定收费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基础服务费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若案件周期大于一年，则在案件首次开庭一年后支付至基础服务费的30%，剩余基础服务费待案件终结并办理结算后一次性支付；若案件在一年内终结，则所有基础服务费均在案件终结并办理结算后一次性支付。</w:t>
      </w:r>
    </w:p>
    <w:p w14:paraId="6ACF105A">
      <w:pPr>
        <w:pStyle w:val="45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40" w:lineRule="exact"/>
        <w:ind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本合同所称案件周期，自甲方、丙方出具书面委托授权书当日起计算。</w:t>
      </w:r>
    </w:p>
    <w:p w14:paraId="4EAC5595">
      <w:pPr>
        <w:pStyle w:val="459"/>
        <w:keepNext w:val="0"/>
        <w:keepLines w:val="0"/>
        <w:pageBreakBefore w:val="0"/>
        <w:widowControl w:val="0"/>
        <w:numPr>
          <w:ilvl w:val="0"/>
          <w:numId w:val="25"/>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风险</w:t>
      </w:r>
      <w:r>
        <w:rPr>
          <w:rFonts w:hint="eastAsia" w:ascii="仿宋" w:hAnsi="仿宋" w:eastAsia="仿宋" w:cs="仿宋"/>
          <w:color w:val="auto"/>
          <w:sz w:val="28"/>
          <w:szCs w:val="28"/>
          <w:highlight w:val="none"/>
          <w:lang w:val="en-US" w:eastAsia="zh-CN"/>
        </w:rPr>
        <w:t>提成</w:t>
      </w:r>
      <w:r>
        <w:rPr>
          <w:rFonts w:hint="eastAsia" w:ascii="仿宋" w:hAnsi="仿宋" w:eastAsia="仿宋" w:cs="仿宋"/>
          <w:color w:val="auto"/>
          <w:sz w:val="28"/>
          <w:szCs w:val="28"/>
          <w:highlight w:val="none"/>
        </w:rPr>
        <w:t>：案件终结并办理结算后一次性支付。</w:t>
      </w:r>
    </w:p>
    <w:p w14:paraId="54378C0D">
      <w:pPr>
        <w:pStyle w:val="459"/>
        <w:keepNext w:val="0"/>
        <w:keepLines w:val="0"/>
        <w:pageBreakBefore w:val="0"/>
        <w:widowControl/>
        <w:numPr>
          <w:ilvl w:val="0"/>
          <w:numId w:val="25"/>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乙方账户信息：</w:t>
      </w:r>
    </w:p>
    <w:p w14:paraId="1E533C0D">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开户名：</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律师事务所</w:t>
      </w:r>
    </w:p>
    <w:p w14:paraId="72BADCD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开户行：</w:t>
      </w:r>
      <w:r>
        <w:rPr>
          <w:rFonts w:hint="eastAsia" w:ascii="仿宋" w:hAnsi="仿宋" w:eastAsia="仿宋" w:cs="仿宋"/>
          <w:b w:val="0"/>
          <w:bCs w:val="0"/>
          <w:color w:val="auto"/>
          <w:sz w:val="28"/>
          <w:szCs w:val="28"/>
          <w:highlight w:val="none"/>
          <w:u w:val="single"/>
          <w:lang w:val="en-US" w:eastAsia="zh-CN"/>
        </w:rPr>
        <w:t xml:space="preserve">              </w:t>
      </w:r>
    </w:p>
    <w:p w14:paraId="544BCF8D">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u w:val="single"/>
          <w:lang w:val="en-US" w:eastAsia="zh-CN"/>
        </w:rPr>
      </w:pPr>
      <w:r>
        <w:rPr>
          <w:rFonts w:hint="eastAsia" w:ascii="仿宋" w:hAnsi="仿宋" w:eastAsia="仿宋" w:cs="仿宋"/>
          <w:b w:val="0"/>
          <w:bCs w:val="0"/>
          <w:color w:val="auto"/>
          <w:sz w:val="28"/>
          <w:szCs w:val="28"/>
          <w:highlight w:val="none"/>
        </w:rPr>
        <w:t>账 号：</w:t>
      </w:r>
      <w:r>
        <w:rPr>
          <w:rFonts w:hint="eastAsia" w:ascii="仿宋" w:hAnsi="仿宋" w:eastAsia="仿宋" w:cs="仿宋"/>
          <w:b w:val="0"/>
          <w:bCs w:val="0"/>
          <w:color w:val="auto"/>
          <w:sz w:val="28"/>
          <w:szCs w:val="28"/>
          <w:highlight w:val="none"/>
          <w:u w:val="single"/>
          <w:lang w:val="en-US" w:eastAsia="zh-CN"/>
        </w:rPr>
        <w:t xml:space="preserve">              </w:t>
      </w:r>
    </w:p>
    <w:p w14:paraId="7D0062D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default"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4.本合同发生的诉讼委托代理服务费，</w:t>
      </w:r>
      <w:r>
        <w:rPr>
          <w:rFonts w:hint="eastAsia" w:ascii="仿宋" w:hAnsi="仿宋" w:eastAsia="仿宋" w:cs="仿宋"/>
          <w:b w:val="0"/>
          <w:bCs w:val="0"/>
          <w:color w:val="auto"/>
          <w:sz w:val="28"/>
          <w:szCs w:val="28"/>
          <w:highlight w:val="none"/>
          <w:u w:val="single"/>
          <w:lang w:val="en-US" w:eastAsia="zh-CN"/>
        </w:rPr>
        <w:t>由相关方（丙方）支付给乙方</w:t>
      </w:r>
      <w:r>
        <w:rPr>
          <w:rFonts w:hint="eastAsia" w:ascii="仿宋" w:hAnsi="仿宋" w:eastAsia="仿宋" w:cs="仿宋"/>
          <w:b w:val="0"/>
          <w:bCs w:val="0"/>
          <w:color w:val="auto"/>
          <w:sz w:val="28"/>
          <w:szCs w:val="28"/>
          <w:highlight w:val="none"/>
          <w:u w:val="none"/>
          <w:lang w:val="en-US" w:eastAsia="zh-CN"/>
        </w:rPr>
        <w:t>，乙方须按法律法规要求提供增值税专用发票。</w:t>
      </w:r>
    </w:p>
    <w:p w14:paraId="48354C49">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（三）其他费用</w:t>
      </w:r>
    </w:p>
    <w:p w14:paraId="34527F58">
      <w:pPr>
        <w:pStyle w:val="459"/>
        <w:keepNext w:val="0"/>
        <w:keepLines w:val="0"/>
        <w:pageBreakBefore w:val="0"/>
        <w:widowControl/>
        <w:numPr>
          <w:ilvl w:val="0"/>
          <w:numId w:val="26"/>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如发生</w:t>
      </w:r>
      <w:r>
        <w:rPr>
          <w:rFonts w:hint="eastAsia" w:ascii="仿宋" w:hAnsi="仿宋" w:eastAsia="仿宋" w:cs="仿宋"/>
          <w:color w:val="auto"/>
          <w:sz w:val="28"/>
          <w:szCs w:val="28"/>
          <w:highlight w:val="none"/>
        </w:rPr>
        <w:t>代甲方垫付的诉讼费、保全费、鉴定费等，凭有效票据实报实销；</w:t>
      </w:r>
    </w:p>
    <w:p w14:paraId="4CE8D104">
      <w:pPr>
        <w:pStyle w:val="459"/>
        <w:keepNext w:val="0"/>
        <w:keepLines w:val="0"/>
        <w:pageBreakBefore w:val="0"/>
        <w:widowControl w:val="0"/>
        <w:numPr>
          <w:ilvl w:val="0"/>
          <w:numId w:val="26"/>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乙方应于费用发生后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个工作日内提交费用清单及票据，</w:t>
      </w:r>
      <w:r>
        <w:rPr>
          <w:rFonts w:hint="eastAsia" w:ascii="仿宋" w:hAnsi="仿宋" w:eastAsia="仿宋" w:cs="仿宋"/>
          <w:color w:val="auto"/>
          <w:sz w:val="28"/>
          <w:szCs w:val="28"/>
          <w:highlight w:val="none"/>
          <w:lang w:val="en-US" w:eastAsia="zh-CN"/>
        </w:rPr>
        <w:t>甲方、丙方</w:t>
      </w:r>
      <w:r>
        <w:rPr>
          <w:rFonts w:hint="eastAsia" w:ascii="仿宋" w:hAnsi="仿宋" w:eastAsia="仿宋" w:cs="仿宋"/>
          <w:color w:val="auto"/>
          <w:sz w:val="28"/>
          <w:szCs w:val="28"/>
          <w:highlight w:val="none"/>
        </w:rPr>
        <w:t>在收到后</w:t>
      </w:r>
      <w:r>
        <w:rPr>
          <w:rFonts w:hint="eastAsia" w:ascii="仿宋" w:hAnsi="仿宋" w:eastAsia="仿宋" w:cs="仿宋"/>
          <w:color w:val="auto"/>
          <w:sz w:val="28"/>
          <w:szCs w:val="28"/>
          <w:highlight w:val="none"/>
          <w:u w:val="single"/>
          <w:lang w:val="en-US" w:eastAsia="zh-CN"/>
        </w:rPr>
        <w:t xml:space="preserve"> 60 </w:t>
      </w:r>
      <w:r>
        <w:rPr>
          <w:rFonts w:hint="eastAsia" w:ascii="仿宋" w:hAnsi="仿宋" w:eastAsia="仿宋" w:cs="仿宋"/>
          <w:color w:val="auto"/>
          <w:sz w:val="28"/>
          <w:szCs w:val="28"/>
          <w:highlight w:val="none"/>
        </w:rPr>
        <w:t>日内支付。</w:t>
      </w:r>
    </w:p>
    <w:p w14:paraId="171E6DE4">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四、保密与期限</w:t>
      </w:r>
    </w:p>
    <w:p w14:paraId="7A0969BF">
      <w:pPr>
        <w:pStyle w:val="459"/>
        <w:keepNext w:val="0"/>
        <w:keepLines w:val="0"/>
        <w:pageBreakBefore w:val="0"/>
        <w:widowControl/>
        <w:numPr>
          <w:ilvl w:val="0"/>
          <w:numId w:val="2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各方对案件涉及的工程图纸、造价数据、商业秘密等核心信息终身保密；</w:t>
      </w:r>
    </w:p>
    <w:p w14:paraId="0BAFBA38">
      <w:pPr>
        <w:pStyle w:val="459"/>
        <w:keepNext w:val="0"/>
        <w:keepLines w:val="0"/>
        <w:pageBreakBefore w:val="0"/>
        <w:widowControl w:val="0"/>
        <w:numPr>
          <w:ilvl w:val="0"/>
          <w:numId w:val="2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代理期限自接受采购人委托通知之日起到案件执行终结，包括所有诉讼阶段，包括但不限于一审、二审、再审（如有）等各执行阶段的全过程。</w:t>
      </w:r>
    </w:p>
    <w:p w14:paraId="55B8DE7F">
      <w:pPr>
        <w:pStyle w:val="8"/>
        <w:keepNext w:val="0"/>
        <w:keepLines w:val="0"/>
        <w:pageBreakBefore w:val="0"/>
        <w:widowControl w:val="0"/>
        <w:shd w:val="clear" w:color="auto" w:fill="FFFFFF"/>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五、违约责任</w:t>
      </w:r>
    </w:p>
    <w:p w14:paraId="18AE9500">
      <w:pPr>
        <w:pStyle w:val="459"/>
        <w:keepNext w:val="0"/>
        <w:keepLines w:val="0"/>
        <w:pageBreakBefore w:val="0"/>
        <w:widowControl w:val="0"/>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甲方逾期付款的，按日 0.05% 支付违约金；逾期超过 30 日，乙方有权暂停代理；</w:t>
      </w:r>
    </w:p>
    <w:p w14:paraId="0F34A641">
      <w:pPr>
        <w:pStyle w:val="459"/>
        <w:keepNext w:val="0"/>
        <w:keepLines w:val="0"/>
        <w:pageBreakBefore w:val="0"/>
        <w:widowControl w:val="0"/>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乙方未勤勉履职导致甲方损失的，</w:t>
      </w:r>
      <w:r>
        <w:rPr>
          <w:rFonts w:hint="eastAsia" w:ascii="仿宋" w:hAnsi="仿宋" w:eastAsia="仿宋" w:cs="仿宋"/>
          <w:color w:val="auto"/>
          <w:sz w:val="28"/>
          <w:szCs w:val="28"/>
          <w:highlight w:val="none"/>
          <w:lang w:val="en-US" w:eastAsia="zh-CN"/>
        </w:rPr>
        <w:t>采购人有权</w:t>
      </w:r>
      <w:r>
        <w:rPr>
          <w:rFonts w:hint="eastAsia" w:ascii="仿宋" w:hAnsi="仿宋" w:eastAsia="仿宋" w:cs="仿宋"/>
          <w:color w:val="auto"/>
          <w:sz w:val="28"/>
          <w:szCs w:val="28"/>
          <w:highlight w:val="none"/>
        </w:rPr>
        <w:t>按</w:t>
      </w:r>
      <w:r>
        <w:rPr>
          <w:rFonts w:hint="eastAsia" w:ascii="仿宋" w:hAnsi="仿宋" w:eastAsia="仿宋" w:cs="仿宋"/>
          <w:color w:val="auto"/>
          <w:sz w:val="28"/>
          <w:szCs w:val="28"/>
          <w:highlight w:val="none"/>
          <w:lang w:val="en-US" w:eastAsia="zh-CN"/>
        </w:rPr>
        <w:t>成交价的</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/次的标准收取违约金</w:t>
      </w:r>
      <w:r>
        <w:rPr>
          <w:rFonts w:hint="eastAsia" w:ascii="仿宋" w:hAnsi="仿宋" w:eastAsia="仿宋" w:cs="仿宋"/>
          <w:color w:val="auto"/>
          <w:sz w:val="28"/>
          <w:szCs w:val="28"/>
          <w:highlight w:val="none"/>
        </w:rPr>
        <w:t>；</w:t>
      </w:r>
    </w:p>
    <w:p w14:paraId="73E8824E">
      <w:pPr>
        <w:pStyle w:val="459"/>
        <w:keepNext w:val="0"/>
        <w:keepLines w:val="0"/>
        <w:pageBreakBefore w:val="0"/>
        <w:widowControl w:val="0"/>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乙方出现擅自更换主办律师、泄露商业秘密、未经许可和解、严重怠于履职等情形，甲方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丙方</w:t>
      </w:r>
      <w:r>
        <w:rPr>
          <w:rFonts w:hint="eastAsia" w:ascii="仿宋" w:hAnsi="仿宋" w:eastAsia="仿宋" w:cs="仿宋"/>
          <w:color w:val="auto"/>
          <w:sz w:val="28"/>
          <w:szCs w:val="28"/>
          <w:highlight w:val="none"/>
        </w:rPr>
        <w:t>有权单方解除合同，</w:t>
      </w:r>
      <w:r>
        <w:rPr>
          <w:rFonts w:hint="eastAsia" w:ascii="仿宋" w:hAnsi="仿宋" w:eastAsia="仿宋" w:cs="仿宋"/>
          <w:color w:val="auto"/>
          <w:sz w:val="28"/>
          <w:szCs w:val="28"/>
          <w:highlight w:val="none"/>
          <w:lang w:val="en-US" w:eastAsia="zh-CN"/>
        </w:rPr>
        <w:t>并向乙方追偿损失</w:t>
      </w:r>
      <w:r>
        <w:rPr>
          <w:rFonts w:hint="eastAsia" w:ascii="仿宋" w:hAnsi="仿宋" w:eastAsia="仿宋" w:cs="仿宋"/>
          <w:color w:val="auto"/>
          <w:sz w:val="28"/>
          <w:szCs w:val="28"/>
          <w:highlight w:val="none"/>
          <w:lang w:eastAsia="zh-CN"/>
        </w:rPr>
        <w:t>；</w:t>
      </w:r>
    </w:p>
    <w:p w14:paraId="10B27361">
      <w:pPr>
        <w:pStyle w:val="459"/>
        <w:keepNext w:val="0"/>
        <w:keepLines w:val="0"/>
        <w:pageBreakBefore w:val="0"/>
        <w:widowControl/>
        <w:numPr>
          <w:ilvl w:val="0"/>
          <w:numId w:val="2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甲方隐瞒关键事实导致败诉的，已付律师费不予退还。</w:t>
      </w:r>
    </w:p>
    <w:p w14:paraId="333887C6">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六、争议解决</w:t>
      </w:r>
    </w:p>
    <w:p w14:paraId="1FD9D248">
      <w:pPr>
        <w:pStyle w:val="459"/>
        <w:keepNext w:val="0"/>
        <w:keepLines w:val="0"/>
        <w:pageBreakBefore w:val="0"/>
        <w:widowControl w:val="0"/>
        <w:kinsoku/>
        <w:overflowPunct/>
        <w:topLinePunct w:val="0"/>
        <w:autoSpaceDE/>
        <w:autoSpaceDN/>
        <w:bidi w:val="0"/>
        <w:adjustRightInd w:val="0"/>
        <w:snapToGrid w:val="0"/>
        <w:spacing w:before="0" w:after="0"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因本合同发生争议，提交</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甲方</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丙方</w:t>
      </w:r>
      <w:r>
        <w:rPr>
          <w:rFonts w:hint="eastAsia" w:ascii="仿宋" w:hAnsi="仿宋" w:eastAsia="仿宋" w:cs="仿宋"/>
          <w:color w:val="auto"/>
          <w:sz w:val="28"/>
          <w:szCs w:val="28"/>
          <w:highlight w:val="none"/>
          <w:u w:val="single"/>
        </w:rPr>
        <w:t xml:space="preserve">所在地法院诉讼 </w:t>
      </w:r>
      <w:r>
        <w:rPr>
          <w:rFonts w:hint="eastAsia" w:ascii="仿宋" w:hAnsi="仿宋" w:eastAsia="仿宋" w:cs="仿宋"/>
          <w:color w:val="auto"/>
          <w:sz w:val="28"/>
          <w:szCs w:val="28"/>
          <w:highlight w:val="none"/>
        </w:rPr>
        <w:t>。</w:t>
      </w:r>
    </w:p>
    <w:p w14:paraId="56235E36">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七、其他条款</w:t>
      </w:r>
    </w:p>
    <w:p w14:paraId="120AF904">
      <w:pPr>
        <w:pStyle w:val="459"/>
        <w:keepNext w:val="0"/>
        <w:keepLines w:val="0"/>
        <w:pageBreakBefore w:val="0"/>
        <w:widowControl/>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本合同约定的主办律师是指受乙方指派，负责主导处理</w:t>
      </w:r>
      <w:r>
        <w:rPr>
          <w:rFonts w:hint="eastAsia" w:ascii="仿宋" w:hAnsi="仿宋" w:eastAsia="仿宋" w:cs="仿宋"/>
          <w:color w:val="auto"/>
          <w:sz w:val="28"/>
          <w:szCs w:val="28"/>
          <w:highlight w:val="none"/>
          <w:lang w:val="en-US" w:eastAsia="zh-CN"/>
        </w:rPr>
        <w:t>合同约定案件</w:t>
      </w:r>
      <w:r>
        <w:rPr>
          <w:rFonts w:hint="eastAsia" w:ascii="仿宋" w:hAnsi="仿宋" w:eastAsia="仿宋" w:cs="仿宋"/>
          <w:color w:val="auto"/>
          <w:sz w:val="28"/>
          <w:szCs w:val="28"/>
          <w:highlight w:val="none"/>
        </w:rPr>
        <w:t>及其后续诉讼有关法律事务的核心律师，负责制定案件处理策略和方案，对案件处理的整体质量和结果承担主要责任；主办律师由于特殊情况不能参加开庭的，征得甲方同意后，可委托协办律师出庭，主办律师须同步做好交接和指导</w:t>
      </w:r>
      <w:r>
        <w:rPr>
          <w:rFonts w:hint="eastAsia" w:ascii="仿宋" w:hAnsi="仿宋" w:eastAsia="仿宋" w:cs="仿宋"/>
          <w:color w:val="auto"/>
          <w:sz w:val="28"/>
          <w:szCs w:val="28"/>
          <w:highlight w:val="none"/>
          <w:lang w:eastAsia="zh-CN"/>
        </w:rPr>
        <w:t>；</w:t>
      </w:r>
    </w:p>
    <w:p w14:paraId="6760F4C0">
      <w:pPr>
        <w:pStyle w:val="459"/>
        <w:keepNext w:val="0"/>
        <w:keepLines w:val="0"/>
        <w:pageBreakBefore w:val="0"/>
        <w:widowControl w:val="0"/>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本合同一式</w:t>
      </w:r>
      <w:r>
        <w:rPr>
          <w:rFonts w:hint="eastAsia" w:ascii="仿宋" w:hAnsi="仿宋" w:eastAsia="仿宋" w:cs="仿宋"/>
          <w:color w:val="auto"/>
          <w:sz w:val="28"/>
          <w:szCs w:val="28"/>
          <w:highlight w:val="none"/>
          <w:lang w:val="en-US" w:eastAsia="zh-CN"/>
        </w:rPr>
        <w:t>捌</w:t>
      </w:r>
      <w:r>
        <w:rPr>
          <w:rFonts w:hint="eastAsia" w:ascii="仿宋" w:hAnsi="仿宋" w:eastAsia="仿宋" w:cs="仿宋"/>
          <w:color w:val="auto"/>
          <w:sz w:val="28"/>
          <w:szCs w:val="28"/>
          <w:highlight w:val="none"/>
        </w:rPr>
        <w:t>份，甲</w:t>
      </w:r>
      <w:r>
        <w:rPr>
          <w:rFonts w:hint="eastAsia" w:ascii="仿宋" w:hAnsi="仿宋" w:eastAsia="仿宋" w:cs="仿宋"/>
          <w:color w:val="auto"/>
          <w:sz w:val="28"/>
          <w:szCs w:val="28"/>
          <w:highlight w:val="none"/>
          <w:lang w:val="en-US" w:eastAsia="zh-CN"/>
        </w:rPr>
        <w:t>方执肆份、乙方（含承办律师）执两份、丙方执两份</w:t>
      </w:r>
      <w:r>
        <w:rPr>
          <w:rFonts w:hint="eastAsia" w:ascii="仿宋" w:hAnsi="仿宋" w:eastAsia="仿宋" w:cs="仿宋"/>
          <w:color w:val="auto"/>
          <w:sz w:val="28"/>
          <w:szCs w:val="28"/>
          <w:highlight w:val="none"/>
        </w:rPr>
        <w:t>，具有同等效力；</w:t>
      </w:r>
    </w:p>
    <w:p w14:paraId="0792AA37">
      <w:pPr>
        <w:pStyle w:val="459"/>
        <w:keepNext w:val="0"/>
        <w:keepLines w:val="0"/>
        <w:pageBreakBefore w:val="0"/>
        <w:widowControl w:val="0"/>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本合同自</w:t>
      </w:r>
      <w:r>
        <w:rPr>
          <w:rFonts w:hint="eastAsia" w:ascii="仿宋" w:hAnsi="仿宋" w:eastAsia="仿宋" w:cs="仿宋"/>
          <w:color w:val="auto"/>
          <w:sz w:val="28"/>
          <w:szCs w:val="28"/>
          <w:highlight w:val="none"/>
          <w:u w:val="none"/>
          <w:lang w:val="en-US" w:eastAsia="zh-CN"/>
        </w:rPr>
        <w:t>各</w:t>
      </w:r>
      <w:r>
        <w:rPr>
          <w:rFonts w:hint="eastAsia" w:ascii="仿宋" w:hAnsi="仿宋" w:eastAsia="仿宋" w:cs="仿宋"/>
          <w:color w:val="auto"/>
          <w:sz w:val="28"/>
          <w:szCs w:val="28"/>
          <w:highlight w:val="none"/>
          <w:u w:val="none"/>
        </w:rPr>
        <w:t>方签字盖章之日</w:t>
      </w:r>
      <w:r>
        <w:rPr>
          <w:rFonts w:hint="eastAsia" w:ascii="仿宋" w:hAnsi="仿宋" w:eastAsia="仿宋" w:cs="仿宋"/>
          <w:color w:val="auto"/>
          <w:sz w:val="28"/>
          <w:szCs w:val="28"/>
          <w:highlight w:val="none"/>
        </w:rPr>
        <w:t>生效。</w:t>
      </w:r>
    </w:p>
    <w:p w14:paraId="710A6A29">
      <w:pPr>
        <w:pStyle w:val="459"/>
        <w:keepNext w:val="0"/>
        <w:keepLines w:val="0"/>
        <w:pageBreakBefore w:val="0"/>
        <w:widowControl w:val="0"/>
        <w:numPr>
          <w:ilvl w:val="0"/>
          <w:numId w:val="29"/>
        </w:numPr>
        <w:kinsoku/>
        <w:wordWrap/>
        <w:overflowPunct/>
        <w:topLinePunct w:val="0"/>
        <w:autoSpaceDE/>
        <w:autoSpaceDN/>
        <w:bidi w:val="0"/>
        <w:adjustRightInd w:val="0"/>
        <w:snapToGrid w:val="0"/>
        <w:spacing w:before="0" w:after="0" w:line="54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以下</w:t>
      </w:r>
      <w:r>
        <w:rPr>
          <w:rFonts w:hint="eastAsia" w:ascii="仿宋" w:hAnsi="仿宋" w:eastAsia="仿宋" w:cs="仿宋"/>
          <w:color w:val="auto"/>
          <w:sz w:val="28"/>
          <w:szCs w:val="28"/>
          <w:highlight w:val="none"/>
        </w:rPr>
        <w:t>附件为本合同组成部分：</w:t>
      </w:r>
    </w:p>
    <w:p w14:paraId="242D9ED3">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附件1</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参选函及报价</w:t>
      </w:r>
    </w:p>
    <w:p w14:paraId="4CA510E2">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rPr>
        <w:t>附件2：</w:t>
      </w:r>
      <w:r>
        <w:rPr>
          <w:rFonts w:hint="eastAsia" w:ascii="仿宋" w:hAnsi="仿宋" w:eastAsia="仿宋" w:cs="仿宋"/>
          <w:bCs/>
          <w:color w:val="auto"/>
          <w:sz w:val="28"/>
          <w:szCs w:val="28"/>
          <w:highlight w:val="none"/>
        </w:rPr>
        <w:t>廉政协议书</w:t>
      </w:r>
    </w:p>
    <w:p w14:paraId="73011FB3">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3</w:t>
      </w:r>
      <w:r>
        <w:rPr>
          <w:rFonts w:hint="eastAsia" w:ascii="仿宋" w:hAnsi="仿宋" w:eastAsia="仿宋" w:cs="仿宋"/>
          <w:bCs/>
          <w:color w:val="auto"/>
          <w:sz w:val="28"/>
          <w:szCs w:val="28"/>
          <w:highlight w:val="none"/>
        </w:rPr>
        <w:t>：风险代理告知书</w:t>
      </w:r>
    </w:p>
    <w:p w14:paraId="564D1BD5">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4</w:t>
      </w:r>
      <w:r>
        <w:rPr>
          <w:rFonts w:hint="eastAsia" w:ascii="仿宋" w:hAnsi="仿宋" w:eastAsia="仿宋" w:cs="仿宋"/>
          <w:bCs/>
          <w:color w:val="auto"/>
          <w:sz w:val="28"/>
          <w:szCs w:val="28"/>
          <w:highlight w:val="none"/>
        </w:rPr>
        <w:t>：证据材料（原件）交接单[参考格式]</w:t>
      </w:r>
    </w:p>
    <w:p w14:paraId="6238284A">
      <w:pPr>
        <w:pStyle w:val="56"/>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附件5：成交人执业许可证</w:t>
      </w:r>
    </w:p>
    <w:p w14:paraId="23E61A8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40" w:lineRule="exact"/>
        <w:ind w:right="0"/>
        <w:jc w:val="both"/>
        <w:textAlignment w:val="auto"/>
        <w:rPr>
          <w:rFonts w:hint="eastAsia" w:ascii="仿宋" w:hAnsi="仿宋" w:eastAsia="仿宋" w:cs="仿宋"/>
          <w:color w:val="auto"/>
          <w:sz w:val="28"/>
          <w:szCs w:val="28"/>
          <w:highlight w:val="none"/>
          <w:u w:val="dotted"/>
          <w:lang w:val="en-US"/>
        </w:rPr>
      </w:pPr>
      <w:r>
        <w:rPr>
          <w:rFonts w:hint="eastAsia" w:ascii="仿宋" w:hAnsi="仿宋" w:eastAsia="仿宋" w:cs="仿宋"/>
          <w:color w:val="auto"/>
          <w:kern w:val="0"/>
          <w:sz w:val="28"/>
          <w:szCs w:val="28"/>
          <w:highlight w:val="none"/>
          <w:u w:val="dotted"/>
          <w:lang w:val="en-US" w:eastAsia="zh-CN" w:bidi="ar"/>
        </w:rPr>
        <w:t xml:space="preserve">                                                              </w:t>
      </w:r>
    </w:p>
    <w:p w14:paraId="1808C26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40" w:lineRule="exact"/>
        <w:ind w:left="0" w:right="0" w:firstLine="560" w:firstLineChars="200"/>
        <w:jc w:val="both"/>
        <w:textAlignment w:val="auto"/>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t>以下无正文，为合同签署页。</w:t>
      </w:r>
    </w:p>
    <w:p w14:paraId="0F762548">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7F3CA427">
      <w:pPr>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br w:type="page"/>
      </w:r>
    </w:p>
    <w:p w14:paraId="073790E7">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3C71A26B">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r>
        <w:rPr>
          <w:rFonts w:hint="eastAsia" w:ascii="仿宋" w:hAnsi="仿宋" w:eastAsia="仿宋" w:cs="仿宋"/>
          <w:b w:val="0"/>
          <w:bCs/>
          <w:color w:val="auto"/>
          <w:sz w:val="28"/>
          <w:szCs w:val="28"/>
          <w:highlight w:val="none"/>
          <w:u w:val="single"/>
        </w:rPr>
        <w:t>安庆市安通建设集团有限公司</w:t>
      </w:r>
    </w:p>
    <w:p w14:paraId="6124A0C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3BD43A3C">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72BA8B30">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3C9314EE">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乙方（签章）：</w:t>
      </w:r>
      <w:r>
        <w:rPr>
          <w:rFonts w:hint="eastAsia" w:ascii="仿宋" w:hAnsi="仿宋" w:eastAsia="仿宋" w:cs="仿宋"/>
          <w:b w:val="0"/>
          <w:bCs/>
          <w:color w:val="auto"/>
          <w:sz w:val="28"/>
          <w:szCs w:val="28"/>
          <w:highlight w:val="none"/>
          <w:u w:val="single"/>
          <w:lang w:val="en-US" w:eastAsia="zh-CN"/>
        </w:rPr>
        <w:t xml:space="preserve">                      </w:t>
      </w:r>
    </w:p>
    <w:p w14:paraId="07F9693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w:t>
      </w:r>
    </w:p>
    <w:p w14:paraId="2ACF694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A1AD147">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107B47CA">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丙</w:t>
      </w:r>
      <w:r>
        <w:rPr>
          <w:rFonts w:hint="eastAsia" w:ascii="仿宋" w:hAnsi="仿宋" w:eastAsia="仿宋" w:cs="仿宋"/>
          <w:color w:val="auto"/>
          <w:sz w:val="28"/>
          <w:szCs w:val="28"/>
          <w:highlight w:val="none"/>
        </w:rPr>
        <w:t>方（签章）：</w:t>
      </w:r>
      <w:r>
        <w:rPr>
          <w:rFonts w:hint="eastAsia" w:ascii="仿宋" w:hAnsi="仿宋" w:eastAsia="仿宋" w:cs="仿宋"/>
          <w:b w:val="0"/>
          <w:bCs/>
          <w:color w:val="auto"/>
          <w:sz w:val="28"/>
          <w:szCs w:val="28"/>
          <w:highlight w:val="none"/>
          <w:u w:val="single"/>
        </w:rPr>
        <w:t>安庆市通盛置业有限公司</w:t>
      </w:r>
    </w:p>
    <w:p w14:paraId="05A3F379">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65658CF6">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E20755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2F1B79AC">
      <w:pPr>
        <w:keepNext w:val="0"/>
        <w:keepLines w:val="0"/>
        <w:widowControl w:val="0"/>
        <w:suppressLineNumbers w:val="0"/>
        <w:adjustRightInd w:val="0"/>
        <w:snapToGrid w:val="0"/>
        <w:spacing w:before="0" w:beforeAutospacing="0" w:after="0" w:afterAutospacing="0" w:line="540" w:lineRule="exact"/>
        <w:ind w:right="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br w:type="page"/>
      </w:r>
    </w:p>
    <w:p w14:paraId="0ED3D3A4">
      <w:pPr>
        <w:bidi w:val="0"/>
        <w:jc w:val="left"/>
        <w:rPr>
          <w:rFonts w:hint="eastAsia" w:ascii="Times New Roman" w:hAnsi="Times New Roman" w:eastAsia="宋体" w:cs="Times New Roman"/>
          <w:color w:val="auto"/>
          <w:kern w:val="2"/>
          <w:sz w:val="21"/>
          <w:highlight w:val="none"/>
          <w:lang w:val="en-US" w:eastAsia="zh-CN" w:bidi="ar-SA"/>
        </w:rPr>
      </w:pPr>
    </w:p>
    <w:p w14:paraId="38FAEBAD">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bookmarkStart w:id="71" w:name="_Toc762"/>
      <w:bookmarkStart w:id="72" w:name="_Toc11404"/>
      <w:r>
        <w:rPr>
          <w:rFonts w:hint="eastAsia" w:ascii="仿宋" w:hAnsi="仿宋" w:eastAsia="仿宋" w:cs="仿宋"/>
          <w:b/>
          <w:bCs/>
          <w:color w:val="auto"/>
          <w:kern w:val="2"/>
          <w:sz w:val="28"/>
          <w:szCs w:val="28"/>
          <w:highlight w:val="none"/>
          <w:lang w:val="en-US" w:eastAsia="zh-CN" w:bidi="ar"/>
        </w:rPr>
        <w:t>附件</w:t>
      </w:r>
      <w:bookmarkEnd w:id="71"/>
      <w:r>
        <w:rPr>
          <w:rFonts w:hint="eastAsia" w:ascii="仿宋" w:hAnsi="仿宋" w:eastAsia="仿宋" w:cs="仿宋"/>
          <w:b/>
          <w:bCs/>
          <w:color w:val="auto"/>
          <w:kern w:val="2"/>
          <w:sz w:val="28"/>
          <w:szCs w:val="28"/>
          <w:highlight w:val="none"/>
          <w:lang w:val="en-US" w:eastAsia="zh-CN" w:bidi="ar"/>
        </w:rPr>
        <w:t>1：</w:t>
      </w:r>
      <w:bookmarkEnd w:id="72"/>
      <w:r>
        <w:rPr>
          <w:rFonts w:hint="eastAsia" w:ascii="仿宋" w:hAnsi="仿宋" w:eastAsia="仿宋" w:cs="仿宋"/>
          <w:b/>
          <w:bCs/>
          <w:color w:val="auto"/>
          <w:kern w:val="2"/>
          <w:sz w:val="28"/>
          <w:szCs w:val="28"/>
          <w:highlight w:val="none"/>
          <w:lang w:val="en-US" w:eastAsia="zh-CN" w:bidi="ar"/>
        </w:rPr>
        <w:t>参选函及报价</w:t>
      </w:r>
    </w:p>
    <w:p w14:paraId="1C08665F">
      <w:pPr>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签订合同时另附。</w:t>
      </w:r>
      <w:r>
        <w:rPr>
          <w:rFonts w:hint="eastAsia" w:ascii="仿宋" w:hAnsi="仿宋" w:eastAsia="仿宋" w:cs="仿宋"/>
          <w:b/>
          <w:bCs/>
          <w:color w:val="auto"/>
          <w:kern w:val="2"/>
          <w:sz w:val="28"/>
          <w:szCs w:val="28"/>
          <w:highlight w:val="none"/>
          <w:lang w:val="en-US" w:eastAsia="zh-CN" w:bidi="ar"/>
        </w:rPr>
        <w:br w:type="page"/>
      </w:r>
    </w:p>
    <w:p w14:paraId="4B2F72C2">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b/>
          <w:bCs/>
          <w:color w:val="auto"/>
          <w:kern w:val="2"/>
          <w:sz w:val="28"/>
          <w:szCs w:val="28"/>
          <w:highlight w:val="none"/>
          <w:lang w:val="en-US"/>
        </w:rPr>
      </w:pPr>
      <w:bookmarkStart w:id="73" w:name="_Toc8489"/>
      <w:r>
        <w:rPr>
          <w:rFonts w:hint="eastAsia" w:ascii="仿宋" w:hAnsi="仿宋" w:eastAsia="仿宋" w:cs="仿宋"/>
          <w:b/>
          <w:bCs/>
          <w:color w:val="auto"/>
          <w:kern w:val="2"/>
          <w:sz w:val="28"/>
          <w:szCs w:val="28"/>
          <w:highlight w:val="none"/>
          <w:lang w:val="en-US" w:eastAsia="zh-CN" w:bidi="ar"/>
        </w:rPr>
        <w:t>附件2：廉政协议书</w:t>
      </w:r>
      <w:bookmarkEnd w:id="73"/>
    </w:p>
    <w:p w14:paraId="0CAA7A06">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none"/>
          <w:lang w:eastAsia="zh-CN"/>
        </w:rPr>
      </w:pPr>
      <w:r>
        <w:rPr>
          <w:rFonts w:hint="eastAsia" w:ascii="仿宋" w:hAnsi="仿宋" w:eastAsia="仿宋" w:cs="仿宋"/>
          <w:b w:val="0"/>
          <w:bCs/>
          <w:color w:val="auto"/>
          <w:sz w:val="28"/>
          <w:szCs w:val="28"/>
          <w:highlight w:val="none"/>
          <w:lang w:val="en-US" w:eastAsia="zh-CN"/>
        </w:rPr>
        <w:t>采购</w:t>
      </w:r>
      <w:r>
        <w:rPr>
          <w:rFonts w:hint="eastAsia" w:ascii="仿宋" w:hAnsi="仿宋" w:eastAsia="仿宋" w:cs="仿宋"/>
          <w:b w:val="0"/>
          <w:bCs/>
          <w:color w:val="auto"/>
          <w:sz w:val="28"/>
          <w:szCs w:val="28"/>
          <w:highlight w:val="none"/>
        </w:rPr>
        <w:t>人（甲方）：</w:t>
      </w:r>
      <w:r>
        <w:rPr>
          <w:rFonts w:hint="eastAsia" w:ascii="仿宋" w:hAnsi="仿宋" w:eastAsia="仿宋" w:cs="仿宋"/>
          <w:b w:val="0"/>
          <w:bCs/>
          <w:color w:val="auto"/>
          <w:sz w:val="28"/>
          <w:szCs w:val="28"/>
          <w:highlight w:val="none"/>
          <w:u w:val="single"/>
          <w:lang w:eastAsia="zh-CN"/>
        </w:rPr>
        <w:t>安庆市安通建设集团有限公司</w:t>
      </w:r>
    </w:p>
    <w:p w14:paraId="5AD7F6D1">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default"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成交</w:t>
      </w:r>
      <w:r>
        <w:rPr>
          <w:rFonts w:hint="eastAsia" w:ascii="仿宋" w:hAnsi="仿宋" w:eastAsia="仿宋" w:cs="仿宋"/>
          <w:b w:val="0"/>
          <w:bCs/>
          <w:color w:val="auto"/>
          <w:sz w:val="28"/>
          <w:szCs w:val="28"/>
          <w:highlight w:val="none"/>
        </w:rPr>
        <w:t>人（乙方）：</w:t>
      </w:r>
      <w:r>
        <w:rPr>
          <w:rFonts w:hint="eastAsia" w:ascii="仿宋" w:hAnsi="仿宋" w:eastAsia="仿宋" w:cs="仿宋"/>
          <w:b w:val="0"/>
          <w:bCs/>
          <w:color w:val="auto"/>
          <w:sz w:val="28"/>
          <w:szCs w:val="28"/>
          <w:highlight w:val="none"/>
          <w:u w:val="single"/>
          <w:lang w:val="en-US" w:eastAsia="zh-CN"/>
        </w:rPr>
        <w:t xml:space="preserve">                        </w:t>
      </w:r>
    </w:p>
    <w:p w14:paraId="68534288">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157" w:afterLines="5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lang w:val="en-US" w:eastAsia="zh-CN"/>
        </w:rPr>
        <w:t>相关方（丙方）：</w:t>
      </w:r>
      <w:r>
        <w:rPr>
          <w:rFonts w:hint="eastAsia" w:ascii="仿宋" w:hAnsi="仿宋" w:eastAsia="仿宋" w:cs="仿宋"/>
          <w:b w:val="0"/>
          <w:bCs/>
          <w:color w:val="auto"/>
          <w:sz w:val="28"/>
          <w:szCs w:val="28"/>
          <w:highlight w:val="none"/>
          <w:u w:val="single"/>
          <w:lang w:val="en-US" w:eastAsia="zh-CN"/>
        </w:rPr>
        <w:t>安庆市通盛置业有限公司</w:t>
      </w:r>
    </w:p>
    <w:p w14:paraId="3E51B0F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为促进各方诚信经营、廉洁从业，防范商业贿赂，保护国家、集体和当事人的合法权益，根据国家有关法律法规和安徽省、项目所在地廉政建设的规定，各方特此订立本责任书共同遵照执行。</w:t>
      </w:r>
    </w:p>
    <w:p w14:paraId="1D38824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第一条 各方的权利和义务</w:t>
      </w:r>
    </w:p>
    <w:p w14:paraId="139B562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各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A389D0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（二）严格执行</w:t>
      </w:r>
      <w:r>
        <w:rPr>
          <w:rFonts w:hint="eastAsia" w:ascii="仿宋" w:hAnsi="仿宋" w:eastAsia="仿宋" w:cs="仿宋"/>
          <w:color w:val="auto"/>
          <w:kern w:val="2"/>
          <w:sz w:val="28"/>
          <w:szCs w:val="28"/>
          <w:highlight w:val="none"/>
          <w:u w:val="none"/>
          <w:lang w:val="en-US" w:eastAsia="zh-CN" w:bidi="ar"/>
        </w:rPr>
        <w:t>本</w:t>
      </w:r>
      <w:r>
        <w:rPr>
          <w:rFonts w:hint="eastAsia" w:ascii="仿宋" w:hAnsi="仿宋" w:eastAsia="仿宋" w:cs="仿宋"/>
          <w:color w:val="auto"/>
          <w:kern w:val="2"/>
          <w:sz w:val="28"/>
          <w:szCs w:val="28"/>
          <w:highlight w:val="none"/>
          <w:lang w:val="en-US" w:eastAsia="zh-CN" w:bidi="ar"/>
        </w:rPr>
        <w:t>合同要求，自觉履行合同约定的相关义务。</w:t>
      </w:r>
    </w:p>
    <w:p w14:paraId="50A7C99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（三）在业务活动中坚持公开、公正、诚信、透明的原则，不得损害国家、集体利益。</w:t>
      </w:r>
    </w:p>
    <w:p w14:paraId="5D48F559">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（四）建立健全廉政制度，开展廉政教育，公布举报电话，监督并认真查处违法违纪行为。</w:t>
      </w:r>
    </w:p>
    <w:p w14:paraId="1752EA0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（五）发现某一方在业务活动中有违反廉政规定的行为，应及时提醒对方纠正。情节严重的，应向其上级有关部门举报、建议给予处理，并有权要求告知处理结果。</w:t>
      </w:r>
    </w:p>
    <w:p w14:paraId="055489E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第二条 甲方、丙方的义务</w:t>
      </w:r>
    </w:p>
    <w:p w14:paraId="1E98BCE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(一)甲方、丙方及其工作人员不得索要或接受乙方的礼金、有价证券和贵重物品，不得在乙方报销任何应由甲方、丙方单位或个人支付的费用等。</w:t>
      </w:r>
    </w:p>
    <w:p w14:paraId="3FB8DCE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甲方、丙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065E826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（三）甲方、丙方及其工作人员不得要求或者接受乙方为其住房装修、婚丧嫁娶活动、配偶子女工作安排以及出国出境、旅游等提供方便等。</w:t>
      </w:r>
    </w:p>
    <w:p w14:paraId="0734222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（四）甲方、丙方工作人员不得在乙方有股权关联的企业兼职，不得向乙方介绍家属或者亲友从事与甲方、丙方业务有关的经济活动。</w:t>
      </w:r>
    </w:p>
    <w:p w14:paraId="4DB7E3A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（五）甲方、丙方工作人员不得以明显低于市场的价格向乙方购买房屋、汽车等物品；不得以明显高于市场的价格向乙方出售房屋、汽车等物品；不得以其他交易形式非法收受请托人财物。</w:t>
      </w:r>
    </w:p>
    <w:p w14:paraId="106B026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（六）甲方、丙方工作人员不得利用职务之便收受乙方以回扣、手续费、加班费、咨询费、劳务费、协调费、辛苦费等各种名义给予或赠送的钱物。</w:t>
      </w:r>
    </w:p>
    <w:p w14:paraId="3868711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（七）甲方、丙方工作人员不得接受乙方给予或赠送的干股或红利。</w:t>
      </w:r>
    </w:p>
    <w:p w14:paraId="60A0239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（八）甲方、丙方任何人不得以个人的名义向乙方推荐设备、部件等供货商以及其他合作单位。</w:t>
      </w:r>
    </w:p>
    <w:p w14:paraId="13D4BD6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第三条 乙方的义务</w:t>
      </w:r>
    </w:p>
    <w:p w14:paraId="62296AD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(一)乙方不得以任何理由向甲方、丙方及其工作人员行贿或馈赠礼金、有价证券、贵重礼品。</w:t>
      </w:r>
    </w:p>
    <w:p w14:paraId="6D1E9E3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（二)乙方不得以任何名义为甲方、丙方及其工作人员报销应由甲方、丙方单位或个人支付的任何费用。</w:t>
      </w:r>
    </w:p>
    <w:p w14:paraId="063B16B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(三)乙方不得以任何理由安排甲方、丙方工作人员参加可能影响相关业务公开、公正、公平性的宴请及娱乐活动。</w:t>
      </w:r>
    </w:p>
    <w:p w14:paraId="134C610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（四）乙方不得为甲方、丙方单位和个人购置或提供通讯工具和高档办公用品等物品，也不得为甲方、丙方提供与工作无关的房屋、汽车等。</w:t>
      </w:r>
    </w:p>
    <w:p w14:paraId="79F0C6EC">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（五）乙方不得与甲方、丙方工作人员就合同中的质量、数量、价格、工程量、验收等条款进行私下商谈或者达成默契。</w:t>
      </w:r>
    </w:p>
    <w:p w14:paraId="6E50B32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（六）乙方不得以回扣、手续费、加班费、咨询费、劳务费、协调费、辛苦费等各种名义向甲方、丙方工作人员给予或赠送钱物。</w:t>
      </w:r>
    </w:p>
    <w:p w14:paraId="2344EE3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（七）乙方不得向甲方、丙方工作人员提供干股或红利。</w:t>
      </w:r>
    </w:p>
    <w:p w14:paraId="31B86C3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（八）乙方须按</w:t>
      </w:r>
      <w:r>
        <w:rPr>
          <w:rFonts w:hint="eastAsia" w:ascii="仿宋" w:hAnsi="仿宋" w:eastAsia="仿宋" w:cs="仿宋"/>
          <w:color w:val="auto"/>
          <w:kern w:val="2"/>
          <w:sz w:val="28"/>
          <w:szCs w:val="28"/>
          <w:highlight w:val="none"/>
          <w:u w:val="single"/>
          <w:lang w:val="en-US" w:eastAsia="zh-CN" w:bidi="ar"/>
        </w:rPr>
        <w:t xml:space="preserve"> 安庆市安通建设集团有限公司 </w:t>
      </w:r>
      <w:r>
        <w:rPr>
          <w:rFonts w:hint="eastAsia" w:ascii="仿宋" w:hAnsi="仿宋" w:eastAsia="仿宋" w:cs="仿宋"/>
          <w:color w:val="auto"/>
          <w:kern w:val="2"/>
          <w:sz w:val="28"/>
          <w:szCs w:val="28"/>
          <w:highlight w:val="none"/>
          <w:lang w:val="en-US" w:eastAsia="zh-CN" w:bidi="ar"/>
        </w:rPr>
        <w:t>专项纪检监察工作组(如有)要求开展相关工作。</w:t>
      </w:r>
    </w:p>
    <w:p w14:paraId="508EF4F4">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第四条 违约责任</w:t>
      </w:r>
    </w:p>
    <w:p w14:paraId="3471FE1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一）甲方、丙方及其工作人员违反本协议第一、二条规定。甲方、丙方按管理权限，对相关责任人依据有关规定给予党纪、政纪处分或组织处理；涉嫌犯罪的，移交司法机关追究刑事责任；给乙方单位造成经济损失的，应予以赔偿。</w:t>
      </w:r>
    </w:p>
    <w:p w14:paraId="3CD904B9">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auto"/>
        <w:outlineLvl w:val="9"/>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甲方、丙方</w:t>
      </w:r>
      <w:r>
        <w:rPr>
          <w:rFonts w:hint="eastAsia" w:ascii="仿宋" w:hAnsi="仿宋" w:eastAsia="仿宋" w:cs="仿宋"/>
          <w:color w:val="auto"/>
          <w:kern w:val="0"/>
          <w:sz w:val="28"/>
          <w:szCs w:val="28"/>
          <w:highlight w:val="none"/>
        </w:rPr>
        <w:t>投诉联系部门：</w:t>
      </w:r>
      <w:r>
        <w:rPr>
          <w:rFonts w:hint="eastAsia" w:ascii="仿宋" w:hAnsi="仿宋" w:eastAsia="仿宋" w:cs="仿宋"/>
          <w:color w:val="auto"/>
          <w:kern w:val="0"/>
          <w:sz w:val="28"/>
          <w:szCs w:val="28"/>
          <w:highlight w:val="none"/>
          <w:u w:val="single"/>
        </w:rPr>
        <w:t>前期工作部（纪检监察）</w:t>
      </w:r>
      <w:r>
        <w:rPr>
          <w:rFonts w:hint="eastAsia" w:ascii="仿宋" w:hAnsi="仿宋" w:eastAsia="仿宋" w:cs="仿宋"/>
          <w:color w:val="auto"/>
          <w:kern w:val="0"/>
          <w:sz w:val="28"/>
          <w:szCs w:val="28"/>
          <w:highlight w:val="none"/>
        </w:rPr>
        <w:t>，联系电话：</w:t>
      </w:r>
      <w:r>
        <w:rPr>
          <w:rFonts w:hint="eastAsia" w:ascii="仿宋" w:hAnsi="仿宋" w:eastAsia="仿宋" w:cs="仿宋"/>
          <w:color w:val="auto"/>
          <w:kern w:val="0"/>
          <w:sz w:val="28"/>
          <w:szCs w:val="28"/>
          <w:highlight w:val="none"/>
          <w:u w:val="single"/>
        </w:rPr>
        <w:t>0556-8880050</w:t>
      </w:r>
      <w:r>
        <w:rPr>
          <w:rFonts w:hint="eastAsia" w:ascii="仿宋" w:hAnsi="仿宋" w:eastAsia="仿宋" w:cs="仿宋"/>
          <w:color w:val="auto"/>
          <w:kern w:val="0"/>
          <w:sz w:val="28"/>
          <w:szCs w:val="28"/>
          <w:highlight w:val="none"/>
        </w:rPr>
        <w:t>。</w:t>
      </w:r>
    </w:p>
    <w:p w14:paraId="48CD2A3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（二）乙方及其工作人员违反本协议第一、三条规定。根据具体情节和造成的后果，甲方、丙方有权对乙方采取以下一种或多种处理办法：</w:t>
      </w:r>
    </w:p>
    <w:p w14:paraId="554EECA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1. 全额收取乙方合同履约保证金不予退还； </w:t>
      </w:r>
    </w:p>
    <w:p w14:paraId="20EBA81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 追究乙方其他违约责任；</w:t>
      </w:r>
    </w:p>
    <w:p w14:paraId="621F01E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3. 终止或解除各方已签订的包括本合同在内的所有合同；</w:t>
      </w:r>
    </w:p>
    <w:p w14:paraId="4AD47BB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4. 乙方一定期限内（6个月至3年，具体由甲方、丙方根据情况而定）不得参与甲方、丙方作为发包人（业主）的工程项目投标。</w:t>
      </w:r>
    </w:p>
    <w:p w14:paraId="5FC24E34">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甲方、丙方作出的处理意见，乙方应无条件接受并承担给甲方、丙方造成的损失，全额返还通过不正当手段从甲方、丙方获取的非法所得，并承担相应的法律责任。</w:t>
      </w:r>
    </w:p>
    <w:p w14:paraId="476FB5D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第五条 各方约定</w:t>
      </w:r>
    </w:p>
    <w:p w14:paraId="4775DE1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本协议由各方或各方上级单位负责监督。可由甲方、丙方或甲方、丙方上级单位的纪检监察部门约请乙方或乙方上级单位的纪检监察部门对本协议履行情况进行检查，提出在本协议规定范围内的裁定意见。</w:t>
      </w:r>
    </w:p>
    <w:p w14:paraId="3C1F4F8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第六条 本协议有效期为各方签署之日起至合同终止。  </w:t>
      </w:r>
    </w:p>
    <w:p w14:paraId="6145B35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第七条 本协议作为合同的附件，与本合同具有同等法律效力。</w:t>
      </w:r>
    </w:p>
    <w:p w14:paraId="34BC56A9">
      <w:pPr>
        <w:pStyle w:val="4"/>
        <w:keepNext w:val="0"/>
        <w:keepLines w:val="0"/>
        <w:pageBreakBefore w:val="0"/>
        <w:widowControl w:val="0"/>
        <w:kinsoku/>
        <w:wordWrap/>
        <w:topLinePunct w:val="0"/>
        <w:bidi w:val="0"/>
        <w:adjustRightInd w:val="0"/>
        <w:snapToGrid w:val="0"/>
        <w:spacing w:before="0" w:line="540" w:lineRule="exact"/>
        <w:ind w:left="0" w:leftChars="0" w:firstLine="0" w:firstLineChars="0"/>
        <w:rPr>
          <w:rFonts w:hint="default" w:ascii="仿宋" w:hAnsi="仿宋" w:eastAsia="仿宋" w:cs="仿宋"/>
          <w:color w:val="auto"/>
          <w:kern w:val="2"/>
          <w:sz w:val="28"/>
          <w:szCs w:val="28"/>
          <w:highlight w:val="none"/>
          <w:lang w:val="en-US" w:eastAsia="zh-CN"/>
        </w:rPr>
      </w:pP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p>
    <w:p w14:paraId="1DF52266">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r>
        <w:rPr>
          <w:rFonts w:hint="eastAsia" w:ascii="仿宋" w:hAnsi="仿宋" w:eastAsia="仿宋" w:cs="仿宋"/>
          <w:color w:val="auto"/>
          <w:kern w:val="2"/>
          <w:sz w:val="28"/>
          <w:szCs w:val="28"/>
          <w:highlight w:val="none"/>
          <w:vertAlign w:val="baseline"/>
          <w:lang w:val="en-US" w:eastAsia="zh-CN" w:bidi="ar"/>
        </w:rPr>
        <w:t>（以下无正文，为合同签署页）</w:t>
      </w:r>
    </w:p>
    <w:p w14:paraId="51E9A34F">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3A4CAF2A">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r>
        <w:rPr>
          <w:rFonts w:hint="eastAsia" w:ascii="仿宋" w:hAnsi="仿宋" w:eastAsia="仿宋" w:cs="仿宋"/>
          <w:b w:val="0"/>
          <w:bCs/>
          <w:color w:val="auto"/>
          <w:sz w:val="28"/>
          <w:szCs w:val="28"/>
          <w:highlight w:val="none"/>
          <w:u w:val="single"/>
        </w:rPr>
        <w:t>安庆市安通建设集团有限公司</w:t>
      </w:r>
    </w:p>
    <w:p w14:paraId="4818D5C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59C00D9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3822DA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44818F85">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乙方（签章）：</w:t>
      </w:r>
      <w:r>
        <w:rPr>
          <w:rFonts w:hint="eastAsia" w:ascii="仿宋" w:hAnsi="仿宋" w:eastAsia="仿宋" w:cs="仿宋"/>
          <w:b w:val="0"/>
          <w:bCs/>
          <w:color w:val="auto"/>
          <w:sz w:val="28"/>
          <w:szCs w:val="28"/>
          <w:highlight w:val="none"/>
          <w:u w:val="single"/>
          <w:lang w:val="en-US" w:eastAsia="zh-CN"/>
        </w:rPr>
        <w:t xml:space="preserve">                      </w:t>
      </w:r>
    </w:p>
    <w:p w14:paraId="42E10BB8">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w:t>
      </w:r>
    </w:p>
    <w:p w14:paraId="11A7B5C2">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5F97B5B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070D91E9">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丙</w:t>
      </w:r>
      <w:r>
        <w:rPr>
          <w:rFonts w:hint="eastAsia" w:ascii="仿宋" w:hAnsi="仿宋" w:eastAsia="仿宋" w:cs="仿宋"/>
          <w:color w:val="auto"/>
          <w:sz w:val="28"/>
          <w:szCs w:val="28"/>
          <w:highlight w:val="none"/>
        </w:rPr>
        <w:t>方（签章）：</w:t>
      </w:r>
      <w:r>
        <w:rPr>
          <w:rFonts w:hint="eastAsia" w:ascii="仿宋" w:hAnsi="仿宋" w:eastAsia="仿宋" w:cs="仿宋"/>
          <w:b w:val="0"/>
          <w:bCs/>
          <w:color w:val="auto"/>
          <w:sz w:val="28"/>
          <w:szCs w:val="28"/>
          <w:highlight w:val="none"/>
          <w:u w:val="single"/>
        </w:rPr>
        <w:t>安庆市通盛置业有限公司</w:t>
      </w:r>
    </w:p>
    <w:p w14:paraId="31DB15C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09378E57">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7E9E425A">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2550FC9E">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3D59A279">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bookmarkStart w:id="74" w:name="_Toc29107"/>
      <w:r>
        <w:rPr>
          <w:rFonts w:hint="eastAsia" w:ascii="仿宋" w:hAnsi="仿宋" w:eastAsia="仿宋" w:cs="仿宋"/>
          <w:b/>
          <w:bCs/>
          <w:color w:val="auto"/>
          <w:kern w:val="2"/>
          <w:sz w:val="28"/>
          <w:szCs w:val="28"/>
          <w:highlight w:val="none"/>
          <w:lang w:val="en-US" w:eastAsia="zh-CN" w:bidi="ar"/>
        </w:rPr>
        <w:t>附件3：风险代理告知书</w:t>
      </w:r>
      <w:bookmarkEnd w:id="74"/>
    </w:p>
    <w:p w14:paraId="1DCA7D5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案件名称：安通建设集团(2026)皖0811民初5188号蓝城房产建设管理集团有限公司诉讼纠纷案</w:t>
      </w:r>
    </w:p>
    <w:p w14:paraId="41FF1CB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标的总额：16712546.38元</w:t>
      </w:r>
    </w:p>
    <w:p w14:paraId="4AD927DF">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委托代理模式：基础服务费（合同总价40%）+风险提成（最高为合同总价60%，按尾款核算比例据实结算）</w:t>
      </w:r>
    </w:p>
    <w:p w14:paraId="3F29C9F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依据司法部、国家发展改革委、国家市场监督管理总局《关于进一步规范律师服务收费的意见》（司发通〔2021〕87号）相关规定，乙方（律师事务所）已就本案风险代理全部事项向甲方、丙方充分提示、告知，三方均已完整阅读、完全理解全部内容，自愿选择本风险代理计费模式，无任何欺诈、胁迫、误导情形。</w:t>
      </w:r>
    </w:p>
    <w:p w14:paraId="4A2F144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一、风险代理含义告知</w:t>
      </w:r>
    </w:p>
    <w:p w14:paraId="37FAE98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风险代理是指律师事务所与委托人约定，除固定基础服务费外，剩余代理费根据案件最终处理结果（被告减免债务金额）按约定比例计收；案件审理结果存在不确定性，风险提成金额随减损效果浮动，无法保证固定回款/减损金额，不承诺案件一定达成委托人预期目标。</w:t>
      </w:r>
    </w:p>
    <w:p w14:paraId="173DBF0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二、结算特殊情形告知</w:t>
      </w:r>
    </w:p>
    <w:p w14:paraId="0B0BBBE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原告单方撤诉：仅按合同约定三种情形固定比例结算基础服务费，风险提成不予支付；</w:t>
      </w:r>
    </w:p>
    <w:p w14:paraId="50BEB52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双方达成和解：基础服务费按合同总价40%×90%计算，风险提成仍按尾款核算比例据实计取；</w:t>
      </w:r>
    </w:p>
    <w:p w14:paraId="66FB634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无终审判决书仅达成和解的，以三方书面确认的被告应付金额作为核算基数。</w:t>
      </w:r>
    </w:p>
    <w:p w14:paraId="0BB3DC4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三、其他重要提示</w:t>
      </w:r>
    </w:p>
    <w:p w14:paraId="5C8CA6B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本合同总价为包干价，包含差旅、查档、复印、鉴定辅助、执行异议等全部办案成本，乙方不得另行收取其他律师费；</w:t>
      </w:r>
    </w:p>
    <w:p w14:paraId="0BA5A4A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所有代理费支付节点、结算标准、举证要求均以《委托代理服务合同》正式条款为准；</w:t>
      </w:r>
    </w:p>
    <w:p w14:paraId="72B2243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三方均已获得充足时间审阅本告知书及委托合同，可独立咨询外部法律专业人士，不存在被迫签署情形。</w:t>
      </w:r>
    </w:p>
    <w:p w14:paraId="0434E97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2" w:firstLineChars="200"/>
        <w:jc w:val="both"/>
        <w:textAlignment w:val="auto"/>
        <w:outlineLvl w:val="9"/>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四、确认声明</w:t>
      </w:r>
    </w:p>
    <w:p w14:paraId="34C52DE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firstLine="560" w:firstLineChars="200"/>
        <w:jc w:val="both"/>
        <w:textAlignment w:val="auto"/>
        <w:outlineLvl w:val="9"/>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甲方、丙方、乙方三方均确认：承办律师已逐条解释本告知书全部条款，本人/本单位完全理解风险代理收费模式、法律限制、案件各类风险、结算规则及违约责任，自愿签署本告知书，自愿接受《委托代理服务合同》全部收费条款，无任何异议。</w:t>
      </w:r>
    </w:p>
    <w:p w14:paraId="4BD3CDA7">
      <w:pPr>
        <w:pStyle w:val="4"/>
        <w:keepNext w:val="0"/>
        <w:keepLines w:val="0"/>
        <w:pageBreakBefore w:val="0"/>
        <w:widowControl w:val="0"/>
        <w:kinsoku/>
        <w:wordWrap/>
        <w:topLinePunct w:val="0"/>
        <w:bidi w:val="0"/>
        <w:adjustRightInd w:val="0"/>
        <w:snapToGrid w:val="0"/>
        <w:spacing w:before="0" w:line="540" w:lineRule="exact"/>
        <w:ind w:left="0" w:leftChars="0" w:firstLine="0" w:firstLineChars="0"/>
        <w:rPr>
          <w:rFonts w:hint="default" w:ascii="仿宋" w:hAnsi="仿宋" w:eastAsia="仿宋" w:cs="仿宋"/>
          <w:color w:val="auto"/>
          <w:kern w:val="2"/>
          <w:sz w:val="28"/>
          <w:szCs w:val="28"/>
          <w:highlight w:val="none"/>
          <w:lang w:val="en-US" w:eastAsia="zh-CN"/>
        </w:rPr>
      </w:pP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p>
    <w:p w14:paraId="77641C68">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r>
        <w:rPr>
          <w:rFonts w:hint="eastAsia" w:ascii="仿宋" w:hAnsi="仿宋" w:eastAsia="仿宋" w:cs="仿宋"/>
          <w:color w:val="auto"/>
          <w:kern w:val="2"/>
          <w:sz w:val="28"/>
          <w:szCs w:val="28"/>
          <w:highlight w:val="none"/>
          <w:vertAlign w:val="baseline"/>
          <w:lang w:val="en-US" w:eastAsia="zh-CN" w:bidi="ar"/>
        </w:rPr>
        <w:t>（以下无正文，为合同签署页）</w:t>
      </w:r>
    </w:p>
    <w:p w14:paraId="77693609">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3EE6F6FA">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w:t>
      </w:r>
      <w:r>
        <w:rPr>
          <w:rFonts w:hint="eastAsia" w:ascii="仿宋" w:hAnsi="仿宋" w:eastAsia="仿宋" w:cs="仿宋"/>
          <w:b w:val="0"/>
          <w:bCs/>
          <w:color w:val="auto"/>
          <w:sz w:val="28"/>
          <w:szCs w:val="28"/>
          <w:highlight w:val="none"/>
          <w:u w:val="single"/>
        </w:rPr>
        <w:t>安庆市安通建设集团有限公司</w:t>
      </w:r>
    </w:p>
    <w:p w14:paraId="61476A0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6144A518">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683A67C1">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7B36955E">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乙方（签章）：</w:t>
      </w:r>
      <w:r>
        <w:rPr>
          <w:rFonts w:hint="eastAsia" w:ascii="仿宋" w:hAnsi="仿宋" w:eastAsia="仿宋" w:cs="仿宋"/>
          <w:b w:val="0"/>
          <w:bCs/>
          <w:color w:val="auto"/>
          <w:sz w:val="28"/>
          <w:szCs w:val="28"/>
          <w:highlight w:val="none"/>
          <w:u w:val="single"/>
          <w:lang w:val="en-US" w:eastAsia="zh-CN"/>
        </w:rPr>
        <w:t xml:space="preserve">                      </w:t>
      </w:r>
    </w:p>
    <w:p w14:paraId="23968AE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w:t>
      </w:r>
    </w:p>
    <w:p w14:paraId="601F5BA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4B4C0C2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0519B279">
      <w:pPr>
        <w:pStyle w:val="9"/>
        <w:keepNext/>
        <w:keepLines/>
        <w:pageBreakBefore w:val="0"/>
        <w:widowControl w:val="0"/>
        <w:kinsoku/>
        <w:wordWrap/>
        <w:overflowPunct/>
        <w:topLinePunct w:val="0"/>
        <w:autoSpaceDE/>
        <w:autoSpaceDN/>
        <w:bidi w:val="0"/>
        <w:adjustRightInd w:val="0"/>
        <w:snapToGrid w:val="0"/>
        <w:spacing w:before="157" w:beforeLines="50" w:after="157" w:afterLines="5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丙</w:t>
      </w:r>
      <w:r>
        <w:rPr>
          <w:rFonts w:hint="eastAsia" w:ascii="仿宋" w:hAnsi="仿宋" w:eastAsia="仿宋" w:cs="仿宋"/>
          <w:color w:val="auto"/>
          <w:sz w:val="28"/>
          <w:szCs w:val="28"/>
          <w:highlight w:val="none"/>
        </w:rPr>
        <w:t>方（签章）：</w:t>
      </w:r>
      <w:r>
        <w:rPr>
          <w:rFonts w:hint="eastAsia" w:ascii="仿宋" w:hAnsi="仿宋" w:eastAsia="仿宋" w:cs="仿宋"/>
          <w:b w:val="0"/>
          <w:bCs/>
          <w:color w:val="auto"/>
          <w:sz w:val="28"/>
          <w:szCs w:val="28"/>
          <w:highlight w:val="none"/>
          <w:u w:val="single"/>
        </w:rPr>
        <w:t>安庆市通盛置业有限公司</w:t>
      </w:r>
    </w:p>
    <w:p w14:paraId="4597B4A3">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w:t>
      </w:r>
    </w:p>
    <w:p w14:paraId="4043174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1DF4182A">
      <w:pPr>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br w:type="page"/>
      </w:r>
    </w:p>
    <w:p w14:paraId="4D07CD85">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b/>
          <w:bCs/>
          <w:color w:val="auto"/>
          <w:kern w:val="2"/>
          <w:sz w:val="28"/>
          <w:szCs w:val="28"/>
          <w:highlight w:val="none"/>
          <w:lang w:val="en-US" w:eastAsia="zh-CN" w:bidi="ar"/>
        </w:rPr>
      </w:pPr>
      <w:bookmarkStart w:id="75" w:name="_Toc21923"/>
      <w:r>
        <w:rPr>
          <w:rFonts w:hint="eastAsia" w:ascii="仿宋" w:hAnsi="仿宋" w:eastAsia="仿宋" w:cs="仿宋"/>
          <w:b/>
          <w:bCs/>
          <w:color w:val="auto"/>
          <w:kern w:val="2"/>
          <w:sz w:val="28"/>
          <w:szCs w:val="28"/>
          <w:highlight w:val="none"/>
          <w:lang w:val="en-US" w:eastAsia="zh-CN" w:bidi="ar"/>
        </w:rPr>
        <w:t>附件4：证据材料（原件）交接单[参考格式]</w:t>
      </w:r>
      <w:bookmarkEnd w:id="75"/>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39"/>
        <w:gridCol w:w="1151"/>
        <w:gridCol w:w="1495"/>
        <w:gridCol w:w="1495"/>
        <w:gridCol w:w="1496"/>
        <w:gridCol w:w="1496"/>
      </w:tblGrid>
      <w:tr w14:paraId="2B0C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1F073B0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材料名称</w:t>
            </w:r>
          </w:p>
        </w:tc>
        <w:tc>
          <w:tcPr>
            <w:tcW w:w="1151" w:type="dxa"/>
            <w:tcMar>
              <w:top w:w="60" w:type="dxa"/>
              <w:left w:w="120" w:type="dxa"/>
              <w:bottom w:w="30" w:type="dxa"/>
              <w:right w:w="120" w:type="dxa"/>
            </w:tcMar>
          </w:tcPr>
          <w:p w14:paraId="1BFF3CF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份数</w:t>
            </w:r>
          </w:p>
        </w:tc>
        <w:tc>
          <w:tcPr>
            <w:tcW w:w="1495" w:type="dxa"/>
            <w:tcMar>
              <w:top w:w="60" w:type="dxa"/>
              <w:left w:w="120" w:type="dxa"/>
              <w:bottom w:w="30" w:type="dxa"/>
              <w:right w:w="120" w:type="dxa"/>
            </w:tcMar>
          </w:tcPr>
          <w:p w14:paraId="50223D5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页数</w:t>
            </w:r>
          </w:p>
        </w:tc>
        <w:tc>
          <w:tcPr>
            <w:tcW w:w="1495" w:type="dxa"/>
            <w:tcMar>
              <w:top w:w="60" w:type="dxa"/>
              <w:left w:w="120" w:type="dxa"/>
              <w:bottom w:w="30" w:type="dxa"/>
              <w:right w:w="120" w:type="dxa"/>
            </w:tcMar>
          </w:tcPr>
          <w:p w14:paraId="5F835D7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提交日期</w:t>
            </w:r>
          </w:p>
        </w:tc>
        <w:tc>
          <w:tcPr>
            <w:tcW w:w="1496" w:type="dxa"/>
            <w:tcMar>
              <w:top w:w="60" w:type="dxa"/>
              <w:left w:w="120" w:type="dxa"/>
              <w:bottom w:w="30" w:type="dxa"/>
              <w:right w:w="120" w:type="dxa"/>
            </w:tcMar>
          </w:tcPr>
          <w:p w14:paraId="2BADB25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接收人</w:t>
            </w:r>
          </w:p>
        </w:tc>
        <w:tc>
          <w:tcPr>
            <w:tcW w:w="1496" w:type="dxa"/>
            <w:tcMar>
              <w:top w:w="60" w:type="dxa"/>
              <w:left w:w="120" w:type="dxa"/>
              <w:bottom w:w="30" w:type="dxa"/>
              <w:right w:w="120" w:type="dxa"/>
            </w:tcMar>
          </w:tcPr>
          <w:p w14:paraId="5123B59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7666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662FB851">
            <w:pPr>
              <w:pStyle w:val="459"/>
              <w:keepNext w:val="0"/>
              <w:keepLines w:val="0"/>
              <w:widowControl/>
              <w:suppressLineNumbers w:val="0"/>
              <w:spacing w:beforeAutospacing="0" w:afterAutospacing="0"/>
              <w:ind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c>
          <w:tcPr>
            <w:tcW w:w="1151" w:type="dxa"/>
            <w:tcMar>
              <w:top w:w="60" w:type="dxa"/>
              <w:left w:w="120" w:type="dxa"/>
              <w:bottom w:w="30" w:type="dxa"/>
              <w:right w:w="120" w:type="dxa"/>
            </w:tcMar>
          </w:tcPr>
          <w:p w14:paraId="22007A1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35E4E55D">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50E391B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5F2D8D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81C2ADB">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66F5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6304DE4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p>
        </w:tc>
        <w:tc>
          <w:tcPr>
            <w:tcW w:w="1151" w:type="dxa"/>
            <w:tcMar>
              <w:top w:w="60" w:type="dxa"/>
              <w:left w:w="120" w:type="dxa"/>
              <w:bottom w:w="30" w:type="dxa"/>
              <w:right w:w="120" w:type="dxa"/>
            </w:tcMar>
          </w:tcPr>
          <w:p w14:paraId="6061019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3F389A3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5CCCDEC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0B95937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64DD5F5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1F3C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393A142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p>
        </w:tc>
        <w:tc>
          <w:tcPr>
            <w:tcW w:w="1151" w:type="dxa"/>
            <w:tcMar>
              <w:top w:w="60" w:type="dxa"/>
              <w:left w:w="120" w:type="dxa"/>
              <w:bottom w:w="30" w:type="dxa"/>
              <w:right w:w="120" w:type="dxa"/>
            </w:tcMar>
          </w:tcPr>
          <w:p w14:paraId="0C886EF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2294685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57163EE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E1BAC85">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5DF258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2A15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39" w:type="dxa"/>
            <w:tcMar>
              <w:top w:w="60" w:type="dxa"/>
              <w:left w:w="120" w:type="dxa"/>
              <w:bottom w:w="30" w:type="dxa"/>
              <w:right w:w="120" w:type="dxa"/>
            </w:tcMar>
          </w:tcPr>
          <w:p w14:paraId="471411D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lang w:eastAsia="zh-CN"/>
              </w:rPr>
            </w:pPr>
          </w:p>
        </w:tc>
        <w:tc>
          <w:tcPr>
            <w:tcW w:w="1151" w:type="dxa"/>
            <w:tcMar>
              <w:top w:w="60" w:type="dxa"/>
              <w:left w:w="120" w:type="dxa"/>
              <w:bottom w:w="30" w:type="dxa"/>
              <w:right w:w="120" w:type="dxa"/>
            </w:tcMar>
          </w:tcPr>
          <w:p w14:paraId="2EBF2BF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4B33FA9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5" w:type="dxa"/>
            <w:tcMar>
              <w:top w:w="60" w:type="dxa"/>
              <w:left w:w="120" w:type="dxa"/>
              <w:bottom w:w="30" w:type="dxa"/>
              <w:right w:w="120" w:type="dxa"/>
            </w:tcMar>
          </w:tcPr>
          <w:p w14:paraId="0588420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7A4EF05D">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1496" w:type="dxa"/>
            <w:tcMar>
              <w:top w:w="60" w:type="dxa"/>
              <w:left w:w="120" w:type="dxa"/>
              <w:bottom w:w="30" w:type="dxa"/>
              <w:right w:w="120" w:type="dxa"/>
            </w:tcMar>
          </w:tcPr>
          <w:p w14:paraId="1B8CBB6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bl>
    <w:p w14:paraId="7362B8A6">
      <w:pPr>
        <w:pStyle w:val="459"/>
        <w:keepNext w:val="0"/>
        <w:keepLines w:val="0"/>
        <w:pageBreakBefore w:val="0"/>
        <w:widowControl/>
        <w:kinsoku/>
        <w:wordWrap/>
        <w:overflowPunct/>
        <w:topLinePunct w:val="0"/>
        <w:autoSpaceDE/>
        <w:autoSpaceDN/>
        <w:bidi w:val="0"/>
        <w:adjustRightInd w:val="0"/>
        <w:snapToGrid w:val="0"/>
        <w:spacing w:before="0" w:after="0" w:line="360" w:lineRule="auto"/>
        <w:textAlignment w:val="auto"/>
        <w:rPr>
          <w:rFonts w:hint="eastAsia" w:ascii="仿宋" w:hAnsi="仿宋" w:eastAsia="仿宋" w:cs="仿宋"/>
          <w:color w:val="auto"/>
          <w:sz w:val="24"/>
          <w:szCs w:val="24"/>
          <w:highlight w:val="none"/>
        </w:rPr>
      </w:pPr>
    </w:p>
    <w:p w14:paraId="3AF0D873">
      <w:pPr>
        <w:pStyle w:val="459"/>
        <w:keepNext w:val="0"/>
        <w:keepLines w:val="0"/>
        <w:pageBreakBefore w:val="0"/>
        <w:widowControl/>
        <w:kinsoku/>
        <w:wordWrap/>
        <w:overflowPunct/>
        <w:topLinePunct w:val="0"/>
        <w:autoSpaceDE/>
        <w:autoSpaceDN/>
        <w:bidi w:val="0"/>
        <w:adjustRightInd w:val="0"/>
        <w:snapToGrid w:val="0"/>
        <w:spacing w:before="0" w:after="0"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提交人（签字）：________</w:t>
      </w:r>
    </w:p>
    <w:p w14:paraId="5A5F8CAC">
      <w:pPr>
        <w:pStyle w:val="459"/>
        <w:keepNext w:val="0"/>
        <w:keepLines w:val="0"/>
        <w:pageBreakBefore w:val="0"/>
        <w:widowControl/>
        <w:kinsoku/>
        <w:wordWrap/>
        <w:overflowPunct/>
        <w:topLinePunct w:val="0"/>
        <w:autoSpaceDE/>
        <w:autoSpaceDN/>
        <w:bidi w:val="0"/>
        <w:adjustRightInd w:val="0"/>
        <w:snapToGrid w:val="0"/>
        <w:spacing w:before="0" w:after="0"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接收人（签字）：________</w:t>
      </w:r>
    </w:p>
    <w:p w14:paraId="3B515ADF">
      <w:pPr>
        <w:pStyle w:val="459"/>
        <w:keepNext w:val="0"/>
        <w:keepLines w:val="0"/>
        <w:pageBreakBefore w:val="0"/>
        <w:widowControl/>
        <w:kinsoku/>
        <w:wordWrap/>
        <w:overflowPunct/>
        <w:topLinePunct w:val="0"/>
        <w:autoSpaceDE/>
        <w:autoSpaceDN/>
        <w:bidi w:val="0"/>
        <w:adjustRightInd w:val="0"/>
        <w:snapToGrid w:val="0"/>
        <w:spacing w:before="0" w:after="0"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日期：______年____月____日</w:t>
      </w:r>
    </w:p>
    <w:p w14:paraId="58BB0D29">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04F22CC3">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bookmarkStart w:id="76" w:name="_Toc26204"/>
      <w:r>
        <w:rPr>
          <w:rFonts w:hint="eastAsia" w:ascii="仿宋" w:hAnsi="仿宋" w:eastAsia="仿宋" w:cs="仿宋"/>
          <w:b/>
          <w:bCs/>
          <w:color w:val="auto"/>
          <w:kern w:val="2"/>
          <w:sz w:val="28"/>
          <w:szCs w:val="28"/>
          <w:highlight w:val="none"/>
          <w:lang w:val="en-US" w:eastAsia="zh-CN" w:bidi="ar"/>
        </w:rPr>
        <w:t>附件5：成交人执业许可证</w:t>
      </w:r>
      <w:bookmarkEnd w:id="76"/>
    </w:p>
    <w:p w14:paraId="56048D95">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b w:val="0"/>
          <w:bCs w:val="0"/>
          <w:color w:val="auto"/>
          <w:kern w:val="2"/>
          <w:sz w:val="28"/>
          <w:szCs w:val="28"/>
          <w:highlight w:val="none"/>
          <w:lang w:val="en-US" w:eastAsia="zh-CN" w:bidi="ar"/>
        </w:rPr>
        <w:t>签订合同时另附。</w:t>
      </w:r>
    </w:p>
    <w:p w14:paraId="1BC1CF46">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38316775">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3"/>
      <w:bookmarkEnd w:id="64"/>
      <w:bookmarkEnd w:id="65"/>
      <w:bookmarkEnd w:id="66"/>
      <w:bookmarkStart w:id="77" w:name="_Toc26873"/>
      <w:bookmarkStart w:id="78" w:name="_Toc54884158"/>
      <w:r>
        <w:rPr>
          <w:rFonts w:hint="eastAsia" w:ascii="Arial" w:hAnsi="Arial"/>
          <w:color w:val="auto"/>
          <w:kern w:val="2"/>
          <w:sz w:val="32"/>
          <w:szCs w:val="32"/>
          <w:highlight w:val="none"/>
        </w:rPr>
        <w:t>参选文件格式</w:t>
      </w:r>
      <w:bookmarkEnd w:id="77"/>
      <w:bookmarkEnd w:id="78"/>
    </w:p>
    <w:p w14:paraId="49945C73">
      <w:pPr>
        <w:spacing w:line="360" w:lineRule="auto"/>
        <w:jc w:val="center"/>
        <w:rPr>
          <w:rFonts w:ascii="仿宋" w:hAnsi="仿宋" w:eastAsia="仿宋"/>
          <w:b/>
          <w:color w:val="auto"/>
          <w:spacing w:val="20"/>
          <w:sz w:val="36"/>
          <w:szCs w:val="36"/>
          <w:highlight w:val="none"/>
          <w:u w:val="single"/>
        </w:rPr>
      </w:pPr>
    </w:p>
    <w:p w14:paraId="2C41F8BF">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hint="eastAsia" w:ascii="仿宋" w:hAnsi="仿宋" w:eastAsia="仿宋"/>
          <w:b/>
          <w:color w:val="auto"/>
          <w:spacing w:val="20"/>
          <w:sz w:val="36"/>
          <w:szCs w:val="36"/>
          <w:highlight w:val="none"/>
          <w:lang w:eastAsia="zh-CN"/>
        </w:rPr>
        <w:t>：</w:t>
      </w:r>
      <w:r>
        <w:rPr>
          <w:rFonts w:hint="default" w:ascii="仿宋" w:hAnsi="仿宋" w:eastAsia="仿宋"/>
          <w:b/>
          <w:color w:val="auto"/>
          <w:spacing w:val="20"/>
          <w:sz w:val="36"/>
          <w:szCs w:val="36"/>
          <w:highlight w:val="none"/>
          <w:lang w:val="en-US" w:eastAsia="zh-CN"/>
        </w:rPr>
        <w:t>_____________________</w:t>
      </w:r>
      <w:r>
        <w:rPr>
          <w:rFonts w:hint="eastAsia" w:ascii="仿宋" w:hAnsi="仿宋" w:eastAsia="仿宋"/>
          <w:b/>
          <w:color w:val="auto"/>
          <w:spacing w:val="20"/>
          <w:sz w:val="36"/>
          <w:szCs w:val="36"/>
          <w:highlight w:val="none"/>
        </w:rPr>
        <w:t>）</w:t>
      </w:r>
    </w:p>
    <w:p w14:paraId="37BE6761">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w:t>
      </w:r>
      <w:r>
        <w:rPr>
          <w:rFonts w:hint="eastAsia" w:ascii="仿宋" w:hAnsi="仿宋" w:eastAsia="仿宋"/>
          <w:b/>
          <w:color w:val="auto"/>
          <w:spacing w:val="20"/>
          <w:sz w:val="36"/>
          <w:szCs w:val="36"/>
          <w:highlight w:val="none"/>
          <w:lang w:val="en-US" w:eastAsia="zh-CN"/>
        </w:rPr>
        <w:t>编号</w:t>
      </w:r>
      <w:r>
        <w:rPr>
          <w:rFonts w:hint="default" w:ascii="仿宋" w:hAnsi="仿宋" w:eastAsia="仿宋"/>
          <w:b/>
          <w:color w:val="auto"/>
          <w:spacing w:val="20"/>
          <w:sz w:val="36"/>
          <w:szCs w:val="36"/>
          <w:highlight w:val="none"/>
          <w:lang w:val="en-US" w:eastAsia="zh-CN"/>
        </w:rPr>
        <w:t>:______________________</w:t>
      </w:r>
      <w:r>
        <w:rPr>
          <w:rFonts w:hint="eastAsia" w:ascii="仿宋" w:hAnsi="仿宋" w:eastAsia="仿宋"/>
          <w:b/>
          <w:color w:val="auto"/>
          <w:spacing w:val="20"/>
          <w:sz w:val="36"/>
          <w:szCs w:val="36"/>
          <w:highlight w:val="none"/>
        </w:rPr>
        <w:t>）</w:t>
      </w:r>
    </w:p>
    <w:p w14:paraId="10E9401D">
      <w:pPr>
        <w:spacing w:line="360" w:lineRule="auto"/>
        <w:rPr>
          <w:rFonts w:ascii="宋体" w:hAnsi="宋体"/>
          <w:color w:val="auto"/>
          <w:sz w:val="24"/>
          <w:highlight w:val="none"/>
        </w:rPr>
      </w:pPr>
    </w:p>
    <w:p w14:paraId="56FBD22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03FDAD36">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699AEAE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4660B020">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1E15E8A7">
      <w:pPr>
        <w:pStyle w:val="82"/>
        <w:spacing w:before="156"/>
        <w:ind w:firstLine="350"/>
        <w:rPr>
          <w:color w:val="auto"/>
          <w:highlight w:val="none"/>
        </w:rPr>
      </w:pPr>
    </w:p>
    <w:p w14:paraId="6EEADEAF">
      <w:pPr>
        <w:spacing w:line="360" w:lineRule="auto"/>
        <w:rPr>
          <w:rFonts w:ascii="宋体" w:hAnsi="宋体"/>
          <w:color w:val="auto"/>
          <w:sz w:val="24"/>
          <w:highlight w:val="none"/>
        </w:rPr>
      </w:pPr>
    </w:p>
    <w:p w14:paraId="34B8CFE0">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2D4BF87">
      <w:pPr>
        <w:spacing w:line="360" w:lineRule="auto"/>
        <w:rPr>
          <w:rFonts w:ascii="宋体" w:hAnsi="宋体"/>
          <w:b/>
          <w:color w:val="auto"/>
          <w:sz w:val="30"/>
          <w:szCs w:val="30"/>
          <w:highlight w:val="none"/>
        </w:rPr>
      </w:pPr>
    </w:p>
    <w:p w14:paraId="764D1A80">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58CD2BE6">
      <w:pPr>
        <w:pStyle w:val="82"/>
        <w:spacing w:before="156"/>
        <w:ind w:firstLine="350"/>
        <w:rPr>
          <w:color w:val="auto"/>
          <w:highlight w:val="none"/>
        </w:rPr>
      </w:pPr>
    </w:p>
    <w:p w14:paraId="7BE6F0EE">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ACAF24D">
      <w:pPr>
        <w:spacing w:line="360" w:lineRule="auto"/>
        <w:rPr>
          <w:rFonts w:ascii="仿宋_GB2312" w:eastAsia="仿宋_GB2312"/>
          <w:color w:val="auto"/>
          <w:sz w:val="30"/>
          <w:szCs w:val="30"/>
          <w:highlight w:val="none"/>
        </w:rPr>
      </w:pPr>
    </w:p>
    <w:p w14:paraId="0CEBC3B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4F4EF1B3">
      <w:pPr>
        <w:spacing w:line="480" w:lineRule="exact"/>
        <w:jc w:val="center"/>
        <w:rPr>
          <w:rFonts w:ascii="宋体" w:hAnsi="宋体"/>
          <w:b/>
          <w:color w:val="auto"/>
          <w:sz w:val="30"/>
          <w:szCs w:val="30"/>
          <w:highlight w:val="none"/>
        </w:rPr>
      </w:pPr>
    </w:p>
    <w:p w14:paraId="2C8155D5">
      <w:pPr>
        <w:spacing w:line="480" w:lineRule="exact"/>
        <w:rPr>
          <w:rFonts w:ascii="黑体" w:eastAsia="黑体"/>
          <w:b/>
          <w:bCs/>
          <w:color w:val="auto"/>
          <w:szCs w:val="21"/>
          <w:highlight w:val="none"/>
        </w:rPr>
      </w:pPr>
    </w:p>
    <w:p w14:paraId="3891DCD9">
      <w:pPr>
        <w:jc w:val="center"/>
        <w:rPr>
          <w:rFonts w:ascii="宋体" w:cs="宋体"/>
          <w:b/>
          <w:color w:val="auto"/>
          <w:sz w:val="30"/>
          <w:szCs w:val="30"/>
          <w:highlight w:val="none"/>
        </w:rPr>
      </w:pPr>
      <w:r>
        <w:rPr>
          <w:rFonts w:hint="eastAsia" w:ascii="宋体" w:hAnsi="宋体" w:cs="宋体"/>
          <w:b/>
          <w:color w:val="auto"/>
          <w:sz w:val="30"/>
          <w:szCs w:val="30"/>
          <w:highlight w:val="none"/>
        </w:rPr>
        <w:t>目</w:t>
      </w:r>
      <w:r>
        <w:rPr>
          <w:rFonts w:hint="eastAsia" w:ascii="宋体" w:hAnsi="宋体" w:cs="宋体"/>
          <w:b/>
          <w:color w:val="auto"/>
          <w:sz w:val="30"/>
          <w:szCs w:val="30"/>
          <w:highlight w:val="none"/>
          <w:lang w:val="en-US" w:eastAsia="zh-CN"/>
        </w:rPr>
        <w:t xml:space="preserve">  </w:t>
      </w:r>
      <w:r>
        <w:rPr>
          <w:rFonts w:hint="eastAsia" w:ascii="宋体" w:hAnsi="宋体" w:cs="宋体"/>
          <w:b/>
          <w:color w:val="auto"/>
          <w:sz w:val="30"/>
          <w:szCs w:val="30"/>
          <w:highlight w:val="none"/>
        </w:rPr>
        <w:t>录</w:t>
      </w:r>
    </w:p>
    <w:p w14:paraId="43D54045">
      <w:pPr>
        <w:pStyle w:val="82"/>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en-US" w:eastAsia="zh-CN"/>
        </w:rPr>
        <w:t>参选函</w:t>
      </w:r>
    </w:p>
    <w:p w14:paraId="73AD4447">
      <w:pPr>
        <w:pStyle w:val="82"/>
        <w:rPr>
          <w:rFonts w:hint="eastAsia" w:ascii="宋体" w:hAnsi="宋体"/>
          <w:color w:val="auto"/>
          <w:sz w:val="24"/>
          <w:highlight w:val="none"/>
        </w:rPr>
      </w:pPr>
      <w:r>
        <w:rPr>
          <w:rFonts w:hint="eastAsia" w:ascii="宋体" w:hAnsi="宋体"/>
          <w:color w:val="auto"/>
          <w:sz w:val="24"/>
          <w:highlight w:val="none"/>
        </w:rPr>
        <w:t>二、报价表</w:t>
      </w:r>
    </w:p>
    <w:p w14:paraId="3DAC9C42">
      <w:pPr>
        <w:pStyle w:val="82"/>
        <w:rPr>
          <w:rFonts w:hint="eastAsia" w:ascii="宋体" w:hAnsi="宋体"/>
          <w:color w:val="auto"/>
          <w:sz w:val="24"/>
          <w:highlight w:val="none"/>
        </w:rPr>
      </w:pPr>
      <w:r>
        <w:rPr>
          <w:rFonts w:hint="eastAsia" w:ascii="宋体" w:hAnsi="宋体"/>
          <w:color w:val="auto"/>
          <w:sz w:val="24"/>
          <w:highlight w:val="none"/>
        </w:rPr>
        <w:t>三、相关证明文件</w:t>
      </w:r>
    </w:p>
    <w:p w14:paraId="633C2590">
      <w:pPr>
        <w:pStyle w:val="82"/>
        <w:rPr>
          <w:rFonts w:hint="eastAsia" w:ascii="宋体" w:hAnsi="宋体"/>
          <w:color w:val="auto"/>
          <w:sz w:val="24"/>
          <w:highlight w:val="none"/>
        </w:rPr>
      </w:pPr>
    </w:p>
    <w:p w14:paraId="6BD7A7B0">
      <w:pPr>
        <w:widowControl/>
        <w:jc w:val="left"/>
        <w:rPr>
          <w:rFonts w:ascii="宋体" w:cs="宋体"/>
          <w:color w:val="auto"/>
          <w:sz w:val="24"/>
          <w:highlight w:val="none"/>
        </w:rPr>
      </w:pPr>
      <w:r>
        <w:rPr>
          <w:rFonts w:ascii="宋体" w:cs="宋体"/>
          <w:color w:val="auto"/>
          <w:sz w:val="24"/>
          <w:highlight w:val="none"/>
        </w:rPr>
        <w:br w:type="page"/>
      </w:r>
    </w:p>
    <w:p w14:paraId="6B3C16F0">
      <w:pPr>
        <w:pStyle w:val="8"/>
        <w:jc w:val="center"/>
        <w:rPr>
          <w:color w:val="auto"/>
          <w:sz w:val="28"/>
          <w:szCs w:val="28"/>
          <w:highlight w:val="none"/>
        </w:rPr>
      </w:pPr>
      <w:bookmarkStart w:id="79" w:name="_Toc54941342"/>
      <w:bookmarkStart w:id="80" w:name="_Toc476584433"/>
      <w:r>
        <w:rPr>
          <w:rFonts w:hint="eastAsia" w:cs="宋体"/>
          <w:color w:val="auto"/>
          <w:sz w:val="28"/>
          <w:szCs w:val="28"/>
          <w:highlight w:val="none"/>
        </w:rPr>
        <w:t>一、</w:t>
      </w:r>
      <w:bookmarkEnd w:id="79"/>
      <w:bookmarkEnd w:id="80"/>
      <w:r>
        <w:rPr>
          <w:rFonts w:hint="eastAsia"/>
          <w:color w:val="auto"/>
          <w:sz w:val="28"/>
          <w:szCs w:val="28"/>
          <w:highlight w:val="none"/>
          <w:lang w:val="en-US" w:eastAsia="zh-CN"/>
        </w:rPr>
        <w:t>参选函</w:t>
      </w:r>
    </w:p>
    <w:p w14:paraId="1266B40E">
      <w:pPr>
        <w:tabs>
          <w:tab w:val="left" w:pos="5580"/>
        </w:tabs>
        <w:spacing w:before="120" w:line="360" w:lineRule="auto"/>
        <w:rPr>
          <w:rFonts w:hint="eastAsia" w:ascii="宋体" w:hAnsi="宋体"/>
          <w:color w:val="auto"/>
          <w:szCs w:val="21"/>
          <w:highlight w:val="none"/>
        </w:rPr>
      </w:pPr>
    </w:p>
    <w:p w14:paraId="1CE0FD45">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安庆市安通建设集团有限公司</w:t>
      </w:r>
    </w:p>
    <w:p w14:paraId="0D8359B7">
      <w:pPr>
        <w:widowControl w:val="0"/>
        <w:numPr>
          <w:ilvl w:val="0"/>
          <w:numId w:val="3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根据贵方比选公告，我方决定参加贵方组织的</w:t>
      </w:r>
      <w:r>
        <w:rPr>
          <w:rFonts w:hint="eastAsia" w:ascii="宋体" w:hAnsi="宋体" w:cs="Courier New"/>
          <w:color w:val="auto"/>
          <w:kern w:val="2"/>
          <w:sz w:val="21"/>
          <w:szCs w:val="21"/>
          <w:highlight w:val="none"/>
          <w:u w:val="single"/>
          <w:lang w:val="en-US" w:eastAsia="zh-CN" w:bidi="ar-SA"/>
        </w:rPr>
        <w:t xml:space="preserve"> 安通建设集团(2026)皖0811民初5188号案诉讼代理服务（重新采购） </w:t>
      </w:r>
      <w:r>
        <w:rPr>
          <w:rFonts w:hint="eastAsia" w:ascii="宋体" w:hAnsi="宋体" w:eastAsia="宋体" w:cs="Courier New"/>
          <w:color w:val="auto"/>
          <w:kern w:val="2"/>
          <w:sz w:val="21"/>
          <w:szCs w:val="21"/>
          <w:highlight w:val="none"/>
          <w:lang w:val="en-US" w:eastAsia="zh-CN" w:bidi="ar-SA"/>
        </w:rPr>
        <w:t>的比选活动。我方授权</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(姓名和职务)代表我方</w:t>
      </w:r>
    </w:p>
    <w:p w14:paraId="378BFED1">
      <w:pPr>
        <w:widowControl w:val="0"/>
        <w:numPr>
          <w:ilvl w:val="0"/>
          <w:numId w:val="0"/>
        </w:numPr>
        <w:tabs>
          <w:tab w:val="left" w:pos="5580"/>
        </w:tabs>
        <w:spacing w:line="360" w:lineRule="auto"/>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（参选人的名称）全权处理本项目投标的有关事宜。</w:t>
      </w:r>
    </w:p>
    <w:p w14:paraId="667A43BC">
      <w:pPr>
        <w:widowControl w:val="0"/>
        <w:numPr>
          <w:ilvl w:val="0"/>
          <w:numId w:val="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2、我方充分了解并完全响应比选文件的全部内容，愿意按照比选文件规定的各项要求，向采购人提供所需服务</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lang w:val="en-US" w:eastAsia="zh-CN" w:bidi="ar-SA"/>
        </w:rPr>
        <w:t>比选</w:t>
      </w:r>
      <w:r>
        <w:rPr>
          <w:rFonts w:hint="eastAsia" w:ascii="宋体" w:hAnsi="宋体" w:cs="Courier New"/>
          <w:color w:val="auto"/>
          <w:kern w:val="2"/>
          <w:sz w:val="21"/>
          <w:szCs w:val="21"/>
          <w:highlight w:val="none"/>
          <w:lang w:val="en-US" w:eastAsia="zh-CN" w:bidi="ar-SA"/>
        </w:rPr>
        <w:t>报价</w:t>
      </w:r>
      <w:r>
        <w:rPr>
          <w:rFonts w:hint="eastAsia" w:ascii="宋体" w:hAnsi="宋体" w:eastAsia="宋体" w:cs="Courier New"/>
          <w:color w:val="auto"/>
          <w:kern w:val="2"/>
          <w:sz w:val="21"/>
          <w:szCs w:val="21"/>
          <w:highlight w:val="none"/>
          <w:lang w:val="en-US" w:eastAsia="zh-CN" w:bidi="ar-SA"/>
        </w:rPr>
        <w:t>为（大写）</w:t>
      </w:r>
      <w:r>
        <w:rPr>
          <w:rFonts w:hint="eastAsia" w:ascii="宋体" w:hAnsi="宋体" w:cs="Courier New"/>
          <w:color w:val="auto"/>
          <w:kern w:val="2"/>
          <w:sz w:val="21"/>
          <w:szCs w:val="21"/>
          <w:highlight w:val="none"/>
          <w:lang w:val="en-US" w:eastAsia="zh-CN" w:bidi="ar-SA"/>
        </w:rPr>
        <w:t>：</w:t>
      </w:r>
      <w:r>
        <w:rPr>
          <w:rFonts w:hint="eastAsia" w:ascii="宋体" w:hAnsi="宋体" w:cs="Courier New"/>
          <w:color w:val="auto"/>
          <w:kern w:val="2"/>
          <w:sz w:val="21"/>
          <w:szCs w:val="21"/>
          <w:highlight w:val="none"/>
          <w:u w:val="none"/>
          <w:lang w:val="en-US" w:eastAsia="zh-CN" w:bidi="ar-SA"/>
        </w:rPr>
        <w:t>人民币</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r>
        <w:rPr>
          <w:rFonts w:hint="eastAsia" w:ascii="宋体" w:hAnsi="宋体" w:eastAsia="宋体" w:cs="Courier New"/>
          <w:color w:val="auto"/>
          <w:kern w:val="2"/>
          <w:sz w:val="21"/>
          <w:szCs w:val="21"/>
          <w:highlight w:val="none"/>
          <w:lang w:val="en-US" w:eastAsia="zh-CN" w:bidi="ar-SA"/>
        </w:rPr>
        <w:t>(小写</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p>
    <w:p w14:paraId="3B8EAC67">
      <w:pPr>
        <w:widowControl w:val="0"/>
        <w:tabs>
          <w:tab w:val="left" w:pos="5580"/>
        </w:tabs>
        <w:spacing w:line="360" w:lineRule="auto"/>
        <w:ind w:firstLine="420" w:firstLineChars="200"/>
        <w:jc w:val="both"/>
        <w:rPr>
          <w:rFonts w:hint="default" w:ascii="宋体" w:hAnsi="宋体" w:eastAsia="宋体" w:cs="Courier New"/>
          <w:b/>
          <w:bCs/>
          <w:color w:val="auto"/>
          <w:kern w:val="2"/>
          <w:sz w:val="21"/>
          <w:szCs w:val="21"/>
          <w:highlight w:val="none"/>
          <w:u w:val="single"/>
          <w:lang w:val="en-US" w:eastAsia="zh-CN" w:bidi="ar-SA"/>
        </w:rPr>
      </w:pPr>
      <w:r>
        <w:rPr>
          <w:rFonts w:hint="eastAsia" w:ascii="宋体" w:hAnsi="宋体" w:eastAsia="宋体" w:cs="Courier New"/>
          <w:color w:val="auto"/>
          <w:kern w:val="2"/>
          <w:sz w:val="21"/>
          <w:szCs w:val="21"/>
          <w:highlight w:val="none"/>
          <w:lang w:val="en-US" w:eastAsia="zh-CN" w:bidi="ar-SA"/>
        </w:rPr>
        <w:t>3、一旦我方成交，我方将严格履行合同规定的责任和义务，保证该项目</w:t>
      </w:r>
      <w:r>
        <w:rPr>
          <w:rFonts w:hint="eastAsia" w:ascii="宋体" w:hAnsi="宋体" w:cs="Courier New"/>
          <w:color w:val="auto"/>
          <w:kern w:val="2"/>
          <w:sz w:val="21"/>
          <w:szCs w:val="21"/>
          <w:highlight w:val="none"/>
          <w:lang w:val="en-US" w:eastAsia="zh-CN" w:bidi="ar-SA"/>
        </w:rPr>
        <w:t>应达到</w:t>
      </w:r>
      <w:r>
        <w:rPr>
          <w:rFonts w:hint="eastAsia" w:ascii="宋体" w:hAnsi="宋体" w:eastAsia="宋体" w:cs="Courier New"/>
          <w:color w:val="auto"/>
          <w:kern w:val="2"/>
          <w:sz w:val="21"/>
          <w:szCs w:val="21"/>
          <w:highlight w:val="none"/>
          <w:lang w:val="en-US" w:eastAsia="zh-CN" w:bidi="ar-SA"/>
        </w:rPr>
        <w:t>的</w:t>
      </w:r>
      <w:r>
        <w:rPr>
          <w:rFonts w:hint="eastAsia" w:ascii="宋体" w:hAnsi="宋体" w:cs="Courier New"/>
          <w:color w:val="auto"/>
          <w:kern w:val="2"/>
          <w:sz w:val="21"/>
          <w:szCs w:val="21"/>
          <w:highlight w:val="none"/>
          <w:lang w:val="en-US" w:eastAsia="zh-CN" w:bidi="ar-SA"/>
        </w:rPr>
        <w:t>时间及质量要求。</w:t>
      </w:r>
    </w:p>
    <w:p w14:paraId="04A094C5">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4、我方保证按照本项目比选文件要求提交参选文件。</w:t>
      </w:r>
    </w:p>
    <w:p w14:paraId="665A3C2E">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5、我方愿意提供贵方可能另外要求的、与比选有关的文件资料，并保证我方已提供和将要提供的文件是真实的、准确的。</w:t>
      </w:r>
    </w:p>
    <w:p w14:paraId="3427E396">
      <w:pPr>
        <w:pStyle w:val="31"/>
        <w:tabs>
          <w:tab w:val="left" w:pos="5580"/>
        </w:tabs>
        <w:spacing w:line="360" w:lineRule="auto"/>
        <w:ind w:firstLine="417" w:firstLineChars="199"/>
        <w:rPr>
          <w:rFonts w:hAnsi="宋体"/>
          <w:color w:val="auto"/>
          <w:highlight w:val="none"/>
        </w:rPr>
      </w:pPr>
    </w:p>
    <w:p w14:paraId="4FD3E49F">
      <w:pPr>
        <w:pStyle w:val="31"/>
        <w:tabs>
          <w:tab w:val="left" w:pos="5580"/>
        </w:tabs>
        <w:spacing w:line="360" w:lineRule="auto"/>
        <w:ind w:right="360" w:firstLine="3570" w:firstLineChars="1700"/>
        <w:rPr>
          <w:rFonts w:hAnsi="宋体"/>
          <w:color w:val="auto"/>
          <w:highlight w:val="none"/>
        </w:rPr>
      </w:pPr>
    </w:p>
    <w:p w14:paraId="22814F3F">
      <w:pPr>
        <w:pStyle w:val="31"/>
        <w:tabs>
          <w:tab w:val="left" w:pos="5580"/>
        </w:tabs>
        <w:spacing w:line="360" w:lineRule="auto"/>
        <w:ind w:right="360" w:firstLine="3570" w:firstLineChars="1700"/>
        <w:rPr>
          <w:rFonts w:hAnsi="宋体"/>
          <w:color w:val="auto"/>
          <w:highlight w:val="none"/>
        </w:rPr>
      </w:pPr>
    </w:p>
    <w:p w14:paraId="2F4A581E">
      <w:pPr>
        <w:pStyle w:val="31"/>
        <w:tabs>
          <w:tab w:val="left" w:pos="5580"/>
        </w:tabs>
        <w:spacing w:line="360" w:lineRule="auto"/>
        <w:ind w:right="360" w:firstLine="3570" w:firstLineChars="1700"/>
        <w:rPr>
          <w:rFonts w:hAnsi="宋体"/>
          <w:color w:val="auto"/>
          <w:highlight w:val="none"/>
        </w:rPr>
      </w:pPr>
    </w:p>
    <w:p w14:paraId="7444DD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（盖章）</w:t>
      </w:r>
    </w:p>
    <w:p w14:paraId="6AC678E2">
      <w:pPr>
        <w:pStyle w:val="31"/>
        <w:tabs>
          <w:tab w:val="left" w:pos="5580"/>
        </w:tabs>
        <w:wordWrap w:val="0"/>
        <w:spacing w:line="480" w:lineRule="auto"/>
        <w:ind w:firstLine="420" w:firstLineChars="200"/>
        <w:jc w:val="right"/>
        <w:rPr>
          <w:rFonts w:hint="eastAsia" w:hAnsi="宋体" w:eastAsia="宋体"/>
          <w:color w:val="auto"/>
          <w:highlight w:val="none"/>
          <w:u w:val="single"/>
          <w:lang w:val="en-US" w:eastAsia="zh-CN"/>
        </w:rPr>
      </w:pPr>
      <w:r>
        <w:rPr>
          <w:rFonts w:hint="eastAsia" w:hAnsi="宋体"/>
          <w:color w:val="auto"/>
          <w:highlight w:val="none"/>
        </w:rPr>
        <w:t>单位地址：</w:t>
      </w:r>
      <w:r>
        <w:rPr>
          <w:rFonts w:hint="eastAsia" w:hAnsi="宋体"/>
          <w:color w:val="auto"/>
          <w:highlight w:val="none"/>
          <w:u w:val="single"/>
          <w:lang w:val="en-US" w:eastAsia="zh-CN"/>
        </w:rPr>
        <w:t xml:space="preserve">                     </w:t>
      </w:r>
    </w:p>
    <w:p w14:paraId="39101A32">
      <w:pPr>
        <w:pStyle w:val="31"/>
        <w:tabs>
          <w:tab w:val="left" w:pos="5580"/>
        </w:tabs>
        <w:spacing w:line="480" w:lineRule="auto"/>
        <w:ind w:firstLine="3570" w:firstLineChars="1700"/>
        <w:jc w:val="right"/>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02376F9F">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164A6737">
      <w:pPr>
        <w:pStyle w:val="26"/>
        <w:rPr>
          <w:color w:val="auto"/>
          <w:highlight w:val="none"/>
        </w:rPr>
      </w:pPr>
    </w:p>
    <w:p w14:paraId="355E8CF7">
      <w:pPr>
        <w:rPr>
          <w:rFonts w:hint="eastAsia" w:cs="宋体"/>
          <w:color w:val="auto"/>
          <w:highlight w:val="none"/>
        </w:rPr>
      </w:pPr>
      <w:bookmarkStart w:id="81" w:name="_Toc476584438"/>
      <w:bookmarkStart w:id="82" w:name="_Toc54941350"/>
      <w:r>
        <w:rPr>
          <w:rFonts w:hint="eastAsia" w:cs="宋体"/>
          <w:color w:val="auto"/>
          <w:highlight w:val="none"/>
        </w:rPr>
        <w:br w:type="page"/>
      </w:r>
    </w:p>
    <w:p w14:paraId="3F4610D3">
      <w:pPr>
        <w:keepNext/>
        <w:keepLines/>
        <w:widowControl w:val="0"/>
        <w:shd w:val="clear" w:color="auto" w:fill="FFFFFF"/>
        <w:wordWrap w:val="0"/>
        <w:spacing w:line="360" w:lineRule="exact"/>
        <w:jc w:val="center"/>
        <w:outlineLvl w:val="2"/>
        <w:rPr>
          <w:rFonts w:ascii="宋体" w:hAnsi="宋体" w:eastAsia="宋体" w:cs="Times New Roman"/>
          <w:b/>
          <w:color w:val="auto"/>
          <w:kern w:val="2"/>
          <w:sz w:val="28"/>
          <w:szCs w:val="28"/>
          <w:highlight w:val="none"/>
          <w:bdr w:val="single" w:color="auto" w:sz="4" w:space="0"/>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二、</w:t>
      </w:r>
      <w:r>
        <w:rPr>
          <w:rFonts w:hint="eastAsia" w:ascii="宋体" w:hAnsi="宋体" w:eastAsia="宋体" w:cs="Times New Roman"/>
          <w:b/>
          <w:color w:val="auto"/>
          <w:kern w:val="2"/>
          <w:sz w:val="28"/>
          <w:szCs w:val="28"/>
          <w:highlight w:val="none"/>
          <w:shd w:val="clear" w:color="auto" w:fill="FFFFFF"/>
          <w:lang w:val="en-US" w:eastAsia="zh-CN" w:bidi="ar-SA"/>
        </w:rPr>
        <w:t>报价表</w:t>
      </w:r>
    </w:p>
    <w:p w14:paraId="51904405">
      <w:pPr>
        <w:spacing w:line="360" w:lineRule="auto"/>
        <w:ind w:firstLine="420" w:firstLineChars="200"/>
        <w:rPr>
          <w:rFonts w:ascii="仿宋" w:hAnsi="仿宋" w:eastAsia="仿宋" w:cs="Times New Roman"/>
          <w:color w:val="auto"/>
          <w:szCs w:val="21"/>
          <w:highlight w:val="none"/>
        </w:rPr>
      </w:pPr>
    </w:p>
    <w:p w14:paraId="1F481763">
      <w:pPr>
        <w:widowControl w:val="0"/>
        <w:autoSpaceDE w:val="0"/>
        <w:autoSpaceDN w:val="0"/>
        <w:adjustRightInd w:val="0"/>
        <w:ind w:firstLine="420"/>
        <w:jc w:val="left"/>
        <w:rPr>
          <w:rFonts w:ascii="宋体" w:hAnsi="Times New Roman" w:eastAsia="宋体" w:cs="Times New Roman"/>
          <w:color w:val="auto"/>
          <w:kern w:val="0"/>
          <w:sz w:val="24"/>
          <w:szCs w:val="20"/>
          <w:highlight w:val="none"/>
          <w:lang w:val="en-US" w:eastAsia="zh-CN" w:bidi="ar-SA"/>
        </w:rPr>
      </w:pPr>
    </w:p>
    <w:p w14:paraId="29B14AAD">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2F97B03E">
      <w:pPr>
        <w:spacing w:line="360" w:lineRule="auto"/>
        <w:rPr>
          <w:rFonts w:ascii="Times New Roman" w:hAnsi="Times New Roman" w:eastAsia="仿宋" w:cs="Times New Roman"/>
          <w:color w:val="auto"/>
          <w:kern w:val="0"/>
          <w:sz w:val="24"/>
          <w:szCs w:val="24"/>
          <w:highlight w:val="none"/>
          <w:lang w:val="zh-CN"/>
        </w:rPr>
      </w:pPr>
      <w:r>
        <w:rPr>
          <w:rFonts w:hint="eastAsia" w:ascii="宋体" w:hAnsi="宋体" w:eastAsia="宋体" w:cs="Times New Roman"/>
          <w:color w:val="auto"/>
          <w:sz w:val="24"/>
          <w:szCs w:val="24"/>
          <w:highlight w:val="none"/>
        </w:rPr>
        <w:t>项目编号：</w:t>
      </w:r>
      <w:r>
        <w:rPr>
          <w:rFonts w:ascii="宋体" w:hAnsi="宋体" w:eastAsia="宋体" w:cs="Times New Roman"/>
          <w:color w:val="auto"/>
          <w:sz w:val="24"/>
          <w:szCs w:val="24"/>
          <w:highlight w:val="none"/>
        </w:rPr>
        <w:t xml:space="preserve"> </w:t>
      </w:r>
    </w:p>
    <w:tbl>
      <w:tblPr>
        <w:tblStyle w:val="6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8019"/>
      </w:tblGrid>
      <w:tr w14:paraId="0D8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restart"/>
            <w:vAlign w:val="center"/>
          </w:tcPr>
          <w:p w14:paraId="719002AB">
            <w:pPr>
              <w:keepNext w:val="0"/>
              <w:keepLines w:val="0"/>
              <w:suppressLineNumbers w:val="0"/>
              <w:spacing w:before="0" w:beforeAutospacing="0" w:after="0" w:afterAutospacing="0" w:line="400" w:lineRule="exact"/>
              <w:ind w:left="0" w:right="0"/>
              <w:jc w:val="center"/>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rPr>
              <w:t>报价</w:t>
            </w:r>
            <w:r>
              <w:rPr>
                <w:rFonts w:hint="eastAsia" w:hAnsi="宋体" w:cs="Times New Roman"/>
                <w:color w:val="auto"/>
                <w:sz w:val="24"/>
                <w:szCs w:val="24"/>
                <w:highlight w:val="none"/>
                <w:lang w:eastAsia="zh-CN"/>
              </w:rPr>
              <w:t>：</w:t>
            </w:r>
          </w:p>
          <w:p w14:paraId="77B44519">
            <w:pPr>
              <w:keepNext w:val="0"/>
              <w:keepLines w:val="0"/>
              <w:suppressLineNumbers w:val="0"/>
              <w:spacing w:before="0" w:beforeAutospacing="0" w:after="0" w:afterAutospacing="0" w:line="400" w:lineRule="exact"/>
              <w:ind w:left="0" w:right="0"/>
              <w:jc w:val="both"/>
              <w:rPr>
                <w:rFonts w:hint="eastAsia" w:ascii="Times New Roman" w:hAnsi="宋体" w:eastAsia="宋体" w:cs="Times New Roman"/>
                <w:color w:val="auto"/>
                <w:sz w:val="24"/>
                <w:szCs w:val="24"/>
                <w:highlight w:val="none"/>
                <w:lang w:eastAsia="zh-CN"/>
              </w:rPr>
            </w:pP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lang w:val="en-US" w:eastAsia="zh-CN"/>
              </w:rPr>
              <w:t>合计总价</w:t>
            </w:r>
            <w:r>
              <w:rPr>
                <w:rFonts w:hint="eastAsia" w:hAnsi="宋体" w:cs="Times New Roman"/>
                <w:color w:val="auto"/>
                <w:sz w:val="24"/>
                <w:szCs w:val="24"/>
                <w:highlight w:val="none"/>
                <w:lang w:eastAsia="zh-CN"/>
              </w:rPr>
              <w:t>）</w:t>
            </w:r>
          </w:p>
        </w:tc>
        <w:tc>
          <w:tcPr>
            <w:tcW w:w="8019" w:type="dxa"/>
            <w:vAlign w:val="center"/>
          </w:tcPr>
          <w:p w14:paraId="436A608F">
            <w:pPr>
              <w:keepNext w:val="0"/>
              <w:keepLines w:val="0"/>
              <w:suppressLineNumbers w:val="0"/>
              <w:wordWrap w:val="0"/>
              <w:spacing w:before="0" w:beforeAutospacing="0" w:after="0" w:afterAutospacing="0" w:line="400" w:lineRule="exact"/>
              <w:ind w:left="0" w:right="0"/>
              <w:rPr>
                <w:rFonts w:hint="default" w:ascii="Times New Roman" w:hAnsi="Times New Roman" w:eastAsia="宋体" w:cs="Times New Roman"/>
                <w:color w:val="auto"/>
                <w:sz w:val="24"/>
                <w:szCs w:val="24"/>
                <w:highlight w:val="none"/>
              </w:rPr>
            </w:pPr>
            <w:r>
              <w:rPr>
                <w:rFonts w:hint="eastAsia" w:ascii="Times New Roman" w:hAnsi="宋体" w:eastAsia="宋体" w:cs="Times New Roman"/>
                <w:color w:val="auto"/>
                <w:sz w:val="24"/>
                <w:szCs w:val="24"/>
                <w:highlight w:val="none"/>
              </w:rPr>
              <w:t>大写：</w:t>
            </w:r>
            <w:r>
              <w:rPr>
                <w:rFonts w:hint="eastAsia" w:ascii="宋体" w:hAnsi="宋体" w:cs="Courier New"/>
                <w:color w:val="auto"/>
                <w:kern w:val="2"/>
                <w:sz w:val="24"/>
                <w:szCs w:val="24"/>
                <w:highlight w:val="none"/>
                <w:u w:val="none"/>
                <w:lang w:val="en-US" w:eastAsia="zh-CN" w:bidi="ar-SA"/>
              </w:rPr>
              <w:t>人民币</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single"/>
                <w:lang w:val="en-US" w:eastAsia="zh-CN" w:bidi="ar-SA"/>
              </w:rPr>
              <w:t xml:space="preserve">   </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none"/>
                <w:lang w:val="en-US" w:eastAsia="zh-CN" w:bidi="ar-SA"/>
              </w:rPr>
              <w:t>元</w:t>
            </w:r>
          </w:p>
        </w:tc>
      </w:tr>
      <w:tr w14:paraId="181C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continue"/>
            <w:vAlign w:val="center"/>
          </w:tcPr>
          <w:p w14:paraId="50A69579">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szCs w:val="24"/>
                <w:highlight w:val="none"/>
              </w:rPr>
            </w:pPr>
          </w:p>
        </w:tc>
        <w:tc>
          <w:tcPr>
            <w:tcW w:w="8019" w:type="dxa"/>
            <w:vAlign w:val="center"/>
          </w:tcPr>
          <w:p w14:paraId="22A30204">
            <w:pPr>
              <w:keepNext w:val="0"/>
              <w:keepLines w:val="0"/>
              <w:suppressLineNumbers w:val="0"/>
              <w:wordWrap w:val="0"/>
              <w:spacing w:before="0" w:beforeAutospacing="0" w:after="0" w:afterAutospacing="0"/>
              <w:ind w:left="0" w:right="0"/>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rPr>
              <w:t>小写：</w:t>
            </w: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u w:val="single"/>
                <w:lang w:val="en-US" w:eastAsia="zh-CN"/>
              </w:rPr>
              <w:t xml:space="preserve">           </w:t>
            </w:r>
            <w:r>
              <w:rPr>
                <w:rFonts w:hint="eastAsia" w:hAnsi="宋体" w:cs="Times New Roman"/>
                <w:color w:val="auto"/>
                <w:sz w:val="24"/>
                <w:szCs w:val="24"/>
                <w:highlight w:val="none"/>
                <w:u w:val="none"/>
                <w:lang w:val="en-US" w:eastAsia="zh-CN"/>
              </w:rPr>
              <w:t>元</w:t>
            </w:r>
          </w:p>
        </w:tc>
      </w:tr>
      <w:tr w14:paraId="682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9630" w:type="dxa"/>
            <w:gridSpan w:val="2"/>
            <w:vAlign w:val="center"/>
          </w:tcPr>
          <w:p w14:paraId="3462994A">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注：</w:t>
            </w:r>
          </w:p>
          <w:p w14:paraId="7952E34D">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default" w:ascii="Times New Roman" w:hAnsi="宋体" w:eastAsia="宋体" w:cs="Times New Roman"/>
                <w:color w:val="auto"/>
                <w:sz w:val="24"/>
                <w:szCs w:val="24"/>
                <w:highlight w:val="none"/>
              </w:rPr>
              <w:t>1</w:t>
            </w:r>
            <w:r>
              <w:rPr>
                <w:rFonts w:hint="eastAsia" w:ascii="Times New Roman" w:hAnsi="宋体" w:eastAsia="宋体" w:cs="Times New Roman"/>
                <w:color w:val="auto"/>
                <w:sz w:val="24"/>
                <w:szCs w:val="24"/>
                <w:highlight w:val="none"/>
              </w:rPr>
              <w:t>、</w:t>
            </w:r>
            <w:r>
              <w:rPr>
                <w:rFonts w:hint="eastAsia" w:ascii="Times New Roman" w:hAnsi="宋体" w:eastAsia="宋体" w:cs="Times New Roman"/>
                <w:color w:val="auto"/>
                <w:sz w:val="24"/>
                <w:szCs w:val="24"/>
                <w:highlight w:val="none"/>
                <w:lang w:val="en-US" w:eastAsia="zh-CN"/>
              </w:rPr>
              <w:t>参选人报价不得高于比选最高限价。</w:t>
            </w:r>
          </w:p>
        </w:tc>
      </w:tr>
    </w:tbl>
    <w:p w14:paraId="40915C3D">
      <w:pPr>
        <w:spacing w:line="360" w:lineRule="auto"/>
        <w:rPr>
          <w:rFonts w:hint="eastAsia" w:ascii="宋体" w:hAnsi="宋体" w:eastAsia="宋体" w:cs="Times New Roman"/>
          <w:b/>
          <w:color w:val="auto"/>
          <w:sz w:val="24"/>
          <w:szCs w:val="24"/>
          <w:highlight w:val="none"/>
        </w:rPr>
      </w:pPr>
    </w:p>
    <w:p w14:paraId="126491C8">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41B829E">
      <w:pPr>
        <w:spacing w:line="360" w:lineRule="auto"/>
        <w:ind w:firstLine="3465" w:firstLineChars="1650"/>
        <w:rPr>
          <w:rFonts w:ascii="宋体" w:hAnsi="Times New Roman" w:eastAsia="宋体" w:cs="Times New Roman"/>
          <w:color w:val="auto"/>
          <w:szCs w:val="21"/>
          <w:highlight w:val="none"/>
        </w:rPr>
      </w:pPr>
    </w:p>
    <w:p w14:paraId="16DCA676">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8F3E66B">
      <w:pPr>
        <w:spacing w:line="360" w:lineRule="auto"/>
        <w:ind w:firstLine="3561" w:firstLineChars="1696"/>
        <w:jc w:val="right"/>
        <w:rPr>
          <w:rFonts w:ascii="宋体" w:hAnsi="Times New Roman" w:eastAsia="宋体" w:cs="Times New Roman"/>
          <w:color w:val="auto"/>
          <w:szCs w:val="21"/>
          <w:highlight w:val="none"/>
        </w:rPr>
      </w:pPr>
    </w:p>
    <w:p w14:paraId="2F78DB47">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1C88C77D">
      <w:pPr>
        <w:spacing w:line="360" w:lineRule="auto"/>
        <w:ind w:firstLine="3570" w:firstLineChars="1700"/>
        <w:jc w:val="right"/>
        <w:rPr>
          <w:rFonts w:ascii="宋体" w:hAnsi="Times New Roman" w:eastAsia="宋体" w:cs="Times New Roman"/>
          <w:color w:val="auto"/>
          <w:szCs w:val="21"/>
          <w:highlight w:val="none"/>
        </w:rPr>
      </w:pPr>
    </w:p>
    <w:p w14:paraId="0C2BB971">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47D74405">
      <w:pPr>
        <w:rPr>
          <w:rFonts w:hint="eastAsia"/>
          <w:color w:val="auto"/>
          <w:highlight w:val="none"/>
        </w:rPr>
      </w:pPr>
      <w:r>
        <w:rPr>
          <w:rFonts w:hint="eastAsia"/>
          <w:color w:val="auto"/>
          <w:highlight w:val="none"/>
        </w:rPr>
        <w:br w:type="page"/>
      </w:r>
    </w:p>
    <w:bookmarkEnd w:id="81"/>
    <w:bookmarkEnd w:id="82"/>
    <w:p w14:paraId="16391EC0">
      <w:pPr>
        <w:keepNext/>
        <w:keepLines/>
        <w:widowControl w:val="0"/>
        <w:shd w:val="clear" w:color="auto" w:fill="FFFFFF"/>
        <w:wordWrap w:val="0"/>
        <w:spacing w:line="360" w:lineRule="exact"/>
        <w:jc w:val="center"/>
        <w:outlineLvl w:val="2"/>
        <w:rPr>
          <w:rFonts w:ascii="宋体" w:hAnsi="宋体" w:eastAsia="宋体" w:cs="宋体"/>
          <w:b/>
          <w:color w:val="auto"/>
          <w:kern w:val="2"/>
          <w:sz w:val="28"/>
          <w:szCs w:val="28"/>
          <w:highlight w:val="none"/>
          <w:bdr w:val="single" w:color="auto" w:sz="4" w:space="0"/>
          <w:shd w:val="clear" w:color="auto" w:fill="FFFFFF"/>
          <w:lang w:val="en-US" w:eastAsia="zh-CN" w:bidi="ar-SA"/>
        </w:rPr>
      </w:pPr>
      <w:r>
        <w:rPr>
          <w:rFonts w:hint="eastAsia" w:ascii="宋体" w:hAnsi="宋体" w:cs="宋体"/>
          <w:b/>
          <w:color w:val="auto"/>
          <w:kern w:val="2"/>
          <w:sz w:val="28"/>
          <w:szCs w:val="28"/>
          <w:highlight w:val="none"/>
          <w:shd w:val="clear" w:color="auto" w:fill="FFFFFF"/>
          <w:lang w:val="en-US" w:eastAsia="zh-CN" w:bidi="ar-SA"/>
        </w:rPr>
        <w:t>四</w:t>
      </w:r>
      <w:r>
        <w:rPr>
          <w:rFonts w:hint="eastAsia" w:ascii="宋体" w:hAnsi="宋体" w:eastAsia="宋体" w:cs="宋体"/>
          <w:b/>
          <w:color w:val="auto"/>
          <w:kern w:val="2"/>
          <w:sz w:val="28"/>
          <w:szCs w:val="28"/>
          <w:highlight w:val="none"/>
          <w:shd w:val="clear" w:color="auto" w:fill="FFFFFF"/>
          <w:lang w:val="en-US" w:eastAsia="zh-CN" w:bidi="ar-SA"/>
        </w:rPr>
        <w:t>、相关证明文件</w:t>
      </w:r>
    </w:p>
    <w:p w14:paraId="27D7AFC1">
      <w:pPr>
        <w:spacing w:line="360" w:lineRule="auto"/>
        <w:ind w:firstLine="420" w:firstLineChars="200"/>
        <w:rPr>
          <w:rFonts w:ascii="宋体" w:hAnsi="宋体" w:eastAsia="宋体" w:cs="宋体"/>
          <w:color w:val="auto"/>
          <w:szCs w:val="21"/>
          <w:highlight w:val="none"/>
        </w:rPr>
      </w:pPr>
    </w:p>
    <w:p w14:paraId="7DAA606B">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身份证明书（格式见附件）及其有效二代居民身份证；</w:t>
      </w:r>
    </w:p>
    <w:p w14:paraId="1A139C20">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授权委托书（格式见附件）及委托代理人有效二代居民身份证，若</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本人参与比选则不需此件；</w:t>
      </w:r>
    </w:p>
    <w:p w14:paraId="12ED02BC">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197A8E36">
      <w:pPr>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、须提供上述证明文件复印件或扫描件或影印件。</w:t>
      </w:r>
    </w:p>
    <w:p w14:paraId="77E818EA">
      <w:pPr>
        <w:spacing w:line="360" w:lineRule="auto"/>
        <w:ind w:left="368" w:leftChars="175"/>
        <w:rPr>
          <w:rFonts w:ascii="宋体" w:hAnsi="宋体" w:cs="宋体"/>
          <w:b/>
          <w:color w:val="auto"/>
          <w:spacing w:val="-4"/>
          <w:kern w:val="0"/>
          <w:szCs w:val="21"/>
          <w:highlight w:val="none"/>
        </w:rPr>
      </w:pPr>
    </w:p>
    <w:p w14:paraId="4304ADC4">
      <w:pPr>
        <w:rPr>
          <w:color w:val="auto"/>
          <w:highlight w:val="none"/>
        </w:rPr>
      </w:pPr>
      <w:r>
        <w:rPr>
          <w:rFonts w:ascii="宋体" w:hAnsi="宋体" w:cs="宋体"/>
          <w:b/>
          <w:color w:val="auto"/>
          <w:spacing w:val="-4"/>
          <w:kern w:val="0"/>
          <w:szCs w:val="21"/>
          <w:highlight w:val="none"/>
        </w:rPr>
        <w:br w:type="page"/>
      </w:r>
    </w:p>
    <w:p w14:paraId="738691E2">
      <w:pPr>
        <w:spacing w:line="360" w:lineRule="auto"/>
        <w:jc w:val="left"/>
        <w:rPr>
          <w:rFonts w:ascii="宋体" w:hAnsi="宋体" w:cs="Times New Roman"/>
          <w:b/>
          <w:bCs/>
          <w:color w:val="auto"/>
          <w:szCs w:val="21"/>
          <w:highlight w:val="none"/>
        </w:rPr>
      </w:pPr>
      <w:r>
        <w:rPr>
          <w:rFonts w:hint="eastAsia" w:ascii="宋体" w:hAnsi="宋体" w:cs="Times New Roman"/>
          <w:b/>
          <w:bCs/>
          <w:color w:val="auto"/>
          <w:szCs w:val="24"/>
          <w:highlight w:val="none"/>
        </w:rPr>
        <w:t>附件：</w:t>
      </w:r>
    </w:p>
    <w:p w14:paraId="60D08CAE">
      <w:pPr>
        <w:spacing w:line="360" w:lineRule="auto"/>
        <w:ind w:firstLine="413" w:firstLineChars="196"/>
        <w:jc w:val="center"/>
        <w:rPr>
          <w:rFonts w:hint="eastAsia" w:ascii="宋体" w:hAnsi="宋体" w:eastAsia="宋体" w:cs="宋体"/>
          <w:b/>
          <w:color w:val="auto"/>
          <w:szCs w:val="21"/>
          <w:highlight w:val="none"/>
        </w:rPr>
      </w:pPr>
    </w:p>
    <w:p w14:paraId="0C267E2F">
      <w:pPr>
        <w:spacing w:line="360" w:lineRule="auto"/>
        <w:ind w:firstLine="413" w:firstLineChars="196"/>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身份证明书</w:t>
      </w:r>
    </w:p>
    <w:p w14:paraId="19D0FE92">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参选人名称：</w:t>
      </w:r>
      <w:r>
        <w:rPr>
          <w:rFonts w:hint="eastAsia" w:ascii="宋体" w:hAnsi="宋体" w:eastAsia="宋体" w:cs="宋体"/>
          <w:color w:val="auto"/>
          <w:szCs w:val="21"/>
          <w:highlight w:val="none"/>
          <w:u w:val="single"/>
        </w:rPr>
        <w:t xml:space="preserve">                    </w:t>
      </w:r>
    </w:p>
    <w:p w14:paraId="43C08A11">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6D3379D8">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5EB500FD">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75E5BD8C">
      <w:pPr>
        <w:wordWrap w:val="0"/>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p>
    <w:p w14:paraId="2DE510C9">
      <w:pPr>
        <w:wordWrap w:val="0"/>
        <w:adjustRightInd w:val="0"/>
        <w:snapToGrid w:val="0"/>
        <w:spacing w:line="360" w:lineRule="auto"/>
        <w:ind w:firstLine="411" w:firstLineChars="196"/>
        <w:rPr>
          <w:rFonts w:ascii="Times New Roman" w:hAnsi="宋体" w:eastAsia="宋体" w:cs="Times New Roman"/>
          <w:color w:val="auto"/>
          <w:szCs w:val="21"/>
          <w:highlight w:val="none"/>
        </w:rPr>
      </w:pPr>
      <w:r>
        <w:rPr>
          <w:rFonts w:hint="eastAsia" w:ascii="Times New Roman" w:hAnsi="宋体" w:eastAsia="宋体" w:cs="Times New Roman"/>
          <w:color w:val="auto"/>
          <w:szCs w:val="21"/>
          <w:highlight w:val="none"/>
        </w:rPr>
        <w:t>联系方式（移动电话）：</w:t>
      </w:r>
      <w:r>
        <w:rPr>
          <w:rFonts w:hint="eastAsia" w:ascii="Times New Roman" w:hAnsi="宋体" w:eastAsia="宋体" w:cs="Times New Roman"/>
          <w:color w:val="auto"/>
          <w:szCs w:val="21"/>
          <w:highlight w:val="none"/>
          <w:u w:val="single"/>
        </w:rPr>
        <w:t xml:space="preserve">                 </w:t>
      </w:r>
    </w:p>
    <w:p w14:paraId="68792150">
      <w:pPr>
        <w:wordWrap w:val="0"/>
        <w:adjustRightInd w:val="0"/>
        <w:snapToGrid w:val="0"/>
        <w:spacing w:line="360" w:lineRule="auto"/>
        <w:ind w:firstLine="420" w:firstLineChars="200"/>
        <w:rPr>
          <w:rFonts w:ascii="宋体" w:hAnsi="Times New Roman" w:eastAsia="宋体" w:cs="宋体"/>
          <w:color w:val="auto"/>
          <w:szCs w:val="21"/>
          <w:highlight w:val="non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4742834E">
      <w:pPr>
        <w:wordWrap w:val="0"/>
        <w:adjustRightInd w:val="0"/>
        <w:snapToGrid w:val="0"/>
        <w:spacing w:line="360" w:lineRule="auto"/>
        <w:ind w:firstLine="411" w:firstLineChars="196"/>
        <w:rPr>
          <w:rFonts w:ascii="宋体" w:hAnsi="Times New Roman" w:eastAsia="宋体" w:cs="宋体"/>
          <w:color w:val="auto"/>
          <w:szCs w:val="21"/>
          <w:highlight w:val="none"/>
        </w:rPr>
      </w:pPr>
      <w:r>
        <w:rPr>
          <w:rFonts w:hint="eastAsia" w:ascii="宋体" w:hAnsi="宋体" w:eastAsia="宋体" w:cs="宋体"/>
          <w:color w:val="auto"/>
          <w:szCs w:val="21"/>
          <w:highlight w:val="none"/>
        </w:rPr>
        <w:t>特此证明</w:t>
      </w:r>
    </w:p>
    <w:p w14:paraId="69DD4388">
      <w:pPr>
        <w:wordWrap w:val="0"/>
        <w:adjustRightInd w:val="0"/>
        <w:snapToGrid w:val="0"/>
        <w:spacing w:line="360" w:lineRule="auto"/>
        <w:ind w:firstLine="4137" w:firstLineChars="197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0BD2B829">
      <w:pPr>
        <w:wordWrap w:val="0"/>
        <w:adjustRightInd w:val="0"/>
        <w:snapToGrid w:val="0"/>
        <w:spacing w:line="360" w:lineRule="auto"/>
        <w:ind w:right="360" w:firstLine="4851" w:firstLineChars="2310"/>
        <w:jc w:val="righ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DA741AA">
      <w:pPr>
        <w:pStyle w:val="82"/>
        <w:ind w:left="0" w:leftChars="0" w:firstLine="0" w:firstLineChars="0"/>
        <w:rPr>
          <w:color w:val="auto"/>
          <w:highlight w:val="none"/>
        </w:rPr>
      </w:pPr>
    </w:p>
    <w:p w14:paraId="3837105C">
      <w:pPr>
        <w:wordWrap w:val="0"/>
        <w:spacing w:line="360" w:lineRule="auto"/>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授权委托书</w:t>
      </w:r>
    </w:p>
    <w:p w14:paraId="376D4B7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（项目名称）参选文件、签订合同等一切事宜，其法律后果由我方承担。</w:t>
      </w:r>
    </w:p>
    <w:p w14:paraId="0A501F0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委托期限：</w:t>
      </w:r>
      <w:r>
        <w:rPr>
          <w:rFonts w:hint="eastAsia" w:ascii="宋体" w:hAnsi="宋体" w:eastAsia="宋体" w:cs="宋体"/>
          <w:color w:val="auto"/>
          <w:szCs w:val="21"/>
          <w:highlight w:val="none"/>
          <w:u w:val="single"/>
        </w:rPr>
        <w:t xml:space="preserve">              </w:t>
      </w:r>
    </w:p>
    <w:p w14:paraId="26ECD99A">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3168B4DB">
      <w:pPr>
        <w:wordWrap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ascii="宋体" w:hAnsi="宋体" w:eastAsia="宋体" w:cs="宋体"/>
          <w:color w:val="auto"/>
          <w:szCs w:val="21"/>
          <w:highlight w:val="none"/>
        </w:rPr>
        <w:t>_______</w:t>
      </w:r>
    </w:p>
    <w:p w14:paraId="663E4174">
      <w:pPr>
        <w:wordWrap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DCC86DC">
      <w:pPr>
        <w:wordWrap w:val="0"/>
        <w:spacing w:line="360" w:lineRule="auto"/>
        <w:ind w:firstLine="420" w:firstLineChars="200"/>
        <w:rPr>
          <w:rFonts w:ascii="Times New Roman" w:hAnsi="宋体" w:eastAsia="宋体" w:cs="Times New Roman"/>
          <w:color w:val="auto"/>
          <w:szCs w:val="21"/>
          <w:highlight w:val="none"/>
        </w:rPr>
      </w:pPr>
      <w:r>
        <w:rPr>
          <w:rFonts w:hint="eastAsia" w:ascii="宋体" w:hAnsi="宋体" w:eastAsia="宋体" w:cs="宋体"/>
          <w:color w:val="auto"/>
          <w:szCs w:val="21"/>
          <w:highlight w:val="none"/>
        </w:rPr>
        <w:t>联系方</w:t>
      </w:r>
      <w:r>
        <w:rPr>
          <w:rFonts w:hint="eastAsia" w:ascii="Times New Roman" w:hAnsi="宋体" w:eastAsia="宋体" w:cs="Times New Roman"/>
          <w:color w:val="auto"/>
          <w:szCs w:val="21"/>
          <w:highlight w:val="none"/>
        </w:rPr>
        <w:t>式（移动电话）</w:t>
      </w:r>
      <w:r>
        <w:rPr>
          <w:rFonts w:hint="eastAsia" w:ascii="宋体" w:hAnsi="宋体" w:eastAsia="宋体" w:cs="宋体"/>
          <w:color w:val="auto"/>
          <w:szCs w:val="21"/>
          <w:highlight w:val="none"/>
        </w:rPr>
        <w:t>：</w:t>
      </w:r>
      <w:r>
        <w:rPr>
          <w:rFonts w:hint="eastAsia" w:ascii="Times New Roman" w:hAnsi="宋体" w:eastAsia="宋体" w:cs="Times New Roman"/>
          <w:color w:val="auto"/>
          <w:szCs w:val="21"/>
          <w:highlight w:val="none"/>
          <w:u w:val="single"/>
        </w:rPr>
        <w:t xml:space="preserve">                   </w:t>
      </w:r>
    </w:p>
    <w:p w14:paraId="66B2F9A2">
      <w:pPr>
        <w:wordWrap w:val="0"/>
        <w:spacing w:line="360" w:lineRule="auto"/>
        <w:ind w:firstLine="420" w:firstLineChars="200"/>
        <w:rPr>
          <w:rFonts w:ascii="宋体" w:hAnsi="宋体" w:eastAsia="宋体" w:cs="宋体"/>
          <w:color w:val="auto"/>
          <w:szCs w:val="21"/>
          <w:highlight w:val="none"/>
          <w:u w:val="singl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5DCB7BE8">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（盖章）</w:t>
      </w:r>
    </w:p>
    <w:p w14:paraId="212B6121">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Times New Roman" w:hAnsi="宋体" w:eastAsia="宋体" w:cs="宋体"/>
          <w:color w:val="auto"/>
          <w:highlight w:val="none"/>
          <w:u w:val="single"/>
        </w:rPr>
        <w:t>签字或</w:t>
      </w:r>
      <w:r>
        <w:rPr>
          <w:rFonts w:hint="eastAsia" w:ascii="宋体" w:hAnsi="宋体" w:eastAsia="宋体" w:cs="宋体"/>
          <w:color w:val="auto"/>
          <w:szCs w:val="21"/>
          <w:highlight w:val="none"/>
          <w:u w:val="single"/>
        </w:rPr>
        <w:t>盖章）</w:t>
      </w:r>
    </w:p>
    <w:p w14:paraId="77886AFD">
      <w:pPr>
        <w:wordWrap w:val="0"/>
        <w:spacing w:line="360" w:lineRule="auto"/>
        <w:ind w:right="48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授权委托日期：  年  月  日</w:t>
      </w:r>
    </w:p>
    <w:p w14:paraId="4299CF48">
      <w:pPr>
        <w:wordWrap w:val="0"/>
        <w:spacing w:line="360" w:lineRule="auto"/>
        <w:ind w:right="480" w:firstLine="420" w:firstLineChars="200"/>
        <w:rPr>
          <w:rFonts w:ascii="宋体" w:hAnsi="宋体" w:cs="宋体"/>
          <w:color w:val="auto"/>
          <w:szCs w:val="21"/>
          <w:highlight w:val="none"/>
        </w:rPr>
      </w:pPr>
    </w:p>
    <w:sectPr>
      <w:headerReference r:id="rId3" w:type="default"/>
      <w:footerReference r:id="rId4"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198"/>
      <w:docPartObj>
        <w:docPartGallery w:val="autotext"/>
      </w:docPartObj>
    </w:sdtPr>
    <w:sdtContent>
      <w:p w14:paraId="6352615A">
        <w:pPr>
          <w:pStyle w:val="38"/>
          <w:jc w:val="center"/>
        </w:pPr>
        <w:r>
          <w:fldChar w:fldCharType="begin"/>
        </w:r>
        <w:r>
          <w:instrText xml:space="preserve">PAGE   \* MERGEFORMAT</w:instrText>
        </w:r>
        <w:r>
          <w:fldChar w:fldCharType="separate"/>
        </w:r>
        <w:r>
          <w:rPr>
            <w:lang w:val="zh-CN"/>
          </w:rPr>
          <w:t>2</w:t>
        </w:r>
        <w:r>
          <w:fldChar w:fldCharType="end"/>
        </w:r>
      </w:p>
    </w:sdtContent>
  </w:sdt>
  <w:p w14:paraId="6EC54CBC">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CCCCA">
    <w:pPr>
      <w:pStyle w:val="39"/>
      <w:pBdr>
        <w:bottom w:val="single" w:color="auto" w:sz="4" w:space="1"/>
      </w:pBdr>
      <w:jc w:val="right"/>
    </w:pPr>
    <w:r>
      <w:rPr>
        <w:rFonts w:hint="eastAsia"/>
        <w:sz w:val="16"/>
        <w:szCs w:val="16"/>
        <w:lang w:eastAsia="zh-CN"/>
      </w:rPr>
      <w:t>安通建设集团(2026)皖0811民初5188号案诉讼代理服务（重新采购）</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F4CDB"/>
    <w:multiLevelType w:val="singleLevel"/>
    <w:tmpl w:val="99BF4CDB"/>
    <w:lvl w:ilvl="0" w:tentative="0">
      <w:start w:val="1"/>
      <w:numFmt w:val="decimal"/>
      <w:suff w:val="nothing"/>
      <w:lvlText w:val="(%1)"/>
      <w:lvlJc w:val="left"/>
      <w:pPr>
        <w:ind w:left="0" w:leftChars="0" w:firstLine="0" w:firstLineChars="0"/>
      </w:pPr>
      <w:rPr>
        <w:rFonts w:hint="default"/>
      </w:rPr>
    </w:lvl>
  </w:abstractNum>
  <w:abstractNum w:abstractNumId="1">
    <w:nsid w:val="9A205910"/>
    <w:multiLevelType w:val="multilevel"/>
    <w:tmpl w:val="9A205910"/>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
    <w:nsid w:val="A491D5A4"/>
    <w:multiLevelType w:val="multilevel"/>
    <w:tmpl w:val="A491D5A4"/>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3">
    <w:nsid w:val="B749F481"/>
    <w:multiLevelType w:val="singleLevel"/>
    <w:tmpl w:val="B749F481"/>
    <w:lvl w:ilvl="0" w:tentative="0">
      <w:start w:val="1"/>
      <w:numFmt w:val="decimal"/>
      <w:suff w:val="nothing"/>
      <w:lvlText w:val="%1."/>
      <w:lvlJc w:val="left"/>
      <w:pPr>
        <w:ind w:left="0" w:leftChars="0" w:firstLine="0" w:firstLineChars="0"/>
      </w:pPr>
      <w:rPr>
        <w:rFonts w:hint="default"/>
      </w:rPr>
    </w:lvl>
  </w:abstractNum>
  <w:abstractNum w:abstractNumId="4">
    <w:nsid w:val="B79A4FF6"/>
    <w:multiLevelType w:val="singleLevel"/>
    <w:tmpl w:val="B79A4FF6"/>
    <w:lvl w:ilvl="0" w:tentative="0">
      <w:start w:val="1"/>
      <w:numFmt w:val="decimalEnclosedCircleChinese"/>
      <w:suff w:val="nothing"/>
      <w:lvlText w:val="%1　"/>
      <w:lvlJc w:val="left"/>
      <w:pPr>
        <w:ind w:left="0" w:firstLine="0"/>
      </w:pPr>
      <w:rPr>
        <w:rFonts w:hint="eastAsia"/>
        <w:b w:val="0"/>
        <w:bCs w:val="0"/>
      </w:rPr>
    </w:lvl>
  </w:abstractNum>
  <w:abstractNum w:abstractNumId="5">
    <w:nsid w:val="B83B8E65"/>
    <w:multiLevelType w:val="singleLevel"/>
    <w:tmpl w:val="B83B8E65"/>
    <w:lvl w:ilvl="0" w:tentative="0">
      <w:start w:val="1"/>
      <w:numFmt w:val="decimal"/>
      <w:suff w:val="nothing"/>
      <w:lvlText w:val="(%1)"/>
      <w:lvlJc w:val="left"/>
      <w:pPr>
        <w:ind w:left="0" w:leftChars="0" w:firstLine="0" w:firstLineChars="0"/>
      </w:pPr>
      <w:rPr>
        <w:rFonts w:hint="default"/>
      </w:rPr>
    </w:lvl>
  </w:abstractNum>
  <w:abstractNum w:abstractNumId="6">
    <w:nsid w:val="BF3D058B"/>
    <w:multiLevelType w:val="singleLevel"/>
    <w:tmpl w:val="BF3D058B"/>
    <w:lvl w:ilvl="0" w:tentative="0">
      <w:start w:val="3"/>
      <w:numFmt w:val="chineseCounting"/>
      <w:suff w:val="space"/>
      <w:lvlText w:val="第%1章"/>
      <w:lvlJc w:val="left"/>
      <w:rPr>
        <w:rFonts w:hint="eastAsia"/>
      </w:rPr>
    </w:lvl>
  </w:abstractNum>
  <w:abstractNum w:abstractNumId="7">
    <w:nsid w:val="C0B4D315"/>
    <w:multiLevelType w:val="singleLevel"/>
    <w:tmpl w:val="C0B4D315"/>
    <w:lvl w:ilvl="0" w:tentative="0">
      <w:start w:val="1"/>
      <w:numFmt w:val="chineseCounting"/>
      <w:suff w:val="space"/>
      <w:lvlText w:val="第%1章"/>
      <w:lvlJc w:val="left"/>
      <w:rPr>
        <w:rFonts w:hint="eastAsia"/>
      </w:rPr>
    </w:lvl>
  </w:abstractNum>
  <w:abstractNum w:abstractNumId="8">
    <w:nsid w:val="C2E0CEF6"/>
    <w:multiLevelType w:val="multilevel"/>
    <w:tmpl w:val="C2E0CEF6"/>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9">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DCAFDEBB"/>
    <w:multiLevelType w:val="multilevel"/>
    <w:tmpl w:val="DCAFDEBB"/>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1">
    <w:nsid w:val="E19F89A9"/>
    <w:multiLevelType w:val="multilevel"/>
    <w:tmpl w:val="E19F89A9"/>
    <w:lvl w:ilvl="0" w:tentative="0">
      <w:start w:val="1"/>
      <w:numFmt w:val="decimal"/>
      <w:suff w:val="nothing"/>
      <w:lvlText w:val="%1."/>
      <w:lvlJc w:val="left"/>
      <w:pPr>
        <w:ind w:left="0" w:leftChars="0" w:firstLine="0" w:firstLineChars="0"/>
      </w:pPr>
      <w:rPr>
        <w:rFonts w:hint="default"/>
        <w:b w:val="0"/>
        <w:bCs w:val="0"/>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2">
    <w:nsid w:val="EA2D63A5"/>
    <w:multiLevelType w:val="multilevel"/>
    <w:tmpl w:val="EA2D63A5"/>
    <w:lvl w:ilvl="0" w:tentative="0">
      <w:start w:val="1"/>
      <w:numFmt w:val="decimal"/>
      <w:suff w:val="nothing"/>
      <w:lvlText w:val="%1."/>
      <w:lvlJc w:val="left"/>
      <w:pPr>
        <w:ind w:left="0" w:leftChars="0" w:firstLine="0" w:firstLineChars="0"/>
      </w:pPr>
      <w:rPr>
        <w:rFonts w:hint="default"/>
        <w:b/>
        <w:bCs/>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3">
    <w:nsid w:val="F622585D"/>
    <w:multiLevelType w:val="multilevel"/>
    <w:tmpl w:val="F622585D"/>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4">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1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7">
    <w:nsid w:val="1086B6E8"/>
    <w:multiLevelType w:val="multilevel"/>
    <w:tmpl w:val="1086B6E8"/>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8">
    <w:nsid w:val="16D11D76"/>
    <w:multiLevelType w:val="multilevel"/>
    <w:tmpl w:val="16D11D76"/>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9">
    <w:nsid w:val="216904EF"/>
    <w:multiLevelType w:val="singleLevel"/>
    <w:tmpl w:val="216904EF"/>
    <w:lvl w:ilvl="0" w:tentative="0">
      <w:start w:val="1"/>
      <w:numFmt w:val="decimalEnclosedCircleChinese"/>
      <w:suff w:val="nothing"/>
      <w:lvlText w:val="%1　"/>
      <w:lvlJc w:val="left"/>
      <w:pPr>
        <w:ind w:left="0" w:firstLine="0"/>
      </w:pPr>
      <w:rPr>
        <w:rFonts w:hint="eastAsia"/>
        <w:b w:val="0"/>
        <w:bCs w:val="0"/>
      </w:rPr>
    </w:lvl>
  </w:abstractNum>
  <w:abstractNum w:abstractNumId="20">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21">
    <w:nsid w:val="3A8B5700"/>
    <w:multiLevelType w:val="singleLevel"/>
    <w:tmpl w:val="3A8B5700"/>
    <w:lvl w:ilvl="0" w:tentative="0">
      <w:start w:val="6"/>
      <w:numFmt w:val="chineseCounting"/>
      <w:suff w:val="nothing"/>
      <w:lvlText w:val="（%1）"/>
      <w:lvlJc w:val="left"/>
      <w:rPr>
        <w:rFonts w:hint="eastAsia"/>
      </w:rPr>
    </w:lvl>
  </w:abstractNum>
  <w:abstractNum w:abstractNumId="22">
    <w:nsid w:val="40CBCCFE"/>
    <w:multiLevelType w:val="singleLevel"/>
    <w:tmpl w:val="40CBCCFE"/>
    <w:lvl w:ilvl="0" w:tentative="0">
      <w:start w:val="1"/>
      <w:numFmt w:val="decimal"/>
      <w:suff w:val="nothing"/>
      <w:lvlText w:val="(%1)"/>
      <w:lvlJc w:val="left"/>
      <w:pPr>
        <w:ind w:left="0" w:leftChars="0" w:firstLine="0" w:firstLineChars="0"/>
      </w:pPr>
      <w:rPr>
        <w:rFonts w:hint="default"/>
        <w:b w:val="0"/>
        <w:bCs w:val="0"/>
      </w:rPr>
    </w:lvl>
  </w:abstractNum>
  <w:abstractNum w:abstractNumId="23">
    <w:nsid w:val="51065715"/>
    <w:multiLevelType w:val="multilevel"/>
    <w:tmpl w:val="51065715"/>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4">
    <w:nsid w:val="5D75A3FC"/>
    <w:multiLevelType w:val="multilevel"/>
    <w:tmpl w:val="5D75A3FC"/>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5">
    <w:nsid w:val="714A5195"/>
    <w:multiLevelType w:val="multilevel"/>
    <w:tmpl w:val="714A5195"/>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6">
    <w:nsid w:val="748480DF"/>
    <w:multiLevelType w:val="singleLevel"/>
    <w:tmpl w:val="748480DF"/>
    <w:lvl w:ilvl="0" w:tentative="0">
      <w:start w:val="1"/>
      <w:numFmt w:val="lowerLetter"/>
      <w:suff w:val="nothing"/>
      <w:lvlText w:val="%1."/>
      <w:lvlJc w:val="left"/>
      <w:pPr>
        <w:ind w:left="0" w:leftChars="0" w:firstLine="0" w:firstLineChars="0"/>
      </w:pPr>
      <w:rPr>
        <w:rFonts w:hint="default"/>
      </w:rPr>
    </w:lvl>
  </w:abstractNum>
  <w:abstractNum w:abstractNumId="27">
    <w:nsid w:val="74F2361C"/>
    <w:multiLevelType w:val="singleLevel"/>
    <w:tmpl w:val="74F2361C"/>
    <w:lvl w:ilvl="0" w:tentative="0">
      <w:start w:val="1"/>
      <w:numFmt w:val="decimal"/>
      <w:suff w:val="nothing"/>
      <w:lvlText w:val="%1、"/>
      <w:lvlJc w:val="left"/>
    </w:lvl>
  </w:abstractNum>
  <w:abstractNum w:abstractNumId="28">
    <w:nsid w:val="7778573B"/>
    <w:multiLevelType w:val="singleLevel"/>
    <w:tmpl w:val="7778573B"/>
    <w:lvl w:ilvl="0" w:tentative="0">
      <w:start w:val="1"/>
      <w:numFmt w:val="decimalEnclosedCircleChinese"/>
      <w:suff w:val="nothing"/>
      <w:lvlText w:val="%1　"/>
      <w:lvlJc w:val="left"/>
      <w:pPr>
        <w:ind w:left="0" w:firstLine="0"/>
      </w:pPr>
      <w:rPr>
        <w:rFonts w:hint="eastAsia"/>
      </w:rPr>
    </w:lvl>
  </w:abstractNum>
  <w:abstractNum w:abstractNumId="29">
    <w:nsid w:val="78819CE1"/>
    <w:multiLevelType w:val="singleLevel"/>
    <w:tmpl w:val="78819CE1"/>
    <w:lvl w:ilvl="0" w:tentative="0">
      <w:start w:val="1"/>
      <w:numFmt w:val="decimal"/>
      <w:suff w:val="nothing"/>
      <w:lvlText w:val="（%1）"/>
      <w:lvlJc w:val="left"/>
    </w:lvl>
  </w:abstractNum>
  <w:num w:numId="1">
    <w:abstractNumId w:val="9"/>
  </w:num>
  <w:num w:numId="2">
    <w:abstractNumId w:val="14"/>
  </w:num>
  <w:num w:numId="3">
    <w:abstractNumId w:val="16"/>
  </w:num>
  <w:num w:numId="4">
    <w:abstractNumId w:val="20"/>
  </w:num>
  <w:num w:numId="5">
    <w:abstractNumId w:val="15"/>
  </w:num>
  <w:num w:numId="6">
    <w:abstractNumId w:val="7"/>
  </w:num>
  <w:num w:numId="7">
    <w:abstractNumId w:val="3"/>
  </w:num>
  <w:num w:numId="8">
    <w:abstractNumId w:val="5"/>
  </w:num>
  <w:num w:numId="9">
    <w:abstractNumId w:val="6"/>
  </w:num>
  <w:num w:numId="10">
    <w:abstractNumId w:val="29"/>
  </w:num>
  <w:num w:numId="11">
    <w:abstractNumId w:val="8"/>
  </w:num>
  <w:num w:numId="12">
    <w:abstractNumId w:val="2"/>
  </w:num>
  <w:num w:numId="13">
    <w:abstractNumId w:val="21"/>
  </w:num>
  <w:num w:numId="14">
    <w:abstractNumId w:val="11"/>
  </w:num>
  <w:num w:numId="15">
    <w:abstractNumId w:val="12"/>
  </w:num>
  <w:num w:numId="16">
    <w:abstractNumId w:val="0"/>
  </w:num>
  <w:num w:numId="17">
    <w:abstractNumId w:val="28"/>
  </w:num>
  <w:num w:numId="18">
    <w:abstractNumId w:val="22"/>
  </w:num>
  <w:num w:numId="19">
    <w:abstractNumId w:val="19"/>
  </w:num>
  <w:num w:numId="20">
    <w:abstractNumId w:val="26"/>
  </w:num>
  <w:num w:numId="21">
    <w:abstractNumId w:val="4"/>
  </w:num>
  <w:num w:numId="22">
    <w:abstractNumId w:val="25"/>
  </w:num>
  <w:num w:numId="23">
    <w:abstractNumId w:val="24"/>
  </w:num>
  <w:num w:numId="24">
    <w:abstractNumId w:val="23"/>
  </w:num>
  <w:num w:numId="25">
    <w:abstractNumId w:val="1"/>
  </w:num>
  <w:num w:numId="26">
    <w:abstractNumId w:val="10"/>
  </w:num>
  <w:num w:numId="27">
    <w:abstractNumId w:val="18"/>
  </w:num>
  <w:num w:numId="28">
    <w:abstractNumId w:val="13"/>
  </w:num>
  <w:num w:numId="29">
    <w:abstractNumId w:val="17"/>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54035"/>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4BAF"/>
    <w:rsid w:val="00FD6E5D"/>
    <w:rsid w:val="00FE506C"/>
    <w:rsid w:val="00FF22A3"/>
    <w:rsid w:val="00FF323D"/>
    <w:rsid w:val="01022145"/>
    <w:rsid w:val="014C4DA3"/>
    <w:rsid w:val="01527EDF"/>
    <w:rsid w:val="01535EB9"/>
    <w:rsid w:val="0191681C"/>
    <w:rsid w:val="019E06E3"/>
    <w:rsid w:val="01F53EB3"/>
    <w:rsid w:val="01FD0DAF"/>
    <w:rsid w:val="02060261"/>
    <w:rsid w:val="022E6257"/>
    <w:rsid w:val="02555ED9"/>
    <w:rsid w:val="029545F8"/>
    <w:rsid w:val="02B14DC7"/>
    <w:rsid w:val="02F94AB6"/>
    <w:rsid w:val="0319408F"/>
    <w:rsid w:val="032717F3"/>
    <w:rsid w:val="037261AB"/>
    <w:rsid w:val="0383243B"/>
    <w:rsid w:val="0385459C"/>
    <w:rsid w:val="038F71C9"/>
    <w:rsid w:val="03935BFE"/>
    <w:rsid w:val="03B66504"/>
    <w:rsid w:val="03B70FA8"/>
    <w:rsid w:val="03B81543"/>
    <w:rsid w:val="03EF1A15"/>
    <w:rsid w:val="03EF27C8"/>
    <w:rsid w:val="03F1273F"/>
    <w:rsid w:val="04197674"/>
    <w:rsid w:val="041E3B9F"/>
    <w:rsid w:val="044D094D"/>
    <w:rsid w:val="046441B2"/>
    <w:rsid w:val="04753845"/>
    <w:rsid w:val="050913A9"/>
    <w:rsid w:val="050A31D6"/>
    <w:rsid w:val="051557B4"/>
    <w:rsid w:val="051F656E"/>
    <w:rsid w:val="05500A87"/>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34527C"/>
    <w:rsid w:val="09521B8C"/>
    <w:rsid w:val="095F36DA"/>
    <w:rsid w:val="0983332C"/>
    <w:rsid w:val="09A278BC"/>
    <w:rsid w:val="09AF4121"/>
    <w:rsid w:val="09E919F8"/>
    <w:rsid w:val="0A256191"/>
    <w:rsid w:val="0A762256"/>
    <w:rsid w:val="0A933E5C"/>
    <w:rsid w:val="0AB614DF"/>
    <w:rsid w:val="0ABD4E90"/>
    <w:rsid w:val="0AC91212"/>
    <w:rsid w:val="0AD53626"/>
    <w:rsid w:val="0AD96F7B"/>
    <w:rsid w:val="0AFC15E8"/>
    <w:rsid w:val="0B024FEC"/>
    <w:rsid w:val="0B1E73EC"/>
    <w:rsid w:val="0B244FB8"/>
    <w:rsid w:val="0B3023B0"/>
    <w:rsid w:val="0B656974"/>
    <w:rsid w:val="0BA92DF2"/>
    <w:rsid w:val="0BBA70A3"/>
    <w:rsid w:val="0C012487"/>
    <w:rsid w:val="0C210BDA"/>
    <w:rsid w:val="0C4E7E44"/>
    <w:rsid w:val="0C601702"/>
    <w:rsid w:val="0C665C1C"/>
    <w:rsid w:val="0D587134"/>
    <w:rsid w:val="0D844B1B"/>
    <w:rsid w:val="0DB02216"/>
    <w:rsid w:val="0E0E5A47"/>
    <w:rsid w:val="0E1A3B33"/>
    <w:rsid w:val="0E1C7020"/>
    <w:rsid w:val="0E513821"/>
    <w:rsid w:val="0E59465B"/>
    <w:rsid w:val="0E6574A4"/>
    <w:rsid w:val="0F051BB9"/>
    <w:rsid w:val="0F323C9D"/>
    <w:rsid w:val="0F8E2325"/>
    <w:rsid w:val="0FD35E8A"/>
    <w:rsid w:val="0FE95356"/>
    <w:rsid w:val="100D14DA"/>
    <w:rsid w:val="10745ABA"/>
    <w:rsid w:val="108005C5"/>
    <w:rsid w:val="10AB3F70"/>
    <w:rsid w:val="10C63759"/>
    <w:rsid w:val="10C90438"/>
    <w:rsid w:val="111B0252"/>
    <w:rsid w:val="114D7560"/>
    <w:rsid w:val="1161187F"/>
    <w:rsid w:val="11717F0E"/>
    <w:rsid w:val="11800D39"/>
    <w:rsid w:val="11A8682E"/>
    <w:rsid w:val="11B701C5"/>
    <w:rsid w:val="11F31DEC"/>
    <w:rsid w:val="120E23C1"/>
    <w:rsid w:val="12354F5A"/>
    <w:rsid w:val="12914286"/>
    <w:rsid w:val="129B5577"/>
    <w:rsid w:val="12B654AE"/>
    <w:rsid w:val="12BF6C3A"/>
    <w:rsid w:val="13057218"/>
    <w:rsid w:val="131F3FC3"/>
    <w:rsid w:val="132C1DDC"/>
    <w:rsid w:val="133236CD"/>
    <w:rsid w:val="133E598E"/>
    <w:rsid w:val="134912DD"/>
    <w:rsid w:val="13682AD5"/>
    <w:rsid w:val="137B5074"/>
    <w:rsid w:val="138959E3"/>
    <w:rsid w:val="13DC787E"/>
    <w:rsid w:val="13FC570D"/>
    <w:rsid w:val="140631C3"/>
    <w:rsid w:val="14135D3F"/>
    <w:rsid w:val="14211A7C"/>
    <w:rsid w:val="142D3EB0"/>
    <w:rsid w:val="143310E5"/>
    <w:rsid w:val="14747239"/>
    <w:rsid w:val="14764964"/>
    <w:rsid w:val="14771CDF"/>
    <w:rsid w:val="147C0B64"/>
    <w:rsid w:val="14964B92"/>
    <w:rsid w:val="14B80AD1"/>
    <w:rsid w:val="14C557AE"/>
    <w:rsid w:val="155362A8"/>
    <w:rsid w:val="15A34C73"/>
    <w:rsid w:val="15AE7982"/>
    <w:rsid w:val="15B31F59"/>
    <w:rsid w:val="15B34F99"/>
    <w:rsid w:val="15C745A0"/>
    <w:rsid w:val="15CD45BF"/>
    <w:rsid w:val="15E070C3"/>
    <w:rsid w:val="15E24861"/>
    <w:rsid w:val="15FF4448"/>
    <w:rsid w:val="16473933"/>
    <w:rsid w:val="16766FAA"/>
    <w:rsid w:val="168669B4"/>
    <w:rsid w:val="16A910FE"/>
    <w:rsid w:val="16BA21D7"/>
    <w:rsid w:val="16C32FBA"/>
    <w:rsid w:val="16D301F3"/>
    <w:rsid w:val="16EE5198"/>
    <w:rsid w:val="16EF55E3"/>
    <w:rsid w:val="16FF65AF"/>
    <w:rsid w:val="172907FA"/>
    <w:rsid w:val="175207E1"/>
    <w:rsid w:val="17653798"/>
    <w:rsid w:val="17A20397"/>
    <w:rsid w:val="17A54DB5"/>
    <w:rsid w:val="17B23653"/>
    <w:rsid w:val="17C52D61"/>
    <w:rsid w:val="17D11706"/>
    <w:rsid w:val="180A2E6A"/>
    <w:rsid w:val="180C1DB8"/>
    <w:rsid w:val="181D2AAB"/>
    <w:rsid w:val="183364E8"/>
    <w:rsid w:val="18590648"/>
    <w:rsid w:val="1867206B"/>
    <w:rsid w:val="18E67433"/>
    <w:rsid w:val="18FF04F5"/>
    <w:rsid w:val="19053D5D"/>
    <w:rsid w:val="191310CD"/>
    <w:rsid w:val="191D1EE7"/>
    <w:rsid w:val="19522AB9"/>
    <w:rsid w:val="19540444"/>
    <w:rsid w:val="19691EDC"/>
    <w:rsid w:val="19DB4ABE"/>
    <w:rsid w:val="19EF2A79"/>
    <w:rsid w:val="1A09403D"/>
    <w:rsid w:val="1A427337"/>
    <w:rsid w:val="1A475CB0"/>
    <w:rsid w:val="1A6159EB"/>
    <w:rsid w:val="1A774C9C"/>
    <w:rsid w:val="1A826A8E"/>
    <w:rsid w:val="1AB31E5A"/>
    <w:rsid w:val="1ABA4CF6"/>
    <w:rsid w:val="1B1E62C5"/>
    <w:rsid w:val="1B324BB2"/>
    <w:rsid w:val="1B3E740A"/>
    <w:rsid w:val="1B522ECD"/>
    <w:rsid w:val="1B593EEC"/>
    <w:rsid w:val="1B8A679C"/>
    <w:rsid w:val="1B9708D8"/>
    <w:rsid w:val="1BA93D87"/>
    <w:rsid w:val="1BBB0703"/>
    <w:rsid w:val="1BC3580A"/>
    <w:rsid w:val="1BC80A07"/>
    <w:rsid w:val="1BEF4851"/>
    <w:rsid w:val="1BFF240F"/>
    <w:rsid w:val="1C1B6D10"/>
    <w:rsid w:val="1C6325C6"/>
    <w:rsid w:val="1C825622"/>
    <w:rsid w:val="1C861D86"/>
    <w:rsid w:val="1CC41839"/>
    <w:rsid w:val="1CED005C"/>
    <w:rsid w:val="1CF163A7"/>
    <w:rsid w:val="1D3A5FA0"/>
    <w:rsid w:val="1D6F5C49"/>
    <w:rsid w:val="1D772D50"/>
    <w:rsid w:val="1D835251"/>
    <w:rsid w:val="1DC57394"/>
    <w:rsid w:val="1E156B8A"/>
    <w:rsid w:val="1E1E0410"/>
    <w:rsid w:val="1E335D6C"/>
    <w:rsid w:val="1E494C39"/>
    <w:rsid w:val="1E550BE9"/>
    <w:rsid w:val="1E94348E"/>
    <w:rsid w:val="1EDA025B"/>
    <w:rsid w:val="1F016D75"/>
    <w:rsid w:val="1F0B25BC"/>
    <w:rsid w:val="1F1F71FB"/>
    <w:rsid w:val="1F220E88"/>
    <w:rsid w:val="1F63494D"/>
    <w:rsid w:val="1F927BDC"/>
    <w:rsid w:val="1FD020F8"/>
    <w:rsid w:val="1FE20707"/>
    <w:rsid w:val="1FE64182"/>
    <w:rsid w:val="200C3C23"/>
    <w:rsid w:val="20281ADB"/>
    <w:rsid w:val="20325D43"/>
    <w:rsid w:val="203A2484"/>
    <w:rsid w:val="20CA3EEF"/>
    <w:rsid w:val="20E406FC"/>
    <w:rsid w:val="20F52170"/>
    <w:rsid w:val="213C22E6"/>
    <w:rsid w:val="213D2165"/>
    <w:rsid w:val="217C0935"/>
    <w:rsid w:val="21DE339D"/>
    <w:rsid w:val="21DE779E"/>
    <w:rsid w:val="21E07C0E"/>
    <w:rsid w:val="220F7F28"/>
    <w:rsid w:val="22276873"/>
    <w:rsid w:val="22851AFF"/>
    <w:rsid w:val="22943AF1"/>
    <w:rsid w:val="22C56F28"/>
    <w:rsid w:val="230961F8"/>
    <w:rsid w:val="230D47B1"/>
    <w:rsid w:val="23445819"/>
    <w:rsid w:val="234E00AF"/>
    <w:rsid w:val="237D20DD"/>
    <w:rsid w:val="237F6C4B"/>
    <w:rsid w:val="238B5CC6"/>
    <w:rsid w:val="2399026C"/>
    <w:rsid w:val="23A948CF"/>
    <w:rsid w:val="23CD2AB0"/>
    <w:rsid w:val="23E2675E"/>
    <w:rsid w:val="23ED5B9A"/>
    <w:rsid w:val="242B66E0"/>
    <w:rsid w:val="24B46637"/>
    <w:rsid w:val="25276E09"/>
    <w:rsid w:val="252D4FEE"/>
    <w:rsid w:val="253B7530"/>
    <w:rsid w:val="254A62EC"/>
    <w:rsid w:val="255B6AB3"/>
    <w:rsid w:val="25B53949"/>
    <w:rsid w:val="2609783F"/>
    <w:rsid w:val="26103D41"/>
    <w:rsid w:val="26182BBE"/>
    <w:rsid w:val="2623548B"/>
    <w:rsid w:val="262461E3"/>
    <w:rsid w:val="26513FE9"/>
    <w:rsid w:val="267A330E"/>
    <w:rsid w:val="26CB1A16"/>
    <w:rsid w:val="26CF7759"/>
    <w:rsid w:val="26FA0C40"/>
    <w:rsid w:val="270C3BDB"/>
    <w:rsid w:val="2719399B"/>
    <w:rsid w:val="273977AC"/>
    <w:rsid w:val="27854579"/>
    <w:rsid w:val="27C76EF3"/>
    <w:rsid w:val="27CE1D61"/>
    <w:rsid w:val="27E70E9B"/>
    <w:rsid w:val="282F4953"/>
    <w:rsid w:val="28332399"/>
    <w:rsid w:val="284877C3"/>
    <w:rsid w:val="285A0BC7"/>
    <w:rsid w:val="286A0B60"/>
    <w:rsid w:val="28BD335E"/>
    <w:rsid w:val="293B4D0E"/>
    <w:rsid w:val="294C32E2"/>
    <w:rsid w:val="29657F00"/>
    <w:rsid w:val="29AE7D3A"/>
    <w:rsid w:val="29D0219D"/>
    <w:rsid w:val="29D77EF3"/>
    <w:rsid w:val="29E51041"/>
    <w:rsid w:val="29F20600"/>
    <w:rsid w:val="2A0277C5"/>
    <w:rsid w:val="2A391286"/>
    <w:rsid w:val="2A494281"/>
    <w:rsid w:val="2A4F4886"/>
    <w:rsid w:val="2A7F5505"/>
    <w:rsid w:val="2A9A0875"/>
    <w:rsid w:val="2ABA427C"/>
    <w:rsid w:val="2B0A2EA3"/>
    <w:rsid w:val="2B143B98"/>
    <w:rsid w:val="2B3F2753"/>
    <w:rsid w:val="2B406EFF"/>
    <w:rsid w:val="2B6F7BD4"/>
    <w:rsid w:val="2B720822"/>
    <w:rsid w:val="2BAE19C7"/>
    <w:rsid w:val="2BB87E35"/>
    <w:rsid w:val="2BCE32E3"/>
    <w:rsid w:val="2C067B37"/>
    <w:rsid w:val="2C5379A3"/>
    <w:rsid w:val="2C974875"/>
    <w:rsid w:val="2CAD335C"/>
    <w:rsid w:val="2CCB4009"/>
    <w:rsid w:val="2CF33FC6"/>
    <w:rsid w:val="2CFD4778"/>
    <w:rsid w:val="2D0B6185"/>
    <w:rsid w:val="2D216834"/>
    <w:rsid w:val="2D4F1E09"/>
    <w:rsid w:val="2D6D14C1"/>
    <w:rsid w:val="2D7D4451"/>
    <w:rsid w:val="2DC42A84"/>
    <w:rsid w:val="2DE60E0D"/>
    <w:rsid w:val="2DF751F3"/>
    <w:rsid w:val="2E033B56"/>
    <w:rsid w:val="2E285A0C"/>
    <w:rsid w:val="2E891740"/>
    <w:rsid w:val="2E9C5A6A"/>
    <w:rsid w:val="2EA953B6"/>
    <w:rsid w:val="2EB07040"/>
    <w:rsid w:val="2EC27624"/>
    <w:rsid w:val="2ED75A9F"/>
    <w:rsid w:val="2EFC4E63"/>
    <w:rsid w:val="2F4D56BE"/>
    <w:rsid w:val="2F5842D0"/>
    <w:rsid w:val="2F5A7523"/>
    <w:rsid w:val="2F7F5907"/>
    <w:rsid w:val="2FA13062"/>
    <w:rsid w:val="2FB641FC"/>
    <w:rsid w:val="2FC7536F"/>
    <w:rsid w:val="2FE36FA0"/>
    <w:rsid w:val="30055F99"/>
    <w:rsid w:val="30280E73"/>
    <w:rsid w:val="302E56FD"/>
    <w:rsid w:val="303D02A2"/>
    <w:rsid w:val="30882C93"/>
    <w:rsid w:val="30F81925"/>
    <w:rsid w:val="314B586D"/>
    <w:rsid w:val="317C0BC3"/>
    <w:rsid w:val="31913E8E"/>
    <w:rsid w:val="31CB3665"/>
    <w:rsid w:val="31CE0296"/>
    <w:rsid w:val="31DA771B"/>
    <w:rsid w:val="32034DFD"/>
    <w:rsid w:val="3203562A"/>
    <w:rsid w:val="320D5A10"/>
    <w:rsid w:val="322079C5"/>
    <w:rsid w:val="3240150B"/>
    <w:rsid w:val="325D52F8"/>
    <w:rsid w:val="32902492"/>
    <w:rsid w:val="32A45F3D"/>
    <w:rsid w:val="32A82827"/>
    <w:rsid w:val="32B53456"/>
    <w:rsid w:val="33111653"/>
    <w:rsid w:val="332B21BB"/>
    <w:rsid w:val="334A479D"/>
    <w:rsid w:val="33641B20"/>
    <w:rsid w:val="33751688"/>
    <w:rsid w:val="33CF29A4"/>
    <w:rsid w:val="33EE79F7"/>
    <w:rsid w:val="34193CA8"/>
    <w:rsid w:val="34196205"/>
    <w:rsid w:val="34425A0E"/>
    <w:rsid w:val="344D5DD6"/>
    <w:rsid w:val="344F2ED9"/>
    <w:rsid w:val="34711E4F"/>
    <w:rsid w:val="34733E19"/>
    <w:rsid w:val="34A93377"/>
    <w:rsid w:val="34F26786"/>
    <w:rsid w:val="34FC56F2"/>
    <w:rsid w:val="35026F4B"/>
    <w:rsid w:val="35102324"/>
    <w:rsid w:val="355C665B"/>
    <w:rsid w:val="356E638F"/>
    <w:rsid w:val="358C2142"/>
    <w:rsid w:val="35A65B28"/>
    <w:rsid w:val="35BD418B"/>
    <w:rsid w:val="35D2375F"/>
    <w:rsid w:val="35E52AF5"/>
    <w:rsid w:val="35F8221C"/>
    <w:rsid w:val="3600792F"/>
    <w:rsid w:val="360702B8"/>
    <w:rsid w:val="360F36CE"/>
    <w:rsid w:val="3623361D"/>
    <w:rsid w:val="363C15BE"/>
    <w:rsid w:val="364F21A6"/>
    <w:rsid w:val="365D365D"/>
    <w:rsid w:val="36633A19"/>
    <w:rsid w:val="37236989"/>
    <w:rsid w:val="37256F21"/>
    <w:rsid w:val="375743B3"/>
    <w:rsid w:val="3772660A"/>
    <w:rsid w:val="37A5537B"/>
    <w:rsid w:val="37D7646D"/>
    <w:rsid w:val="37E2358C"/>
    <w:rsid w:val="37F17C4E"/>
    <w:rsid w:val="37FE4100"/>
    <w:rsid w:val="384A62FD"/>
    <w:rsid w:val="385F4816"/>
    <w:rsid w:val="3870241E"/>
    <w:rsid w:val="38DD7AB3"/>
    <w:rsid w:val="38EE00C1"/>
    <w:rsid w:val="39035FE4"/>
    <w:rsid w:val="39553EE3"/>
    <w:rsid w:val="396310BC"/>
    <w:rsid w:val="39657E94"/>
    <w:rsid w:val="39721A80"/>
    <w:rsid w:val="39817C51"/>
    <w:rsid w:val="39A405D1"/>
    <w:rsid w:val="39A93CBE"/>
    <w:rsid w:val="39A9723F"/>
    <w:rsid w:val="39E474A4"/>
    <w:rsid w:val="39F234CA"/>
    <w:rsid w:val="39F32DB4"/>
    <w:rsid w:val="3A357430"/>
    <w:rsid w:val="3A5A447A"/>
    <w:rsid w:val="3A5C2DAD"/>
    <w:rsid w:val="3A6B503D"/>
    <w:rsid w:val="3A747630"/>
    <w:rsid w:val="3AE01E17"/>
    <w:rsid w:val="3AE710BD"/>
    <w:rsid w:val="3AF31761"/>
    <w:rsid w:val="3AF37A62"/>
    <w:rsid w:val="3AF63950"/>
    <w:rsid w:val="3B143534"/>
    <w:rsid w:val="3B1E43B3"/>
    <w:rsid w:val="3B2B3384"/>
    <w:rsid w:val="3B454DA1"/>
    <w:rsid w:val="3B505571"/>
    <w:rsid w:val="3B5B1163"/>
    <w:rsid w:val="3B9113BF"/>
    <w:rsid w:val="3BAE5737"/>
    <w:rsid w:val="3BC278C2"/>
    <w:rsid w:val="3BEB7484"/>
    <w:rsid w:val="3C2526F2"/>
    <w:rsid w:val="3C8D359E"/>
    <w:rsid w:val="3CAA1E4C"/>
    <w:rsid w:val="3CAB2861"/>
    <w:rsid w:val="3CE543D4"/>
    <w:rsid w:val="3CE57675"/>
    <w:rsid w:val="3D156C40"/>
    <w:rsid w:val="3D3108F0"/>
    <w:rsid w:val="3D743AA7"/>
    <w:rsid w:val="3D92643C"/>
    <w:rsid w:val="3DBE69D1"/>
    <w:rsid w:val="3E016A21"/>
    <w:rsid w:val="3E0E6961"/>
    <w:rsid w:val="3E4F3DC9"/>
    <w:rsid w:val="3E6108DC"/>
    <w:rsid w:val="3EA971BA"/>
    <w:rsid w:val="3ECD05CA"/>
    <w:rsid w:val="3ED03C16"/>
    <w:rsid w:val="3EF773F5"/>
    <w:rsid w:val="3F035D9A"/>
    <w:rsid w:val="3F1C5008"/>
    <w:rsid w:val="3F2F6B8F"/>
    <w:rsid w:val="3F4D4E3D"/>
    <w:rsid w:val="3F542383"/>
    <w:rsid w:val="3F835F13"/>
    <w:rsid w:val="3F9D520F"/>
    <w:rsid w:val="3FA96891"/>
    <w:rsid w:val="3FAC01DF"/>
    <w:rsid w:val="3FDE3B17"/>
    <w:rsid w:val="3FE12CBD"/>
    <w:rsid w:val="3FF73B50"/>
    <w:rsid w:val="409A021C"/>
    <w:rsid w:val="40C32F32"/>
    <w:rsid w:val="40CB0356"/>
    <w:rsid w:val="41194293"/>
    <w:rsid w:val="413744B8"/>
    <w:rsid w:val="416A0352"/>
    <w:rsid w:val="41747D82"/>
    <w:rsid w:val="4258398A"/>
    <w:rsid w:val="42586A54"/>
    <w:rsid w:val="429628AA"/>
    <w:rsid w:val="42B26B5F"/>
    <w:rsid w:val="42B4172C"/>
    <w:rsid w:val="42C37256"/>
    <w:rsid w:val="42ED4D97"/>
    <w:rsid w:val="42F51E9D"/>
    <w:rsid w:val="431412A9"/>
    <w:rsid w:val="43210EE4"/>
    <w:rsid w:val="436274D2"/>
    <w:rsid w:val="439B3F94"/>
    <w:rsid w:val="43C63BD6"/>
    <w:rsid w:val="43CE47B2"/>
    <w:rsid w:val="441E71D2"/>
    <w:rsid w:val="445241CE"/>
    <w:rsid w:val="44774400"/>
    <w:rsid w:val="44A83362"/>
    <w:rsid w:val="44C9432E"/>
    <w:rsid w:val="44FD397C"/>
    <w:rsid w:val="45064D78"/>
    <w:rsid w:val="452913FC"/>
    <w:rsid w:val="455920A4"/>
    <w:rsid w:val="45AD6A5F"/>
    <w:rsid w:val="45F75F2C"/>
    <w:rsid w:val="45F85A36"/>
    <w:rsid w:val="4618037D"/>
    <w:rsid w:val="46212B20"/>
    <w:rsid w:val="464C6002"/>
    <w:rsid w:val="465E6206"/>
    <w:rsid w:val="46944856"/>
    <w:rsid w:val="46BC2BD8"/>
    <w:rsid w:val="46D36999"/>
    <w:rsid w:val="472E158C"/>
    <w:rsid w:val="473954E9"/>
    <w:rsid w:val="473D1787"/>
    <w:rsid w:val="477A116A"/>
    <w:rsid w:val="478B2DD0"/>
    <w:rsid w:val="479C6D8B"/>
    <w:rsid w:val="47C50090"/>
    <w:rsid w:val="47DB5B06"/>
    <w:rsid w:val="47E80223"/>
    <w:rsid w:val="47EE4E56"/>
    <w:rsid w:val="47EF638A"/>
    <w:rsid w:val="47F97336"/>
    <w:rsid w:val="480706A9"/>
    <w:rsid w:val="48160B49"/>
    <w:rsid w:val="482173AE"/>
    <w:rsid w:val="4860600B"/>
    <w:rsid w:val="48636034"/>
    <w:rsid w:val="488B4B77"/>
    <w:rsid w:val="48B7790B"/>
    <w:rsid w:val="48E549E9"/>
    <w:rsid w:val="49033566"/>
    <w:rsid w:val="492E2E2E"/>
    <w:rsid w:val="492E43F8"/>
    <w:rsid w:val="49394063"/>
    <w:rsid w:val="4A0977B8"/>
    <w:rsid w:val="4A1D0657"/>
    <w:rsid w:val="4A317C5F"/>
    <w:rsid w:val="4A464AE8"/>
    <w:rsid w:val="4A560B18"/>
    <w:rsid w:val="4A7933B4"/>
    <w:rsid w:val="4AD36F68"/>
    <w:rsid w:val="4ADB4211"/>
    <w:rsid w:val="4ADD7DE7"/>
    <w:rsid w:val="4AEF7951"/>
    <w:rsid w:val="4AFD5D93"/>
    <w:rsid w:val="4B367F93"/>
    <w:rsid w:val="4B6E3924"/>
    <w:rsid w:val="4BA12BC2"/>
    <w:rsid w:val="4BBE0575"/>
    <w:rsid w:val="4BC211D2"/>
    <w:rsid w:val="4BE5149F"/>
    <w:rsid w:val="4BFC24EE"/>
    <w:rsid w:val="4BFE5973"/>
    <w:rsid w:val="4C224242"/>
    <w:rsid w:val="4C3D1913"/>
    <w:rsid w:val="4C40385D"/>
    <w:rsid w:val="4C485734"/>
    <w:rsid w:val="4CCD64F4"/>
    <w:rsid w:val="4CE92A73"/>
    <w:rsid w:val="4D092279"/>
    <w:rsid w:val="4D1A0E7E"/>
    <w:rsid w:val="4D317F76"/>
    <w:rsid w:val="4D331F40"/>
    <w:rsid w:val="4D3B084B"/>
    <w:rsid w:val="4D530AA8"/>
    <w:rsid w:val="4D7E572D"/>
    <w:rsid w:val="4DA27269"/>
    <w:rsid w:val="4DEF6893"/>
    <w:rsid w:val="4E0C71FC"/>
    <w:rsid w:val="4E402B66"/>
    <w:rsid w:val="4EA1353B"/>
    <w:rsid w:val="4EAA7FE0"/>
    <w:rsid w:val="4EB909E9"/>
    <w:rsid w:val="4ECE13CB"/>
    <w:rsid w:val="4F0A4DE8"/>
    <w:rsid w:val="4F534AF8"/>
    <w:rsid w:val="4F5F4C64"/>
    <w:rsid w:val="4F714FA1"/>
    <w:rsid w:val="4F763D0A"/>
    <w:rsid w:val="4F9A0D90"/>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352C4"/>
    <w:rsid w:val="51BA2F76"/>
    <w:rsid w:val="52220DD4"/>
    <w:rsid w:val="52320A18"/>
    <w:rsid w:val="529A036B"/>
    <w:rsid w:val="53063385"/>
    <w:rsid w:val="53412BBB"/>
    <w:rsid w:val="53500FF5"/>
    <w:rsid w:val="53530C46"/>
    <w:rsid w:val="53864FA0"/>
    <w:rsid w:val="53B611D5"/>
    <w:rsid w:val="53CB255A"/>
    <w:rsid w:val="53EB29D5"/>
    <w:rsid w:val="5418171E"/>
    <w:rsid w:val="54240A2E"/>
    <w:rsid w:val="543A0953"/>
    <w:rsid w:val="544C2288"/>
    <w:rsid w:val="54627897"/>
    <w:rsid w:val="54635240"/>
    <w:rsid w:val="5510685A"/>
    <w:rsid w:val="551D56FC"/>
    <w:rsid w:val="554671C6"/>
    <w:rsid w:val="5552584C"/>
    <w:rsid w:val="555A4FC6"/>
    <w:rsid w:val="556D1D67"/>
    <w:rsid w:val="55FE7A11"/>
    <w:rsid w:val="561D553B"/>
    <w:rsid w:val="562D6C09"/>
    <w:rsid w:val="56321E1B"/>
    <w:rsid w:val="568D3428"/>
    <w:rsid w:val="56982E14"/>
    <w:rsid w:val="56A774E2"/>
    <w:rsid w:val="56B05C18"/>
    <w:rsid w:val="571F6489"/>
    <w:rsid w:val="57213788"/>
    <w:rsid w:val="57366542"/>
    <w:rsid w:val="575D5514"/>
    <w:rsid w:val="57793128"/>
    <w:rsid w:val="57831D16"/>
    <w:rsid w:val="579F706F"/>
    <w:rsid w:val="57D528CD"/>
    <w:rsid w:val="57E227D2"/>
    <w:rsid w:val="57EE22E8"/>
    <w:rsid w:val="57FA3D86"/>
    <w:rsid w:val="58015C98"/>
    <w:rsid w:val="581F559B"/>
    <w:rsid w:val="58236478"/>
    <w:rsid w:val="585B5276"/>
    <w:rsid w:val="588E54CA"/>
    <w:rsid w:val="58922210"/>
    <w:rsid w:val="58A9755A"/>
    <w:rsid w:val="58AE5938"/>
    <w:rsid w:val="590C3FF5"/>
    <w:rsid w:val="59407F54"/>
    <w:rsid w:val="596A2319"/>
    <w:rsid w:val="597E1677"/>
    <w:rsid w:val="59823E17"/>
    <w:rsid w:val="59851D75"/>
    <w:rsid w:val="59937919"/>
    <w:rsid w:val="59FF543B"/>
    <w:rsid w:val="5A317655"/>
    <w:rsid w:val="5A3572F7"/>
    <w:rsid w:val="5A386DE8"/>
    <w:rsid w:val="5A3C6C73"/>
    <w:rsid w:val="5A635C5A"/>
    <w:rsid w:val="5AD81D9A"/>
    <w:rsid w:val="5ADC209B"/>
    <w:rsid w:val="5B1355A3"/>
    <w:rsid w:val="5B3C6463"/>
    <w:rsid w:val="5B5E28C5"/>
    <w:rsid w:val="5B6D2AE6"/>
    <w:rsid w:val="5B745BFD"/>
    <w:rsid w:val="5B7B595E"/>
    <w:rsid w:val="5B9900F2"/>
    <w:rsid w:val="5BA34735"/>
    <w:rsid w:val="5BF467EC"/>
    <w:rsid w:val="5C043425"/>
    <w:rsid w:val="5C11169E"/>
    <w:rsid w:val="5C25339C"/>
    <w:rsid w:val="5C323CC9"/>
    <w:rsid w:val="5C34538D"/>
    <w:rsid w:val="5C441A74"/>
    <w:rsid w:val="5C447DD1"/>
    <w:rsid w:val="5C574268"/>
    <w:rsid w:val="5C6B5BC5"/>
    <w:rsid w:val="5CA66E29"/>
    <w:rsid w:val="5CB86213"/>
    <w:rsid w:val="5CBF2962"/>
    <w:rsid w:val="5D530D5F"/>
    <w:rsid w:val="5D9D79EF"/>
    <w:rsid w:val="5DA707E9"/>
    <w:rsid w:val="5DB70229"/>
    <w:rsid w:val="5DE11544"/>
    <w:rsid w:val="5DEE3CCB"/>
    <w:rsid w:val="5DF21B98"/>
    <w:rsid w:val="5E1216FE"/>
    <w:rsid w:val="5E3308A2"/>
    <w:rsid w:val="5E575A76"/>
    <w:rsid w:val="5E60690D"/>
    <w:rsid w:val="5E68756F"/>
    <w:rsid w:val="5E7F77FB"/>
    <w:rsid w:val="5EAE4DD9"/>
    <w:rsid w:val="5EB804F7"/>
    <w:rsid w:val="5F2B6984"/>
    <w:rsid w:val="5F6150CD"/>
    <w:rsid w:val="5F6D7533"/>
    <w:rsid w:val="5F987E63"/>
    <w:rsid w:val="5FCB28E4"/>
    <w:rsid w:val="5FCF7853"/>
    <w:rsid w:val="5FD52766"/>
    <w:rsid w:val="5FE5531C"/>
    <w:rsid w:val="5FF46D11"/>
    <w:rsid w:val="6008706E"/>
    <w:rsid w:val="60384AA2"/>
    <w:rsid w:val="6093514A"/>
    <w:rsid w:val="60BA6EBD"/>
    <w:rsid w:val="60D2322C"/>
    <w:rsid w:val="610417D1"/>
    <w:rsid w:val="610B7004"/>
    <w:rsid w:val="614F7E1C"/>
    <w:rsid w:val="61667A1D"/>
    <w:rsid w:val="61706E67"/>
    <w:rsid w:val="617B022B"/>
    <w:rsid w:val="61B42238"/>
    <w:rsid w:val="61ED3995"/>
    <w:rsid w:val="62233ED9"/>
    <w:rsid w:val="62247EF5"/>
    <w:rsid w:val="62CF4061"/>
    <w:rsid w:val="631430B3"/>
    <w:rsid w:val="637C5F97"/>
    <w:rsid w:val="638A11D4"/>
    <w:rsid w:val="63F41F58"/>
    <w:rsid w:val="63F76584"/>
    <w:rsid w:val="644C3BBB"/>
    <w:rsid w:val="64B04A7C"/>
    <w:rsid w:val="64F32289"/>
    <w:rsid w:val="651D27D7"/>
    <w:rsid w:val="654752D4"/>
    <w:rsid w:val="65822F09"/>
    <w:rsid w:val="65965996"/>
    <w:rsid w:val="659730E5"/>
    <w:rsid w:val="65C82F60"/>
    <w:rsid w:val="65CE0D2C"/>
    <w:rsid w:val="65DF280D"/>
    <w:rsid w:val="663E0D58"/>
    <w:rsid w:val="66846410"/>
    <w:rsid w:val="66A24F5B"/>
    <w:rsid w:val="66A6332B"/>
    <w:rsid w:val="671F6E1E"/>
    <w:rsid w:val="672F0A3C"/>
    <w:rsid w:val="67453492"/>
    <w:rsid w:val="67A02C6C"/>
    <w:rsid w:val="67E71B6D"/>
    <w:rsid w:val="67EF6CEE"/>
    <w:rsid w:val="67FF20E2"/>
    <w:rsid w:val="68306BC4"/>
    <w:rsid w:val="688073EB"/>
    <w:rsid w:val="68842FD3"/>
    <w:rsid w:val="689C2C37"/>
    <w:rsid w:val="68A2014F"/>
    <w:rsid w:val="68BF6DF6"/>
    <w:rsid w:val="68C43E52"/>
    <w:rsid w:val="68F55EA4"/>
    <w:rsid w:val="690B1A91"/>
    <w:rsid w:val="69201173"/>
    <w:rsid w:val="69242318"/>
    <w:rsid w:val="692B215E"/>
    <w:rsid w:val="698C3515"/>
    <w:rsid w:val="698E432E"/>
    <w:rsid w:val="69992B92"/>
    <w:rsid w:val="69D41F5D"/>
    <w:rsid w:val="69DE70C1"/>
    <w:rsid w:val="69E9103A"/>
    <w:rsid w:val="6A9040D6"/>
    <w:rsid w:val="6AC50223"/>
    <w:rsid w:val="6AD26CD2"/>
    <w:rsid w:val="6B016D82"/>
    <w:rsid w:val="6B2D6EEB"/>
    <w:rsid w:val="6B5F5D4D"/>
    <w:rsid w:val="6B685053"/>
    <w:rsid w:val="6BAF4A30"/>
    <w:rsid w:val="6BB93969"/>
    <w:rsid w:val="6BC06C3D"/>
    <w:rsid w:val="6C0D4AD4"/>
    <w:rsid w:val="6C3D5F2F"/>
    <w:rsid w:val="6C575222"/>
    <w:rsid w:val="6C6770B8"/>
    <w:rsid w:val="6C71768C"/>
    <w:rsid w:val="6CA125CA"/>
    <w:rsid w:val="6CB22DA1"/>
    <w:rsid w:val="6CB46566"/>
    <w:rsid w:val="6CC03E6D"/>
    <w:rsid w:val="6CD363C3"/>
    <w:rsid w:val="6CD526FE"/>
    <w:rsid w:val="6D3451EC"/>
    <w:rsid w:val="6D8855DB"/>
    <w:rsid w:val="6DE360A7"/>
    <w:rsid w:val="6DEE5CE3"/>
    <w:rsid w:val="6E245261"/>
    <w:rsid w:val="6E2D3C69"/>
    <w:rsid w:val="6EA57E47"/>
    <w:rsid w:val="6EB736CD"/>
    <w:rsid w:val="6EC936B0"/>
    <w:rsid w:val="6ECE2BD2"/>
    <w:rsid w:val="6ED468F0"/>
    <w:rsid w:val="6EFF182A"/>
    <w:rsid w:val="6F011A46"/>
    <w:rsid w:val="6F33171B"/>
    <w:rsid w:val="6F7044D6"/>
    <w:rsid w:val="6F965673"/>
    <w:rsid w:val="6F9E54E7"/>
    <w:rsid w:val="6FBB10C2"/>
    <w:rsid w:val="6FDB730A"/>
    <w:rsid w:val="6FDD7DBD"/>
    <w:rsid w:val="700A4B8C"/>
    <w:rsid w:val="70227CFD"/>
    <w:rsid w:val="70334E10"/>
    <w:rsid w:val="70756248"/>
    <w:rsid w:val="707A11F3"/>
    <w:rsid w:val="707F2C23"/>
    <w:rsid w:val="709C6F93"/>
    <w:rsid w:val="71031D5F"/>
    <w:rsid w:val="71056959"/>
    <w:rsid w:val="713C0F09"/>
    <w:rsid w:val="71756B0D"/>
    <w:rsid w:val="717F5B7A"/>
    <w:rsid w:val="71866233"/>
    <w:rsid w:val="719721EE"/>
    <w:rsid w:val="71D12840"/>
    <w:rsid w:val="71DA1240"/>
    <w:rsid w:val="71EF48DF"/>
    <w:rsid w:val="725400DF"/>
    <w:rsid w:val="7270363A"/>
    <w:rsid w:val="72955F39"/>
    <w:rsid w:val="72BC3722"/>
    <w:rsid w:val="72CE4767"/>
    <w:rsid w:val="72D20B62"/>
    <w:rsid w:val="731E506B"/>
    <w:rsid w:val="73372E32"/>
    <w:rsid w:val="73400CFB"/>
    <w:rsid w:val="734A2124"/>
    <w:rsid w:val="73A017A5"/>
    <w:rsid w:val="73CE48E4"/>
    <w:rsid w:val="73E37359"/>
    <w:rsid w:val="73E55A30"/>
    <w:rsid w:val="73E86D31"/>
    <w:rsid w:val="73F25C64"/>
    <w:rsid w:val="745771EB"/>
    <w:rsid w:val="74675EA7"/>
    <w:rsid w:val="7474601E"/>
    <w:rsid w:val="747603D5"/>
    <w:rsid w:val="747D01F0"/>
    <w:rsid w:val="74934EEE"/>
    <w:rsid w:val="74A34E73"/>
    <w:rsid w:val="74B97E59"/>
    <w:rsid w:val="74C40EAA"/>
    <w:rsid w:val="755778E6"/>
    <w:rsid w:val="758F7D6B"/>
    <w:rsid w:val="75A153E9"/>
    <w:rsid w:val="75A44ED9"/>
    <w:rsid w:val="75B31F1D"/>
    <w:rsid w:val="75C16B30"/>
    <w:rsid w:val="75DC08C0"/>
    <w:rsid w:val="75F565F2"/>
    <w:rsid w:val="75FA6B3E"/>
    <w:rsid w:val="760B6D06"/>
    <w:rsid w:val="764F12E9"/>
    <w:rsid w:val="76530DD9"/>
    <w:rsid w:val="7658375B"/>
    <w:rsid w:val="7672338B"/>
    <w:rsid w:val="767D7F65"/>
    <w:rsid w:val="76856640"/>
    <w:rsid w:val="76A809F9"/>
    <w:rsid w:val="76C31579"/>
    <w:rsid w:val="77197752"/>
    <w:rsid w:val="774150D6"/>
    <w:rsid w:val="77494B12"/>
    <w:rsid w:val="776E39F1"/>
    <w:rsid w:val="77A70D03"/>
    <w:rsid w:val="77C35511"/>
    <w:rsid w:val="77C67389"/>
    <w:rsid w:val="77CE573C"/>
    <w:rsid w:val="77DA51F2"/>
    <w:rsid w:val="78127750"/>
    <w:rsid w:val="782E0F03"/>
    <w:rsid w:val="78593AF3"/>
    <w:rsid w:val="78742588"/>
    <w:rsid w:val="787A3E9B"/>
    <w:rsid w:val="787B5781"/>
    <w:rsid w:val="78B76110"/>
    <w:rsid w:val="78C733B9"/>
    <w:rsid w:val="79250FDE"/>
    <w:rsid w:val="792B6F2B"/>
    <w:rsid w:val="79AB2884"/>
    <w:rsid w:val="79B7167F"/>
    <w:rsid w:val="79C124FE"/>
    <w:rsid w:val="79D7619B"/>
    <w:rsid w:val="79E1494E"/>
    <w:rsid w:val="79E14EC0"/>
    <w:rsid w:val="79FA7343"/>
    <w:rsid w:val="79FC26F3"/>
    <w:rsid w:val="7A08406B"/>
    <w:rsid w:val="7A173293"/>
    <w:rsid w:val="7A382CBF"/>
    <w:rsid w:val="7A643FFA"/>
    <w:rsid w:val="7A6D1D3E"/>
    <w:rsid w:val="7A811750"/>
    <w:rsid w:val="7A831561"/>
    <w:rsid w:val="7AB160CE"/>
    <w:rsid w:val="7AB8722A"/>
    <w:rsid w:val="7AD040D4"/>
    <w:rsid w:val="7AD972A3"/>
    <w:rsid w:val="7AFD4FEE"/>
    <w:rsid w:val="7B17441B"/>
    <w:rsid w:val="7B1E128A"/>
    <w:rsid w:val="7B206841"/>
    <w:rsid w:val="7B292109"/>
    <w:rsid w:val="7B2A11CE"/>
    <w:rsid w:val="7BBB0959"/>
    <w:rsid w:val="7BCE0366"/>
    <w:rsid w:val="7BDA3403"/>
    <w:rsid w:val="7BEB0B45"/>
    <w:rsid w:val="7BF02C26"/>
    <w:rsid w:val="7C030BAC"/>
    <w:rsid w:val="7C556F2D"/>
    <w:rsid w:val="7CB579CC"/>
    <w:rsid w:val="7D1868D9"/>
    <w:rsid w:val="7D24527D"/>
    <w:rsid w:val="7D27773C"/>
    <w:rsid w:val="7D3356C7"/>
    <w:rsid w:val="7D422172"/>
    <w:rsid w:val="7D4713B5"/>
    <w:rsid w:val="7D5976B6"/>
    <w:rsid w:val="7D6A3904"/>
    <w:rsid w:val="7D92368A"/>
    <w:rsid w:val="7DA07E94"/>
    <w:rsid w:val="7DA16F04"/>
    <w:rsid w:val="7DB1382D"/>
    <w:rsid w:val="7DB36601"/>
    <w:rsid w:val="7E2D0162"/>
    <w:rsid w:val="7E321CD4"/>
    <w:rsid w:val="7E550EEB"/>
    <w:rsid w:val="7E646068"/>
    <w:rsid w:val="7EA3546E"/>
    <w:rsid w:val="7EB33EA8"/>
    <w:rsid w:val="7ED6280D"/>
    <w:rsid w:val="7F06620E"/>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autoRedefine/>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autoRedefine/>
    <w:qFormat/>
    <w:uiPriority w:val="0"/>
    <w:pPr>
      <w:keepNext/>
      <w:keepLines/>
      <w:spacing w:before="120" w:after="120" w:line="360" w:lineRule="exact"/>
      <w:jc w:val="center"/>
      <w:outlineLvl w:val="1"/>
    </w:pPr>
    <w:rPr>
      <w:rFonts w:ascii="宋体" w:hAnsi="宋体"/>
      <w:b/>
      <w:sz w:val="24"/>
      <w:szCs w:val="24"/>
    </w:rPr>
  </w:style>
  <w:style w:type="paragraph" w:styleId="8">
    <w:name w:val="heading 3"/>
    <w:basedOn w:val="1"/>
    <w:next w:val="1"/>
    <w:link w:val="212"/>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9">
    <w:name w:val="heading 4"/>
    <w:basedOn w:val="1"/>
    <w:next w:val="1"/>
    <w:link w:val="97"/>
    <w:autoRedefine/>
    <w:qFormat/>
    <w:uiPriority w:val="0"/>
    <w:pPr>
      <w:keepNext/>
      <w:keepLines/>
      <w:spacing w:before="120" w:after="120"/>
      <w:outlineLvl w:val="3"/>
    </w:pPr>
    <w:rPr>
      <w:rFonts w:ascii="Arial" w:hAnsi="Arial" w:eastAsia="黑体"/>
      <w:b/>
      <w:sz w:val="20"/>
    </w:rPr>
  </w:style>
  <w:style w:type="paragraph" w:styleId="10">
    <w:name w:val="heading 5"/>
    <w:basedOn w:val="1"/>
    <w:next w:val="4"/>
    <w:link w:val="87"/>
    <w:autoRedefine/>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1">
    <w:name w:val="heading 6"/>
    <w:basedOn w:val="1"/>
    <w:next w:val="1"/>
    <w:link w:val="131"/>
    <w:autoRedefine/>
    <w:qFormat/>
    <w:uiPriority w:val="0"/>
    <w:pPr>
      <w:keepNext/>
      <w:keepLines/>
      <w:spacing w:before="240" w:after="64" w:line="319" w:lineRule="auto"/>
      <w:outlineLvl w:val="5"/>
    </w:pPr>
    <w:rPr>
      <w:rFonts w:ascii="Arial" w:hAnsi="Arial" w:eastAsia="黑体"/>
      <w:b/>
      <w:bCs/>
      <w:sz w:val="24"/>
      <w:szCs w:val="24"/>
    </w:rPr>
  </w:style>
  <w:style w:type="paragraph" w:styleId="12">
    <w:name w:val="heading 7"/>
    <w:basedOn w:val="1"/>
    <w:next w:val="1"/>
    <w:link w:val="146"/>
    <w:autoRedefine/>
    <w:qFormat/>
    <w:uiPriority w:val="0"/>
    <w:pPr>
      <w:keepNext/>
      <w:keepLines/>
      <w:spacing w:before="240" w:after="64" w:line="319" w:lineRule="auto"/>
      <w:outlineLvl w:val="6"/>
    </w:pPr>
    <w:rPr>
      <w:b/>
      <w:bCs/>
      <w:sz w:val="24"/>
      <w:szCs w:val="24"/>
    </w:rPr>
  </w:style>
  <w:style w:type="paragraph" w:styleId="13">
    <w:name w:val="heading 8"/>
    <w:basedOn w:val="1"/>
    <w:next w:val="1"/>
    <w:link w:val="160"/>
    <w:autoRedefine/>
    <w:qFormat/>
    <w:uiPriority w:val="0"/>
    <w:pPr>
      <w:keepNext/>
      <w:keepLines/>
      <w:spacing w:before="240" w:after="64" w:line="319" w:lineRule="auto"/>
      <w:outlineLvl w:val="7"/>
    </w:pPr>
    <w:rPr>
      <w:rFonts w:ascii="Arial" w:hAnsi="Arial" w:eastAsia="黑体"/>
      <w:sz w:val="24"/>
      <w:szCs w:val="24"/>
    </w:rPr>
  </w:style>
  <w:style w:type="paragraph" w:styleId="14">
    <w:name w:val="heading 9"/>
    <w:basedOn w:val="1"/>
    <w:next w:val="1"/>
    <w:link w:val="166"/>
    <w:autoRedefine/>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autoRedefine/>
    <w:semiHidden/>
    <w:unhideWhenUsed/>
    <w:qFormat/>
    <w:uiPriority w:val="1"/>
  </w:style>
  <w:style w:type="table" w:default="1" w:styleId="6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style>
  <w:style w:type="paragraph" w:styleId="5">
    <w:name w:val="Body Text First Indent 2"/>
    <w:basedOn w:val="6"/>
    <w:autoRedefine/>
    <w:unhideWhenUsed/>
    <w:qFormat/>
    <w:uiPriority w:val="99"/>
    <w:pPr>
      <w:spacing w:after="120"/>
      <w:ind w:left="420" w:leftChars="200" w:firstLine="420"/>
    </w:pPr>
    <w:rPr>
      <w:sz w:val="21"/>
      <w:szCs w:val="24"/>
    </w:rPr>
  </w:style>
  <w:style w:type="paragraph" w:styleId="6">
    <w:name w:val="Body Text Indent"/>
    <w:basedOn w:val="1"/>
    <w:next w:val="7"/>
    <w:link w:val="178"/>
    <w:autoRedefine/>
    <w:qFormat/>
    <w:uiPriority w:val="0"/>
    <w:pPr>
      <w:ind w:firstLine="645"/>
    </w:pPr>
    <w:rPr>
      <w:sz w:val="20"/>
    </w:rPr>
  </w:style>
  <w:style w:type="paragraph" w:styleId="7">
    <w:name w:val="envelope return"/>
    <w:basedOn w:val="1"/>
    <w:autoRedefine/>
    <w:unhideWhenUsed/>
    <w:qFormat/>
    <w:uiPriority w:val="99"/>
    <w:pPr>
      <w:snapToGrid w:val="0"/>
    </w:pPr>
    <w:rPr>
      <w:rFonts w:hint="eastAsia" w:ascii="Arial" w:hAnsi="Arial"/>
    </w:rPr>
  </w:style>
  <w:style w:type="paragraph" w:styleId="15">
    <w:name w:val="List 3"/>
    <w:basedOn w:val="1"/>
    <w:autoRedefine/>
    <w:qFormat/>
    <w:uiPriority w:val="0"/>
    <w:pPr>
      <w:ind w:left="1260" w:hanging="420"/>
    </w:pPr>
  </w:style>
  <w:style w:type="paragraph" w:styleId="16">
    <w:name w:val="toc 7"/>
    <w:basedOn w:val="1"/>
    <w:next w:val="1"/>
    <w:autoRedefine/>
    <w:qFormat/>
    <w:uiPriority w:val="0"/>
    <w:pPr>
      <w:ind w:left="1260"/>
      <w:jc w:val="left"/>
    </w:pPr>
    <w:rPr>
      <w:sz w:val="18"/>
    </w:rPr>
  </w:style>
  <w:style w:type="paragraph" w:styleId="17">
    <w:name w:val="List Number 2"/>
    <w:basedOn w:val="1"/>
    <w:autoRedefine/>
    <w:qFormat/>
    <w:uiPriority w:val="0"/>
    <w:pPr>
      <w:tabs>
        <w:tab w:val="left" w:pos="1440"/>
      </w:tabs>
      <w:spacing w:line="360" w:lineRule="auto"/>
      <w:ind w:left="1440" w:hanging="1440"/>
    </w:pPr>
    <w:rPr>
      <w:sz w:val="24"/>
      <w:szCs w:val="24"/>
    </w:rPr>
  </w:style>
  <w:style w:type="paragraph" w:styleId="18">
    <w:name w:val="index 8"/>
    <w:basedOn w:val="1"/>
    <w:next w:val="1"/>
    <w:autoRedefine/>
    <w:qFormat/>
    <w:uiPriority w:val="0"/>
    <w:pPr>
      <w:ind w:left="2940"/>
    </w:pPr>
  </w:style>
  <w:style w:type="paragraph" w:styleId="19">
    <w:name w:val="List Number"/>
    <w:basedOn w:val="1"/>
    <w:autoRedefine/>
    <w:qFormat/>
    <w:uiPriority w:val="0"/>
    <w:pPr>
      <w:tabs>
        <w:tab w:val="left" w:pos="2952"/>
      </w:tabs>
      <w:ind w:left="2952" w:hanging="432"/>
    </w:pPr>
    <w:rPr>
      <w:szCs w:val="24"/>
    </w:rPr>
  </w:style>
  <w:style w:type="paragraph" w:styleId="20">
    <w:name w:val="index 5"/>
    <w:basedOn w:val="1"/>
    <w:next w:val="1"/>
    <w:autoRedefine/>
    <w:qFormat/>
    <w:uiPriority w:val="0"/>
    <w:pPr>
      <w:ind w:left="1680"/>
    </w:pPr>
  </w:style>
  <w:style w:type="paragraph" w:styleId="21">
    <w:name w:val="Document Map"/>
    <w:basedOn w:val="1"/>
    <w:link w:val="205"/>
    <w:autoRedefine/>
    <w:qFormat/>
    <w:uiPriority w:val="0"/>
    <w:pPr>
      <w:shd w:val="clear" w:color="auto" w:fill="000080"/>
    </w:pPr>
    <w:rPr>
      <w:rFonts w:ascii="宋体"/>
      <w:sz w:val="18"/>
      <w:szCs w:val="18"/>
    </w:rPr>
  </w:style>
  <w:style w:type="paragraph" w:styleId="22">
    <w:name w:val="annotation text"/>
    <w:basedOn w:val="1"/>
    <w:link w:val="137"/>
    <w:autoRedefine/>
    <w:qFormat/>
    <w:uiPriority w:val="99"/>
    <w:pPr>
      <w:jc w:val="left"/>
    </w:pPr>
    <w:rPr>
      <w:sz w:val="20"/>
    </w:rPr>
  </w:style>
  <w:style w:type="paragraph" w:styleId="23">
    <w:name w:val="index 6"/>
    <w:basedOn w:val="1"/>
    <w:next w:val="1"/>
    <w:autoRedefine/>
    <w:qFormat/>
    <w:uiPriority w:val="0"/>
    <w:pPr>
      <w:ind w:left="2100"/>
    </w:pPr>
  </w:style>
  <w:style w:type="paragraph" w:styleId="24">
    <w:name w:val="Salutation"/>
    <w:basedOn w:val="1"/>
    <w:next w:val="1"/>
    <w:link w:val="201"/>
    <w:autoRedefine/>
    <w:qFormat/>
    <w:uiPriority w:val="0"/>
    <w:rPr>
      <w:rFonts w:ascii="仿宋_GB2312" w:eastAsia="仿宋_GB2312"/>
      <w:sz w:val="20"/>
    </w:rPr>
  </w:style>
  <w:style w:type="paragraph" w:styleId="25">
    <w:name w:val="Body Text 3"/>
    <w:basedOn w:val="1"/>
    <w:link w:val="98"/>
    <w:autoRedefine/>
    <w:qFormat/>
    <w:uiPriority w:val="0"/>
    <w:rPr>
      <w:rFonts w:ascii="仿宋_GB2312" w:hAnsi="Arial" w:eastAsia="仿宋_GB2312"/>
      <w:sz w:val="20"/>
    </w:rPr>
  </w:style>
  <w:style w:type="paragraph" w:styleId="26">
    <w:name w:val="Body Text"/>
    <w:basedOn w:val="1"/>
    <w:next w:val="1"/>
    <w:link w:val="85"/>
    <w:autoRedefine/>
    <w:qFormat/>
    <w:uiPriority w:val="0"/>
    <w:rPr>
      <w:rFonts w:ascii="楷体_GB2312" w:hAnsi="Arial" w:eastAsia="楷体_GB2312"/>
      <w:sz w:val="20"/>
    </w:rPr>
  </w:style>
  <w:style w:type="paragraph" w:styleId="27">
    <w:name w:val="List Bullet 2"/>
    <w:basedOn w:val="1"/>
    <w:autoRedefine/>
    <w:semiHidden/>
    <w:unhideWhenUsed/>
    <w:qFormat/>
    <w:uiPriority w:val="99"/>
    <w:pPr>
      <w:numPr>
        <w:ilvl w:val="0"/>
        <w:numId w:val="1"/>
      </w:numPr>
    </w:pPr>
  </w:style>
  <w:style w:type="paragraph" w:styleId="28">
    <w:name w:val="index 4"/>
    <w:basedOn w:val="1"/>
    <w:next w:val="1"/>
    <w:autoRedefine/>
    <w:qFormat/>
    <w:uiPriority w:val="0"/>
    <w:pPr>
      <w:ind w:left="1260"/>
    </w:pPr>
  </w:style>
  <w:style w:type="paragraph" w:styleId="29">
    <w:name w:val="toc 5"/>
    <w:basedOn w:val="1"/>
    <w:next w:val="1"/>
    <w:autoRedefine/>
    <w:qFormat/>
    <w:uiPriority w:val="0"/>
    <w:pPr>
      <w:ind w:left="840"/>
      <w:jc w:val="left"/>
    </w:pPr>
    <w:rPr>
      <w:sz w:val="18"/>
    </w:rPr>
  </w:style>
  <w:style w:type="paragraph" w:styleId="30">
    <w:name w:val="toc 3"/>
    <w:basedOn w:val="1"/>
    <w:next w:val="1"/>
    <w:autoRedefine/>
    <w:qFormat/>
    <w:uiPriority w:val="39"/>
    <w:pPr>
      <w:ind w:left="420"/>
      <w:jc w:val="left"/>
    </w:pPr>
    <w:rPr>
      <w:i/>
      <w:sz w:val="20"/>
    </w:rPr>
  </w:style>
  <w:style w:type="paragraph" w:styleId="31">
    <w:name w:val="Plain Text"/>
    <w:basedOn w:val="1"/>
    <w:link w:val="130"/>
    <w:autoRedefine/>
    <w:qFormat/>
    <w:uiPriority w:val="99"/>
    <w:rPr>
      <w:rFonts w:ascii="宋体" w:hAnsi="Courier New" w:cs="Courier New"/>
      <w:szCs w:val="21"/>
    </w:rPr>
  </w:style>
  <w:style w:type="paragraph" w:styleId="32">
    <w:name w:val="toc 8"/>
    <w:basedOn w:val="1"/>
    <w:next w:val="1"/>
    <w:autoRedefine/>
    <w:qFormat/>
    <w:uiPriority w:val="0"/>
    <w:pPr>
      <w:ind w:left="1470"/>
      <w:jc w:val="left"/>
    </w:pPr>
    <w:rPr>
      <w:sz w:val="18"/>
    </w:rPr>
  </w:style>
  <w:style w:type="paragraph" w:styleId="33">
    <w:name w:val="index 3"/>
    <w:basedOn w:val="1"/>
    <w:next w:val="1"/>
    <w:autoRedefine/>
    <w:qFormat/>
    <w:uiPriority w:val="0"/>
    <w:pPr>
      <w:ind w:left="840"/>
    </w:pPr>
  </w:style>
  <w:style w:type="paragraph" w:styleId="34">
    <w:name w:val="Date"/>
    <w:basedOn w:val="1"/>
    <w:next w:val="1"/>
    <w:link w:val="149"/>
    <w:autoRedefine/>
    <w:qFormat/>
    <w:uiPriority w:val="0"/>
    <w:pPr>
      <w:ind w:left="100" w:leftChars="2500"/>
    </w:pPr>
    <w:rPr>
      <w:sz w:val="20"/>
    </w:rPr>
  </w:style>
  <w:style w:type="paragraph" w:styleId="35">
    <w:name w:val="Body Text Indent 2"/>
    <w:basedOn w:val="1"/>
    <w:link w:val="172"/>
    <w:autoRedefine/>
    <w:qFormat/>
    <w:uiPriority w:val="0"/>
    <w:pPr>
      <w:ind w:left="630" w:firstLine="645"/>
    </w:pPr>
    <w:rPr>
      <w:sz w:val="20"/>
    </w:rPr>
  </w:style>
  <w:style w:type="paragraph" w:styleId="36">
    <w:name w:val="endnote text"/>
    <w:basedOn w:val="1"/>
    <w:link w:val="215"/>
    <w:autoRedefine/>
    <w:qFormat/>
    <w:uiPriority w:val="0"/>
    <w:pPr>
      <w:snapToGrid w:val="0"/>
      <w:jc w:val="left"/>
    </w:pPr>
    <w:rPr>
      <w:kern w:val="0"/>
      <w:sz w:val="24"/>
      <w:szCs w:val="24"/>
    </w:rPr>
  </w:style>
  <w:style w:type="paragraph" w:styleId="37">
    <w:name w:val="Balloon Text"/>
    <w:basedOn w:val="1"/>
    <w:link w:val="214"/>
    <w:autoRedefine/>
    <w:qFormat/>
    <w:uiPriority w:val="0"/>
    <w:rPr>
      <w:sz w:val="18"/>
      <w:szCs w:val="18"/>
    </w:rPr>
  </w:style>
  <w:style w:type="paragraph" w:styleId="38">
    <w:name w:val="footer"/>
    <w:basedOn w:val="1"/>
    <w:link w:val="207"/>
    <w:autoRedefine/>
    <w:qFormat/>
    <w:uiPriority w:val="99"/>
    <w:pPr>
      <w:tabs>
        <w:tab w:val="center" w:pos="4153"/>
        <w:tab w:val="right" w:pos="8306"/>
      </w:tabs>
      <w:snapToGrid w:val="0"/>
      <w:jc w:val="left"/>
    </w:pPr>
    <w:rPr>
      <w:sz w:val="18"/>
      <w:szCs w:val="18"/>
    </w:rPr>
  </w:style>
  <w:style w:type="paragraph" w:styleId="39">
    <w:name w:val="header"/>
    <w:basedOn w:val="1"/>
    <w:link w:val="143"/>
    <w:autoRedefine/>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autoRedefine/>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autoRedefine/>
    <w:qFormat/>
    <w:uiPriority w:val="39"/>
    <w:pPr>
      <w:spacing w:before="120" w:after="120"/>
      <w:jc w:val="left"/>
    </w:pPr>
    <w:rPr>
      <w:b/>
      <w:caps/>
      <w:sz w:val="20"/>
    </w:rPr>
  </w:style>
  <w:style w:type="paragraph" w:styleId="42">
    <w:name w:val="toc 4"/>
    <w:basedOn w:val="1"/>
    <w:next w:val="1"/>
    <w:autoRedefine/>
    <w:qFormat/>
    <w:uiPriority w:val="0"/>
    <w:pPr>
      <w:ind w:left="630"/>
      <w:jc w:val="left"/>
    </w:pPr>
    <w:rPr>
      <w:sz w:val="18"/>
    </w:rPr>
  </w:style>
  <w:style w:type="paragraph" w:styleId="43">
    <w:name w:val="index heading"/>
    <w:basedOn w:val="1"/>
    <w:next w:val="44"/>
    <w:autoRedefine/>
    <w:qFormat/>
    <w:uiPriority w:val="0"/>
  </w:style>
  <w:style w:type="paragraph" w:styleId="44">
    <w:name w:val="index 1"/>
    <w:basedOn w:val="1"/>
    <w:next w:val="1"/>
    <w:autoRedefine/>
    <w:qFormat/>
    <w:uiPriority w:val="0"/>
    <w:rPr>
      <w:rFonts w:ascii="仿宋_GB2312" w:hAnsi="宋体" w:eastAsia="仿宋_GB2312"/>
      <w:sz w:val="30"/>
      <w:szCs w:val="24"/>
    </w:rPr>
  </w:style>
  <w:style w:type="paragraph" w:styleId="45">
    <w:name w:val="Subtitle"/>
    <w:basedOn w:val="1"/>
    <w:next w:val="1"/>
    <w:link w:val="89"/>
    <w:autoRedefine/>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autoRedefine/>
    <w:qFormat/>
    <w:uiPriority w:val="0"/>
    <w:pPr>
      <w:snapToGrid w:val="0"/>
      <w:jc w:val="left"/>
    </w:pPr>
    <w:rPr>
      <w:sz w:val="18"/>
      <w:szCs w:val="18"/>
    </w:rPr>
  </w:style>
  <w:style w:type="paragraph" w:styleId="47">
    <w:name w:val="toc 6"/>
    <w:basedOn w:val="1"/>
    <w:next w:val="1"/>
    <w:autoRedefine/>
    <w:qFormat/>
    <w:uiPriority w:val="0"/>
    <w:pPr>
      <w:ind w:left="1050"/>
      <w:jc w:val="left"/>
    </w:pPr>
    <w:rPr>
      <w:sz w:val="18"/>
    </w:rPr>
  </w:style>
  <w:style w:type="paragraph" w:styleId="48">
    <w:name w:val="Body Text Indent 3"/>
    <w:basedOn w:val="1"/>
    <w:link w:val="122"/>
    <w:autoRedefine/>
    <w:qFormat/>
    <w:uiPriority w:val="0"/>
    <w:pPr>
      <w:ind w:left="645" w:firstLine="645"/>
    </w:pPr>
    <w:rPr>
      <w:sz w:val="16"/>
      <w:szCs w:val="16"/>
    </w:rPr>
  </w:style>
  <w:style w:type="paragraph" w:styleId="49">
    <w:name w:val="index 7"/>
    <w:basedOn w:val="1"/>
    <w:next w:val="1"/>
    <w:autoRedefine/>
    <w:qFormat/>
    <w:uiPriority w:val="0"/>
    <w:pPr>
      <w:ind w:left="2520"/>
    </w:pPr>
  </w:style>
  <w:style w:type="paragraph" w:styleId="50">
    <w:name w:val="index 9"/>
    <w:basedOn w:val="1"/>
    <w:next w:val="1"/>
    <w:autoRedefine/>
    <w:qFormat/>
    <w:uiPriority w:val="0"/>
    <w:pPr>
      <w:ind w:left="3360"/>
    </w:pPr>
  </w:style>
  <w:style w:type="paragraph" w:styleId="51">
    <w:name w:val="table of figures"/>
    <w:basedOn w:val="1"/>
    <w:next w:val="1"/>
    <w:autoRedefine/>
    <w:qFormat/>
    <w:uiPriority w:val="0"/>
    <w:pPr>
      <w:ind w:left="840" w:hanging="420"/>
    </w:pPr>
  </w:style>
  <w:style w:type="paragraph" w:styleId="52">
    <w:name w:val="toc 2"/>
    <w:basedOn w:val="1"/>
    <w:next w:val="1"/>
    <w:autoRedefine/>
    <w:qFormat/>
    <w:uiPriority w:val="0"/>
    <w:pPr>
      <w:ind w:left="210"/>
      <w:jc w:val="left"/>
    </w:pPr>
    <w:rPr>
      <w:smallCaps/>
      <w:sz w:val="20"/>
    </w:rPr>
  </w:style>
  <w:style w:type="paragraph" w:styleId="53">
    <w:name w:val="toc 9"/>
    <w:basedOn w:val="1"/>
    <w:next w:val="1"/>
    <w:autoRedefine/>
    <w:qFormat/>
    <w:uiPriority w:val="0"/>
    <w:pPr>
      <w:ind w:left="1680"/>
      <w:jc w:val="left"/>
    </w:pPr>
    <w:rPr>
      <w:sz w:val="18"/>
    </w:rPr>
  </w:style>
  <w:style w:type="paragraph" w:styleId="54">
    <w:name w:val="Body Text 2"/>
    <w:basedOn w:val="1"/>
    <w:link w:val="182"/>
    <w:autoRedefine/>
    <w:qFormat/>
    <w:uiPriority w:val="0"/>
    <w:pPr>
      <w:widowControl/>
      <w:jc w:val="center"/>
    </w:pPr>
    <w:rPr>
      <w:rFonts w:ascii="楷体_GB2312" w:eastAsia="楷体_GB2312"/>
      <w:sz w:val="20"/>
    </w:rPr>
  </w:style>
  <w:style w:type="paragraph" w:styleId="55">
    <w:name w:val="HTML Preformatted"/>
    <w:basedOn w:val="1"/>
    <w:link w:val="17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autoRedefine/>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autoRedefine/>
    <w:qFormat/>
    <w:uiPriority w:val="0"/>
    <w:pPr>
      <w:ind w:left="420"/>
    </w:pPr>
  </w:style>
  <w:style w:type="paragraph" w:styleId="58">
    <w:name w:val="Title"/>
    <w:basedOn w:val="1"/>
    <w:next w:val="1"/>
    <w:link w:val="179"/>
    <w:autoRedefine/>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59">
    <w:name w:val="annotation subject"/>
    <w:basedOn w:val="22"/>
    <w:next w:val="22"/>
    <w:link w:val="153"/>
    <w:autoRedefine/>
    <w:qFormat/>
    <w:uiPriority w:val="0"/>
    <w:rPr>
      <w:b/>
      <w:bCs/>
    </w:rPr>
  </w:style>
  <w:style w:type="paragraph" w:styleId="60">
    <w:name w:val="Body Text First Indent"/>
    <w:basedOn w:val="26"/>
    <w:link w:val="114"/>
    <w:autoRedefine/>
    <w:qFormat/>
    <w:uiPriority w:val="0"/>
    <w:pPr>
      <w:spacing w:after="120"/>
      <w:ind w:firstLine="420" w:firstLineChars="100"/>
    </w:pPr>
    <w:rPr>
      <w:rFonts w:ascii="Times New Roman" w:hAnsi="Times New Roman" w:eastAsia="宋体"/>
      <w:sz w:val="24"/>
      <w:szCs w:val="24"/>
    </w:rPr>
  </w:style>
  <w:style w:type="table" w:styleId="62">
    <w:name w:val="Table Grid"/>
    <w:basedOn w:val="6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autoRedefine/>
    <w:qFormat/>
    <w:uiPriority w:val="0"/>
    <w:rPr>
      <w:b/>
      <w:bCs/>
    </w:rPr>
  </w:style>
  <w:style w:type="character" w:styleId="65">
    <w:name w:val="endnote reference"/>
    <w:basedOn w:val="63"/>
    <w:autoRedefine/>
    <w:qFormat/>
    <w:uiPriority w:val="0"/>
    <w:rPr>
      <w:vertAlign w:val="superscript"/>
    </w:rPr>
  </w:style>
  <w:style w:type="character" w:styleId="66">
    <w:name w:val="page number"/>
    <w:basedOn w:val="63"/>
    <w:autoRedefine/>
    <w:qFormat/>
    <w:uiPriority w:val="0"/>
    <w:rPr>
      <w:rFonts w:cs="Times New Roman"/>
    </w:rPr>
  </w:style>
  <w:style w:type="character" w:styleId="67">
    <w:name w:val="FollowedHyperlink"/>
    <w:basedOn w:val="63"/>
    <w:autoRedefine/>
    <w:qFormat/>
    <w:uiPriority w:val="0"/>
    <w:rPr>
      <w:color w:val="800080"/>
      <w:u w:val="single"/>
    </w:rPr>
  </w:style>
  <w:style w:type="character" w:styleId="68">
    <w:name w:val="Emphasis"/>
    <w:basedOn w:val="63"/>
    <w:autoRedefine/>
    <w:qFormat/>
    <w:uiPriority w:val="0"/>
    <w:rPr>
      <w:b/>
      <w:i/>
      <w:spacing w:val="10"/>
      <w:shd w:val="clear" w:color="auto" w:fill="auto"/>
    </w:rPr>
  </w:style>
  <w:style w:type="character" w:styleId="69">
    <w:name w:val="line number"/>
    <w:basedOn w:val="63"/>
    <w:autoRedefine/>
    <w:qFormat/>
    <w:uiPriority w:val="0"/>
    <w:rPr>
      <w:rFonts w:cs="Times New Roman"/>
    </w:rPr>
  </w:style>
  <w:style w:type="character" w:styleId="70">
    <w:name w:val="HTML Definition"/>
    <w:basedOn w:val="63"/>
    <w:autoRedefine/>
    <w:semiHidden/>
    <w:unhideWhenUsed/>
    <w:qFormat/>
    <w:uiPriority w:val="99"/>
    <w:rPr>
      <w:i/>
      <w:iCs/>
    </w:rPr>
  </w:style>
  <w:style w:type="character" w:styleId="71">
    <w:name w:val="HTML Typewriter"/>
    <w:basedOn w:val="63"/>
    <w:autoRedefine/>
    <w:qFormat/>
    <w:uiPriority w:val="0"/>
    <w:rPr>
      <w:rFonts w:ascii="宋体" w:hAnsi="宋体" w:eastAsia="宋体"/>
      <w:sz w:val="24"/>
    </w:rPr>
  </w:style>
  <w:style w:type="character" w:styleId="72">
    <w:name w:val="HTML Acronym"/>
    <w:basedOn w:val="63"/>
    <w:autoRedefine/>
    <w:semiHidden/>
    <w:unhideWhenUsed/>
    <w:qFormat/>
    <w:uiPriority w:val="99"/>
  </w:style>
  <w:style w:type="character" w:styleId="73">
    <w:name w:val="HTML Variable"/>
    <w:basedOn w:val="63"/>
    <w:autoRedefine/>
    <w:semiHidden/>
    <w:unhideWhenUsed/>
    <w:qFormat/>
    <w:uiPriority w:val="99"/>
  </w:style>
  <w:style w:type="character" w:styleId="74">
    <w:name w:val="Hyperlink"/>
    <w:basedOn w:val="63"/>
    <w:autoRedefine/>
    <w:qFormat/>
    <w:uiPriority w:val="99"/>
    <w:rPr>
      <w:color w:val="0000FF"/>
      <w:u w:val="single"/>
    </w:rPr>
  </w:style>
  <w:style w:type="character" w:styleId="75">
    <w:name w:val="HTML Code"/>
    <w:basedOn w:val="63"/>
    <w:autoRedefine/>
    <w:semiHidden/>
    <w:unhideWhenUsed/>
    <w:qFormat/>
    <w:uiPriority w:val="99"/>
    <w:rPr>
      <w:rFonts w:hint="default" w:ascii="monospace" w:hAnsi="monospace" w:eastAsia="monospace" w:cs="monospace"/>
      <w:sz w:val="21"/>
      <w:szCs w:val="21"/>
    </w:rPr>
  </w:style>
  <w:style w:type="character" w:styleId="76">
    <w:name w:val="annotation reference"/>
    <w:basedOn w:val="63"/>
    <w:autoRedefine/>
    <w:qFormat/>
    <w:uiPriority w:val="99"/>
    <w:rPr>
      <w:sz w:val="21"/>
    </w:rPr>
  </w:style>
  <w:style w:type="character" w:styleId="77">
    <w:name w:val="HTML Cite"/>
    <w:basedOn w:val="63"/>
    <w:autoRedefine/>
    <w:semiHidden/>
    <w:unhideWhenUsed/>
    <w:qFormat/>
    <w:uiPriority w:val="99"/>
  </w:style>
  <w:style w:type="character" w:styleId="78">
    <w:name w:val="footnote reference"/>
    <w:basedOn w:val="63"/>
    <w:autoRedefine/>
    <w:qFormat/>
    <w:uiPriority w:val="0"/>
    <w:rPr>
      <w:vertAlign w:val="superscript"/>
    </w:rPr>
  </w:style>
  <w:style w:type="character" w:styleId="79">
    <w:name w:val="HTML Keyboard"/>
    <w:basedOn w:val="63"/>
    <w:autoRedefine/>
    <w:semiHidden/>
    <w:unhideWhenUsed/>
    <w:qFormat/>
    <w:uiPriority w:val="99"/>
    <w:rPr>
      <w:rFonts w:hint="default" w:ascii="monospace" w:hAnsi="monospace" w:eastAsia="monospace" w:cs="monospace"/>
      <w:sz w:val="21"/>
      <w:szCs w:val="21"/>
    </w:rPr>
  </w:style>
  <w:style w:type="character" w:styleId="80">
    <w:name w:val="HTML Sample"/>
    <w:basedOn w:val="63"/>
    <w:autoRedefine/>
    <w:qFormat/>
    <w:uiPriority w:val="0"/>
    <w:rPr>
      <w:rFonts w:ascii="Courier New" w:hAnsi="宋体" w:eastAsia="宋体"/>
    </w:rPr>
  </w:style>
  <w:style w:type="paragraph" w:customStyle="1" w:styleId="8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6"/>
    <w:autoRedefine/>
    <w:qFormat/>
    <w:uiPriority w:val="0"/>
    <w:pPr>
      <w:spacing w:beforeLines="50" w:after="10"/>
      <w:ind w:firstLine="490" w:firstLineChars="175"/>
      <w:jc w:val="left"/>
    </w:pPr>
  </w:style>
  <w:style w:type="paragraph" w:customStyle="1" w:styleId="83">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84">
    <w:name w:val="页脚 Char1"/>
    <w:basedOn w:val="63"/>
    <w:autoRedefine/>
    <w:qFormat/>
    <w:uiPriority w:val="0"/>
    <w:rPr>
      <w:rFonts w:cs="Times New Roman"/>
      <w:kern w:val="2"/>
      <w:sz w:val="18"/>
      <w:szCs w:val="18"/>
    </w:rPr>
  </w:style>
  <w:style w:type="character" w:customStyle="1" w:styleId="85">
    <w:name w:val="正文文本 字符"/>
    <w:basedOn w:val="63"/>
    <w:link w:val="26"/>
    <w:autoRedefine/>
    <w:qFormat/>
    <w:uiPriority w:val="0"/>
    <w:rPr>
      <w:rFonts w:ascii="楷体_GB2312" w:hAnsi="Arial" w:eastAsia="楷体_GB2312" w:cs="Times New Roman"/>
      <w:sz w:val="20"/>
      <w:szCs w:val="20"/>
    </w:rPr>
  </w:style>
  <w:style w:type="character" w:customStyle="1" w:styleId="86">
    <w:name w:val="Body Text Indent 2 Char"/>
    <w:autoRedefine/>
    <w:qFormat/>
    <w:uiPriority w:val="0"/>
    <w:rPr>
      <w:rFonts w:ascii="Arial" w:hAnsi="Arial" w:eastAsia="仿宋_GB2312"/>
      <w:sz w:val="32"/>
    </w:rPr>
  </w:style>
  <w:style w:type="character" w:customStyle="1" w:styleId="87">
    <w:name w:val="标题 5 字符"/>
    <w:basedOn w:val="63"/>
    <w:link w:val="10"/>
    <w:autoRedefine/>
    <w:qFormat/>
    <w:uiPriority w:val="0"/>
    <w:rPr>
      <w:rFonts w:ascii="黑体" w:hAnsi="Times New Roman" w:eastAsia="黑体" w:cs="Times New Roman"/>
      <w:b/>
      <w:color w:val="000000"/>
      <w:kern w:val="0"/>
      <w:sz w:val="20"/>
      <w:szCs w:val="20"/>
    </w:rPr>
  </w:style>
  <w:style w:type="character" w:customStyle="1" w:styleId="88">
    <w:name w:val="Body Text Indent 3 Char1"/>
    <w:basedOn w:val="63"/>
    <w:autoRedefine/>
    <w:qFormat/>
    <w:uiPriority w:val="0"/>
    <w:rPr>
      <w:rFonts w:ascii="Times New Roman" w:hAnsi="Times New Roman"/>
      <w:kern w:val="2"/>
      <w:sz w:val="16"/>
      <w:szCs w:val="16"/>
    </w:rPr>
  </w:style>
  <w:style w:type="character" w:customStyle="1" w:styleId="89">
    <w:name w:val="副标题 字符"/>
    <w:basedOn w:val="63"/>
    <w:link w:val="45"/>
    <w:autoRedefine/>
    <w:qFormat/>
    <w:uiPriority w:val="0"/>
    <w:rPr>
      <w:rFonts w:ascii="Cambria" w:hAnsi="Cambria" w:eastAsia="宋体" w:cs="Times New Roman"/>
      <w:i/>
      <w:iCs/>
      <w:spacing w:val="13"/>
      <w:kern w:val="0"/>
      <w:sz w:val="24"/>
      <w:szCs w:val="24"/>
      <w:lang w:eastAsia="en-US"/>
    </w:rPr>
  </w:style>
  <w:style w:type="character" w:customStyle="1" w:styleId="90">
    <w:name w:val="listbenefit"/>
    <w:autoRedefine/>
    <w:qFormat/>
    <w:uiPriority w:val="0"/>
  </w:style>
  <w:style w:type="character" w:customStyle="1" w:styleId="91">
    <w:name w:val="Char Char27"/>
    <w:autoRedefine/>
    <w:qFormat/>
    <w:uiPriority w:val="0"/>
    <w:rPr>
      <w:b/>
      <w:kern w:val="44"/>
      <w:sz w:val="44"/>
    </w:rPr>
  </w:style>
  <w:style w:type="character" w:customStyle="1" w:styleId="92">
    <w:name w:val="param-value"/>
    <w:basedOn w:val="63"/>
    <w:autoRedefine/>
    <w:qFormat/>
    <w:uiPriority w:val="0"/>
    <w:rPr>
      <w:rFonts w:cs="Times New Roman"/>
    </w:rPr>
  </w:style>
  <w:style w:type="character" w:customStyle="1" w:styleId="93">
    <w:name w:val="纯文本 Char Char Char1"/>
    <w:autoRedefine/>
    <w:qFormat/>
    <w:uiPriority w:val="0"/>
    <w:rPr>
      <w:rFonts w:ascii="宋体" w:hAnsi="Courier New" w:eastAsia="宋体"/>
      <w:kern w:val="2"/>
      <w:sz w:val="21"/>
      <w:lang w:val="en-US" w:eastAsia="zh-CN"/>
    </w:rPr>
  </w:style>
  <w:style w:type="character" w:customStyle="1" w:styleId="94">
    <w:name w:val="apple-converted-space"/>
    <w:basedOn w:val="63"/>
    <w:autoRedefine/>
    <w:qFormat/>
    <w:uiPriority w:val="0"/>
    <w:rPr>
      <w:rFonts w:cs="Times New Roman"/>
    </w:rPr>
  </w:style>
  <w:style w:type="character" w:customStyle="1" w:styleId="95">
    <w:name w:val="Char Char29"/>
    <w:autoRedefine/>
    <w:qFormat/>
    <w:uiPriority w:val="0"/>
    <w:rPr>
      <w:rFonts w:ascii="Times New Roman" w:hAnsi="Times New Roman" w:eastAsia="宋体"/>
      <w:b/>
      <w:kern w:val="44"/>
      <w:sz w:val="44"/>
    </w:rPr>
  </w:style>
  <w:style w:type="character" w:customStyle="1" w:styleId="96">
    <w:name w:val="标题 3 Char"/>
    <w:basedOn w:val="63"/>
    <w:autoRedefine/>
    <w:qFormat/>
    <w:uiPriority w:val="0"/>
    <w:rPr>
      <w:rFonts w:ascii="Times New Roman" w:hAnsi="Times New Roman" w:eastAsia="宋体" w:cs="Times New Roman"/>
      <w:b/>
      <w:bCs/>
      <w:sz w:val="32"/>
      <w:szCs w:val="32"/>
    </w:rPr>
  </w:style>
  <w:style w:type="character" w:customStyle="1" w:styleId="97">
    <w:name w:val="标题 4 字符"/>
    <w:basedOn w:val="63"/>
    <w:link w:val="9"/>
    <w:autoRedefine/>
    <w:qFormat/>
    <w:uiPriority w:val="0"/>
    <w:rPr>
      <w:rFonts w:ascii="Arial" w:hAnsi="Arial" w:eastAsia="黑体" w:cs="Times New Roman"/>
      <w:b/>
      <w:sz w:val="20"/>
      <w:szCs w:val="20"/>
    </w:rPr>
  </w:style>
  <w:style w:type="character" w:customStyle="1" w:styleId="98">
    <w:name w:val="正文文本 3 字符"/>
    <w:basedOn w:val="63"/>
    <w:link w:val="25"/>
    <w:autoRedefine/>
    <w:qFormat/>
    <w:uiPriority w:val="0"/>
    <w:rPr>
      <w:rFonts w:ascii="仿宋_GB2312" w:hAnsi="Arial" w:eastAsia="仿宋_GB2312" w:cs="Times New Roman"/>
      <w:sz w:val="20"/>
      <w:szCs w:val="20"/>
    </w:rPr>
  </w:style>
  <w:style w:type="character" w:customStyle="1" w:styleId="99">
    <w:name w:val="正文文本缩进 Char"/>
    <w:basedOn w:val="63"/>
    <w:autoRedefine/>
    <w:qFormat/>
    <w:uiPriority w:val="0"/>
    <w:rPr>
      <w:rFonts w:ascii="Times New Roman" w:hAnsi="Times New Roman" w:eastAsia="宋体" w:cs="Times New Roman"/>
      <w:sz w:val="20"/>
      <w:szCs w:val="20"/>
    </w:rPr>
  </w:style>
  <w:style w:type="character" w:customStyle="1" w:styleId="100">
    <w:name w:val="Plain Text Char"/>
    <w:autoRedefine/>
    <w:qFormat/>
    <w:uiPriority w:val="0"/>
    <w:rPr>
      <w:rFonts w:ascii="宋体" w:hAnsi="Courier New"/>
    </w:rPr>
  </w:style>
  <w:style w:type="character" w:customStyle="1" w:styleId="101">
    <w:name w:val="HTML 预设格式 Char"/>
    <w:basedOn w:val="63"/>
    <w:autoRedefine/>
    <w:qFormat/>
    <w:uiPriority w:val="0"/>
    <w:rPr>
      <w:rFonts w:ascii="Courier New" w:hAnsi="Courier New" w:eastAsia="宋体" w:cs="Courier New"/>
      <w:sz w:val="20"/>
      <w:szCs w:val="20"/>
    </w:rPr>
  </w:style>
  <w:style w:type="character" w:customStyle="1" w:styleId="102">
    <w:name w:val="批注文字 Char Char"/>
    <w:autoRedefine/>
    <w:qFormat/>
    <w:uiPriority w:val="0"/>
    <w:rPr>
      <w:rFonts w:eastAsia="宋体"/>
      <w:kern w:val="2"/>
      <w:sz w:val="21"/>
      <w:lang w:val="en-US" w:eastAsia="zh-CN"/>
    </w:rPr>
  </w:style>
  <w:style w:type="character" w:customStyle="1" w:styleId="103">
    <w:name w:val="Body Text Indent Char"/>
    <w:autoRedefine/>
    <w:qFormat/>
    <w:uiPriority w:val="0"/>
    <w:rPr>
      <w:rFonts w:ascii="楷体_GB2312" w:eastAsia="楷体_GB2312"/>
      <w:sz w:val="32"/>
    </w:rPr>
  </w:style>
  <w:style w:type="character" w:customStyle="1" w:styleId="104">
    <w:name w:val="已访问的超链接1"/>
    <w:autoRedefine/>
    <w:qFormat/>
    <w:uiPriority w:val="0"/>
    <w:rPr>
      <w:color w:val="auto"/>
      <w:u w:val="none"/>
    </w:rPr>
  </w:style>
  <w:style w:type="character" w:customStyle="1" w:styleId="105">
    <w:name w:val="纯文本 Char Char Char"/>
    <w:autoRedefine/>
    <w:qFormat/>
    <w:uiPriority w:val="0"/>
    <w:rPr>
      <w:rFonts w:ascii="宋体" w:hAnsi="Courier New" w:eastAsia="宋体"/>
      <w:kern w:val="2"/>
      <w:sz w:val="21"/>
      <w:lang w:val="en-US" w:eastAsia="zh-CN"/>
    </w:rPr>
  </w:style>
  <w:style w:type="character" w:customStyle="1" w:styleId="106">
    <w:name w:val="普通文字1 Char"/>
    <w:autoRedefine/>
    <w:qFormat/>
    <w:uiPriority w:val="0"/>
    <w:rPr>
      <w:rFonts w:ascii="宋体" w:eastAsia="宋体"/>
      <w:kern w:val="2"/>
      <w:sz w:val="21"/>
      <w:lang w:val="en-US" w:eastAsia="zh-CN"/>
    </w:rPr>
  </w:style>
  <w:style w:type="character" w:customStyle="1" w:styleId="107">
    <w:name w:val="Comment Subject Char"/>
    <w:autoRedefine/>
    <w:qFormat/>
    <w:uiPriority w:val="0"/>
    <w:rPr>
      <w:b/>
    </w:rPr>
  </w:style>
  <w:style w:type="character" w:customStyle="1" w:styleId="108">
    <w:name w:val="Char Char28"/>
    <w:autoRedefine/>
    <w:qFormat/>
    <w:uiPriority w:val="0"/>
    <w:rPr>
      <w:rFonts w:ascii="Arial" w:hAnsi="Arial" w:eastAsia="黑体"/>
      <w:b/>
      <w:sz w:val="32"/>
    </w:rPr>
  </w:style>
  <w:style w:type="character" w:customStyle="1" w:styleId="109">
    <w:name w:val="Char Char23"/>
    <w:autoRedefine/>
    <w:qFormat/>
    <w:uiPriority w:val="0"/>
    <w:rPr>
      <w:rFonts w:ascii="Arial" w:hAnsi="Arial" w:eastAsia="黑体"/>
      <w:b/>
      <w:kern w:val="2"/>
      <w:sz w:val="24"/>
    </w:rPr>
  </w:style>
  <w:style w:type="character" w:customStyle="1" w:styleId="110">
    <w:name w:val="Char Char21"/>
    <w:autoRedefine/>
    <w:qFormat/>
    <w:uiPriority w:val="0"/>
    <w:rPr>
      <w:rFonts w:ascii="Arial" w:hAnsi="Arial" w:eastAsia="黑体"/>
      <w:kern w:val="2"/>
      <w:sz w:val="24"/>
    </w:rPr>
  </w:style>
  <w:style w:type="character" w:customStyle="1" w:styleId="111">
    <w:name w:val="Char Char2"/>
    <w:autoRedefine/>
    <w:qFormat/>
    <w:uiPriority w:val="0"/>
    <w:rPr>
      <w:rFonts w:ascii="宋体" w:hAnsi="Courier New" w:eastAsia="宋体"/>
      <w:kern w:val="2"/>
      <w:sz w:val="21"/>
      <w:lang w:val="en-US" w:eastAsia="zh-CN"/>
    </w:rPr>
  </w:style>
  <w:style w:type="character" w:customStyle="1" w:styleId="112">
    <w:name w:val="t1"/>
    <w:autoRedefine/>
    <w:qFormat/>
    <w:uiPriority w:val="0"/>
  </w:style>
  <w:style w:type="character" w:customStyle="1" w:styleId="113">
    <w:name w:val="华宇段落1 Char Char Char"/>
    <w:autoRedefine/>
    <w:qFormat/>
    <w:uiPriority w:val="0"/>
    <w:rPr>
      <w:rFonts w:eastAsia="宋体"/>
      <w:kern w:val="2"/>
      <w:sz w:val="24"/>
      <w:lang w:val="en-US" w:eastAsia="zh-CN"/>
    </w:rPr>
  </w:style>
  <w:style w:type="character" w:customStyle="1" w:styleId="114">
    <w:name w:val="正文文本首行缩进 字符"/>
    <w:basedOn w:val="85"/>
    <w:link w:val="60"/>
    <w:autoRedefine/>
    <w:qFormat/>
    <w:uiPriority w:val="0"/>
    <w:rPr>
      <w:rFonts w:ascii="Times New Roman" w:hAnsi="Times New Roman" w:eastAsia="宋体" w:cs="Times New Roman"/>
      <w:sz w:val="24"/>
      <w:szCs w:val="24"/>
    </w:rPr>
  </w:style>
  <w:style w:type="character" w:customStyle="1" w:styleId="115">
    <w:name w:val="纯文本 Char1"/>
    <w:autoRedefine/>
    <w:qFormat/>
    <w:uiPriority w:val="0"/>
    <w:rPr>
      <w:rFonts w:ascii="宋体" w:hAnsi="Courier New"/>
      <w:kern w:val="2"/>
      <w:sz w:val="21"/>
    </w:rPr>
  </w:style>
  <w:style w:type="character" w:customStyle="1" w:styleId="116">
    <w:name w:val="textcontents"/>
    <w:basedOn w:val="63"/>
    <w:autoRedefine/>
    <w:qFormat/>
    <w:uiPriority w:val="0"/>
    <w:rPr>
      <w:rFonts w:cs="Times New Roman"/>
    </w:rPr>
  </w:style>
  <w:style w:type="character" w:customStyle="1" w:styleId="117">
    <w:name w:val="Intense Quote Char2"/>
    <w:basedOn w:val="63"/>
    <w:autoRedefine/>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autoRedefine/>
    <w:qFormat/>
    <w:uiPriority w:val="0"/>
    <w:rPr>
      <w:rFonts w:ascii="宋体" w:hAnsi="Courier New" w:eastAsia="宋体" w:cs="Courier New"/>
      <w:sz w:val="21"/>
      <w:szCs w:val="21"/>
    </w:rPr>
  </w:style>
  <w:style w:type="character" w:customStyle="1" w:styleId="119">
    <w:name w:val="我的正文 Char Char"/>
    <w:link w:val="120"/>
    <w:autoRedefine/>
    <w:qFormat/>
    <w:uiPriority w:val="0"/>
    <w:rPr>
      <w:rFonts w:ascii="宋体" w:eastAsia="宋体"/>
      <w:sz w:val="21"/>
    </w:rPr>
  </w:style>
  <w:style w:type="paragraph" w:customStyle="1" w:styleId="120">
    <w:name w:val="我的正文"/>
    <w:basedOn w:val="1"/>
    <w:link w:val="119"/>
    <w:autoRedefine/>
    <w:qFormat/>
    <w:uiPriority w:val="0"/>
    <w:pPr>
      <w:widowControl/>
      <w:spacing w:line="360" w:lineRule="auto"/>
      <w:ind w:firstLine="420"/>
      <w:jc w:val="left"/>
    </w:pPr>
    <w:rPr>
      <w:rFonts w:ascii="宋体" w:hAnsi="Calibri"/>
      <w:kern w:val="0"/>
    </w:rPr>
  </w:style>
  <w:style w:type="character" w:customStyle="1" w:styleId="121">
    <w:name w:val="Title Char"/>
    <w:autoRedefine/>
    <w:qFormat/>
    <w:uiPriority w:val="0"/>
    <w:rPr>
      <w:rFonts w:eastAsia="黑体"/>
      <w:b/>
      <w:sz w:val="28"/>
      <w:lang w:val="en-GB"/>
    </w:rPr>
  </w:style>
  <w:style w:type="character" w:customStyle="1" w:styleId="122">
    <w:name w:val="正文文本缩进 3 字符"/>
    <w:basedOn w:val="63"/>
    <w:link w:val="48"/>
    <w:autoRedefine/>
    <w:qFormat/>
    <w:uiPriority w:val="0"/>
    <w:rPr>
      <w:rFonts w:ascii="Times New Roman" w:hAnsi="Times New Roman" w:eastAsia="宋体" w:cs="Times New Roman"/>
      <w:sz w:val="16"/>
      <w:szCs w:val="16"/>
    </w:rPr>
  </w:style>
  <w:style w:type="character" w:customStyle="1" w:styleId="123">
    <w:name w:val="Title1 Char"/>
    <w:autoRedefine/>
    <w:qFormat/>
    <w:uiPriority w:val="0"/>
    <w:rPr>
      <w:rFonts w:eastAsia="宋体"/>
      <w:b/>
      <w:kern w:val="44"/>
      <w:sz w:val="44"/>
      <w:lang w:val="en-US" w:eastAsia="zh-CN"/>
    </w:rPr>
  </w:style>
  <w:style w:type="character" w:customStyle="1" w:styleId="124">
    <w:name w:val="content"/>
    <w:basedOn w:val="63"/>
    <w:autoRedefine/>
    <w:qFormat/>
    <w:uiPriority w:val="0"/>
    <w:rPr>
      <w:rFonts w:cs="Times New Roman"/>
    </w:rPr>
  </w:style>
  <w:style w:type="character" w:customStyle="1" w:styleId="125">
    <w:name w:val="Char Char17"/>
    <w:autoRedefine/>
    <w:qFormat/>
    <w:uiPriority w:val="0"/>
    <w:rPr>
      <w:rFonts w:ascii="宋体" w:hAnsi="Courier New"/>
      <w:kern w:val="2"/>
      <w:sz w:val="21"/>
    </w:rPr>
  </w:style>
  <w:style w:type="character" w:customStyle="1" w:styleId="126">
    <w:name w:val="标准小四 Char Char"/>
    <w:autoRedefine/>
    <w:qFormat/>
    <w:uiPriority w:val="0"/>
    <w:rPr>
      <w:rFonts w:ascii="Arial" w:hAnsi="Arial" w:eastAsia="宋体"/>
      <w:kern w:val="2"/>
      <w:sz w:val="21"/>
      <w:lang w:val="en-US" w:eastAsia="zh-CN"/>
    </w:rPr>
  </w:style>
  <w:style w:type="character" w:customStyle="1" w:styleId="127">
    <w:name w:val="样式 宋体 小四"/>
    <w:autoRedefine/>
    <w:qFormat/>
    <w:uiPriority w:val="0"/>
    <w:rPr>
      <w:rFonts w:ascii="宋体" w:eastAsia="宋体"/>
      <w:sz w:val="24"/>
    </w:rPr>
  </w:style>
  <w:style w:type="character" w:customStyle="1" w:styleId="128">
    <w:name w:val="ih151"/>
    <w:autoRedefine/>
    <w:qFormat/>
    <w:uiPriority w:val="0"/>
    <w:rPr>
      <w:color w:val="666666"/>
      <w:sz w:val="18"/>
      <w:u w:val="none"/>
    </w:rPr>
  </w:style>
  <w:style w:type="character" w:customStyle="1" w:styleId="129">
    <w:name w:val="style13"/>
    <w:autoRedefine/>
    <w:qFormat/>
    <w:uiPriority w:val="0"/>
    <w:rPr>
      <w:sz w:val="18"/>
    </w:rPr>
  </w:style>
  <w:style w:type="character" w:customStyle="1" w:styleId="130">
    <w:name w:val="纯文本 字符"/>
    <w:basedOn w:val="63"/>
    <w:link w:val="31"/>
    <w:autoRedefine/>
    <w:qFormat/>
    <w:uiPriority w:val="99"/>
    <w:rPr>
      <w:rFonts w:ascii="宋体" w:hAnsi="Courier New" w:cs="Courier New"/>
      <w:kern w:val="2"/>
      <w:sz w:val="21"/>
      <w:szCs w:val="21"/>
    </w:rPr>
  </w:style>
  <w:style w:type="character" w:customStyle="1" w:styleId="131">
    <w:name w:val="标题 6 字符"/>
    <w:basedOn w:val="63"/>
    <w:link w:val="11"/>
    <w:autoRedefine/>
    <w:qFormat/>
    <w:uiPriority w:val="0"/>
    <w:rPr>
      <w:rFonts w:ascii="Arial" w:hAnsi="Arial" w:eastAsia="黑体" w:cs="Times New Roman"/>
      <w:b/>
      <w:bCs/>
      <w:sz w:val="24"/>
      <w:szCs w:val="24"/>
    </w:rPr>
  </w:style>
  <w:style w:type="character" w:customStyle="1" w:styleId="132">
    <w:name w:val="style131"/>
    <w:autoRedefine/>
    <w:qFormat/>
    <w:uiPriority w:val="0"/>
    <w:rPr>
      <w:sz w:val="18"/>
    </w:rPr>
  </w:style>
  <w:style w:type="character" w:customStyle="1" w:styleId="133">
    <w:name w:val="Char Char25"/>
    <w:autoRedefine/>
    <w:qFormat/>
    <w:uiPriority w:val="0"/>
    <w:rPr>
      <w:rFonts w:ascii="Arial" w:hAnsi="Arial" w:eastAsia="黑体"/>
      <w:b/>
      <w:kern w:val="2"/>
      <w:sz w:val="28"/>
    </w:rPr>
  </w:style>
  <w:style w:type="character" w:customStyle="1" w:styleId="134">
    <w:name w:val="不明显强调1"/>
    <w:basedOn w:val="63"/>
    <w:autoRedefine/>
    <w:qFormat/>
    <w:uiPriority w:val="0"/>
    <w:rPr>
      <w:i/>
    </w:rPr>
  </w:style>
  <w:style w:type="character" w:customStyle="1" w:styleId="135">
    <w:name w:val="标准文本 Char Char"/>
    <w:autoRedefine/>
    <w:qFormat/>
    <w:uiPriority w:val="0"/>
    <w:rPr>
      <w:rFonts w:eastAsia="宋体"/>
      <w:kern w:val="2"/>
      <w:sz w:val="24"/>
      <w:lang w:val="en-US" w:eastAsia="zh-CN"/>
    </w:rPr>
  </w:style>
  <w:style w:type="character" w:customStyle="1" w:styleId="136">
    <w:name w:val="Comment Subject Char1"/>
    <w:basedOn w:val="137"/>
    <w:autoRedefine/>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2"/>
    <w:autoRedefine/>
    <w:qFormat/>
    <w:uiPriority w:val="99"/>
    <w:rPr>
      <w:rFonts w:ascii="Times New Roman" w:hAnsi="Times New Roman" w:eastAsia="宋体" w:cs="Times New Roman"/>
      <w:sz w:val="20"/>
      <w:szCs w:val="20"/>
    </w:rPr>
  </w:style>
  <w:style w:type="character" w:customStyle="1" w:styleId="138">
    <w:name w:val="normalfont1"/>
    <w:autoRedefine/>
    <w:qFormat/>
    <w:uiPriority w:val="0"/>
    <w:rPr>
      <w:rFonts w:ascii="??" w:hAnsi="??"/>
      <w:sz w:val="18"/>
      <w:u w:val="none"/>
    </w:rPr>
  </w:style>
  <w:style w:type="character" w:customStyle="1" w:styleId="139">
    <w:name w:val="小四 段落 宋体 Char Char Char Char Char Char Char Char"/>
    <w:autoRedefine/>
    <w:qFormat/>
    <w:uiPriority w:val="0"/>
    <w:rPr>
      <w:rFonts w:eastAsia="宋体"/>
      <w:kern w:val="2"/>
      <w:sz w:val="24"/>
      <w:lang w:val="en-US" w:eastAsia="zh-CN"/>
    </w:rPr>
  </w:style>
  <w:style w:type="character" w:customStyle="1" w:styleId="140">
    <w:name w:val="签名 字符"/>
    <w:basedOn w:val="63"/>
    <w:link w:val="40"/>
    <w:autoRedefine/>
    <w:qFormat/>
    <w:uiPriority w:val="0"/>
    <w:rPr>
      <w:rFonts w:ascii="Times New Roman" w:hAnsi="Times New Roman" w:eastAsia="仿宋_GB2312" w:cs="Times New Roman"/>
      <w:kern w:val="0"/>
      <w:sz w:val="20"/>
      <w:szCs w:val="20"/>
    </w:rPr>
  </w:style>
  <w:style w:type="character" w:customStyle="1" w:styleId="141">
    <w:name w:val="标题 Char1"/>
    <w:autoRedefine/>
    <w:qFormat/>
    <w:uiPriority w:val="0"/>
    <w:rPr>
      <w:rFonts w:ascii="Cambria" w:eastAsia="宋体"/>
      <w:b/>
      <w:sz w:val="32"/>
    </w:rPr>
  </w:style>
  <w:style w:type="character" w:customStyle="1" w:styleId="142">
    <w:name w:val="脚注文本 字符"/>
    <w:basedOn w:val="63"/>
    <w:link w:val="46"/>
    <w:autoRedefine/>
    <w:qFormat/>
    <w:uiPriority w:val="0"/>
    <w:rPr>
      <w:rFonts w:ascii="Times New Roman" w:hAnsi="Times New Roman" w:eastAsia="宋体" w:cs="Times New Roman"/>
      <w:sz w:val="18"/>
      <w:szCs w:val="18"/>
    </w:rPr>
  </w:style>
  <w:style w:type="character" w:customStyle="1" w:styleId="143">
    <w:name w:val="页眉 字符"/>
    <w:basedOn w:val="63"/>
    <w:link w:val="39"/>
    <w:autoRedefine/>
    <w:qFormat/>
    <w:uiPriority w:val="99"/>
    <w:rPr>
      <w:rFonts w:cs="Times New Roman"/>
      <w:sz w:val="18"/>
      <w:szCs w:val="18"/>
    </w:rPr>
  </w:style>
  <w:style w:type="character" w:customStyle="1" w:styleId="144">
    <w:name w:val="Quote Char Char"/>
    <w:autoRedefine/>
    <w:qFormat/>
    <w:uiPriority w:val="0"/>
    <w:rPr>
      <w:rFonts w:ascii="Calibri" w:hAnsi="Calibri"/>
      <w:i/>
      <w:sz w:val="22"/>
      <w:lang w:eastAsia="en-US"/>
    </w:rPr>
  </w:style>
  <w:style w:type="character" w:customStyle="1" w:styleId="145">
    <w:name w:val="content_lineheight1"/>
    <w:basedOn w:val="63"/>
    <w:autoRedefine/>
    <w:qFormat/>
    <w:uiPriority w:val="0"/>
    <w:rPr>
      <w:rFonts w:cs="Times New Roman"/>
    </w:rPr>
  </w:style>
  <w:style w:type="character" w:customStyle="1" w:styleId="146">
    <w:name w:val="标题 7 字符"/>
    <w:basedOn w:val="63"/>
    <w:link w:val="12"/>
    <w:autoRedefine/>
    <w:qFormat/>
    <w:uiPriority w:val="0"/>
    <w:rPr>
      <w:rFonts w:ascii="Times New Roman" w:hAnsi="Times New Roman" w:eastAsia="宋体" w:cs="Times New Roman"/>
      <w:b/>
      <w:bCs/>
      <w:sz w:val="24"/>
      <w:szCs w:val="24"/>
    </w:rPr>
  </w:style>
  <w:style w:type="character" w:customStyle="1" w:styleId="147">
    <w:name w:val="Title Char1"/>
    <w:basedOn w:val="63"/>
    <w:autoRedefine/>
    <w:qFormat/>
    <w:uiPriority w:val="0"/>
    <w:rPr>
      <w:rFonts w:ascii="Cambria" w:hAnsi="Cambria" w:cs="Times New Roman"/>
      <w:b/>
      <w:bCs/>
      <w:kern w:val="2"/>
      <w:sz w:val="32"/>
      <w:szCs w:val="32"/>
    </w:rPr>
  </w:style>
  <w:style w:type="character" w:customStyle="1" w:styleId="148">
    <w:name w:val="正文 + 宋体 Char"/>
    <w:autoRedefine/>
    <w:qFormat/>
    <w:uiPriority w:val="0"/>
    <w:rPr>
      <w:rFonts w:eastAsia="宋体"/>
      <w:kern w:val="2"/>
      <w:sz w:val="24"/>
      <w:lang w:val="en-US" w:eastAsia="zh-CN"/>
    </w:rPr>
  </w:style>
  <w:style w:type="character" w:customStyle="1" w:styleId="149">
    <w:name w:val="日期 字符"/>
    <w:basedOn w:val="63"/>
    <w:link w:val="34"/>
    <w:autoRedefine/>
    <w:qFormat/>
    <w:uiPriority w:val="0"/>
    <w:rPr>
      <w:rFonts w:ascii="Times New Roman" w:hAnsi="Times New Roman" w:eastAsia="宋体" w:cs="Times New Roman"/>
      <w:sz w:val="20"/>
      <w:szCs w:val="20"/>
    </w:rPr>
  </w:style>
  <w:style w:type="character" w:customStyle="1" w:styleId="150">
    <w:name w:val="特点 Char1"/>
    <w:autoRedefine/>
    <w:qFormat/>
    <w:uiPriority w:val="0"/>
    <w:rPr>
      <w:rFonts w:eastAsia="宋体"/>
      <w:kern w:val="2"/>
      <w:sz w:val="21"/>
      <w:lang w:val="en-US" w:eastAsia="zh-CN"/>
    </w:rPr>
  </w:style>
  <w:style w:type="character" w:customStyle="1" w:styleId="151">
    <w:name w:val="表格抬头 Char Char"/>
    <w:link w:val="152"/>
    <w:autoRedefine/>
    <w:qFormat/>
    <w:uiPriority w:val="0"/>
    <w:rPr>
      <w:rFonts w:ascii="黑体" w:eastAsia="黑体"/>
      <w:b/>
    </w:rPr>
  </w:style>
  <w:style w:type="paragraph" w:customStyle="1" w:styleId="152">
    <w:name w:val="表格抬头"/>
    <w:basedOn w:val="1"/>
    <w:link w:val="151"/>
    <w:autoRedefine/>
    <w:qFormat/>
    <w:uiPriority w:val="0"/>
    <w:pPr>
      <w:jc w:val="center"/>
    </w:pPr>
    <w:rPr>
      <w:rFonts w:ascii="黑体" w:hAnsi="Calibri" w:eastAsia="黑体"/>
      <w:b/>
      <w:kern w:val="0"/>
      <w:sz w:val="20"/>
    </w:rPr>
  </w:style>
  <w:style w:type="character" w:customStyle="1" w:styleId="153">
    <w:name w:val="批注主题 字符"/>
    <w:basedOn w:val="137"/>
    <w:link w:val="59"/>
    <w:autoRedefine/>
    <w:qFormat/>
    <w:uiPriority w:val="0"/>
    <w:rPr>
      <w:rFonts w:ascii="Times New Roman" w:hAnsi="Times New Roman" w:eastAsia="宋体" w:cs="Times New Roman"/>
      <w:b/>
      <w:bCs/>
      <w:sz w:val="20"/>
      <w:szCs w:val="20"/>
    </w:rPr>
  </w:style>
  <w:style w:type="character" w:customStyle="1" w:styleId="154">
    <w:name w:val="HTML Preformatted Char"/>
    <w:autoRedefine/>
    <w:qFormat/>
    <w:uiPriority w:val="0"/>
    <w:rPr>
      <w:rFonts w:ascii="黑体" w:hAnsi="Courier New" w:eastAsia="黑体"/>
    </w:rPr>
  </w:style>
  <w:style w:type="character" w:customStyle="1" w:styleId="155">
    <w:name w:val="h Char Char"/>
    <w:autoRedefine/>
    <w:qFormat/>
    <w:uiPriority w:val="0"/>
    <w:rPr>
      <w:rFonts w:eastAsia="宋体"/>
      <w:kern w:val="2"/>
      <w:sz w:val="18"/>
      <w:lang w:val="en-US" w:eastAsia="zh-CN"/>
    </w:rPr>
  </w:style>
  <w:style w:type="character" w:customStyle="1" w:styleId="156">
    <w:name w:val="subtitle1"/>
    <w:autoRedefine/>
    <w:qFormat/>
    <w:uiPriority w:val="0"/>
    <w:rPr>
      <w:rFonts w:ascii="Georgia" w:hAnsi="Georgia"/>
      <w:b/>
      <w:color w:val="666666"/>
      <w:sz w:val="18"/>
    </w:rPr>
  </w:style>
  <w:style w:type="character" w:customStyle="1" w:styleId="157">
    <w:name w:val="样式 非加粗"/>
    <w:autoRedefine/>
    <w:qFormat/>
    <w:uiPriority w:val="0"/>
    <w:rPr>
      <w:rFonts w:eastAsia="宋体"/>
      <w:sz w:val="28"/>
    </w:rPr>
  </w:style>
  <w:style w:type="character" w:customStyle="1" w:styleId="158">
    <w:name w:val="小四 段落 宋体 Char Char Char Char Char"/>
    <w:link w:val="159"/>
    <w:autoRedefine/>
    <w:qFormat/>
    <w:uiPriority w:val="0"/>
    <w:rPr>
      <w:rFonts w:eastAsia="宋体"/>
      <w:kern w:val="2"/>
      <w:sz w:val="24"/>
      <w:lang w:val="en-US" w:eastAsia="zh-CN"/>
    </w:rPr>
  </w:style>
  <w:style w:type="paragraph" w:customStyle="1" w:styleId="159">
    <w:name w:val="小四 段落 宋体"/>
    <w:basedOn w:val="19"/>
    <w:link w:val="158"/>
    <w:autoRedefine/>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3"/>
    <w:autoRedefine/>
    <w:qFormat/>
    <w:uiPriority w:val="0"/>
    <w:rPr>
      <w:rFonts w:ascii="Arial" w:hAnsi="Arial" w:eastAsia="黑体" w:cs="Times New Roman"/>
      <w:sz w:val="24"/>
      <w:szCs w:val="24"/>
    </w:rPr>
  </w:style>
  <w:style w:type="character" w:customStyle="1" w:styleId="161">
    <w:name w:val="Document Map Char"/>
    <w:autoRedefine/>
    <w:qFormat/>
    <w:uiPriority w:val="0"/>
    <w:rPr>
      <w:shd w:val="clear" w:color="auto" w:fill="000080"/>
    </w:rPr>
  </w:style>
  <w:style w:type="character" w:customStyle="1" w:styleId="162">
    <w:name w:val="para_small"/>
    <w:basedOn w:val="63"/>
    <w:autoRedefine/>
    <w:qFormat/>
    <w:uiPriority w:val="0"/>
    <w:rPr>
      <w:rFonts w:cs="Times New Roman"/>
    </w:rPr>
  </w:style>
  <w:style w:type="character" w:customStyle="1" w:styleId="163">
    <w:name w:val="2nd level Char"/>
    <w:autoRedefine/>
    <w:qFormat/>
    <w:uiPriority w:val="0"/>
    <w:rPr>
      <w:rFonts w:ascii="Arial" w:hAnsi="Arial" w:eastAsia="黑体"/>
      <w:b/>
      <w:kern w:val="2"/>
      <w:sz w:val="32"/>
      <w:lang w:val="en-US" w:eastAsia="zh-CN"/>
    </w:rPr>
  </w:style>
  <w:style w:type="character" w:customStyle="1" w:styleId="164">
    <w:name w:val="小四 段落 宋体 Char Char Char Char1"/>
    <w:autoRedefine/>
    <w:qFormat/>
    <w:uiPriority w:val="0"/>
    <w:rPr>
      <w:rFonts w:eastAsia="宋体"/>
      <w:kern w:val="2"/>
      <w:sz w:val="24"/>
      <w:lang w:val="en-US" w:eastAsia="zh-CN"/>
    </w:rPr>
  </w:style>
  <w:style w:type="character" w:customStyle="1" w:styleId="165">
    <w:name w:val="Body Text Indent 2 Char1"/>
    <w:basedOn w:val="63"/>
    <w:autoRedefine/>
    <w:qFormat/>
    <w:uiPriority w:val="0"/>
    <w:rPr>
      <w:rFonts w:ascii="Times New Roman" w:hAnsi="Times New Roman"/>
      <w:kern w:val="2"/>
      <w:sz w:val="21"/>
    </w:rPr>
  </w:style>
  <w:style w:type="character" w:customStyle="1" w:styleId="166">
    <w:name w:val="标题 9 字符"/>
    <w:basedOn w:val="63"/>
    <w:link w:val="14"/>
    <w:autoRedefine/>
    <w:qFormat/>
    <w:uiPriority w:val="0"/>
    <w:rPr>
      <w:rFonts w:ascii="Arial" w:hAnsi="Arial" w:eastAsia="黑体" w:cs="Times New Roman"/>
      <w:sz w:val="21"/>
      <w:szCs w:val="21"/>
    </w:rPr>
  </w:style>
  <w:style w:type="character" w:customStyle="1" w:styleId="167">
    <w:name w:val="明显强调1"/>
    <w:basedOn w:val="63"/>
    <w:autoRedefine/>
    <w:qFormat/>
    <w:uiPriority w:val="0"/>
    <w:rPr>
      <w:b/>
    </w:rPr>
  </w:style>
  <w:style w:type="character" w:customStyle="1" w:styleId="168">
    <w:name w:val="标题 2 字符"/>
    <w:basedOn w:val="63"/>
    <w:link w:val="3"/>
    <w:autoRedefine/>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autoRedefine/>
    <w:qFormat/>
    <w:uiPriority w:val="0"/>
    <w:rPr>
      <w:rFonts w:eastAsia="宋体"/>
      <w:b/>
      <w:kern w:val="2"/>
      <w:sz w:val="32"/>
      <w:lang w:val="en-US" w:eastAsia="zh-CN"/>
    </w:rPr>
  </w:style>
  <w:style w:type="character" w:customStyle="1" w:styleId="170">
    <w:name w:val="Quote Char2"/>
    <w:basedOn w:val="63"/>
    <w:autoRedefine/>
    <w:qFormat/>
    <w:uiPriority w:val="0"/>
    <w:rPr>
      <w:rFonts w:ascii="Times New Roman" w:hAnsi="Times New Roman" w:eastAsia="宋体" w:cs="Times New Roman"/>
      <w:i/>
      <w:iCs/>
      <w:color w:val="000000"/>
      <w:sz w:val="20"/>
      <w:szCs w:val="20"/>
    </w:rPr>
  </w:style>
  <w:style w:type="character" w:customStyle="1" w:styleId="171">
    <w:name w:val="小四 段落 宋体 Char Char Char1"/>
    <w:autoRedefine/>
    <w:qFormat/>
    <w:uiPriority w:val="0"/>
    <w:rPr>
      <w:rFonts w:ascii="宋体" w:hAnsi="宋体" w:eastAsia="宋体"/>
      <w:kern w:val="2"/>
      <w:sz w:val="24"/>
      <w:lang w:val="en-US" w:eastAsia="zh-CN"/>
    </w:rPr>
  </w:style>
  <w:style w:type="character" w:customStyle="1" w:styleId="172">
    <w:name w:val="正文文本缩进 2 字符"/>
    <w:basedOn w:val="63"/>
    <w:link w:val="35"/>
    <w:autoRedefine/>
    <w:qFormat/>
    <w:uiPriority w:val="0"/>
    <w:rPr>
      <w:rFonts w:ascii="Times New Roman" w:hAnsi="Times New Roman" w:eastAsia="宋体" w:cs="Times New Roman"/>
      <w:sz w:val="20"/>
      <w:szCs w:val="20"/>
    </w:rPr>
  </w:style>
  <w:style w:type="character" w:customStyle="1" w:styleId="173">
    <w:name w:val="Quote Char1"/>
    <w:basedOn w:val="63"/>
    <w:link w:val="174"/>
    <w:autoRedefine/>
    <w:qFormat/>
    <w:uiPriority w:val="0"/>
    <w:rPr>
      <w:rFonts w:ascii="Times New Roman" w:hAnsi="Times New Roman"/>
      <w:i/>
      <w:iCs/>
      <w:color w:val="000000"/>
      <w:kern w:val="2"/>
      <w:sz w:val="21"/>
    </w:rPr>
  </w:style>
  <w:style w:type="paragraph" w:customStyle="1" w:styleId="174">
    <w:name w:val="引用1"/>
    <w:basedOn w:val="1"/>
    <w:next w:val="1"/>
    <w:link w:val="173"/>
    <w:autoRedefine/>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autoRedefine/>
    <w:qFormat/>
    <w:uiPriority w:val="0"/>
    <w:rPr>
      <w:rFonts w:ascii="宋体" w:hAnsi="Times New Roman" w:eastAsia="宋体" w:cs="Times New Roman"/>
      <w:sz w:val="18"/>
      <w:szCs w:val="18"/>
    </w:rPr>
  </w:style>
  <w:style w:type="character" w:customStyle="1" w:styleId="176">
    <w:name w:val="HTML 预设格式 字符"/>
    <w:basedOn w:val="63"/>
    <w:link w:val="55"/>
    <w:autoRedefine/>
    <w:qFormat/>
    <w:uiPriority w:val="0"/>
    <w:rPr>
      <w:rFonts w:ascii="Courier New" w:hAnsi="Courier New" w:cs="Courier New"/>
      <w:kern w:val="2"/>
    </w:rPr>
  </w:style>
  <w:style w:type="character" w:customStyle="1" w:styleId="177">
    <w:name w:val="标准文本 Char Char Char"/>
    <w:autoRedefine/>
    <w:qFormat/>
    <w:uiPriority w:val="0"/>
    <w:rPr>
      <w:rFonts w:eastAsia="宋体"/>
      <w:kern w:val="2"/>
      <w:sz w:val="24"/>
      <w:lang w:val="en-US" w:eastAsia="zh-CN"/>
    </w:rPr>
  </w:style>
  <w:style w:type="character" w:customStyle="1" w:styleId="178">
    <w:name w:val="正文文本缩进 字符"/>
    <w:basedOn w:val="63"/>
    <w:link w:val="6"/>
    <w:autoRedefine/>
    <w:qFormat/>
    <w:uiPriority w:val="0"/>
    <w:rPr>
      <w:rFonts w:ascii="Times New Roman" w:hAnsi="Times New Roman"/>
      <w:kern w:val="2"/>
      <w:sz w:val="21"/>
    </w:rPr>
  </w:style>
  <w:style w:type="character" w:customStyle="1" w:styleId="179">
    <w:name w:val="标题 字符"/>
    <w:basedOn w:val="63"/>
    <w:link w:val="58"/>
    <w:autoRedefine/>
    <w:qFormat/>
    <w:uiPriority w:val="0"/>
    <w:rPr>
      <w:rFonts w:ascii="Cambria" w:hAnsi="Cambria" w:eastAsia="宋体" w:cs="Times New Roman"/>
      <w:b/>
      <w:bCs/>
      <w:sz w:val="32"/>
      <w:szCs w:val="32"/>
    </w:rPr>
  </w:style>
  <w:style w:type="character" w:customStyle="1" w:styleId="180">
    <w:name w:val="纯文本 Char Char"/>
    <w:autoRedefine/>
    <w:qFormat/>
    <w:uiPriority w:val="0"/>
    <w:rPr>
      <w:rFonts w:ascii="宋体" w:hAnsi="Courier New" w:eastAsia="宋体"/>
      <w:kern w:val="2"/>
      <w:sz w:val="21"/>
      <w:lang w:val="en-US" w:eastAsia="zh-CN"/>
    </w:rPr>
  </w:style>
  <w:style w:type="character" w:customStyle="1" w:styleId="181">
    <w:name w:val="case31"/>
    <w:autoRedefine/>
    <w:qFormat/>
    <w:uiPriority w:val="0"/>
    <w:rPr>
      <w:sz w:val="21"/>
    </w:rPr>
  </w:style>
  <w:style w:type="character" w:customStyle="1" w:styleId="182">
    <w:name w:val="正文文本 2 字符"/>
    <w:basedOn w:val="63"/>
    <w:link w:val="54"/>
    <w:autoRedefine/>
    <w:qFormat/>
    <w:uiPriority w:val="0"/>
    <w:rPr>
      <w:rFonts w:ascii="楷体_GB2312" w:hAnsi="Times New Roman" w:eastAsia="楷体_GB2312" w:cs="Times New Roman"/>
      <w:sz w:val="20"/>
      <w:szCs w:val="20"/>
    </w:rPr>
  </w:style>
  <w:style w:type="character" w:customStyle="1" w:styleId="183">
    <w:name w:val="标题 3 Char Char"/>
    <w:autoRedefine/>
    <w:qFormat/>
    <w:uiPriority w:val="0"/>
    <w:rPr>
      <w:rFonts w:eastAsia="仿宋_GB2312"/>
      <w:b/>
      <w:kern w:val="2"/>
      <w:sz w:val="32"/>
      <w:lang w:val="en-US" w:eastAsia="zh-CN"/>
    </w:rPr>
  </w:style>
  <w:style w:type="character" w:customStyle="1" w:styleId="184">
    <w:name w:val="正文缩进 Char1"/>
    <w:link w:val="185"/>
    <w:autoRedefine/>
    <w:qFormat/>
    <w:uiPriority w:val="0"/>
    <w:rPr>
      <w:rFonts w:ascii="Times New Roman" w:hAnsi="Times New Roman" w:eastAsia="宋体"/>
      <w:kern w:val="0"/>
      <w:sz w:val="20"/>
    </w:rPr>
  </w:style>
  <w:style w:type="paragraph" w:customStyle="1" w:styleId="185">
    <w:name w:val="正文缩进1"/>
    <w:basedOn w:val="1"/>
    <w:link w:val="184"/>
    <w:autoRedefine/>
    <w:qFormat/>
    <w:uiPriority w:val="0"/>
    <w:pPr>
      <w:ind w:firstLine="420"/>
    </w:pPr>
    <w:rPr>
      <w:kern w:val="0"/>
      <w:sz w:val="20"/>
    </w:rPr>
  </w:style>
  <w:style w:type="character" w:customStyle="1" w:styleId="186">
    <w:name w:val="新图表正文 Char Char"/>
    <w:link w:val="187"/>
    <w:autoRedefine/>
    <w:qFormat/>
    <w:uiPriority w:val="0"/>
    <w:rPr>
      <w:rFonts w:ascii="宋体" w:hAnsi="宋体"/>
      <w:kern w:val="2"/>
      <w:sz w:val="18"/>
      <w:szCs w:val="21"/>
      <w:lang w:val="en-US" w:eastAsia="zh-CN" w:bidi="ar-SA"/>
    </w:rPr>
  </w:style>
  <w:style w:type="paragraph" w:customStyle="1" w:styleId="187">
    <w:name w:val="新图表正文"/>
    <w:link w:val="186"/>
    <w:autoRedefine/>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autoRedefine/>
    <w:qFormat/>
    <w:uiPriority w:val="0"/>
    <w:rPr>
      <w:rFonts w:eastAsia="宋体"/>
      <w:kern w:val="2"/>
      <w:sz w:val="24"/>
      <w:lang w:val="en-US" w:eastAsia="zh-CN"/>
    </w:rPr>
  </w:style>
  <w:style w:type="character" w:customStyle="1" w:styleId="189">
    <w:name w:val="Intense Quote Char1"/>
    <w:basedOn w:val="63"/>
    <w:link w:val="190"/>
    <w:autoRedefine/>
    <w:qFormat/>
    <w:uiPriority w:val="0"/>
    <w:rPr>
      <w:rFonts w:ascii="Times New Roman" w:hAnsi="Times New Roman"/>
      <w:b/>
      <w:bCs/>
      <w:i/>
      <w:iCs/>
      <w:color w:val="4F81BD"/>
      <w:kern w:val="2"/>
      <w:sz w:val="21"/>
    </w:rPr>
  </w:style>
  <w:style w:type="paragraph" w:customStyle="1" w:styleId="190">
    <w:name w:val="明显引用1"/>
    <w:basedOn w:val="1"/>
    <w:next w:val="1"/>
    <w:link w:val="189"/>
    <w:autoRedefine/>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autoRedefine/>
    <w:qFormat/>
    <w:uiPriority w:val="0"/>
    <w:rPr>
      <w:rFonts w:ascii="Arial" w:hAnsi="Arial" w:eastAsia="黑体"/>
      <w:kern w:val="2"/>
      <w:sz w:val="21"/>
    </w:rPr>
  </w:style>
  <w:style w:type="character" w:customStyle="1" w:styleId="192">
    <w:name w:val="No Spacing Char Char"/>
    <w:link w:val="193"/>
    <w:autoRedefine/>
    <w:qFormat/>
    <w:uiPriority w:val="0"/>
    <w:rPr>
      <w:rFonts w:eastAsia="微软雅黑"/>
      <w:kern w:val="2"/>
      <w:sz w:val="24"/>
      <w:szCs w:val="22"/>
      <w:lang w:val="en-US" w:eastAsia="zh-CN" w:bidi="ar-SA"/>
    </w:rPr>
  </w:style>
  <w:style w:type="paragraph" w:customStyle="1" w:styleId="193">
    <w:name w:val="无间隔2"/>
    <w:link w:val="192"/>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autoRedefine/>
    <w:qFormat/>
    <w:uiPriority w:val="0"/>
    <w:rPr>
      <w:rFonts w:eastAsia="宋体"/>
      <w:kern w:val="2"/>
      <w:sz w:val="24"/>
      <w:lang w:val="en-US" w:eastAsia="zh-CN"/>
    </w:rPr>
  </w:style>
  <w:style w:type="character" w:customStyle="1" w:styleId="195">
    <w:name w:val="3zw"/>
    <w:basedOn w:val="63"/>
    <w:autoRedefine/>
    <w:qFormat/>
    <w:uiPriority w:val="0"/>
    <w:rPr>
      <w:rFonts w:cs="Times New Roman"/>
    </w:rPr>
  </w:style>
  <w:style w:type="character" w:customStyle="1" w:styleId="196">
    <w:name w:val="Intense Quote Char Char"/>
    <w:autoRedefine/>
    <w:qFormat/>
    <w:uiPriority w:val="0"/>
    <w:rPr>
      <w:rFonts w:ascii="Calibri" w:hAnsi="Calibri"/>
      <w:b/>
      <w:i/>
      <w:sz w:val="22"/>
      <w:lang w:eastAsia="en-US"/>
    </w:rPr>
  </w:style>
  <w:style w:type="character" w:customStyle="1" w:styleId="197">
    <w:name w:val="Body Text Indent 3 Char"/>
    <w:autoRedefine/>
    <w:qFormat/>
    <w:uiPriority w:val="0"/>
    <w:rPr>
      <w:rFonts w:ascii="Arial" w:hAnsi="Arial" w:eastAsia="仿宋_GB2312"/>
      <w:color w:val="FFFF00"/>
      <w:sz w:val="32"/>
    </w:rPr>
  </w:style>
  <w:style w:type="character" w:customStyle="1" w:styleId="198">
    <w:name w:val="A2"/>
    <w:autoRedefine/>
    <w:qFormat/>
    <w:uiPriority w:val="0"/>
    <w:rPr>
      <w:color w:val="000000"/>
      <w:sz w:val="18"/>
    </w:rPr>
  </w:style>
  <w:style w:type="character" w:customStyle="1" w:styleId="199">
    <w:name w:val="标题 1 字符"/>
    <w:basedOn w:val="63"/>
    <w:link w:val="2"/>
    <w:autoRedefine/>
    <w:qFormat/>
    <w:uiPriority w:val="0"/>
    <w:rPr>
      <w:rFonts w:ascii="黑体" w:hAnsi="Times New Roman" w:eastAsia="黑体" w:cs="Times New Roman"/>
      <w:b/>
      <w:kern w:val="44"/>
      <w:sz w:val="28"/>
      <w:szCs w:val="28"/>
    </w:rPr>
  </w:style>
  <w:style w:type="character" w:customStyle="1" w:styleId="200">
    <w:name w:val="明显参考1"/>
    <w:basedOn w:val="63"/>
    <w:autoRedefine/>
    <w:qFormat/>
    <w:uiPriority w:val="0"/>
    <w:rPr>
      <w:smallCaps/>
      <w:spacing w:val="5"/>
      <w:u w:val="single"/>
    </w:rPr>
  </w:style>
  <w:style w:type="character" w:customStyle="1" w:styleId="201">
    <w:name w:val="称呼 字符"/>
    <w:basedOn w:val="63"/>
    <w:link w:val="24"/>
    <w:autoRedefine/>
    <w:qFormat/>
    <w:uiPriority w:val="0"/>
    <w:rPr>
      <w:rFonts w:ascii="仿宋_GB2312" w:hAnsi="Times New Roman" w:eastAsia="仿宋_GB2312" w:cs="Times New Roman"/>
      <w:sz w:val="20"/>
      <w:szCs w:val="20"/>
    </w:rPr>
  </w:style>
  <w:style w:type="character" w:customStyle="1" w:styleId="202">
    <w:name w:val="111111 Char Char"/>
    <w:link w:val="203"/>
    <w:autoRedefine/>
    <w:qFormat/>
    <w:uiPriority w:val="0"/>
    <w:rPr>
      <w:rFonts w:ascii="宋体" w:hAnsi="宋体" w:eastAsia="黑体"/>
      <w:b/>
      <w:sz w:val="21"/>
    </w:rPr>
  </w:style>
  <w:style w:type="paragraph" w:customStyle="1" w:styleId="203">
    <w:name w:val="111111"/>
    <w:basedOn w:val="1"/>
    <w:link w:val="202"/>
    <w:autoRedefine/>
    <w:qFormat/>
    <w:uiPriority w:val="0"/>
    <w:pPr>
      <w:spacing w:before="120" w:after="120"/>
      <w:jc w:val="center"/>
    </w:pPr>
    <w:rPr>
      <w:rFonts w:ascii="宋体" w:hAnsi="宋体" w:eastAsia="黑体"/>
      <w:b/>
      <w:kern w:val="0"/>
    </w:rPr>
  </w:style>
  <w:style w:type="character" w:customStyle="1" w:styleId="204">
    <w:name w:val="小四 段落 宋体 Char1"/>
    <w:autoRedefine/>
    <w:qFormat/>
    <w:uiPriority w:val="0"/>
    <w:rPr>
      <w:rFonts w:eastAsia="宋体"/>
      <w:kern w:val="2"/>
      <w:sz w:val="24"/>
      <w:lang w:val="en-US" w:eastAsia="zh-CN"/>
    </w:rPr>
  </w:style>
  <w:style w:type="character" w:customStyle="1" w:styleId="205">
    <w:name w:val="文档结构图 字符"/>
    <w:basedOn w:val="63"/>
    <w:link w:val="21"/>
    <w:autoRedefine/>
    <w:qFormat/>
    <w:uiPriority w:val="0"/>
    <w:rPr>
      <w:rFonts w:ascii="Times New Roman" w:hAnsi="Times New Roman"/>
      <w:kern w:val="2"/>
      <w:sz w:val="16"/>
      <w:szCs w:val="0"/>
    </w:rPr>
  </w:style>
  <w:style w:type="character" w:customStyle="1" w:styleId="206">
    <w:name w:val="title_emph1"/>
    <w:autoRedefine/>
    <w:qFormat/>
    <w:uiPriority w:val="0"/>
    <w:rPr>
      <w:rFonts w:ascii="Arial"/>
      <w:b/>
      <w:sz w:val="18"/>
    </w:rPr>
  </w:style>
  <w:style w:type="character" w:customStyle="1" w:styleId="207">
    <w:name w:val="页脚 字符"/>
    <w:basedOn w:val="63"/>
    <w:link w:val="38"/>
    <w:autoRedefine/>
    <w:qFormat/>
    <w:uiPriority w:val="99"/>
    <w:rPr>
      <w:rFonts w:cs="Times New Roman"/>
      <w:sz w:val="18"/>
      <w:szCs w:val="18"/>
    </w:rPr>
  </w:style>
  <w:style w:type="character" w:customStyle="1" w:styleId="208">
    <w:name w:val="书籍标题1"/>
    <w:basedOn w:val="63"/>
    <w:autoRedefine/>
    <w:qFormat/>
    <w:uiPriority w:val="0"/>
    <w:rPr>
      <w:i/>
      <w:smallCaps/>
      <w:spacing w:val="5"/>
    </w:rPr>
  </w:style>
  <w:style w:type="character" w:customStyle="1" w:styleId="209">
    <w:name w:val="不明显参考1"/>
    <w:basedOn w:val="63"/>
    <w:autoRedefine/>
    <w:qFormat/>
    <w:uiPriority w:val="0"/>
    <w:rPr>
      <w:smallCaps/>
    </w:rPr>
  </w:style>
  <w:style w:type="character" w:customStyle="1" w:styleId="210">
    <w:name w:val="样式 首行缩进:  2 字符 Char Char"/>
    <w:link w:val="211"/>
    <w:autoRedefine/>
    <w:qFormat/>
    <w:uiPriority w:val="0"/>
    <w:rPr>
      <w:sz w:val="24"/>
    </w:rPr>
  </w:style>
  <w:style w:type="paragraph" w:customStyle="1" w:styleId="211">
    <w:name w:val="样式 首行缩进:  2 字符"/>
    <w:basedOn w:val="1"/>
    <w:link w:val="210"/>
    <w:autoRedefine/>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8"/>
    <w:autoRedefine/>
    <w:qFormat/>
    <w:uiPriority w:val="0"/>
    <w:rPr>
      <w:rFonts w:ascii="宋体" w:hAnsi="宋体" w:eastAsia="宋体"/>
      <w:b/>
      <w:sz w:val="21"/>
      <w:shd w:val="clear" w:color="auto" w:fill="FFFFFF"/>
    </w:rPr>
  </w:style>
  <w:style w:type="character" w:customStyle="1" w:styleId="213">
    <w:name w:val="Char Char22"/>
    <w:autoRedefine/>
    <w:qFormat/>
    <w:uiPriority w:val="0"/>
    <w:rPr>
      <w:b/>
      <w:kern w:val="2"/>
      <w:sz w:val="24"/>
    </w:rPr>
  </w:style>
  <w:style w:type="character" w:customStyle="1" w:styleId="214">
    <w:name w:val="批注框文本 字符"/>
    <w:basedOn w:val="63"/>
    <w:link w:val="37"/>
    <w:autoRedefine/>
    <w:qFormat/>
    <w:uiPriority w:val="0"/>
    <w:rPr>
      <w:rFonts w:ascii="Times New Roman" w:hAnsi="Times New Roman" w:eastAsia="宋体" w:cs="Times New Roman"/>
      <w:sz w:val="18"/>
      <w:szCs w:val="18"/>
    </w:rPr>
  </w:style>
  <w:style w:type="character" w:customStyle="1" w:styleId="215">
    <w:name w:val="尾注文本 字符"/>
    <w:basedOn w:val="63"/>
    <w:link w:val="36"/>
    <w:autoRedefine/>
    <w:qFormat/>
    <w:uiPriority w:val="0"/>
    <w:rPr>
      <w:rFonts w:ascii="Times New Roman" w:hAnsi="Times New Roman" w:eastAsia="宋体" w:cs="Times New Roman"/>
      <w:kern w:val="0"/>
      <w:sz w:val="24"/>
      <w:szCs w:val="24"/>
    </w:rPr>
  </w:style>
  <w:style w:type="character" w:customStyle="1" w:styleId="216">
    <w:name w:val="point_normal1"/>
    <w:autoRedefine/>
    <w:qFormat/>
    <w:uiPriority w:val="0"/>
    <w:rPr>
      <w:rFonts w:ascii="Arial" w:hAnsi="Arial"/>
      <w:sz w:val="18"/>
    </w:rPr>
  </w:style>
  <w:style w:type="character" w:customStyle="1" w:styleId="217">
    <w:name w:val="Char Char26"/>
    <w:autoRedefine/>
    <w:qFormat/>
    <w:uiPriority w:val="0"/>
    <w:rPr>
      <w:b/>
      <w:kern w:val="2"/>
      <w:sz w:val="32"/>
    </w:rPr>
  </w:style>
  <w:style w:type="character" w:customStyle="1" w:styleId="218">
    <w:name w:val="Char Char24"/>
    <w:autoRedefine/>
    <w:qFormat/>
    <w:uiPriority w:val="0"/>
    <w:rPr>
      <w:b/>
      <w:kern w:val="2"/>
      <w:sz w:val="28"/>
    </w:rPr>
  </w:style>
  <w:style w:type="character" w:customStyle="1" w:styleId="219">
    <w:name w:val="concon"/>
    <w:autoRedefine/>
    <w:qFormat/>
    <w:uiPriority w:val="0"/>
  </w:style>
  <w:style w:type="paragraph" w:customStyle="1" w:styleId="220">
    <w:name w:val="标准文本"/>
    <w:basedOn w:val="1"/>
    <w:autoRedefine/>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222">
    <w:name w:val="列出段落2"/>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autoRedefine/>
    <w:qFormat/>
    <w:uiPriority w:val="0"/>
    <w:pPr>
      <w:spacing w:after="284"/>
    </w:pPr>
    <w:rPr>
      <w:rFonts w:eastAsia="宋体"/>
      <w:b w:val="0"/>
    </w:rPr>
  </w:style>
  <w:style w:type="paragraph" w:customStyle="1" w:styleId="224">
    <w:name w:val="flName"/>
    <w:basedOn w:val="225"/>
    <w:autoRedefine/>
    <w:qFormat/>
    <w:uiPriority w:val="0"/>
    <w:pPr>
      <w:spacing w:before="0" w:line="113" w:lineRule="atLeast"/>
    </w:pPr>
  </w:style>
  <w:style w:type="paragraph" w:customStyle="1" w:styleId="225">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autoRedefine/>
    <w:qFormat/>
    <w:uiPriority w:val="0"/>
    <w:pPr>
      <w:spacing w:line="360" w:lineRule="auto"/>
      <w:ind w:firstLine="200" w:firstLineChars="200"/>
    </w:pPr>
    <w:rPr>
      <w:bCs/>
      <w:sz w:val="24"/>
      <w:szCs w:val="24"/>
    </w:rPr>
  </w:style>
  <w:style w:type="paragraph" w:customStyle="1" w:styleId="227">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autoRedefine/>
    <w:qFormat/>
    <w:uiPriority w:val="0"/>
    <w:pPr>
      <w:tabs>
        <w:tab w:val="left" w:pos="360"/>
      </w:tabs>
      <w:ind w:left="200" w:hanging="200" w:hangingChars="200"/>
    </w:pPr>
    <w:rPr>
      <w:sz w:val="24"/>
      <w:szCs w:val="24"/>
    </w:rPr>
  </w:style>
  <w:style w:type="paragraph" w:customStyle="1" w:styleId="229">
    <w:name w:val="greytypebeni"/>
    <w:basedOn w:val="1"/>
    <w:autoRedefine/>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autoRedefine/>
    <w:qFormat/>
    <w:uiPriority w:val="0"/>
    <w:rPr>
      <w:rFonts w:ascii="Tahoma" w:hAnsi="Tahoma"/>
      <w:sz w:val="24"/>
    </w:rPr>
  </w:style>
  <w:style w:type="paragraph" w:customStyle="1" w:styleId="231">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32">
    <w:name w:val="Char Char1"/>
    <w:basedOn w:val="1"/>
    <w:autoRedefine/>
    <w:qFormat/>
    <w:uiPriority w:val="0"/>
    <w:rPr>
      <w:rFonts w:ascii="Tahoma" w:hAnsi="Tahoma" w:cs="Tahoma"/>
      <w:sz w:val="24"/>
    </w:rPr>
  </w:style>
  <w:style w:type="paragraph" w:customStyle="1" w:styleId="233">
    <w:name w:val="小四 段落 宋体 Char Char Char"/>
    <w:basedOn w:val="19"/>
    <w:autoRedefine/>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autoRedefine/>
    <w:qFormat/>
    <w:uiPriority w:val="0"/>
    <w:pPr>
      <w:ind w:firstLine="420" w:firstLineChars="200"/>
    </w:pPr>
    <w:rPr>
      <w:rFonts w:ascii="Calibri" w:hAnsi="Calibri"/>
      <w:szCs w:val="22"/>
    </w:rPr>
  </w:style>
  <w:style w:type="paragraph" w:customStyle="1" w:styleId="23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21"/>
    <w:autoRedefine/>
    <w:qFormat/>
    <w:uiPriority w:val="0"/>
  </w:style>
  <w:style w:type="paragraph" w:customStyle="1" w:styleId="240">
    <w:name w:val="样式 样式 首行缩进:  2 字符 + 行距: 1.5 倍行距"/>
    <w:basedOn w:val="1"/>
    <w:autoRedefine/>
    <w:qFormat/>
    <w:uiPriority w:val="0"/>
    <w:pPr>
      <w:spacing w:line="360" w:lineRule="auto"/>
      <w:ind w:firstLine="470" w:firstLineChars="196"/>
    </w:pPr>
    <w:rPr>
      <w:sz w:val="24"/>
    </w:rPr>
  </w:style>
  <w:style w:type="paragraph" w:customStyle="1" w:styleId="241">
    <w:name w:val="正文11"/>
    <w:basedOn w:val="1"/>
    <w:next w:val="1"/>
    <w:autoRedefine/>
    <w:qFormat/>
    <w:uiPriority w:val="0"/>
    <w:pPr>
      <w:spacing w:before="156" w:line="360" w:lineRule="auto"/>
      <w:ind w:firstLine="510" w:firstLineChars="200"/>
    </w:pPr>
    <w:rPr>
      <w:sz w:val="24"/>
    </w:rPr>
  </w:style>
  <w:style w:type="paragraph" w:customStyle="1" w:styleId="242">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autoRedefine/>
    <w:qFormat/>
    <w:uiPriority w:val="0"/>
    <w:rPr>
      <w:rFonts w:ascii="Tahoma" w:hAnsi="Tahoma"/>
      <w:sz w:val="24"/>
    </w:rPr>
  </w:style>
  <w:style w:type="paragraph" w:customStyle="1" w:styleId="244">
    <w:name w:val="丁华正文"/>
    <w:basedOn w:val="48"/>
    <w:autoRedefine/>
    <w:qFormat/>
    <w:uiPriority w:val="0"/>
    <w:pPr>
      <w:adjustRightInd w:val="0"/>
      <w:snapToGrid w:val="0"/>
      <w:spacing w:line="360" w:lineRule="auto"/>
      <w:ind w:left="0" w:firstLine="510"/>
    </w:pPr>
    <w:rPr>
      <w:sz w:val="24"/>
    </w:rPr>
  </w:style>
  <w:style w:type="paragraph" w:customStyle="1" w:styleId="245">
    <w:name w:val="正文 居中"/>
    <w:basedOn w:val="1"/>
    <w:autoRedefine/>
    <w:qFormat/>
    <w:uiPriority w:val="0"/>
    <w:pPr>
      <w:spacing w:line="360" w:lineRule="auto"/>
      <w:jc w:val="center"/>
    </w:pPr>
    <w:rPr>
      <w:sz w:val="24"/>
    </w:rPr>
  </w:style>
  <w:style w:type="paragraph" w:customStyle="1" w:styleId="246">
    <w:name w:val="Char Char3"/>
    <w:basedOn w:val="1"/>
    <w:autoRedefine/>
    <w:qFormat/>
    <w:uiPriority w:val="0"/>
    <w:rPr>
      <w:rFonts w:ascii="Tahoma" w:hAnsi="Tahoma" w:cs="Tahoma"/>
      <w:sz w:val="24"/>
    </w:rPr>
  </w:style>
  <w:style w:type="paragraph" w:customStyle="1" w:styleId="247">
    <w:name w:val="Char Char Char Char Char"/>
    <w:basedOn w:val="1"/>
    <w:autoRedefine/>
    <w:qFormat/>
    <w:uiPriority w:val="0"/>
    <w:rPr>
      <w:rFonts w:ascii="Tahoma" w:hAnsi="Tahoma"/>
      <w:sz w:val="24"/>
    </w:rPr>
  </w:style>
  <w:style w:type="paragraph" w:customStyle="1" w:styleId="24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autoRedefine/>
    <w:qFormat/>
    <w:uiPriority w:val="0"/>
    <w:rPr>
      <w:rFonts w:ascii="Tahoma" w:hAnsi="Tahoma" w:cs="Tahoma"/>
      <w:sz w:val="24"/>
    </w:rPr>
  </w:style>
  <w:style w:type="paragraph" w:customStyle="1" w:styleId="250">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251">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21"/>
    <w:autoRedefine/>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autoRedefine/>
    <w:qFormat/>
    <w:uiPriority w:val="0"/>
    <w:pPr>
      <w:spacing w:line="360" w:lineRule="auto"/>
      <w:ind w:firstLine="480" w:firstLineChars="200"/>
    </w:pPr>
    <w:rPr>
      <w:rFonts w:ascii="Arial" w:hAnsi="Arial"/>
      <w:sz w:val="24"/>
      <w:szCs w:val="21"/>
    </w:rPr>
  </w:style>
  <w:style w:type="paragraph" w:customStyle="1" w:styleId="2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autoRedefine/>
    <w:qFormat/>
    <w:uiPriority w:val="0"/>
    <w:rPr>
      <w:rFonts w:ascii="Tahoma" w:hAnsi="Tahoma"/>
      <w:sz w:val="24"/>
    </w:rPr>
  </w:style>
  <w:style w:type="paragraph" w:customStyle="1" w:styleId="25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autoRedefine/>
    <w:qFormat/>
    <w:uiPriority w:val="0"/>
    <w:rPr>
      <w:sz w:val="24"/>
      <w:szCs w:val="24"/>
    </w:rPr>
  </w:style>
  <w:style w:type="paragraph" w:customStyle="1" w:styleId="260">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autoRedefine/>
    <w:qFormat/>
    <w:uiPriority w:val="0"/>
    <w:pPr>
      <w:tabs>
        <w:tab w:val="left" w:pos="693"/>
      </w:tabs>
      <w:ind w:left="482"/>
      <w:outlineLvl w:val="0"/>
    </w:pPr>
    <w:rPr>
      <w:color w:val="000000"/>
      <w:sz w:val="24"/>
      <w:szCs w:val="24"/>
    </w:rPr>
  </w:style>
  <w:style w:type="paragraph" w:customStyle="1" w:styleId="263">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265">
    <w:name w:val="正文表标题"/>
    <w:next w:val="257"/>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autoRedefine/>
    <w:qFormat/>
    <w:uiPriority w:val="0"/>
  </w:style>
  <w:style w:type="paragraph" w:customStyle="1" w:styleId="267">
    <w:name w:val="Char Char Char1"/>
    <w:basedOn w:val="21"/>
    <w:autoRedefine/>
    <w:qFormat/>
    <w:uiPriority w:val="0"/>
    <w:pPr>
      <w:spacing w:line="436" w:lineRule="exact"/>
    </w:pPr>
    <w:rPr>
      <w:szCs w:val="24"/>
    </w:rPr>
  </w:style>
  <w:style w:type="paragraph" w:customStyle="1" w:styleId="268">
    <w:name w:val="表格1"/>
    <w:basedOn w:val="1"/>
    <w:autoRedefine/>
    <w:qFormat/>
    <w:uiPriority w:val="0"/>
    <w:pPr>
      <w:adjustRightInd w:val="0"/>
      <w:textAlignment w:val="baseline"/>
    </w:pPr>
    <w:rPr>
      <w:rFonts w:ascii="宋体"/>
      <w:kern w:val="24"/>
      <w:szCs w:val="21"/>
    </w:rPr>
  </w:style>
  <w:style w:type="paragraph" w:customStyle="1" w:styleId="269">
    <w:name w:val="项目符号：一级"/>
    <w:basedOn w:val="263"/>
    <w:next w:val="263"/>
    <w:autoRedefine/>
    <w:qFormat/>
    <w:uiPriority w:val="0"/>
    <w:pPr>
      <w:ind w:right="-134" w:rightChars="-64"/>
    </w:pPr>
    <w:rPr>
      <w:bCs w:val="0"/>
    </w:rPr>
  </w:style>
  <w:style w:type="paragraph" w:customStyle="1" w:styleId="27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autoRedefine/>
    <w:qFormat/>
    <w:uiPriority w:val="0"/>
    <w:rPr>
      <w:rFonts w:ascii="Tahoma" w:hAnsi="Tahoma" w:cs="Tahoma"/>
      <w:sz w:val="24"/>
    </w:rPr>
  </w:style>
  <w:style w:type="paragraph" w:customStyle="1" w:styleId="272">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autoRedefine/>
    <w:qFormat/>
    <w:uiPriority w:val="0"/>
    <w:pPr>
      <w:spacing w:after="120"/>
      <w:ind w:left="420" w:leftChars="200"/>
    </w:pPr>
    <w:rPr>
      <w:szCs w:val="24"/>
    </w:rPr>
  </w:style>
  <w:style w:type="paragraph" w:customStyle="1" w:styleId="27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autoRedefine/>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autoRedefine/>
    <w:qFormat/>
    <w:uiPriority w:val="0"/>
    <w:pPr>
      <w:jc w:val="left"/>
    </w:pPr>
    <w:rPr>
      <w:rFonts w:ascii="Tahoma" w:hAnsi="Tahoma"/>
      <w:sz w:val="24"/>
    </w:rPr>
  </w:style>
  <w:style w:type="paragraph" w:customStyle="1" w:styleId="27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autoRedefine/>
    <w:qFormat/>
    <w:uiPriority w:val="0"/>
    <w:pPr>
      <w:spacing w:line="300" w:lineRule="atLeast"/>
    </w:pPr>
    <w:rPr>
      <w:sz w:val="18"/>
      <w:szCs w:val="24"/>
    </w:rPr>
  </w:style>
  <w:style w:type="paragraph" w:customStyle="1" w:styleId="279">
    <w:name w:val="样式3"/>
    <w:basedOn w:val="1"/>
    <w:next w:val="1"/>
    <w:autoRedefine/>
    <w:qFormat/>
    <w:uiPriority w:val="0"/>
    <w:pPr>
      <w:spacing w:line="360" w:lineRule="auto"/>
    </w:pPr>
  </w:style>
  <w:style w:type="paragraph" w:customStyle="1" w:styleId="280">
    <w:name w:val="无间隔1"/>
    <w:autoRedefine/>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84">
    <w:name w:val="正文2"/>
    <w:basedOn w:val="1"/>
    <w:autoRedefine/>
    <w:qFormat/>
    <w:uiPriority w:val="0"/>
    <w:pPr>
      <w:spacing w:before="156" w:line="360" w:lineRule="auto"/>
      <w:ind w:firstLine="510" w:firstLineChars="200"/>
    </w:pPr>
    <w:rPr>
      <w:sz w:val="24"/>
    </w:rPr>
  </w:style>
  <w:style w:type="paragraph" w:customStyle="1" w:styleId="285">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autoRedefine/>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290">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autoRedefine/>
    <w:qFormat/>
    <w:uiPriority w:val="0"/>
    <w:pPr>
      <w:tabs>
        <w:tab w:val="left" w:pos="360"/>
      </w:tabs>
      <w:ind w:left="360" w:hanging="360" w:hangingChars="200"/>
    </w:pPr>
    <w:rPr>
      <w:sz w:val="24"/>
      <w:szCs w:val="24"/>
    </w:rPr>
  </w:style>
  <w:style w:type="paragraph" w:customStyle="1" w:styleId="292">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297">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autoRedefine/>
    <w:qFormat/>
    <w:uiPriority w:val="0"/>
    <w:rPr>
      <w:rFonts w:ascii="Tahoma" w:hAnsi="Tahoma" w:cs="Tahoma"/>
      <w:sz w:val="24"/>
    </w:rPr>
  </w:style>
  <w:style w:type="paragraph" w:customStyle="1" w:styleId="299">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301">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9"/>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autoRedefine/>
    <w:qFormat/>
    <w:uiPriority w:val="0"/>
    <w:rPr>
      <w:rFonts w:ascii="宋体" w:hAnsi="宋体" w:cs="宋体"/>
      <w:kern w:val="0"/>
      <w:sz w:val="24"/>
      <w:u w:color="000000"/>
    </w:rPr>
  </w:style>
  <w:style w:type="paragraph" w:customStyle="1" w:styleId="30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8"/>
    <w:autoRedefine/>
    <w:qFormat/>
    <w:uiPriority w:val="0"/>
    <w:pPr>
      <w:keepNext w:val="0"/>
      <w:keepLines w:val="0"/>
      <w:spacing w:line="360" w:lineRule="auto"/>
    </w:pPr>
    <w:rPr>
      <w:rFonts w:eastAsia="仿宋_GB2312"/>
      <w:b w:val="0"/>
      <w:bCs/>
      <w:sz w:val="30"/>
      <w:szCs w:val="32"/>
    </w:rPr>
  </w:style>
  <w:style w:type="paragraph" w:customStyle="1" w:styleId="310">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autoRedefine/>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autoRedefine/>
    <w:qFormat/>
    <w:uiPriority w:val="0"/>
    <w:pPr>
      <w:adjustRightInd w:val="0"/>
      <w:spacing w:line="360" w:lineRule="auto"/>
      <w:textAlignment w:val="baseline"/>
    </w:pPr>
    <w:rPr>
      <w:b/>
      <w:bCs/>
      <w:sz w:val="28"/>
      <w:szCs w:val="21"/>
    </w:rPr>
  </w:style>
  <w:style w:type="paragraph" w:customStyle="1" w:styleId="31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6"/>
    <w:autoRedefine/>
    <w:qFormat/>
    <w:uiPriority w:val="0"/>
    <w:rPr>
      <w:rFonts w:ascii="楷体_GB2312" w:hAnsi="Arial" w:eastAsia="楷体_GB2312"/>
      <w:sz w:val="28"/>
    </w:rPr>
  </w:style>
  <w:style w:type="paragraph" w:customStyle="1" w:styleId="3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21"/>
    <w:autoRedefine/>
    <w:qFormat/>
    <w:uiPriority w:val="0"/>
    <w:rPr>
      <w:rFonts w:ascii="Tahoma" w:hAnsi="Tahoma"/>
      <w:sz w:val="24"/>
      <w:szCs w:val="24"/>
    </w:rPr>
  </w:style>
  <w:style w:type="paragraph" w:customStyle="1" w:styleId="32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autoRedefine/>
    <w:qFormat/>
    <w:uiPriority w:val="0"/>
    <w:pPr>
      <w:spacing w:line="460" w:lineRule="exact"/>
      <w:ind w:firstLine="480"/>
    </w:pPr>
    <w:rPr>
      <w:sz w:val="24"/>
    </w:rPr>
  </w:style>
  <w:style w:type="paragraph" w:customStyle="1" w:styleId="327">
    <w:name w:val="列出段落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autoRedefine/>
    <w:qFormat/>
    <w:uiPriority w:val="0"/>
    <w:pPr>
      <w:widowControl/>
      <w:spacing w:before="100" w:beforeAutospacing="1" w:after="100" w:afterAutospacing="1"/>
      <w:jc w:val="left"/>
    </w:pPr>
    <w:rPr>
      <w:b/>
      <w:bCs/>
      <w:kern w:val="0"/>
      <w:sz w:val="20"/>
    </w:rPr>
  </w:style>
  <w:style w:type="paragraph" w:customStyle="1" w:styleId="331">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autoRedefine/>
    <w:qFormat/>
    <w:uiPriority w:val="0"/>
    <w:rPr>
      <w:rFonts w:ascii="Tahoma" w:hAnsi="Tahoma"/>
      <w:sz w:val="24"/>
    </w:rPr>
  </w:style>
  <w:style w:type="paragraph" w:customStyle="1" w:styleId="333">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autoRedefine/>
    <w:qFormat/>
    <w:uiPriority w:val="0"/>
    <w:pPr>
      <w:spacing w:line="360" w:lineRule="auto"/>
      <w:ind w:left="200" w:leftChars="200"/>
    </w:pPr>
    <w:rPr>
      <w:rFonts w:ascii="宋体" w:hAnsi="宋体"/>
      <w:b/>
      <w:sz w:val="24"/>
      <w:szCs w:val="24"/>
    </w:rPr>
  </w:style>
  <w:style w:type="paragraph" w:customStyle="1" w:styleId="335">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autoRedefine/>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autoRedefine/>
    <w:qFormat/>
    <w:uiPriority w:val="0"/>
    <w:pPr>
      <w:spacing w:line="360" w:lineRule="auto"/>
    </w:pPr>
    <w:rPr>
      <w:rFonts w:eastAsia="仿宋_GB2312"/>
      <w:sz w:val="24"/>
      <w:szCs w:val="24"/>
    </w:rPr>
  </w:style>
  <w:style w:type="paragraph" w:customStyle="1" w:styleId="341">
    <w:name w:val="正文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9"/>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6"/>
    <w:autoRedefine/>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autoRedefine/>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autoRedefin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autoRedefine/>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autoRedefine/>
    <w:qFormat/>
    <w:uiPriority w:val="0"/>
    <w:pPr>
      <w:numPr>
        <w:ilvl w:val="1"/>
        <w:numId w:val="4"/>
      </w:numPr>
      <w:spacing w:line="413" w:lineRule="auto"/>
    </w:pPr>
    <w:rPr>
      <w:rFonts w:ascii="Arial" w:hAnsi="Arial" w:eastAsia="黑体"/>
      <w:b w:val="0"/>
      <w:sz w:val="28"/>
      <w:szCs w:val="20"/>
    </w:rPr>
  </w:style>
  <w:style w:type="paragraph" w:customStyle="1" w:styleId="35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autoRedefine/>
    <w:qFormat/>
    <w:uiPriority w:val="0"/>
    <w:pPr>
      <w:spacing w:afterLines="50" w:line="360" w:lineRule="auto"/>
    </w:pPr>
    <w:rPr>
      <w:rFonts w:ascii="Tahoma" w:hAnsi="Tahoma"/>
      <w:sz w:val="24"/>
    </w:rPr>
  </w:style>
  <w:style w:type="paragraph" w:customStyle="1" w:styleId="358">
    <w:name w:val="项目符号，二级"/>
    <w:basedOn w:val="263"/>
    <w:next w:val="263"/>
    <w:autoRedefine/>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autoRedefine/>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autoRedefine/>
    <w:qFormat/>
    <w:uiPriority w:val="0"/>
    <w:rPr>
      <w:rFonts w:ascii="Tahoma" w:hAnsi="Tahoma" w:cs="Tahoma"/>
      <w:sz w:val="24"/>
    </w:rPr>
  </w:style>
  <w:style w:type="paragraph" w:customStyle="1" w:styleId="361">
    <w:name w:val="Char Char Char Char Char1"/>
    <w:basedOn w:val="1"/>
    <w:autoRedefine/>
    <w:qFormat/>
    <w:uiPriority w:val="0"/>
    <w:rPr>
      <w:rFonts w:ascii="Tahoma" w:hAnsi="Tahoma" w:cs="Tahoma"/>
      <w:sz w:val="24"/>
    </w:rPr>
  </w:style>
  <w:style w:type="paragraph" w:customStyle="1" w:styleId="362">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365">
    <w:name w:val="样式1"/>
    <w:basedOn w:val="1"/>
    <w:autoRedefine/>
    <w:qFormat/>
    <w:uiPriority w:val="0"/>
    <w:pPr>
      <w:spacing w:line="300" w:lineRule="auto"/>
      <w:ind w:firstLine="480" w:firstLineChars="200"/>
    </w:pPr>
    <w:rPr>
      <w:sz w:val="24"/>
      <w:szCs w:val="24"/>
    </w:rPr>
  </w:style>
  <w:style w:type="paragraph" w:customStyle="1" w:styleId="366">
    <w:name w:val="Bullets L1"/>
    <w:basedOn w:val="1"/>
    <w:autoRedefine/>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autoRedefine/>
    <w:qFormat/>
    <w:uiPriority w:val="0"/>
    <w:pPr>
      <w:spacing w:line="360" w:lineRule="auto"/>
      <w:ind w:firstLine="480"/>
    </w:pPr>
    <w:rPr>
      <w:rFonts w:cs="宋体"/>
      <w:sz w:val="24"/>
    </w:rPr>
  </w:style>
  <w:style w:type="paragraph" w:customStyle="1" w:styleId="370">
    <w:name w:val="Char2"/>
    <w:basedOn w:val="1"/>
    <w:autoRedefine/>
    <w:qFormat/>
    <w:uiPriority w:val="0"/>
    <w:rPr>
      <w:rFonts w:ascii="Tahoma" w:hAnsi="Tahoma" w:cs="仿宋_GB2312"/>
      <w:sz w:val="24"/>
      <w:szCs w:val="28"/>
    </w:rPr>
  </w:style>
  <w:style w:type="paragraph" w:customStyle="1" w:styleId="371">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374">
    <w:name w:val="论文正文"/>
    <w:basedOn w:val="35"/>
    <w:autoRedefine/>
    <w:qFormat/>
    <w:uiPriority w:val="0"/>
    <w:pPr>
      <w:spacing w:line="360" w:lineRule="auto"/>
      <w:ind w:left="0" w:firstLine="200" w:firstLineChars="200"/>
      <w:jc w:val="left"/>
    </w:pPr>
    <w:rPr>
      <w:sz w:val="28"/>
      <w:szCs w:val="24"/>
    </w:rPr>
  </w:style>
  <w:style w:type="paragraph" w:customStyle="1" w:styleId="375">
    <w:name w:val="列出段落3"/>
    <w:basedOn w:val="1"/>
    <w:autoRedefine/>
    <w:qFormat/>
    <w:uiPriority w:val="0"/>
    <w:pPr>
      <w:ind w:firstLine="420" w:firstLineChars="200"/>
    </w:pPr>
    <w:rPr>
      <w:szCs w:val="24"/>
    </w:rPr>
  </w:style>
  <w:style w:type="paragraph" w:customStyle="1" w:styleId="376">
    <w:name w:val="丁华标题1"/>
    <w:basedOn w:val="2"/>
    <w:next w:val="244"/>
    <w:autoRedefine/>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autoRedefine/>
    <w:qFormat/>
    <w:uiPriority w:val="0"/>
    <w:pPr>
      <w:tabs>
        <w:tab w:val="left" w:pos="1620"/>
      </w:tabs>
      <w:adjustRightInd w:val="0"/>
      <w:jc w:val="center"/>
    </w:pPr>
    <w:rPr>
      <w:bCs/>
      <w:color w:val="000000"/>
      <w:szCs w:val="22"/>
    </w:rPr>
  </w:style>
  <w:style w:type="paragraph" w:customStyle="1" w:styleId="378">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autoRedefine/>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8"/>
    <w:autoRedefine/>
    <w:qFormat/>
    <w:uiPriority w:val="0"/>
    <w:pPr>
      <w:spacing w:beforeLines="50" w:afterLines="50"/>
      <w:jc w:val="left"/>
    </w:pPr>
    <w:rPr>
      <w:rFonts w:cs="宋体"/>
      <w:bCs/>
      <w:sz w:val="30"/>
    </w:rPr>
  </w:style>
  <w:style w:type="paragraph" w:customStyle="1" w:styleId="383">
    <w:name w:val="Char Char Char Char Char Char Char Char Char Char Char1"/>
    <w:basedOn w:val="1"/>
    <w:autoRedefine/>
    <w:qFormat/>
    <w:uiPriority w:val="0"/>
    <w:rPr>
      <w:rFonts w:ascii="Tahoma" w:hAnsi="Tahoma"/>
      <w:sz w:val="24"/>
    </w:rPr>
  </w:style>
  <w:style w:type="paragraph" w:customStyle="1" w:styleId="384">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385">
    <w:name w:val="font14"/>
    <w:basedOn w:val="1"/>
    <w:autoRedefine/>
    <w:qFormat/>
    <w:uiPriority w:val="0"/>
    <w:pPr>
      <w:widowControl/>
      <w:spacing w:before="100" w:beforeAutospacing="1" w:after="100" w:afterAutospacing="1"/>
      <w:jc w:val="left"/>
    </w:pPr>
    <w:rPr>
      <w:kern w:val="0"/>
      <w:sz w:val="36"/>
      <w:szCs w:val="36"/>
    </w:rPr>
  </w:style>
  <w:style w:type="paragraph" w:customStyle="1" w:styleId="38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88">
    <w:name w:val="Test2"/>
    <w:basedOn w:val="3"/>
    <w:autoRedefine/>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92">
    <w:name w:val="Default Text"/>
    <w:basedOn w:val="1"/>
    <w:autoRedefine/>
    <w:qFormat/>
    <w:uiPriority w:val="0"/>
    <w:pPr>
      <w:widowControl/>
      <w:jc w:val="left"/>
    </w:pPr>
    <w:rPr>
      <w:kern w:val="0"/>
      <w:sz w:val="24"/>
      <w:lang w:eastAsia="en-US"/>
    </w:rPr>
  </w:style>
  <w:style w:type="paragraph" w:customStyle="1" w:styleId="39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autoRedefine/>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autoRedefine/>
    <w:qFormat/>
    <w:uiPriority w:val="0"/>
    <w:pPr>
      <w:widowControl/>
      <w:tabs>
        <w:tab w:val="left" w:pos="2240"/>
      </w:tabs>
      <w:ind w:hanging="420"/>
      <w:outlineLvl w:val="3"/>
    </w:pPr>
    <w:rPr>
      <w:rFonts w:eastAsia="黑体"/>
      <w:kern w:val="0"/>
    </w:rPr>
  </w:style>
  <w:style w:type="paragraph" w:customStyle="1" w:styleId="398">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autoRedefine/>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autoRedefine/>
    <w:qFormat/>
    <w:uiPriority w:val="0"/>
    <w:pPr>
      <w:spacing w:line="360" w:lineRule="auto"/>
      <w:ind w:firstLine="420" w:firstLineChars="200"/>
    </w:pPr>
    <w:rPr>
      <w:szCs w:val="24"/>
    </w:rPr>
  </w:style>
  <w:style w:type="paragraph" w:customStyle="1" w:styleId="402">
    <w:name w:val="Char Char Char Char Char Char Char Char1"/>
    <w:basedOn w:val="1"/>
    <w:autoRedefine/>
    <w:qFormat/>
    <w:uiPriority w:val="0"/>
    <w:rPr>
      <w:rFonts w:ascii="Tahoma" w:hAnsi="Tahoma" w:cs="Tahoma"/>
      <w:sz w:val="24"/>
    </w:rPr>
  </w:style>
  <w:style w:type="paragraph" w:customStyle="1" w:styleId="403">
    <w:name w:val="Char Char Char Char1"/>
    <w:basedOn w:val="21"/>
    <w:autoRedefine/>
    <w:qFormat/>
    <w:uiPriority w:val="0"/>
    <w:pPr>
      <w:adjustRightInd w:val="0"/>
      <w:snapToGrid w:val="0"/>
      <w:spacing w:line="360" w:lineRule="auto"/>
    </w:pPr>
    <w:rPr>
      <w:rFonts w:ascii="Tahoma" w:hAnsi="Tahoma"/>
      <w:sz w:val="24"/>
      <w:szCs w:val="24"/>
    </w:rPr>
  </w:style>
  <w:style w:type="paragraph" w:customStyle="1" w:styleId="404">
    <w:name w:val="正文1"/>
    <w:basedOn w:val="1"/>
    <w:autoRedefine/>
    <w:qFormat/>
    <w:uiPriority w:val="0"/>
    <w:rPr>
      <w:rFonts w:ascii="Calibri" w:hAnsi="Calibri" w:eastAsia="Times New Roman" w:cs="宋体"/>
      <w:kern w:val="0"/>
      <w:lang w:val="zh-CN"/>
    </w:rPr>
  </w:style>
  <w:style w:type="paragraph" w:customStyle="1" w:styleId="405">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autoRedefine/>
    <w:qFormat/>
    <w:uiPriority w:val="0"/>
    <w:rPr>
      <w:rFonts w:ascii="Calibri" w:hAnsi="Calibri" w:eastAsia="Times New Roman" w:cs="宋体"/>
      <w:kern w:val="0"/>
      <w:lang w:val="zh-CN"/>
    </w:rPr>
  </w:style>
  <w:style w:type="paragraph" w:customStyle="1" w:styleId="408">
    <w:name w:val="纯文本1"/>
    <w:basedOn w:val="1"/>
    <w:autoRedefine/>
    <w:qFormat/>
    <w:uiPriority w:val="0"/>
    <w:pPr>
      <w:adjustRightInd w:val="0"/>
      <w:textAlignment w:val="baseline"/>
    </w:pPr>
    <w:rPr>
      <w:rFonts w:ascii="宋体" w:hAnsi="宋体" w:eastAsia="楷体_GB2312" w:cs="宋体"/>
      <w:sz w:val="28"/>
    </w:rPr>
  </w:style>
  <w:style w:type="paragraph" w:customStyle="1" w:styleId="409">
    <w:name w:val="正文lzq"/>
    <w:basedOn w:val="1"/>
    <w:autoRedefine/>
    <w:qFormat/>
    <w:uiPriority w:val="0"/>
    <w:pPr>
      <w:adjustRightInd w:val="0"/>
      <w:spacing w:line="360" w:lineRule="auto"/>
      <w:ind w:firstLine="480"/>
      <w:textAlignment w:val="baseline"/>
    </w:pPr>
    <w:rPr>
      <w:kern w:val="0"/>
      <w:sz w:val="24"/>
    </w:rPr>
  </w:style>
  <w:style w:type="paragraph" w:customStyle="1" w:styleId="410">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autoRedefine/>
    <w:qFormat/>
    <w:uiPriority w:val="0"/>
    <w:rPr>
      <w:rFonts w:ascii="Tahoma" w:hAnsi="Tahoma"/>
      <w:sz w:val="24"/>
    </w:rPr>
  </w:style>
  <w:style w:type="paragraph" w:customStyle="1" w:styleId="412">
    <w:name w:val="Char Char Char"/>
    <w:basedOn w:val="1"/>
    <w:autoRedefine/>
    <w:qFormat/>
    <w:uiPriority w:val="0"/>
    <w:rPr>
      <w:rFonts w:ascii="Tahoma" w:hAnsi="Tahoma"/>
      <w:sz w:val="24"/>
    </w:rPr>
  </w:style>
  <w:style w:type="paragraph" w:customStyle="1" w:styleId="413">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autoRedefine/>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autoRedefine/>
    <w:qFormat/>
    <w:uiPriority w:val="0"/>
    <w:pPr>
      <w:outlineLvl w:val="1"/>
    </w:pPr>
    <w:rPr>
      <w:rFonts w:ascii="仿宋_GB2312" w:hAnsi="宋体" w:eastAsia="仿宋_GB2312"/>
      <w:kern w:val="28"/>
      <w:sz w:val="28"/>
      <w:szCs w:val="24"/>
    </w:rPr>
  </w:style>
  <w:style w:type="paragraph" w:customStyle="1" w:styleId="417">
    <w:name w:val="文档正文"/>
    <w:basedOn w:val="1"/>
    <w:autoRedefine/>
    <w:qFormat/>
    <w:uiPriority w:val="0"/>
    <w:pPr>
      <w:spacing w:line="360" w:lineRule="auto"/>
    </w:pPr>
    <w:rPr>
      <w:rFonts w:ascii="宋体" w:hAnsi="宋体"/>
      <w:b/>
      <w:bCs/>
      <w:szCs w:val="24"/>
    </w:rPr>
  </w:style>
  <w:style w:type="paragraph" w:customStyle="1" w:styleId="418">
    <w:name w:val="Char Char Char Char Char Char Char Char Char Char Char"/>
    <w:basedOn w:val="1"/>
    <w:autoRedefine/>
    <w:qFormat/>
    <w:uiPriority w:val="0"/>
    <w:rPr>
      <w:rFonts w:ascii="Tahoma" w:hAnsi="Tahoma" w:cs="Tahoma"/>
      <w:sz w:val="24"/>
    </w:rPr>
  </w:style>
  <w:style w:type="paragraph" w:customStyle="1" w:styleId="419">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10"/>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autoRedefine/>
    <w:semiHidden/>
    <w:qFormat/>
    <w:uiPriority w:val="99"/>
    <w:rPr>
      <w:rFonts w:ascii="Times New Roman" w:hAnsi="Times New Roman" w:eastAsia="宋体" w:cs="Times New Roman"/>
      <w:szCs w:val="24"/>
    </w:rPr>
  </w:style>
  <w:style w:type="paragraph" w:styleId="423">
    <w:name w:val="List Paragraph"/>
    <w:basedOn w:val="1"/>
    <w:autoRedefine/>
    <w:qFormat/>
    <w:uiPriority w:val="99"/>
    <w:pPr>
      <w:ind w:firstLine="420" w:firstLineChars="200"/>
    </w:pPr>
    <w:rPr>
      <w:szCs w:val="24"/>
    </w:rPr>
  </w:style>
  <w:style w:type="paragraph" w:customStyle="1" w:styleId="424">
    <w:name w:val="二级无"/>
    <w:basedOn w:val="1"/>
    <w:autoRedefine/>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autoRedefine/>
    <w:qFormat/>
    <w:uiPriority w:val="0"/>
    <w:rPr>
      <w:rFonts w:hint="eastAsia" w:ascii="宋体" w:hAnsi="宋体" w:eastAsia="宋体" w:cs="宋体"/>
      <w:color w:val="000000"/>
      <w:sz w:val="24"/>
      <w:szCs w:val="24"/>
      <w:u w:val="none"/>
    </w:rPr>
  </w:style>
  <w:style w:type="character" w:customStyle="1" w:styleId="426">
    <w:name w:val="font31"/>
    <w:basedOn w:val="63"/>
    <w:autoRedefine/>
    <w:qFormat/>
    <w:uiPriority w:val="0"/>
    <w:rPr>
      <w:rFonts w:hint="default" w:ascii="楷体_GB2312" w:eastAsia="楷体_GB2312" w:cs="楷体_GB2312"/>
      <w:color w:val="000000"/>
      <w:sz w:val="24"/>
      <w:szCs w:val="24"/>
      <w:u w:val="none"/>
    </w:rPr>
  </w:style>
  <w:style w:type="character" w:customStyle="1" w:styleId="427">
    <w:name w:val="tit"/>
    <w:basedOn w:val="63"/>
    <w:autoRedefine/>
    <w:qFormat/>
    <w:uiPriority w:val="0"/>
    <w:rPr>
      <w:color w:val="333333"/>
      <w:sz w:val="24"/>
      <w:szCs w:val="24"/>
    </w:rPr>
  </w:style>
  <w:style w:type="character" w:customStyle="1" w:styleId="428">
    <w:name w:val="img_title18"/>
    <w:basedOn w:val="63"/>
    <w:autoRedefine/>
    <w:qFormat/>
    <w:uiPriority w:val="0"/>
    <w:rPr>
      <w:vanish/>
    </w:rPr>
  </w:style>
  <w:style w:type="character" w:customStyle="1" w:styleId="429">
    <w:name w:val="nostart"/>
    <w:basedOn w:val="63"/>
    <w:autoRedefine/>
    <w:qFormat/>
    <w:uiPriority w:val="0"/>
    <w:rPr>
      <w:rFonts w:ascii="Arial" w:hAnsi="Arial" w:cs="Arial"/>
      <w:color w:val="DD0000"/>
      <w:sz w:val="19"/>
      <w:szCs w:val="19"/>
    </w:rPr>
  </w:style>
  <w:style w:type="character" w:customStyle="1" w:styleId="430">
    <w:name w:val="starting"/>
    <w:basedOn w:val="63"/>
    <w:autoRedefine/>
    <w:qFormat/>
    <w:uiPriority w:val="0"/>
    <w:rPr>
      <w:color w:val="13844D"/>
    </w:rPr>
  </w:style>
  <w:style w:type="character" w:customStyle="1" w:styleId="431">
    <w:name w:val="hit"/>
    <w:basedOn w:val="63"/>
    <w:autoRedefine/>
    <w:qFormat/>
    <w:uiPriority w:val="0"/>
  </w:style>
  <w:style w:type="character" w:customStyle="1" w:styleId="432">
    <w:name w:val="c3"/>
    <w:basedOn w:val="63"/>
    <w:autoRedefine/>
    <w:qFormat/>
    <w:uiPriority w:val="0"/>
  </w:style>
  <w:style w:type="character" w:customStyle="1" w:styleId="433">
    <w:name w:val="over8"/>
    <w:basedOn w:val="63"/>
    <w:autoRedefine/>
    <w:qFormat/>
    <w:uiPriority w:val="0"/>
    <w:rPr>
      <w:color w:val="999999"/>
      <w:sz w:val="19"/>
      <w:szCs w:val="19"/>
    </w:rPr>
  </w:style>
  <w:style w:type="character" w:customStyle="1" w:styleId="434">
    <w:name w:val="right4"/>
    <w:basedOn w:val="63"/>
    <w:autoRedefine/>
    <w:qFormat/>
    <w:uiPriority w:val="0"/>
    <w:rPr>
      <w:color w:val="A1A1A1"/>
    </w:rPr>
  </w:style>
  <w:style w:type="character" w:customStyle="1" w:styleId="435">
    <w:name w:val="msg-box8"/>
    <w:basedOn w:val="63"/>
    <w:autoRedefine/>
    <w:qFormat/>
    <w:uiPriority w:val="0"/>
  </w:style>
  <w:style w:type="character" w:customStyle="1" w:styleId="436">
    <w:name w:val="c2"/>
    <w:basedOn w:val="63"/>
    <w:autoRedefine/>
    <w:qFormat/>
    <w:uiPriority w:val="0"/>
  </w:style>
  <w:style w:type="character" w:customStyle="1" w:styleId="437">
    <w:name w:val="c1"/>
    <w:basedOn w:val="63"/>
    <w:autoRedefine/>
    <w:qFormat/>
    <w:uiPriority w:val="0"/>
  </w:style>
  <w:style w:type="character" w:customStyle="1" w:styleId="438">
    <w:name w:val="tit4"/>
    <w:basedOn w:val="63"/>
    <w:autoRedefine/>
    <w:qFormat/>
    <w:uiPriority w:val="0"/>
    <w:rPr>
      <w:color w:val="333333"/>
      <w:sz w:val="24"/>
      <w:szCs w:val="24"/>
    </w:rPr>
  </w:style>
  <w:style w:type="character" w:customStyle="1" w:styleId="439">
    <w:name w:val="starting8"/>
    <w:basedOn w:val="63"/>
    <w:autoRedefine/>
    <w:qFormat/>
    <w:uiPriority w:val="0"/>
    <w:rPr>
      <w:color w:val="13844D"/>
    </w:rPr>
  </w:style>
  <w:style w:type="character" w:customStyle="1" w:styleId="440">
    <w:name w:val="nostart8"/>
    <w:basedOn w:val="63"/>
    <w:autoRedefine/>
    <w:qFormat/>
    <w:uiPriority w:val="0"/>
    <w:rPr>
      <w:color w:val="DD0000"/>
    </w:rPr>
  </w:style>
  <w:style w:type="character" w:customStyle="1" w:styleId="441">
    <w:name w:val="over"/>
    <w:basedOn w:val="63"/>
    <w:autoRedefine/>
    <w:qFormat/>
    <w:uiPriority w:val="0"/>
    <w:rPr>
      <w:color w:val="999999"/>
      <w:sz w:val="19"/>
      <w:szCs w:val="19"/>
    </w:rPr>
  </w:style>
  <w:style w:type="character" w:customStyle="1" w:styleId="442">
    <w:name w:val="msg-box"/>
    <w:basedOn w:val="63"/>
    <w:autoRedefine/>
    <w:qFormat/>
    <w:uiPriority w:val="0"/>
  </w:style>
  <w:style w:type="character" w:customStyle="1" w:styleId="443">
    <w:name w:val="img_title"/>
    <w:basedOn w:val="63"/>
    <w:autoRedefine/>
    <w:qFormat/>
    <w:uiPriority w:val="0"/>
    <w:rPr>
      <w:vanish/>
    </w:rPr>
  </w:style>
  <w:style w:type="character" w:customStyle="1" w:styleId="444">
    <w:name w:val="right3"/>
    <w:basedOn w:val="63"/>
    <w:autoRedefine/>
    <w:qFormat/>
    <w:uiPriority w:val="0"/>
    <w:rPr>
      <w:color w:val="A1A1A1"/>
    </w:rPr>
  </w:style>
  <w:style w:type="character" w:customStyle="1" w:styleId="445">
    <w:name w:val="right"/>
    <w:basedOn w:val="63"/>
    <w:autoRedefine/>
    <w:qFormat/>
    <w:uiPriority w:val="0"/>
    <w:rPr>
      <w:color w:val="A1A1A1"/>
    </w:rPr>
  </w:style>
  <w:style w:type="character" w:customStyle="1" w:styleId="446">
    <w:name w:val="starting7"/>
    <w:basedOn w:val="63"/>
    <w:autoRedefine/>
    <w:qFormat/>
    <w:uiPriority w:val="0"/>
    <w:rPr>
      <w:color w:val="13844D"/>
    </w:rPr>
  </w:style>
  <w:style w:type="character" w:customStyle="1" w:styleId="447">
    <w:name w:val="tit3"/>
    <w:basedOn w:val="63"/>
    <w:autoRedefine/>
    <w:qFormat/>
    <w:uiPriority w:val="0"/>
    <w:rPr>
      <w:color w:val="333333"/>
      <w:sz w:val="24"/>
      <w:szCs w:val="24"/>
    </w:rPr>
  </w:style>
  <w:style w:type="character" w:customStyle="1" w:styleId="448">
    <w:name w:val="nostart5"/>
    <w:basedOn w:val="63"/>
    <w:autoRedefine/>
    <w:qFormat/>
    <w:uiPriority w:val="0"/>
    <w:rPr>
      <w:color w:val="DD0000"/>
    </w:rPr>
  </w:style>
  <w:style w:type="character" w:customStyle="1" w:styleId="449">
    <w:name w:val="starting5"/>
    <w:basedOn w:val="63"/>
    <w:autoRedefine/>
    <w:qFormat/>
    <w:uiPriority w:val="0"/>
    <w:rPr>
      <w:color w:val="13844D"/>
    </w:rPr>
  </w:style>
  <w:style w:type="paragraph" w:customStyle="1" w:styleId="450">
    <w:name w:val="Body Text First Indent 21"/>
    <w:basedOn w:val="451"/>
    <w:autoRedefine/>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autoRedefine/>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autoRedefine/>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autoRedefine/>
    <w:qFormat/>
    <w:uiPriority w:val="0"/>
  </w:style>
  <w:style w:type="character" w:customStyle="1" w:styleId="454">
    <w:name w:val="layui-layer-tabnow"/>
    <w:basedOn w:val="63"/>
    <w:autoRedefine/>
    <w:qFormat/>
    <w:uiPriority w:val="0"/>
    <w:rPr>
      <w:bdr w:val="single" w:color="CCCCCC" w:sz="6" w:space="0"/>
      <w:shd w:val="clear" w:color="auto" w:fill="FFFFFF"/>
    </w:rPr>
  </w:style>
  <w:style w:type="character" w:customStyle="1" w:styleId="455">
    <w:name w:val="font41"/>
    <w:basedOn w:val="63"/>
    <w:autoRedefine/>
    <w:qFormat/>
    <w:uiPriority w:val="0"/>
    <w:rPr>
      <w:rFonts w:hint="eastAsia" w:ascii="宋体" w:hAnsi="宋体" w:eastAsia="宋体" w:cs="宋体"/>
      <w:color w:val="000000"/>
      <w:sz w:val="22"/>
      <w:szCs w:val="22"/>
      <w:u w:val="none"/>
    </w:rPr>
  </w:style>
  <w:style w:type="character" w:customStyle="1" w:styleId="456">
    <w:name w:val="font51"/>
    <w:basedOn w:val="63"/>
    <w:autoRedefine/>
    <w:qFormat/>
    <w:uiPriority w:val="0"/>
    <w:rPr>
      <w:rFonts w:hint="eastAsia" w:ascii="宋体" w:hAnsi="宋体" w:eastAsia="宋体" w:cs="宋体"/>
      <w:color w:val="000000"/>
      <w:sz w:val="24"/>
      <w:szCs w:val="24"/>
      <w:u w:val="none"/>
    </w:rPr>
  </w:style>
  <w:style w:type="character" w:customStyle="1" w:styleId="457">
    <w:name w:val="font112"/>
    <w:basedOn w:val="63"/>
    <w:qFormat/>
    <w:uiPriority w:val="0"/>
    <w:rPr>
      <w:rFonts w:hint="eastAsia" w:ascii="宋体" w:hAnsi="宋体" w:eastAsia="宋体" w:cs="宋体"/>
      <w:color w:val="000000"/>
      <w:sz w:val="22"/>
      <w:szCs w:val="22"/>
      <w:u w:val="none"/>
    </w:rPr>
  </w:style>
  <w:style w:type="character" w:customStyle="1" w:styleId="458">
    <w:name w:val="font141"/>
    <w:basedOn w:val="63"/>
    <w:qFormat/>
    <w:uiPriority w:val="0"/>
    <w:rPr>
      <w:rFonts w:hint="eastAsia" w:ascii="宋体" w:hAnsi="宋体" w:eastAsia="宋体" w:cs="宋体"/>
      <w:color w:val="FF0000"/>
      <w:sz w:val="22"/>
      <w:szCs w:val="22"/>
      <w:u w:val="none"/>
    </w:rPr>
  </w:style>
  <w:style w:type="paragraph" w:customStyle="1" w:styleId="459">
    <w:name w:val="_Style 13"/>
    <w:qFormat/>
    <w:uiPriority w:val="0"/>
    <w:pPr>
      <w:spacing w:before="120" w:after="120" w:line="288" w:lineRule="auto"/>
      <w:ind w:left="0"/>
      <w:jc w:val="left"/>
    </w:pPr>
    <w:rPr>
      <w:rFonts w:ascii="Arial" w:hAnsi="Arial" w:eastAsia="等线" w:cs="Arial"/>
      <w:sz w:val="22"/>
      <w:szCs w:val="22"/>
    </w:rPr>
  </w:style>
  <w:style w:type="character" w:customStyle="1" w:styleId="460">
    <w:name w:val="NormalCharacter"/>
    <w:link w:val="461"/>
    <w:qFormat/>
    <w:uiPriority w:val="0"/>
  </w:style>
  <w:style w:type="paragraph" w:customStyle="1" w:styleId="461">
    <w:name w:val="UserStyle_0"/>
    <w:basedOn w:val="1"/>
    <w:link w:val="460"/>
    <w:qFormat/>
    <w:uiPriority w:val="0"/>
    <w:pPr>
      <w:spacing w:line="600" w:lineRule="exact"/>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47</Pages>
  <Words>13279</Words>
  <Characters>14141</Characters>
  <Lines>69</Lines>
  <Paragraphs>19</Paragraphs>
  <TotalTime>2</TotalTime>
  <ScaleCrop>false</ScaleCrop>
  <LinksUpToDate>false</LinksUpToDate>
  <CharactersWithSpaces>14440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2023-12-14T01:03:00Z</cp:lastPrinted>
  <dcterms:modified xsi:type="dcterms:W3CDTF">2026-08-05T00:56:25Z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A4EE9A3470BD40C3A3485AE4F5791652_13</vt:lpwstr>
  </property>
  <property fmtid="{D5CDD505-2E9C-101B-9397-08002B2CF9AE}" pid="4" name="KSOTemplateDocerSaveRecord">
    <vt:lpwstr>eyJoZGlkIjoiODg5OTFhMDZlNTRlMDA0MmIxOWM3MTZhYWRlMmFjYWMiLCJ1c2VySWQiOiI1MDM3OTU2NDYifQ==</vt:lpwstr>
  </property>
</Properties>
</file>