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752D4B">
      <w:pPr>
        <w:pStyle w:val="30"/>
        <w:ind w:left="0" w:leftChars="0" w:firstLine="0" w:firstLineChars="0"/>
        <w:jc w:val="center"/>
        <w:rPr>
          <w:rFonts w:hint="eastAsia" w:ascii="宋体" w:hAnsi="宋体" w:cs="宋体"/>
          <w:b w:val="0"/>
          <w:bCs/>
          <w:color w:val="000000"/>
          <w:sz w:val="48"/>
          <w:szCs w:val="48"/>
          <w:lang w:val="en-US" w:eastAsia="zh-CN"/>
        </w:rPr>
      </w:pPr>
      <w:bookmarkStart w:id="0" w:name="_Toc28359011"/>
      <w:bookmarkStart w:id="1" w:name="_Toc35393797"/>
      <w:r>
        <w:rPr>
          <w:rFonts w:hint="eastAsia" w:ascii="宋体" w:hAnsi="宋体" w:cs="宋体"/>
          <w:b w:val="0"/>
          <w:bCs/>
          <w:color w:val="000000"/>
          <w:sz w:val="48"/>
          <w:szCs w:val="48"/>
          <w:lang w:val="en-US" w:eastAsia="zh-CN"/>
        </w:rPr>
        <w:t>安庆港中心港区皖河新港一期边检</w:t>
      </w:r>
    </w:p>
    <w:p w14:paraId="68537BD4">
      <w:pPr>
        <w:pStyle w:val="30"/>
        <w:ind w:left="0" w:leftChars="0" w:firstLine="0" w:firstLineChars="0"/>
        <w:jc w:val="center"/>
        <w:rPr>
          <w:rFonts w:hint="default" w:ascii="宋体" w:hAnsi="宋体" w:cs="宋体"/>
          <w:b w:val="0"/>
          <w:bCs/>
          <w:color w:val="000000"/>
          <w:sz w:val="48"/>
          <w:szCs w:val="48"/>
          <w:lang w:val="en-US" w:eastAsia="zh-CN"/>
        </w:rPr>
      </w:pPr>
      <w:r>
        <w:rPr>
          <w:rFonts w:hint="eastAsia" w:ascii="宋体" w:hAnsi="宋体" w:cs="宋体"/>
          <w:b w:val="0"/>
          <w:bCs/>
          <w:color w:val="000000"/>
          <w:sz w:val="48"/>
          <w:szCs w:val="48"/>
          <w:lang w:val="en-US" w:eastAsia="zh-CN"/>
        </w:rPr>
        <w:t>办公物资采购</w:t>
      </w:r>
    </w:p>
    <w:p w14:paraId="5E399F5C">
      <w:pPr>
        <w:pStyle w:val="30"/>
        <w:ind w:left="0" w:leftChars="0" w:firstLine="0" w:firstLineChars="0"/>
        <w:jc w:val="center"/>
        <w:rPr>
          <w:rFonts w:hint="eastAsia" w:ascii="宋体" w:hAnsi="宋体" w:cs="宋体"/>
          <w:b w:val="0"/>
          <w:bCs/>
          <w:color w:val="000000"/>
          <w:sz w:val="48"/>
          <w:szCs w:val="48"/>
          <w:lang w:val="en-US" w:eastAsia="zh-CN"/>
        </w:rPr>
      </w:pPr>
    </w:p>
    <w:p w14:paraId="6947D9AC">
      <w:pPr>
        <w:spacing w:line="360" w:lineRule="auto"/>
        <w:jc w:val="center"/>
        <w:rPr>
          <w:rFonts w:ascii="宋体" w:hAnsi="宋体" w:eastAsia="宋体" w:cs="宋体"/>
          <w:b w:val="0"/>
          <w:bCs/>
          <w:color w:val="000000"/>
          <w:sz w:val="52"/>
          <w:szCs w:val="52"/>
        </w:rPr>
      </w:pPr>
      <w:r>
        <w:rPr>
          <w:rFonts w:hint="eastAsia" w:ascii="宋体" w:hAnsi="宋体" w:eastAsia="宋体" w:cs="宋体"/>
          <w:b w:val="0"/>
          <w:bCs/>
          <w:color w:val="000000"/>
          <w:sz w:val="52"/>
          <w:szCs w:val="52"/>
        </w:rPr>
        <w:t xml:space="preserve"> 询</w:t>
      </w:r>
      <w:r>
        <w:rPr>
          <w:rFonts w:hint="eastAsia" w:ascii="宋体" w:hAnsi="宋体" w:eastAsia="宋体" w:cs="宋体"/>
          <w:b w:val="0"/>
          <w:bCs/>
          <w:color w:val="000000"/>
          <w:sz w:val="52"/>
          <w:szCs w:val="52"/>
          <w:lang w:val="en-US" w:eastAsia="zh-CN"/>
        </w:rPr>
        <w:t xml:space="preserve"> </w:t>
      </w:r>
      <w:r>
        <w:rPr>
          <w:rFonts w:hint="eastAsia" w:ascii="宋体" w:hAnsi="宋体" w:cs="宋体"/>
          <w:b w:val="0"/>
          <w:bCs/>
          <w:color w:val="000000"/>
          <w:sz w:val="52"/>
          <w:szCs w:val="52"/>
          <w:lang w:val="en-US" w:eastAsia="zh-CN"/>
        </w:rPr>
        <w:t>价</w:t>
      </w:r>
      <w:r>
        <w:rPr>
          <w:rFonts w:hint="eastAsia" w:ascii="宋体" w:hAnsi="宋体" w:eastAsia="宋体" w:cs="宋体"/>
          <w:b w:val="0"/>
          <w:bCs/>
          <w:color w:val="000000"/>
          <w:sz w:val="52"/>
          <w:szCs w:val="52"/>
          <w:lang w:val="en-US" w:eastAsia="zh-CN"/>
        </w:rPr>
        <w:t xml:space="preserve"> </w:t>
      </w:r>
      <w:r>
        <w:rPr>
          <w:rFonts w:hint="eastAsia" w:ascii="宋体" w:hAnsi="宋体" w:eastAsia="宋体" w:cs="宋体"/>
          <w:b w:val="0"/>
          <w:bCs/>
          <w:color w:val="000000"/>
          <w:sz w:val="52"/>
          <w:szCs w:val="52"/>
        </w:rPr>
        <w:t>文</w:t>
      </w:r>
      <w:r>
        <w:rPr>
          <w:rFonts w:hint="eastAsia" w:ascii="宋体" w:hAnsi="宋体" w:eastAsia="宋体" w:cs="宋体"/>
          <w:b w:val="0"/>
          <w:bCs/>
          <w:color w:val="000000"/>
          <w:sz w:val="52"/>
          <w:szCs w:val="52"/>
          <w:lang w:val="en-US" w:eastAsia="zh-CN"/>
        </w:rPr>
        <w:t xml:space="preserve"> </w:t>
      </w:r>
      <w:r>
        <w:rPr>
          <w:rFonts w:hint="eastAsia" w:ascii="宋体" w:hAnsi="宋体" w:eastAsia="宋体" w:cs="宋体"/>
          <w:b w:val="0"/>
          <w:bCs/>
          <w:color w:val="000000"/>
          <w:sz w:val="52"/>
          <w:szCs w:val="52"/>
        </w:rPr>
        <w:t>件</w:t>
      </w:r>
    </w:p>
    <w:p w14:paraId="69BCC247">
      <w:pPr>
        <w:spacing w:line="360" w:lineRule="auto"/>
        <w:ind w:firstLine="3360" w:firstLineChars="1400"/>
        <w:rPr>
          <w:rFonts w:hint="eastAsia" w:ascii="宋体" w:hAnsi="宋体" w:eastAsia="宋体" w:cs="宋体"/>
          <w:b w:val="0"/>
          <w:bCs/>
          <w:color w:val="000000"/>
          <w:sz w:val="24"/>
        </w:rPr>
      </w:pPr>
    </w:p>
    <w:p w14:paraId="4B4572F4">
      <w:pPr>
        <w:pStyle w:val="6"/>
        <w:rPr>
          <w:rFonts w:hint="eastAsia" w:ascii="宋体" w:hAnsi="宋体" w:eastAsia="宋体" w:cs="宋体"/>
          <w:b w:val="0"/>
          <w:bCs/>
          <w:color w:val="000000"/>
          <w:sz w:val="24"/>
        </w:rPr>
      </w:pPr>
    </w:p>
    <w:p w14:paraId="51B0414F">
      <w:pPr>
        <w:pStyle w:val="6"/>
        <w:rPr>
          <w:rFonts w:hint="eastAsia" w:ascii="宋体" w:hAnsi="宋体" w:eastAsia="宋体" w:cs="宋体"/>
          <w:b w:val="0"/>
          <w:bCs/>
          <w:color w:val="000000"/>
          <w:sz w:val="24"/>
        </w:rPr>
      </w:pPr>
    </w:p>
    <w:p w14:paraId="60F81CB2">
      <w:pPr>
        <w:pStyle w:val="6"/>
        <w:rPr>
          <w:rFonts w:hint="eastAsia" w:ascii="宋体" w:hAnsi="宋体" w:eastAsia="宋体" w:cs="宋体"/>
          <w:b w:val="0"/>
          <w:bCs/>
          <w:color w:val="000000"/>
          <w:sz w:val="24"/>
        </w:rPr>
      </w:pPr>
    </w:p>
    <w:p w14:paraId="36831B27">
      <w:pPr>
        <w:spacing w:line="360" w:lineRule="auto"/>
        <w:jc w:val="center"/>
        <w:rPr>
          <w:rFonts w:hint="default" w:ascii="宋体" w:hAnsi="宋体" w:eastAsia="宋体" w:cs="宋体"/>
          <w:b w:val="0"/>
          <w:bCs/>
          <w:color w:val="000000"/>
          <w:sz w:val="36"/>
          <w:szCs w:val="36"/>
          <w:lang w:val="en-US" w:eastAsia="zh-CN"/>
        </w:rPr>
      </w:pPr>
      <w:r>
        <w:rPr>
          <w:rFonts w:hint="eastAsia" w:ascii="宋体" w:hAnsi="宋体" w:eastAsia="宋体" w:cs="宋体"/>
          <w:b w:val="0"/>
          <w:bCs/>
          <w:color w:val="000000"/>
          <w:sz w:val="36"/>
          <w:szCs w:val="36"/>
        </w:rPr>
        <w:t>项目编号：</w:t>
      </w:r>
      <w:r>
        <w:rPr>
          <w:rFonts w:hint="eastAsia" w:ascii="宋体" w:hAnsi="宋体" w:cs="宋体"/>
          <w:b w:val="0"/>
          <w:bCs/>
          <w:color w:val="000000"/>
          <w:sz w:val="36"/>
          <w:szCs w:val="36"/>
          <w:lang w:eastAsia="zh-CN"/>
        </w:rPr>
        <w:t>AQJK-CG-2026-071</w:t>
      </w:r>
    </w:p>
    <w:p w14:paraId="0F614462">
      <w:pPr>
        <w:spacing w:line="360" w:lineRule="auto"/>
        <w:rPr>
          <w:rFonts w:ascii="宋体" w:hAnsi="宋体" w:eastAsia="宋体" w:cs="宋体"/>
          <w:b w:val="0"/>
          <w:bCs/>
          <w:color w:val="000000"/>
          <w:sz w:val="24"/>
        </w:rPr>
      </w:pPr>
    </w:p>
    <w:p w14:paraId="055D69E6">
      <w:pPr>
        <w:spacing w:line="360" w:lineRule="auto"/>
        <w:rPr>
          <w:rFonts w:ascii="宋体" w:hAnsi="宋体" w:eastAsia="宋体" w:cs="宋体"/>
          <w:b w:val="0"/>
          <w:bCs/>
          <w:color w:val="000000"/>
          <w:sz w:val="24"/>
        </w:rPr>
      </w:pPr>
    </w:p>
    <w:p w14:paraId="506A1248">
      <w:pPr>
        <w:spacing w:line="360" w:lineRule="auto"/>
        <w:rPr>
          <w:rFonts w:ascii="宋体" w:hAnsi="宋体" w:eastAsia="宋体" w:cs="宋体"/>
          <w:b w:val="0"/>
          <w:bCs/>
          <w:color w:val="000000"/>
          <w:sz w:val="24"/>
        </w:rPr>
      </w:pPr>
    </w:p>
    <w:p w14:paraId="4B5DDEE0">
      <w:pPr>
        <w:spacing w:line="360" w:lineRule="auto"/>
        <w:rPr>
          <w:rFonts w:ascii="宋体" w:hAnsi="宋体" w:eastAsia="宋体" w:cs="宋体"/>
          <w:b w:val="0"/>
          <w:bCs/>
          <w:color w:val="000000"/>
          <w:sz w:val="24"/>
        </w:rPr>
      </w:pPr>
    </w:p>
    <w:p w14:paraId="22B8CA7E">
      <w:pPr>
        <w:spacing w:line="360" w:lineRule="auto"/>
        <w:ind w:firstLine="594" w:firstLineChars="198"/>
        <w:jc w:val="both"/>
        <w:rPr>
          <w:rFonts w:hint="default" w:ascii="宋体" w:hAnsi="宋体" w:eastAsia="宋体" w:cs="宋体"/>
          <w:b w:val="0"/>
          <w:bCs/>
          <w:color w:val="000000"/>
          <w:szCs w:val="21"/>
          <w:lang w:val="en-US"/>
        </w:rPr>
      </w:pPr>
      <w:r>
        <w:rPr>
          <w:rFonts w:hint="eastAsia" w:ascii="宋体" w:hAnsi="宋体" w:eastAsia="宋体" w:cs="宋体"/>
          <w:b w:val="0"/>
          <w:bCs/>
          <w:color w:val="000000"/>
          <w:sz w:val="30"/>
          <w:szCs w:val="30"/>
        </w:rPr>
        <w:t>采购人：</w:t>
      </w:r>
      <w:r>
        <w:rPr>
          <w:rFonts w:hint="eastAsia" w:ascii="宋体" w:hAnsi="宋体" w:cs="宋体"/>
          <w:b w:val="0"/>
          <w:bCs/>
          <w:color w:val="000000"/>
          <w:sz w:val="30"/>
          <w:szCs w:val="30"/>
          <w:u w:val="single"/>
          <w:lang w:val="en-US" w:eastAsia="zh-CN"/>
        </w:rPr>
        <w:t xml:space="preserve">             安庆市安汇港务有限公司             </w:t>
      </w:r>
    </w:p>
    <w:p w14:paraId="0F74CA16">
      <w:pPr>
        <w:spacing w:line="360" w:lineRule="auto"/>
        <w:rPr>
          <w:rFonts w:ascii="宋体" w:hAnsi="宋体" w:eastAsia="宋体" w:cs="宋体"/>
          <w:b w:val="0"/>
          <w:bCs/>
          <w:color w:val="000000"/>
          <w:sz w:val="24"/>
        </w:rPr>
      </w:pPr>
    </w:p>
    <w:p w14:paraId="54D99397">
      <w:pPr>
        <w:spacing w:line="360" w:lineRule="auto"/>
        <w:rPr>
          <w:rFonts w:ascii="宋体" w:hAnsi="宋体" w:eastAsia="宋体" w:cs="宋体"/>
          <w:b w:val="0"/>
          <w:bCs/>
          <w:color w:val="000000"/>
          <w:sz w:val="24"/>
        </w:rPr>
      </w:pPr>
    </w:p>
    <w:p w14:paraId="35EB6784">
      <w:pPr>
        <w:widowControl w:val="0"/>
        <w:snapToGrid w:val="0"/>
        <w:jc w:val="left"/>
        <w:rPr>
          <w:rFonts w:ascii="宋体" w:hAnsi="宋体" w:eastAsia="宋体" w:cs="宋体"/>
          <w:b w:val="0"/>
          <w:bCs/>
          <w:color w:val="000000"/>
          <w:kern w:val="2"/>
          <w:sz w:val="24"/>
          <w:szCs w:val="18"/>
          <w:lang w:val="en-US" w:eastAsia="zh-CN" w:bidi="ar-SA"/>
        </w:rPr>
      </w:pPr>
    </w:p>
    <w:p w14:paraId="0DAAAB72">
      <w:pPr>
        <w:widowControl w:val="0"/>
        <w:snapToGrid w:val="0"/>
        <w:jc w:val="left"/>
        <w:rPr>
          <w:rFonts w:ascii="宋体" w:hAnsi="宋体" w:eastAsia="宋体" w:cs="宋体"/>
          <w:b w:val="0"/>
          <w:bCs/>
          <w:color w:val="000000"/>
          <w:kern w:val="2"/>
          <w:sz w:val="24"/>
          <w:szCs w:val="18"/>
          <w:lang w:val="en-US" w:eastAsia="zh-CN" w:bidi="ar-SA"/>
        </w:rPr>
      </w:pPr>
    </w:p>
    <w:p w14:paraId="21AC06E4">
      <w:pPr>
        <w:spacing w:line="360" w:lineRule="auto"/>
        <w:rPr>
          <w:rFonts w:ascii="宋体" w:hAnsi="宋体" w:eastAsia="宋体" w:cs="宋体"/>
          <w:b w:val="0"/>
          <w:bCs/>
          <w:color w:val="000000"/>
          <w:sz w:val="24"/>
        </w:rPr>
      </w:pPr>
    </w:p>
    <w:p w14:paraId="584D7038">
      <w:pPr>
        <w:spacing w:line="360" w:lineRule="auto"/>
        <w:ind w:firstLine="594" w:firstLineChars="198"/>
        <w:rPr>
          <w:rFonts w:ascii="宋体" w:hAnsi="宋体" w:eastAsia="宋体" w:cs="宋体"/>
          <w:b w:val="0"/>
          <w:bCs/>
          <w:color w:val="000000"/>
          <w:sz w:val="24"/>
          <w:u w:val="single"/>
        </w:rPr>
      </w:pPr>
      <w:r>
        <w:rPr>
          <w:rFonts w:hint="eastAsia" w:ascii="宋体" w:hAnsi="宋体" w:cs="宋体"/>
          <w:b w:val="0"/>
          <w:bCs/>
          <w:color w:val="000000"/>
          <w:sz w:val="30"/>
          <w:szCs w:val="30"/>
          <w:lang w:val="en-US" w:eastAsia="zh-CN"/>
        </w:rPr>
        <w:t>采购管理</w:t>
      </w:r>
      <w:r>
        <w:rPr>
          <w:rFonts w:hint="eastAsia" w:ascii="宋体" w:hAnsi="宋体" w:eastAsia="宋体" w:cs="宋体"/>
          <w:b w:val="0"/>
          <w:bCs/>
          <w:color w:val="000000"/>
          <w:sz w:val="30"/>
          <w:szCs w:val="30"/>
        </w:rPr>
        <w:t>部门：</w:t>
      </w:r>
      <w:r>
        <w:rPr>
          <w:rFonts w:hint="eastAsia" w:ascii="宋体" w:hAnsi="宋体" w:eastAsia="宋体" w:cs="宋体"/>
          <w:b w:val="0"/>
          <w:bCs/>
          <w:color w:val="000000"/>
          <w:sz w:val="30"/>
          <w:szCs w:val="30"/>
          <w:u w:val="single"/>
        </w:rPr>
        <w:t xml:space="preserve">   </w:t>
      </w:r>
      <w:r>
        <w:rPr>
          <w:rFonts w:hint="eastAsia" w:ascii="宋体" w:hAnsi="宋体" w:cs="宋体"/>
          <w:b w:val="0"/>
          <w:bCs/>
          <w:color w:val="000000"/>
          <w:sz w:val="30"/>
          <w:szCs w:val="30"/>
          <w:u w:val="single"/>
          <w:lang w:eastAsia="zh-CN"/>
        </w:rPr>
        <w:t>安庆市交通控股集团有限公司集采中心</w:t>
      </w:r>
      <w:r>
        <w:rPr>
          <w:rFonts w:hint="eastAsia" w:ascii="宋体" w:hAnsi="宋体" w:eastAsia="宋体" w:cs="宋体"/>
          <w:b w:val="0"/>
          <w:bCs/>
          <w:color w:val="000000"/>
          <w:sz w:val="30"/>
          <w:szCs w:val="30"/>
          <w:u w:val="single"/>
        </w:rPr>
        <w:t xml:space="preserve">  </w:t>
      </w:r>
      <w:r>
        <w:rPr>
          <w:rFonts w:hint="eastAsia" w:ascii="宋体" w:hAnsi="宋体" w:eastAsia="宋体" w:cs="宋体"/>
          <w:b w:val="0"/>
          <w:bCs/>
          <w:color w:val="000000"/>
          <w:spacing w:val="20"/>
          <w:sz w:val="30"/>
          <w:szCs w:val="30"/>
          <w:u w:val="single"/>
        </w:rPr>
        <w:t xml:space="preserve"> </w:t>
      </w:r>
      <w:r>
        <w:rPr>
          <w:rFonts w:hint="eastAsia" w:ascii="宋体" w:hAnsi="宋体" w:cs="宋体"/>
          <w:b w:val="0"/>
          <w:bCs/>
          <w:color w:val="000000"/>
          <w:spacing w:val="20"/>
          <w:sz w:val="30"/>
          <w:szCs w:val="30"/>
          <w:u w:val="single"/>
          <w:lang w:val="en-US" w:eastAsia="zh-CN"/>
        </w:rPr>
        <w:t xml:space="preserve">   </w:t>
      </w:r>
    </w:p>
    <w:p w14:paraId="3362E235">
      <w:pPr>
        <w:spacing w:line="360" w:lineRule="auto"/>
        <w:rPr>
          <w:rFonts w:ascii="宋体" w:hAnsi="宋体" w:eastAsia="宋体" w:cs="宋体"/>
          <w:b w:val="0"/>
          <w:bCs/>
          <w:color w:val="000000"/>
          <w:sz w:val="24"/>
        </w:rPr>
      </w:pPr>
    </w:p>
    <w:p w14:paraId="1BD0C35A">
      <w:pPr>
        <w:spacing w:line="360" w:lineRule="auto"/>
        <w:rPr>
          <w:rFonts w:ascii="宋体" w:hAnsi="宋体" w:eastAsia="宋体" w:cs="宋体"/>
          <w:b w:val="0"/>
          <w:bCs/>
          <w:color w:val="000000"/>
          <w:sz w:val="24"/>
          <w:u w:val="single"/>
        </w:rPr>
      </w:pPr>
    </w:p>
    <w:p w14:paraId="35A96C94">
      <w:pPr>
        <w:spacing w:line="360" w:lineRule="auto"/>
        <w:rPr>
          <w:rFonts w:ascii="宋体" w:hAnsi="宋体" w:eastAsia="宋体" w:cs="宋体"/>
          <w:b w:val="0"/>
          <w:bCs/>
          <w:color w:val="000000"/>
          <w:sz w:val="24"/>
          <w:u w:val="single"/>
        </w:rPr>
      </w:pPr>
    </w:p>
    <w:p w14:paraId="2EBA753D">
      <w:pPr>
        <w:spacing w:line="360" w:lineRule="auto"/>
        <w:rPr>
          <w:rFonts w:ascii="宋体" w:hAnsi="宋体" w:eastAsia="宋体" w:cs="宋体"/>
          <w:b w:val="0"/>
          <w:bCs/>
          <w:color w:val="000000"/>
          <w:sz w:val="24"/>
          <w:u w:val="single"/>
        </w:rPr>
      </w:pPr>
    </w:p>
    <w:p w14:paraId="3AA92C41">
      <w:pPr>
        <w:spacing w:line="360" w:lineRule="auto"/>
        <w:jc w:val="center"/>
        <w:rPr>
          <w:rFonts w:ascii="宋体" w:hAnsi="宋体" w:eastAsia="宋体" w:cs="宋体"/>
          <w:b w:val="0"/>
          <w:bCs/>
          <w:color w:val="000000"/>
          <w:sz w:val="30"/>
          <w:szCs w:val="30"/>
        </w:rPr>
      </w:pPr>
      <w:r>
        <w:rPr>
          <w:rFonts w:hint="eastAsia" w:ascii="宋体" w:hAnsi="宋体" w:eastAsia="宋体" w:cs="宋体"/>
          <w:b w:val="0"/>
          <w:bCs/>
          <w:color w:val="000000"/>
          <w:sz w:val="30"/>
          <w:szCs w:val="30"/>
        </w:rPr>
        <w:t>日  期：二〇二</w:t>
      </w:r>
      <w:r>
        <w:rPr>
          <w:rFonts w:hint="eastAsia" w:ascii="宋体" w:hAnsi="宋体" w:cs="宋体"/>
          <w:b w:val="0"/>
          <w:bCs/>
          <w:color w:val="000000"/>
          <w:sz w:val="30"/>
          <w:szCs w:val="30"/>
          <w:lang w:val="en-US" w:eastAsia="zh-CN"/>
        </w:rPr>
        <w:t>六</w:t>
      </w:r>
      <w:r>
        <w:rPr>
          <w:rFonts w:hint="eastAsia" w:ascii="宋体" w:hAnsi="宋体" w:eastAsia="宋体" w:cs="宋体"/>
          <w:b w:val="0"/>
          <w:bCs/>
          <w:color w:val="000000"/>
          <w:sz w:val="30"/>
          <w:szCs w:val="30"/>
        </w:rPr>
        <w:t>年</w:t>
      </w:r>
      <w:r>
        <w:rPr>
          <w:rFonts w:hint="eastAsia" w:ascii="宋体" w:hAnsi="宋体" w:cs="宋体"/>
          <w:b w:val="0"/>
          <w:bCs/>
          <w:color w:val="000000"/>
          <w:sz w:val="30"/>
          <w:szCs w:val="30"/>
          <w:lang w:val="en-US" w:eastAsia="zh-CN"/>
        </w:rPr>
        <w:t>七</w:t>
      </w:r>
      <w:r>
        <w:rPr>
          <w:rFonts w:hint="eastAsia" w:ascii="宋体" w:hAnsi="宋体" w:eastAsia="宋体" w:cs="宋体"/>
          <w:b w:val="0"/>
          <w:bCs/>
          <w:color w:val="000000"/>
          <w:sz w:val="30"/>
          <w:szCs w:val="30"/>
        </w:rPr>
        <w:t>月</w:t>
      </w:r>
    </w:p>
    <w:p w14:paraId="0C4DB5B3">
      <w:pPr>
        <w:rPr>
          <w:b w:val="0"/>
          <w:bCs/>
        </w:rPr>
        <w:sectPr>
          <w:pgSz w:w="11906" w:h="16838"/>
          <w:pgMar w:top="1417" w:right="1418" w:bottom="1276" w:left="1418" w:header="680" w:footer="680" w:gutter="0"/>
          <w:pgBorders>
            <w:top w:val="none" w:sz="0" w:space="0"/>
            <w:left w:val="none" w:sz="0" w:space="0"/>
            <w:bottom w:val="none" w:sz="0" w:space="0"/>
            <w:right w:val="none" w:sz="0" w:space="0"/>
          </w:pgBorders>
          <w:pgNumType w:fmt="decimal" w:start="1"/>
          <w:cols w:space="720" w:num="1"/>
          <w:docGrid w:type="lines" w:linePitch="312" w:charSpace="0"/>
        </w:sectPr>
      </w:pPr>
    </w:p>
    <w:p w14:paraId="37B33302">
      <w:pPr>
        <w:keepNext/>
        <w:keepLines/>
        <w:tabs>
          <w:tab w:val="left" w:pos="0"/>
        </w:tabs>
        <w:autoSpaceDE w:val="0"/>
        <w:autoSpaceDN w:val="0"/>
        <w:adjustRightInd w:val="0"/>
        <w:spacing w:line="360" w:lineRule="auto"/>
        <w:jc w:val="center"/>
        <w:outlineLvl w:val="0"/>
        <w:rPr>
          <w:rFonts w:hint="eastAsia" w:ascii="仿宋" w:hAnsi="仿宋" w:eastAsia="仿宋" w:cs="仿宋"/>
          <w:b/>
          <w:bCs/>
          <w:sz w:val="36"/>
          <w:szCs w:val="36"/>
          <w:lang w:eastAsia="zh-CN"/>
        </w:rPr>
      </w:pPr>
      <w:r>
        <w:rPr>
          <w:rFonts w:hint="eastAsia" w:ascii="仿宋" w:hAnsi="仿宋" w:eastAsia="仿宋" w:cs="仿宋"/>
          <w:b/>
          <w:bCs/>
          <w:kern w:val="44"/>
          <w:sz w:val="36"/>
          <w:szCs w:val="36"/>
          <w:lang w:val="en-US" w:eastAsia="zh-CN"/>
        </w:rPr>
        <w:t>安庆港中心港区皖河新港一期边检办公物资采购</w:t>
      </w:r>
      <w:r>
        <w:rPr>
          <w:rFonts w:hint="eastAsia" w:ascii="仿宋" w:hAnsi="仿宋" w:eastAsia="仿宋" w:cs="仿宋"/>
          <w:b/>
          <w:bCs/>
          <w:kern w:val="44"/>
          <w:sz w:val="36"/>
          <w:szCs w:val="36"/>
          <w:lang w:eastAsia="zh-CN"/>
        </w:rPr>
        <w:t>询</w:t>
      </w:r>
      <w:r>
        <w:rPr>
          <w:rFonts w:hint="eastAsia" w:ascii="仿宋" w:hAnsi="仿宋" w:eastAsia="仿宋" w:cs="仿宋"/>
          <w:b/>
          <w:bCs/>
          <w:kern w:val="44"/>
          <w:sz w:val="36"/>
          <w:szCs w:val="36"/>
          <w:lang w:val="en-US" w:eastAsia="zh-CN"/>
        </w:rPr>
        <w:t>价</w:t>
      </w:r>
      <w:bookmarkEnd w:id="0"/>
      <w:bookmarkEnd w:id="1"/>
      <w:r>
        <w:rPr>
          <w:rFonts w:hint="eastAsia" w:ascii="仿宋" w:hAnsi="仿宋" w:eastAsia="仿宋" w:cs="仿宋"/>
          <w:b/>
          <w:bCs/>
          <w:kern w:val="44"/>
          <w:sz w:val="36"/>
          <w:szCs w:val="36"/>
          <w:lang w:val="en-US" w:eastAsia="zh-CN"/>
        </w:rPr>
        <w:t>函</w:t>
      </w:r>
    </w:p>
    <w:p w14:paraId="56039699">
      <w:pPr>
        <w:pStyle w:val="30"/>
        <w:ind w:left="0" w:leftChars="0" w:firstLine="600" w:firstLineChars="200"/>
        <w:jc w:val="both"/>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安庆市交通控股集团有限公司集采中心受</w:t>
      </w:r>
      <w:r>
        <w:rPr>
          <w:rFonts w:hint="eastAsia" w:ascii="仿宋" w:hAnsi="仿宋" w:eastAsia="仿宋" w:cs="仿宋"/>
          <w:b w:val="0"/>
          <w:bCs w:val="0"/>
          <w:sz w:val="32"/>
          <w:szCs w:val="32"/>
          <w:lang w:val="en-US" w:eastAsia="zh-CN"/>
        </w:rPr>
        <w:t>安庆市安汇港务有限公司</w:t>
      </w:r>
      <w:r>
        <w:rPr>
          <w:rFonts w:hint="eastAsia" w:ascii="仿宋" w:hAnsi="仿宋" w:eastAsia="仿宋" w:cs="仿宋"/>
          <w:kern w:val="2"/>
          <w:sz w:val="30"/>
          <w:szCs w:val="30"/>
          <w:lang w:val="en-US" w:eastAsia="zh-CN" w:bidi="ar-SA"/>
        </w:rPr>
        <w:t>委托，现对</w:t>
      </w:r>
      <w:r>
        <w:rPr>
          <w:rFonts w:hint="eastAsia" w:ascii="仿宋" w:hAnsi="仿宋" w:eastAsia="仿宋" w:cs="仿宋"/>
          <w:b w:val="0"/>
          <w:bCs w:val="0"/>
          <w:sz w:val="32"/>
          <w:szCs w:val="32"/>
          <w:lang w:val="en-US" w:eastAsia="zh-CN"/>
        </w:rPr>
        <w:t>安庆港中心港区皖河新港一期边检办公物资采购</w:t>
      </w:r>
      <w:r>
        <w:rPr>
          <w:rFonts w:hint="eastAsia" w:ascii="仿宋" w:hAnsi="仿宋" w:eastAsia="仿宋" w:cs="仿宋"/>
          <w:color w:val="auto"/>
          <w:kern w:val="2"/>
          <w:sz w:val="30"/>
          <w:szCs w:val="30"/>
          <w:highlight w:val="none"/>
          <w:lang w:val="en-US" w:eastAsia="zh-CN" w:bidi="ar-SA"/>
        </w:rPr>
        <w:t>以询价的方式确定供应商和供货价格，</w:t>
      </w:r>
      <w:r>
        <w:rPr>
          <w:rFonts w:hint="eastAsia" w:ascii="仿宋" w:hAnsi="仿宋" w:eastAsia="仿宋" w:cs="仿宋"/>
          <w:b w:val="0"/>
          <w:bCs w:val="0"/>
          <w:color w:val="auto"/>
          <w:sz w:val="32"/>
          <w:szCs w:val="32"/>
          <w:highlight w:val="none"/>
        </w:rPr>
        <w:t>欢迎</w:t>
      </w:r>
      <w:r>
        <w:rPr>
          <w:rFonts w:hint="eastAsia" w:ascii="仿宋" w:hAnsi="仿宋" w:eastAsia="仿宋" w:cs="仿宋"/>
          <w:b w:val="0"/>
          <w:bCs w:val="0"/>
          <w:color w:val="auto"/>
          <w:sz w:val="32"/>
          <w:szCs w:val="32"/>
          <w:highlight w:val="none"/>
          <w:lang w:val="en-US" w:eastAsia="zh-CN"/>
        </w:rPr>
        <w:t>各</w:t>
      </w:r>
      <w:r>
        <w:rPr>
          <w:rFonts w:hint="eastAsia" w:ascii="仿宋" w:hAnsi="仿宋" w:eastAsia="仿宋" w:cs="仿宋"/>
          <w:b/>
          <w:bCs/>
          <w:color w:val="auto"/>
          <w:sz w:val="32"/>
          <w:szCs w:val="32"/>
          <w:highlight w:val="none"/>
          <w:lang w:val="en-US" w:eastAsia="zh-CN"/>
        </w:rPr>
        <w:t>合格供应商</w:t>
      </w:r>
      <w:r>
        <w:rPr>
          <w:rFonts w:hint="eastAsia" w:ascii="仿宋" w:hAnsi="仿宋" w:eastAsia="仿宋" w:cs="仿宋"/>
          <w:b w:val="0"/>
          <w:bCs w:val="0"/>
          <w:color w:val="auto"/>
          <w:sz w:val="32"/>
          <w:szCs w:val="32"/>
          <w:highlight w:val="none"/>
        </w:rPr>
        <w:t>参加投标</w:t>
      </w:r>
      <w:r>
        <w:rPr>
          <w:rFonts w:hint="eastAsia" w:ascii="仿宋" w:hAnsi="仿宋" w:eastAsia="仿宋" w:cs="仿宋"/>
          <w:kern w:val="2"/>
          <w:sz w:val="30"/>
          <w:szCs w:val="30"/>
          <w:lang w:val="en-US" w:eastAsia="zh-CN" w:bidi="ar-SA"/>
        </w:rPr>
        <w:t>。</w:t>
      </w:r>
      <w:bookmarkStart w:id="2" w:name="_Toc35393798"/>
      <w:bookmarkStart w:id="3" w:name="_Toc28359012"/>
      <w:bookmarkStart w:id="4" w:name="_Toc35393629"/>
      <w:bookmarkStart w:id="5" w:name="_Toc28359089"/>
    </w:p>
    <w:p w14:paraId="353ACE1C">
      <w:pPr>
        <w:pStyle w:val="30"/>
        <w:ind w:left="0" w:leftChars="0" w:firstLine="0" w:firstLineChars="0"/>
        <w:rPr>
          <w:rFonts w:ascii="黑体" w:hAnsi="黑体" w:eastAsia="黑体" w:cs="宋体"/>
          <w:bCs/>
          <w:sz w:val="30"/>
          <w:szCs w:val="30"/>
        </w:rPr>
      </w:pPr>
      <w:r>
        <w:rPr>
          <w:rFonts w:hint="eastAsia" w:ascii="黑体" w:hAnsi="黑体" w:eastAsia="黑体" w:cs="宋体"/>
          <w:bCs/>
          <w:sz w:val="30"/>
          <w:szCs w:val="30"/>
        </w:rPr>
        <w:t>一、项目基本情况</w:t>
      </w:r>
      <w:bookmarkEnd w:id="2"/>
      <w:bookmarkEnd w:id="3"/>
      <w:bookmarkEnd w:id="4"/>
      <w:bookmarkEnd w:id="5"/>
    </w:p>
    <w:p w14:paraId="5A994D27">
      <w:p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rPr>
        <w:t>项目编号：</w:t>
      </w:r>
      <w:r>
        <w:rPr>
          <w:rFonts w:hint="eastAsia" w:ascii="仿宋" w:hAnsi="仿宋" w:eastAsia="仿宋" w:cs="仿宋"/>
          <w:sz w:val="30"/>
          <w:szCs w:val="30"/>
          <w:lang w:eastAsia="zh-CN"/>
        </w:rPr>
        <w:t>AQJK-CG-2026-071</w:t>
      </w:r>
    </w:p>
    <w:p w14:paraId="1A1DD633">
      <w:pPr>
        <w:ind w:firstLine="600" w:firstLineChars="200"/>
        <w:rPr>
          <w:rFonts w:hint="eastAsia" w:ascii="仿宋" w:hAnsi="仿宋" w:eastAsia="仿宋" w:cs="仿宋"/>
          <w:sz w:val="30"/>
          <w:szCs w:val="30"/>
          <w:lang w:eastAsia="zh-CN"/>
        </w:rPr>
      </w:pPr>
      <w:r>
        <w:rPr>
          <w:rFonts w:hint="eastAsia" w:ascii="仿宋" w:hAnsi="仿宋" w:eastAsia="仿宋" w:cs="仿宋"/>
          <w:sz w:val="30"/>
          <w:szCs w:val="30"/>
        </w:rPr>
        <w:t>项目名称：</w:t>
      </w:r>
      <w:r>
        <w:rPr>
          <w:rFonts w:hint="eastAsia" w:ascii="仿宋" w:hAnsi="仿宋" w:eastAsia="仿宋" w:cs="仿宋"/>
          <w:sz w:val="30"/>
          <w:szCs w:val="30"/>
          <w:lang w:eastAsia="zh-CN"/>
        </w:rPr>
        <w:t>安庆港中心港区皖河新港一期边检办公物资采购</w:t>
      </w:r>
    </w:p>
    <w:p w14:paraId="470D2FC3">
      <w:pPr>
        <w:ind w:firstLine="600" w:firstLineChars="200"/>
        <w:rPr>
          <w:rFonts w:hint="default" w:ascii="仿宋" w:hAnsi="仿宋" w:eastAsia="仿宋" w:cs="仿宋"/>
          <w:kern w:val="2"/>
          <w:sz w:val="30"/>
          <w:szCs w:val="30"/>
          <w:highlight w:val="none"/>
          <w:lang w:val="en-US" w:eastAsia="zh-CN" w:bidi="ar-SA"/>
        </w:rPr>
      </w:pPr>
      <w:r>
        <w:rPr>
          <w:rFonts w:hint="eastAsia" w:ascii="仿宋" w:hAnsi="仿宋" w:eastAsia="仿宋" w:cs="仿宋"/>
          <w:kern w:val="2"/>
          <w:sz w:val="30"/>
          <w:szCs w:val="30"/>
          <w:highlight w:val="none"/>
          <w:lang w:val="en-US" w:eastAsia="zh-CN" w:bidi="ar-SA"/>
        </w:rPr>
        <w:t>最高限价：61059元</w:t>
      </w:r>
    </w:p>
    <w:p w14:paraId="7CD4B102">
      <w:pPr>
        <w:ind w:firstLine="600" w:firstLineChars="200"/>
        <w:rPr>
          <w:rFonts w:hint="default" w:ascii="仿宋" w:hAnsi="仿宋" w:eastAsia="仿宋" w:cs="仿宋"/>
          <w:color w:val="000000" w:themeColor="text1"/>
          <w:kern w:val="2"/>
          <w:sz w:val="30"/>
          <w:szCs w:val="30"/>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30"/>
          <w:szCs w:val="30"/>
          <w:highlight w:val="none"/>
          <w:lang w:val="en-US" w:eastAsia="zh-CN" w:bidi="ar-SA"/>
          <w14:textFill>
            <w14:solidFill>
              <w14:schemeClr w14:val="tx1"/>
            </w14:solidFill>
          </w14:textFill>
        </w:rPr>
        <w:t>确定方法：按照最低投标价法，由采购人审核确认后，（总价）报价最低的供应商即为成交人。</w:t>
      </w:r>
    </w:p>
    <w:p w14:paraId="4E839DCF">
      <w:pPr>
        <w:ind w:firstLine="600" w:firstLineChars="200"/>
        <w:rPr>
          <w:rFonts w:hint="eastAsia" w:ascii="仿宋" w:hAnsi="仿宋" w:eastAsia="仿宋" w:cs="仿宋"/>
          <w:color w:val="000000" w:themeColor="text1"/>
          <w:sz w:val="30"/>
          <w:szCs w:val="30"/>
          <w:highlight w:val="none"/>
          <w:lang w:val="en-US" w:eastAsia="zh-CN"/>
          <w14:textFill>
            <w14:solidFill>
              <w14:schemeClr w14:val="tx1"/>
            </w14:solidFill>
          </w14:textFill>
        </w:rPr>
      </w:pPr>
      <w:r>
        <w:rPr>
          <w:rFonts w:hint="eastAsia" w:ascii="仿宋" w:hAnsi="仿宋" w:eastAsia="仿宋" w:cs="仿宋"/>
          <w:color w:val="000000" w:themeColor="text1"/>
          <w:sz w:val="30"/>
          <w:szCs w:val="30"/>
          <w:highlight w:val="none"/>
          <w14:textFill>
            <w14:solidFill>
              <w14:schemeClr w14:val="tx1"/>
            </w14:solidFill>
          </w14:textFill>
        </w:rPr>
        <w:t>资金来源：</w:t>
      </w:r>
      <w:r>
        <w:rPr>
          <w:rFonts w:hint="eastAsia" w:ascii="仿宋" w:hAnsi="仿宋" w:eastAsia="仿宋" w:cs="仿宋"/>
          <w:color w:val="000000" w:themeColor="text1"/>
          <w:sz w:val="30"/>
          <w:szCs w:val="30"/>
          <w:highlight w:val="none"/>
          <w:lang w:val="en-US" w:eastAsia="zh-CN"/>
          <w14:textFill>
            <w14:solidFill>
              <w14:schemeClr w14:val="tx1"/>
            </w14:solidFill>
          </w14:textFill>
        </w:rPr>
        <w:t>企业自筹</w:t>
      </w:r>
    </w:p>
    <w:p w14:paraId="1877A56F">
      <w:pPr>
        <w:ind w:firstLine="600" w:firstLineChars="200"/>
        <w:rPr>
          <w:rFonts w:hint="eastAsia" w:ascii="仿宋" w:hAnsi="仿宋" w:eastAsia="仿宋" w:cs="仿宋"/>
          <w:color w:val="000000" w:themeColor="text1"/>
          <w:kern w:val="2"/>
          <w:sz w:val="30"/>
          <w:szCs w:val="30"/>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30"/>
          <w:szCs w:val="30"/>
          <w:highlight w:val="none"/>
          <w:lang w:val="en-US" w:eastAsia="zh-CN" w:bidi="ar-SA"/>
          <w14:textFill>
            <w14:solidFill>
              <w14:schemeClr w14:val="tx1"/>
            </w14:solidFill>
          </w14:textFill>
        </w:rPr>
        <w:t>发票：增值税专用发票</w:t>
      </w:r>
      <w:r>
        <w:rPr>
          <w:rFonts w:hint="eastAsia" w:ascii="仿宋" w:hAnsi="仿宋" w:eastAsia="仿宋" w:cs="仿宋"/>
          <w:color w:val="auto"/>
          <w:kern w:val="2"/>
          <w:sz w:val="30"/>
          <w:szCs w:val="30"/>
          <w:highlight w:val="none"/>
          <w:lang w:val="en-US" w:eastAsia="zh-CN" w:bidi="ar-SA"/>
        </w:rPr>
        <w:t>（</w:t>
      </w:r>
      <w:r>
        <w:rPr>
          <w:rFonts w:hint="default" w:ascii="仿宋" w:hAnsi="仿宋" w:eastAsia="仿宋" w:cs="仿宋"/>
          <w:color w:val="auto"/>
          <w:kern w:val="2"/>
          <w:sz w:val="30"/>
          <w:szCs w:val="30"/>
          <w:highlight w:val="none"/>
          <w:lang w:val="en-US" w:eastAsia="zh-CN" w:bidi="ar-SA"/>
        </w:rPr>
        <w:t>一般纳税人</w:t>
      </w:r>
      <w:r>
        <w:rPr>
          <w:rFonts w:hint="eastAsia" w:ascii="仿宋" w:hAnsi="仿宋" w:eastAsia="仿宋" w:cs="仿宋"/>
          <w:color w:val="auto"/>
          <w:kern w:val="2"/>
          <w:sz w:val="30"/>
          <w:szCs w:val="30"/>
          <w:highlight w:val="none"/>
          <w:lang w:val="en-US" w:eastAsia="zh-CN" w:bidi="ar-SA"/>
        </w:rPr>
        <w:t>开具13%</w:t>
      </w:r>
      <w:r>
        <w:rPr>
          <w:rFonts w:hint="default" w:ascii="仿宋" w:hAnsi="仿宋" w:eastAsia="仿宋" w:cs="仿宋"/>
          <w:color w:val="auto"/>
          <w:kern w:val="2"/>
          <w:sz w:val="30"/>
          <w:szCs w:val="30"/>
          <w:highlight w:val="none"/>
          <w:lang w:val="en-US" w:eastAsia="zh-CN" w:bidi="ar-SA"/>
        </w:rPr>
        <w:t>增值税专用发票，小规模纳税人</w:t>
      </w:r>
      <w:r>
        <w:rPr>
          <w:rFonts w:hint="eastAsia" w:ascii="仿宋" w:hAnsi="仿宋" w:eastAsia="仿宋" w:cs="仿宋"/>
          <w:color w:val="auto"/>
          <w:kern w:val="2"/>
          <w:sz w:val="30"/>
          <w:szCs w:val="30"/>
          <w:highlight w:val="none"/>
          <w:lang w:val="en-US" w:eastAsia="zh-CN" w:bidi="ar-SA"/>
        </w:rPr>
        <w:t>开具1%</w:t>
      </w:r>
      <w:r>
        <w:rPr>
          <w:rFonts w:hint="default" w:ascii="仿宋" w:hAnsi="仿宋" w:eastAsia="仿宋" w:cs="仿宋"/>
          <w:color w:val="auto"/>
          <w:kern w:val="2"/>
          <w:sz w:val="30"/>
          <w:szCs w:val="30"/>
          <w:highlight w:val="none"/>
          <w:lang w:val="en-US" w:eastAsia="zh-CN" w:bidi="ar-SA"/>
        </w:rPr>
        <w:t>增值税专用发票</w:t>
      </w:r>
      <w:r>
        <w:rPr>
          <w:rFonts w:hint="eastAsia" w:ascii="仿宋" w:hAnsi="仿宋" w:eastAsia="仿宋" w:cs="仿宋"/>
          <w:color w:val="auto"/>
          <w:kern w:val="2"/>
          <w:sz w:val="30"/>
          <w:szCs w:val="30"/>
          <w:highlight w:val="none"/>
          <w:lang w:val="en-US" w:eastAsia="zh-CN" w:bidi="ar-SA"/>
        </w:rPr>
        <w:t>）。</w:t>
      </w:r>
    </w:p>
    <w:p w14:paraId="35C37BED">
      <w:pPr>
        <w:spacing w:line="480" w:lineRule="atLeast"/>
        <w:ind w:firstLine="600" w:firstLineChars="200"/>
        <w:rPr>
          <w:rFonts w:hint="default" w:ascii="仿宋" w:hAnsi="仿宋" w:eastAsia="仿宋" w:cs="仿宋"/>
          <w:color w:val="000000" w:themeColor="text1"/>
          <w:kern w:val="2"/>
          <w:sz w:val="30"/>
          <w:szCs w:val="30"/>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30"/>
          <w:szCs w:val="30"/>
          <w:highlight w:val="none"/>
          <w:lang w:val="en-US" w:eastAsia="zh-CN" w:bidi="ar-SA"/>
          <w14:textFill>
            <w14:solidFill>
              <w14:schemeClr w14:val="tx1"/>
            </w14:solidFill>
          </w14:textFill>
        </w:rPr>
        <w:t>供货要求：中标单位需在20日历天内完成合同内物品的供货、调试、安装等工作。</w:t>
      </w:r>
    </w:p>
    <w:p w14:paraId="6D6236F4">
      <w:pPr>
        <w:spacing w:line="480" w:lineRule="atLeast"/>
        <w:ind w:firstLine="600" w:firstLineChars="200"/>
        <w:rPr>
          <w:rFonts w:hint="eastAsia" w:ascii="仿宋" w:hAnsi="仿宋" w:eastAsia="仿宋" w:cs="仿宋"/>
          <w:color w:val="000000" w:themeColor="text1"/>
          <w:kern w:val="2"/>
          <w:sz w:val="30"/>
          <w:szCs w:val="30"/>
          <w:highlight w:val="none"/>
          <w:lang w:val="en-US" w:eastAsia="zh-CN" w:bidi="ar-SA"/>
          <w14:textFill>
            <w14:solidFill>
              <w14:schemeClr w14:val="tx1"/>
            </w14:solidFill>
          </w14:textFill>
        </w:rPr>
      </w:pPr>
      <w:r>
        <w:rPr>
          <w:rFonts w:hint="eastAsia" w:ascii="仿宋" w:hAnsi="仿宋" w:eastAsia="仿宋" w:cs="仿宋"/>
          <w:color w:val="000000" w:themeColor="text1"/>
          <w:kern w:val="2"/>
          <w:sz w:val="30"/>
          <w:szCs w:val="30"/>
          <w:highlight w:val="none"/>
          <w:lang w:val="en-US" w:eastAsia="zh-CN" w:bidi="ar-SA"/>
          <w14:textFill>
            <w14:solidFill>
              <w14:schemeClr w14:val="tx1"/>
            </w14:solidFill>
          </w14:textFill>
        </w:rPr>
        <w:t>付款方式：供货方完成物品供货、调试、安装等工作，待采购人验收通过后，供货方提供增值税专用发票，采购方一次性支付货款。</w:t>
      </w:r>
    </w:p>
    <w:p w14:paraId="41232833">
      <w:pPr>
        <w:ind w:firstLine="600" w:firstLineChars="200"/>
        <w:rPr>
          <w:rFonts w:hint="default" w:ascii="仿宋" w:hAnsi="仿宋" w:eastAsia="仿宋" w:cs="仿宋"/>
          <w:color w:val="000000" w:themeColor="text1"/>
          <w:sz w:val="30"/>
          <w:szCs w:val="30"/>
          <w:highlight w:val="none"/>
          <w:lang w:val="en-US" w:eastAsia="zh-CN"/>
          <w14:textFill>
            <w14:solidFill>
              <w14:schemeClr w14:val="tx1"/>
            </w14:solidFill>
          </w14:textFill>
        </w:rPr>
      </w:pPr>
      <w:r>
        <w:rPr>
          <w:rFonts w:hint="eastAsia" w:ascii="仿宋" w:hAnsi="仿宋" w:eastAsia="仿宋" w:cs="仿宋"/>
          <w:color w:val="000000" w:themeColor="text1"/>
          <w:sz w:val="30"/>
          <w:szCs w:val="30"/>
          <w:highlight w:val="none"/>
          <w:lang w:val="en-US" w:eastAsia="zh-CN"/>
          <w14:textFill>
            <w14:solidFill>
              <w14:schemeClr w14:val="tx1"/>
            </w14:solidFill>
          </w14:textFill>
        </w:rPr>
        <w:t>供货地点：</w:t>
      </w:r>
      <w:r>
        <w:rPr>
          <w:rFonts w:hint="eastAsia" w:ascii="仿宋" w:hAnsi="仿宋" w:eastAsia="仿宋" w:cs="仿宋"/>
          <w:bCs/>
          <w:color w:val="auto"/>
          <w:sz w:val="28"/>
          <w:szCs w:val="28"/>
          <w:highlight w:val="none"/>
          <w:lang w:val="en-US" w:eastAsia="zh-CN"/>
        </w:rPr>
        <w:t>安庆市大观区皖河新港</w:t>
      </w:r>
    </w:p>
    <w:p w14:paraId="695FABC3">
      <w:pPr>
        <w:pStyle w:val="6"/>
        <w:rPr>
          <w:rFonts w:hint="default" w:ascii="黑体" w:hAnsi="黑体" w:eastAsia="黑体" w:cs="宋体"/>
          <w:bCs/>
          <w:kern w:val="2"/>
          <w:sz w:val="30"/>
          <w:szCs w:val="30"/>
          <w:lang w:val="en-US" w:eastAsia="zh-CN" w:bidi="ar-SA"/>
        </w:rPr>
      </w:pPr>
      <w:r>
        <w:rPr>
          <w:rFonts w:hint="eastAsia" w:ascii="黑体" w:hAnsi="黑体" w:eastAsia="黑体" w:cs="宋体"/>
          <w:bCs/>
          <w:kern w:val="2"/>
          <w:sz w:val="30"/>
          <w:szCs w:val="30"/>
          <w:lang w:val="en-US" w:eastAsia="zh-CN" w:bidi="ar-SA"/>
        </w:rPr>
        <w:t>二、供应商资格要求</w:t>
      </w:r>
    </w:p>
    <w:p w14:paraId="46152C60">
      <w:pPr>
        <w:ind w:firstLine="602" w:firstLineChars="200"/>
        <w:rPr>
          <w:rFonts w:hint="eastAsia" w:ascii="仿宋" w:hAnsi="仿宋" w:eastAsia="仿宋" w:cs="仿宋"/>
          <w:color w:val="auto"/>
          <w:sz w:val="30"/>
          <w:szCs w:val="30"/>
          <w:highlight w:val="none"/>
          <w:lang w:val="en-US" w:eastAsia="zh-CN"/>
        </w:rPr>
      </w:pPr>
      <w:bookmarkStart w:id="6" w:name="_Toc28359014"/>
      <w:bookmarkStart w:id="7" w:name="_Toc28359091"/>
      <w:bookmarkStart w:id="8" w:name="_Toc35393631"/>
      <w:bookmarkStart w:id="9" w:name="_Toc35393800"/>
      <w:bookmarkStart w:id="10" w:name="_Toc35393632"/>
      <w:bookmarkStart w:id="11" w:name="_Toc28359015"/>
      <w:bookmarkStart w:id="12" w:name="_Toc28359092"/>
      <w:bookmarkStart w:id="13" w:name="_Toc35393801"/>
      <w:r>
        <w:rPr>
          <w:rFonts w:hint="eastAsia" w:ascii="仿宋" w:hAnsi="仿宋" w:eastAsia="仿宋" w:cs="仿宋"/>
          <w:b/>
          <w:bCs/>
          <w:color w:val="auto"/>
          <w:sz w:val="30"/>
          <w:szCs w:val="30"/>
          <w:highlight w:val="none"/>
        </w:rPr>
        <w:t>本次</w:t>
      </w:r>
      <w:r>
        <w:rPr>
          <w:rFonts w:hint="eastAsia" w:ascii="仿宋" w:hAnsi="仿宋" w:eastAsia="仿宋" w:cs="仿宋"/>
          <w:b/>
          <w:bCs/>
          <w:color w:val="auto"/>
          <w:sz w:val="30"/>
          <w:szCs w:val="30"/>
          <w:highlight w:val="none"/>
          <w:lang w:val="en-US" w:eastAsia="zh-CN"/>
        </w:rPr>
        <w:t>询价</w:t>
      </w:r>
      <w:r>
        <w:rPr>
          <w:rFonts w:hint="eastAsia" w:ascii="仿宋" w:hAnsi="仿宋" w:eastAsia="仿宋" w:cs="仿宋"/>
          <w:b/>
          <w:bCs/>
          <w:color w:val="auto"/>
          <w:sz w:val="30"/>
          <w:szCs w:val="30"/>
          <w:highlight w:val="none"/>
        </w:rPr>
        <w:t>对象为已公示的安庆市交通控股集团有限公司</w:t>
      </w:r>
      <w:r>
        <w:rPr>
          <w:rFonts w:hint="eastAsia" w:ascii="仿宋" w:hAnsi="仿宋" w:eastAsia="仿宋" w:cs="仿宋"/>
          <w:b/>
          <w:bCs/>
          <w:color w:val="auto"/>
          <w:sz w:val="30"/>
          <w:szCs w:val="30"/>
          <w:highlight w:val="none"/>
          <w:lang w:val="en-US" w:eastAsia="zh-CN"/>
        </w:rPr>
        <w:t>办公用品类</w:t>
      </w:r>
      <w:r>
        <w:rPr>
          <w:rFonts w:hint="eastAsia" w:ascii="仿宋" w:hAnsi="仿宋" w:eastAsia="仿宋" w:cs="仿宋"/>
          <w:b/>
          <w:bCs/>
          <w:color w:val="auto"/>
          <w:sz w:val="30"/>
          <w:szCs w:val="30"/>
          <w:highlight w:val="none"/>
        </w:rPr>
        <w:t>合格供应商</w:t>
      </w:r>
      <w:r>
        <w:rPr>
          <w:rFonts w:hint="eastAsia" w:ascii="仿宋" w:hAnsi="仿宋" w:eastAsia="仿宋" w:cs="仿宋"/>
          <w:color w:val="auto"/>
          <w:sz w:val="30"/>
          <w:szCs w:val="30"/>
          <w:highlight w:val="none"/>
        </w:rPr>
        <w:t>（未被列入集团公司黑名单管理系统，未在安庆交控集团处罚限制期限内）</w:t>
      </w:r>
      <w:r>
        <w:rPr>
          <w:rFonts w:hint="eastAsia" w:ascii="仿宋" w:hAnsi="仿宋" w:eastAsia="仿宋" w:cs="仿宋"/>
          <w:color w:val="auto"/>
          <w:sz w:val="30"/>
          <w:szCs w:val="30"/>
          <w:highlight w:val="none"/>
          <w:lang w:val="en-US" w:eastAsia="zh-CN"/>
        </w:rPr>
        <w:t>。</w:t>
      </w:r>
    </w:p>
    <w:bookmarkEnd w:id="6"/>
    <w:bookmarkEnd w:id="7"/>
    <w:bookmarkEnd w:id="8"/>
    <w:bookmarkEnd w:id="9"/>
    <w:p w14:paraId="06435C11">
      <w:pPr>
        <w:pStyle w:val="6"/>
        <w:numPr>
          <w:ilvl w:val="0"/>
          <w:numId w:val="0"/>
        </w:numPr>
        <w:rPr>
          <w:rFonts w:hint="eastAsia" w:ascii="黑体" w:hAnsi="黑体" w:eastAsia="黑体" w:cs="宋体"/>
          <w:bCs/>
          <w:kern w:val="2"/>
          <w:sz w:val="30"/>
          <w:szCs w:val="30"/>
          <w:lang w:val="en-US" w:eastAsia="zh-CN" w:bidi="ar-SA"/>
        </w:rPr>
      </w:pPr>
      <w:r>
        <w:rPr>
          <w:rFonts w:hint="eastAsia" w:ascii="黑体" w:hAnsi="黑体" w:eastAsia="黑体" w:cs="宋体"/>
          <w:bCs/>
          <w:kern w:val="2"/>
          <w:sz w:val="30"/>
          <w:szCs w:val="30"/>
          <w:lang w:val="en-US" w:eastAsia="zh-CN" w:bidi="ar-SA"/>
        </w:rPr>
        <w:t>三、响应报价表提交</w:t>
      </w:r>
      <w:bookmarkEnd w:id="10"/>
      <w:bookmarkEnd w:id="11"/>
      <w:bookmarkEnd w:id="12"/>
      <w:bookmarkEnd w:id="13"/>
    </w:p>
    <w:p w14:paraId="1778B43F">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lang w:val="en-US" w:eastAsia="zh-CN" w:bidi="ar-SA"/>
        </w:rPr>
      </w:pPr>
      <w:bookmarkStart w:id="14" w:name="_Toc35393635"/>
      <w:bookmarkStart w:id="15" w:name="_Toc35393804"/>
      <w:r>
        <w:rPr>
          <w:rFonts w:hint="eastAsia" w:ascii="仿宋" w:hAnsi="仿宋" w:eastAsia="仿宋" w:cs="仿宋"/>
          <w:kern w:val="2"/>
          <w:sz w:val="30"/>
          <w:szCs w:val="30"/>
          <w:lang w:val="en-US" w:eastAsia="zh-CN" w:bidi="ar-SA"/>
        </w:rPr>
        <w:t>本项目只接受通过发送至指定邮箱的方式递交电子版报价表及相关资料，但应满足下列有关要求：</w:t>
      </w:r>
    </w:p>
    <w:p w14:paraId="2464583F">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投标供应商须通过发送至指定邮箱的方式递交</w:t>
      </w:r>
      <w:r>
        <w:rPr>
          <w:rFonts w:hint="eastAsia" w:ascii="仿宋" w:hAnsi="仿宋" w:eastAsia="仿宋" w:cs="仿宋"/>
          <w:b/>
          <w:bCs/>
          <w:kern w:val="2"/>
          <w:sz w:val="30"/>
          <w:szCs w:val="30"/>
          <w:lang w:val="en-US" w:eastAsia="zh-CN" w:bidi="ar-SA"/>
        </w:rPr>
        <w:t>电子版报价表及相关资料</w:t>
      </w:r>
      <w:r>
        <w:rPr>
          <w:rFonts w:hint="eastAsia" w:ascii="仿宋" w:hAnsi="仿宋" w:eastAsia="仿宋" w:cs="仿宋"/>
          <w:kern w:val="2"/>
          <w:sz w:val="30"/>
          <w:szCs w:val="30"/>
          <w:lang w:val="en-US" w:eastAsia="zh-CN" w:bidi="ar-SA"/>
        </w:rPr>
        <w:t>，投标供应商应在报价表提交截止时间前将本项目报价表及相关资料发送至指定邮箱（邮箱：1179928670@qq.com，邮箱主题名称为：参与投标的企业名称+项目名称+联系方式，</w:t>
      </w:r>
      <w:r>
        <w:rPr>
          <w:rFonts w:hint="eastAsia" w:ascii="仿宋" w:hAnsi="仿宋" w:eastAsia="仿宋" w:cs="仿宋"/>
          <w:b/>
          <w:bCs/>
          <w:kern w:val="2"/>
          <w:sz w:val="30"/>
          <w:szCs w:val="30"/>
          <w:lang w:val="en-US" w:eastAsia="zh-CN" w:bidi="ar-SA"/>
        </w:rPr>
        <w:t>投标报价表及相关资料须盖公章</w:t>
      </w:r>
      <w:r>
        <w:rPr>
          <w:rFonts w:hint="eastAsia" w:ascii="仿宋" w:hAnsi="仿宋" w:eastAsia="仿宋" w:cs="仿宋"/>
          <w:kern w:val="2"/>
          <w:sz w:val="30"/>
          <w:szCs w:val="30"/>
          <w:lang w:val="en-US" w:eastAsia="zh-CN" w:bidi="ar-SA"/>
        </w:rPr>
        <w:t>，须采用*.PDF文件格式），同时须对报价文件进行密码加密，并在发送解密密码时间段内将解密密码发送至指定邮箱（邮箱：1179928670@qq.com，邮箱主题名称为：参与投标的企业名称+项目名称+解密密码）。若投标供应商未按时发送解密密码，则视为主动放弃，对其造成的不利后果由其自行承担。</w:t>
      </w:r>
    </w:p>
    <w:p w14:paraId="0218F87F">
      <w:pPr>
        <w:pStyle w:val="6"/>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报价表提交截止时间：2026年8月5日15时00分（北京时间）</w:t>
      </w:r>
    </w:p>
    <w:p w14:paraId="4C9049E9">
      <w:pPr>
        <w:pStyle w:val="6"/>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发送解密密码时间：2026年8月5日</w:t>
      </w:r>
      <w:bookmarkStart w:id="24" w:name="_GoBack"/>
      <w:bookmarkEnd w:id="24"/>
      <w:r>
        <w:rPr>
          <w:rFonts w:hint="eastAsia" w:ascii="仿宋" w:hAnsi="仿宋" w:eastAsia="仿宋" w:cs="仿宋"/>
          <w:kern w:val="2"/>
          <w:sz w:val="30"/>
          <w:szCs w:val="30"/>
          <w:lang w:val="en-US" w:eastAsia="zh-CN" w:bidi="ar-SA"/>
        </w:rPr>
        <w:t>下午15时00分至15时30分</w:t>
      </w:r>
    </w:p>
    <w:p w14:paraId="2CA020BE">
      <w:pPr>
        <w:pStyle w:val="6"/>
        <w:rPr>
          <w:rFonts w:hint="eastAsia" w:ascii="黑体" w:hAnsi="黑体" w:eastAsia="黑体" w:cs="宋体"/>
          <w:bCs/>
          <w:kern w:val="2"/>
          <w:sz w:val="30"/>
          <w:szCs w:val="30"/>
          <w:lang w:val="en-US" w:eastAsia="zh-CN" w:bidi="ar-SA"/>
        </w:rPr>
      </w:pPr>
      <w:r>
        <w:rPr>
          <w:rFonts w:hint="eastAsia" w:ascii="黑体" w:hAnsi="黑体" w:eastAsia="黑体" w:cs="宋体"/>
          <w:bCs/>
          <w:kern w:val="2"/>
          <w:sz w:val="30"/>
          <w:szCs w:val="30"/>
          <w:lang w:val="en-US" w:eastAsia="zh-CN" w:bidi="ar-SA"/>
        </w:rPr>
        <w:t>四、其他补充事宜</w:t>
      </w:r>
      <w:bookmarkEnd w:id="14"/>
      <w:bookmarkEnd w:id="15"/>
    </w:p>
    <w:p w14:paraId="391B8E6F">
      <w:pPr>
        <w:ind w:firstLine="600" w:firstLineChars="200"/>
        <w:rPr>
          <w:rFonts w:hint="eastAsia" w:ascii="仿宋" w:hAnsi="仿宋" w:eastAsia="仿宋" w:cs="仿宋"/>
          <w:sz w:val="30"/>
          <w:szCs w:val="30"/>
        </w:rPr>
      </w:pPr>
      <w:r>
        <w:rPr>
          <w:rFonts w:hint="eastAsia" w:ascii="仿宋" w:hAnsi="仿宋" w:eastAsia="仿宋" w:cs="仿宋"/>
          <w:sz w:val="30"/>
          <w:szCs w:val="30"/>
        </w:rPr>
        <w:t>1.供应商的联系人电话(手机)、电子邮箱等通讯方式在</w:t>
      </w:r>
      <w:r>
        <w:rPr>
          <w:rFonts w:hint="eastAsia" w:ascii="仿宋" w:hAnsi="仿宋" w:eastAsia="仿宋" w:cs="仿宋"/>
          <w:sz w:val="30"/>
          <w:szCs w:val="30"/>
          <w:lang w:val="en-US" w:eastAsia="zh-CN"/>
        </w:rPr>
        <w:t>项目采购全</w:t>
      </w:r>
      <w:r>
        <w:rPr>
          <w:rFonts w:hint="eastAsia" w:ascii="仿宋" w:hAnsi="仿宋" w:eastAsia="仿宋" w:cs="仿宋"/>
          <w:sz w:val="30"/>
          <w:szCs w:val="30"/>
        </w:rPr>
        <w:t>过程中必须保持畅通，否则因上述原因造成的后果，责任自负。</w:t>
      </w:r>
    </w:p>
    <w:p w14:paraId="08C45656">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color w:val="000000" w:themeColor="text1"/>
          <w:sz w:val="30"/>
          <w:szCs w:val="30"/>
          <w:lang w:val="en-US" w:eastAsia="zh-CN"/>
          <w14:textFill>
            <w14:solidFill>
              <w14:schemeClr w14:val="tx1"/>
            </w14:solidFill>
          </w14:textFill>
        </w:rPr>
        <w:t>询价</w:t>
      </w:r>
      <w:r>
        <w:rPr>
          <w:rFonts w:hint="eastAsia" w:ascii="仿宋" w:hAnsi="仿宋" w:eastAsia="仿宋" w:cs="仿宋"/>
          <w:color w:val="000000" w:themeColor="text1"/>
          <w:sz w:val="30"/>
          <w:szCs w:val="30"/>
          <w14:textFill>
            <w14:solidFill>
              <w14:schemeClr w14:val="tx1"/>
            </w14:solidFill>
          </w14:textFill>
        </w:rPr>
        <w:t>文件</w:t>
      </w:r>
      <w:r>
        <w:rPr>
          <w:rFonts w:hint="eastAsia" w:ascii="仿宋" w:hAnsi="仿宋" w:eastAsia="仿宋" w:cs="仿宋"/>
          <w:sz w:val="30"/>
          <w:szCs w:val="30"/>
        </w:rPr>
        <w:t>的澄清、修改、补充说明等内容均通过</w:t>
      </w:r>
      <w:r>
        <w:rPr>
          <w:rFonts w:hint="eastAsia" w:ascii="仿宋" w:hAnsi="仿宋" w:eastAsia="仿宋" w:cs="仿宋"/>
          <w:sz w:val="30"/>
          <w:szCs w:val="30"/>
          <w:lang w:eastAsia="zh-CN"/>
        </w:rPr>
        <w:t>安庆市交通控股集团有限公司（http://jc.zh0556.com/）</w:t>
      </w:r>
      <w:r>
        <w:rPr>
          <w:rFonts w:hint="eastAsia" w:ascii="仿宋" w:hAnsi="仿宋" w:eastAsia="仿宋" w:cs="仿宋"/>
          <w:sz w:val="30"/>
          <w:szCs w:val="30"/>
          <w:lang w:val="en-US" w:eastAsia="zh-CN"/>
        </w:rPr>
        <w:t>发布</w:t>
      </w:r>
      <w:r>
        <w:rPr>
          <w:rFonts w:hint="eastAsia" w:ascii="仿宋" w:hAnsi="仿宋" w:eastAsia="仿宋" w:cs="仿宋"/>
          <w:sz w:val="30"/>
          <w:szCs w:val="30"/>
        </w:rPr>
        <w:t>，请务必随时关注，因</w:t>
      </w:r>
      <w:r>
        <w:rPr>
          <w:rFonts w:hint="eastAsia" w:ascii="仿宋" w:hAnsi="仿宋" w:eastAsia="仿宋" w:cs="仿宋"/>
          <w:sz w:val="30"/>
          <w:szCs w:val="30"/>
          <w:lang w:val="en-US" w:eastAsia="zh-CN"/>
        </w:rPr>
        <w:t>供应商</w:t>
      </w:r>
      <w:r>
        <w:rPr>
          <w:rFonts w:hint="eastAsia" w:ascii="仿宋" w:hAnsi="仿宋" w:eastAsia="仿宋" w:cs="仿宋"/>
          <w:sz w:val="30"/>
          <w:szCs w:val="30"/>
        </w:rPr>
        <w:t>未及时关注相关信息对投标造成的不利后果由其自行承担。</w:t>
      </w:r>
    </w:p>
    <w:p w14:paraId="05C0718E">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3、供应商关于本次采购的相关疑问请于工作日提出，节假休息日期间不予回复。</w:t>
      </w:r>
    </w:p>
    <w:p w14:paraId="73A5E7C0">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4.本次采购管理部门为安庆市交通控股集团有限公司集采中心，具体合同签订主体为安庆市安汇港务有限公司。</w:t>
      </w:r>
    </w:p>
    <w:p w14:paraId="186F63B6">
      <w:pPr>
        <w:ind w:firstLine="600" w:firstLineChars="200"/>
        <w:rPr>
          <w:rFonts w:hint="default"/>
          <w:lang w:val="en-US" w:eastAsia="zh-CN"/>
        </w:rPr>
      </w:pPr>
      <w:r>
        <w:rPr>
          <w:rFonts w:hint="eastAsia" w:ascii="仿宋" w:hAnsi="仿宋" w:eastAsia="仿宋" w:cs="仿宋"/>
          <w:sz w:val="30"/>
          <w:szCs w:val="30"/>
          <w:lang w:val="en-US" w:eastAsia="zh-CN"/>
        </w:rPr>
        <w:t>5.若出现两家或两家以上供应商报价最低且相等，则由采购人采取现场随机抽取的方式确定成交人。</w:t>
      </w:r>
    </w:p>
    <w:p w14:paraId="0D836D3C">
      <w:pPr>
        <w:pStyle w:val="6"/>
        <w:rPr>
          <w:rFonts w:hint="eastAsia" w:ascii="黑体" w:hAnsi="黑体" w:eastAsia="黑体" w:cs="宋体"/>
          <w:bCs/>
          <w:kern w:val="2"/>
          <w:sz w:val="30"/>
          <w:szCs w:val="30"/>
          <w:lang w:val="en-US" w:eastAsia="zh-CN" w:bidi="ar-SA"/>
        </w:rPr>
      </w:pPr>
      <w:bookmarkStart w:id="16" w:name="_Toc28359018"/>
      <w:bookmarkStart w:id="17" w:name="_Toc35393805"/>
      <w:bookmarkStart w:id="18" w:name="_Toc35393636"/>
      <w:bookmarkStart w:id="19" w:name="_Toc28359095"/>
      <w:r>
        <w:rPr>
          <w:rFonts w:hint="eastAsia" w:ascii="黑体" w:hAnsi="黑体" w:eastAsia="黑体" w:cs="宋体"/>
          <w:bCs/>
          <w:kern w:val="2"/>
          <w:sz w:val="30"/>
          <w:szCs w:val="30"/>
          <w:lang w:val="en-US" w:eastAsia="zh-CN" w:bidi="ar-SA"/>
        </w:rPr>
        <w:t>五、凡对本次采购提出询问，请按以下方式联系。</w:t>
      </w:r>
      <w:bookmarkEnd w:id="16"/>
      <w:bookmarkEnd w:id="17"/>
      <w:bookmarkEnd w:id="18"/>
      <w:bookmarkEnd w:id="19"/>
    </w:p>
    <w:p w14:paraId="224C87DE">
      <w:pPr>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1.采购人信息：</w:t>
      </w:r>
    </w:p>
    <w:p w14:paraId="537D49F9">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名    称：安庆市安汇港务有限公司</w:t>
      </w:r>
    </w:p>
    <w:p w14:paraId="5306AEC4">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地    址：安庆市大观区皖河新港</w:t>
      </w:r>
    </w:p>
    <w:p w14:paraId="66E5C9A6">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联 系 人：董倩</w:t>
      </w:r>
    </w:p>
    <w:p w14:paraId="4860DCCE">
      <w:p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联系方式：18755660535</w:t>
      </w:r>
    </w:p>
    <w:p w14:paraId="2DB01695">
      <w:pPr>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2.采购管理部门：</w:t>
      </w:r>
    </w:p>
    <w:p w14:paraId="32E5BD9A">
      <w:p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名    称：安庆市交通控股集团有限公司集采中心</w:t>
      </w:r>
    </w:p>
    <w:p w14:paraId="39DB3CBC">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地    址：</w:t>
      </w:r>
      <w:r>
        <w:rPr>
          <w:rFonts w:hint="eastAsia" w:ascii="仿宋" w:hAnsi="仿宋" w:eastAsia="仿宋" w:cs="仿宋"/>
          <w:color w:val="auto"/>
          <w:sz w:val="30"/>
          <w:szCs w:val="30"/>
          <w:highlight w:val="none"/>
          <w:lang w:val="en-US" w:eastAsia="zh-CN"/>
        </w:rPr>
        <w:t>安徽省安庆市集贤南路52号</w:t>
      </w:r>
    </w:p>
    <w:p w14:paraId="7E80F327">
      <w:p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联 系 人：王欣怡</w:t>
      </w:r>
    </w:p>
    <w:p w14:paraId="3D609BB1">
      <w:pPr>
        <w:ind w:firstLine="600" w:firstLineChars="200"/>
        <w:rPr>
          <w:rFonts w:hint="default"/>
          <w:lang w:val="en-US" w:eastAsia="zh-CN"/>
        </w:rPr>
      </w:pPr>
      <w:r>
        <w:rPr>
          <w:rFonts w:hint="eastAsia" w:ascii="仿宋" w:hAnsi="仿宋" w:eastAsia="仿宋" w:cs="仿宋"/>
          <w:sz w:val="30"/>
          <w:szCs w:val="30"/>
          <w:lang w:val="en-US" w:eastAsia="zh-CN"/>
        </w:rPr>
        <w:t>联系方式：0556-5990510</w:t>
      </w:r>
    </w:p>
    <w:p w14:paraId="0B513F97">
      <w:pPr>
        <w:rPr>
          <w:rFonts w:hint="eastAsia" w:ascii="仿宋" w:hAnsi="仿宋" w:eastAsia="仿宋" w:cs="仿宋"/>
          <w:sz w:val="30"/>
          <w:szCs w:val="30"/>
          <w:lang w:val="en-US" w:eastAsia="zh-CN"/>
        </w:rPr>
      </w:pPr>
      <w:bookmarkStart w:id="20" w:name="_Toc35393639"/>
      <w:bookmarkStart w:id="21" w:name="_Toc28359098"/>
      <w:bookmarkStart w:id="22" w:name="_Toc28359021"/>
      <w:bookmarkStart w:id="23" w:name="_Toc35393808"/>
      <w:r>
        <w:rPr>
          <w:rFonts w:hint="eastAsia" w:ascii="仿宋" w:hAnsi="仿宋" w:eastAsia="仿宋" w:cs="仿宋"/>
          <w:sz w:val="30"/>
          <w:szCs w:val="30"/>
          <w:lang w:val="en-US" w:eastAsia="zh-CN"/>
        </w:rPr>
        <w:t>3</w:t>
      </w:r>
      <w:r>
        <w:rPr>
          <w:rFonts w:hint="eastAsia" w:ascii="仿宋" w:hAnsi="仿宋" w:eastAsia="仿宋" w:cs="仿宋"/>
          <w:sz w:val="30"/>
          <w:szCs w:val="30"/>
        </w:rPr>
        <w:t>.</w:t>
      </w:r>
      <w:bookmarkEnd w:id="20"/>
      <w:bookmarkEnd w:id="21"/>
      <w:bookmarkEnd w:id="22"/>
      <w:bookmarkEnd w:id="23"/>
      <w:r>
        <w:rPr>
          <w:rFonts w:hint="eastAsia" w:ascii="仿宋" w:hAnsi="仿宋" w:eastAsia="仿宋" w:cs="仿宋"/>
          <w:sz w:val="30"/>
          <w:szCs w:val="30"/>
          <w:lang w:val="en-US" w:eastAsia="zh-CN"/>
        </w:rPr>
        <w:t>廉政监督</w:t>
      </w:r>
    </w:p>
    <w:p w14:paraId="59C2D813">
      <w:pPr>
        <w:ind w:firstLine="600" w:firstLineChars="200"/>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地    址：安庆市交通控股集团有限公司一号楼纪检监察室。</w:t>
      </w:r>
    </w:p>
    <w:p w14:paraId="19465B70">
      <w:pPr>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lang w:val="en-US" w:eastAsia="zh-CN"/>
        </w:rPr>
        <w:t>投诉举报电话：0556-5595102</w:t>
      </w:r>
    </w:p>
    <w:p w14:paraId="63135655">
      <w:pPr>
        <w:rPr>
          <w:rFonts w:hint="eastAsia" w:ascii="仿宋" w:hAnsi="仿宋" w:eastAsia="仿宋" w:cs="仿宋"/>
          <w:sz w:val="30"/>
          <w:szCs w:val="30"/>
          <w:highlight w:val="none"/>
          <w:lang w:val="en-US" w:eastAsia="zh-CN"/>
        </w:rPr>
        <w:sectPr>
          <w:footerReference r:id="rId3" w:type="default"/>
          <w:pgSz w:w="11906" w:h="16838"/>
          <w:pgMar w:top="1417" w:right="1134" w:bottom="1417" w:left="1134" w:header="851" w:footer="992" w:gutter="0"/>
          <w:pgBorders>
            <w:top w:val="none" w:sz="0" w:space="0"/>
            <w:left w:val="none" w:sz="0" w:space="0"/>
            <w:bottom w:val="none" w:sz="0" w:space="0"/>
            <w:right w:val="none" w:sz="0" w:space="0"/>
          </w:pgBorders>
          <w:cols w:space="0" w:num="1"/>
          <w:rtlGutter w:val="0"/>
          <w:docGrid w:type="lines" w:linePitch="321" w:charSpace="0"/>
        </w:sectPr>
      </w:pPr>
      <w:r>
        <w:rPr>
          <w:rFonts w:hint="eastAsia" w:ascii="仿宋" w:hAnsi="仿宋" w:eastAsia="仿宋" w:cs="仿宋"/>
          <w:sz w:val="30"/>
          <w:szCs w:val="30"/>
          <w:highlight w:val="none"/>
          <w:lang w:val="en-US" w:eastAsia="zh-CN"/>
        </w:rPr>
        <w:br w:type="page"/>
      </w:r>
    </w:p>
    <w:p w14:paraId="20BB148C">
      <w:pPr>
        <w:ind w:left="-420" w:leftChars="-200" w:firstLine="0" w:firstLineChars="0"/>
        <w:jc w:val="center"/>
        <w:rPr>
          <w:rFonts w:hint="eastAsia" w:ascii="仿宋" w:hAnsi="仿宋" w:eastAsia="仿宋" w:cs="仿宋"/>
          <w:sz w:val="32"/>
          <w:szCs w:val="32"/>
          <w:highlight w:val="none"/>
          <w:lang w:val="en-US" w:eastAsia="zh-CN"/>
        </w:rPr>
      </w:pPr>
      <w:r>
        <w:rPr>
          <w:rFonts w:hint="eastAsia" w:ascii="微软雅黑" w:hAnsi="微软雅黑" w:eastAsia="微软雅黑" w:cs="微软雅黑"/>
          <w:b/>
          <w:bCs/>
          <w:i w:val="0"/>
          <w:iCs w:val="0"/>
          <w:color w:val="000000"/>
          <w:kern w:val="0"/>
          <w:sz w:val="36"/>
          <w:szCs w:val="36"/>
          <w:u w:val="none"/>
          <w:lang w:val="en-US" w:eastAsia="zh-CN" w:bidi="ar"/>
        </w:rPr>
        <w:t>安庆港中心港区皖河新港一期边检办公物资采购清单</w:t>
      </w:r>
    </w:p>
    <w:tbl>
      <w:tblPr>
        <w:tblStyle w:val="14"/>
        <w:tblW w:w="15438" w:type="dxa"/>
        <w:tblInd w:w="-60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0"/>
        <w:gridCol w:w="1475"/>
        <w:gridCol w:w="6575"/>
        <w:gridCol w:w="550"/>
        <w:gridCol w:w="613"/>
        <w:gridCol w:w="862"/>
        <w:gridCol w:w="938"/>
        <w:gridCol w:w="3775"/>
      </w:tblGrid>
      <w:tr w14:paraId="3B939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AE886">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序号</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ABB3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货物名称</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F703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规格参数</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7A4E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单位</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89FA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数量</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B2F7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参考单价（元）</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9D99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小计</w:t>
            </w:r>
          </w:p>
          <w:p w14:paraId="7F9D239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（元）</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EE10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参考图片</w:t>
            </w:r>
          </w:p>
        </w:tc>
      </w:tr>
      <w:tr w14:paraId="67D24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001C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F92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Windows电脑</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59019">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处理器：不低于i5-9500 ；内存：不低于8G ；显卡：不低于2G；硬盘：不低于512G SSD 、1T机械硬盘；接口：至少1个PCI接口和2个PCI-e接口，至少一个串口； 显示器：不小于19.5英寸，含键盘鼠标</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526F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48B8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5BEEB">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4750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0207">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4750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50603">
            <w:pPr>
              <w:keepNext w:val="0"/>
              <w:keepLines w:val="0"/>
              <w:suppressLineNumbers w:val="0"/>
              <w:spacing w:before="0" w:beforeAutospacing="0" w:after="0" w:afterAutospacing="0"/>
              <w:ind w:left="0" w:leftChars="0" w:right="0" w:rightChars="0" w:firstLine="0" w:firstLineChars="0"/>
              <w:jc w:val="center"/>
              <w:rPr>
                <w:rFonts w:hint="eastAsia" w:ascii="仿宋_GB2312" w:hAnsi="宋体" w:eastAsia="仿宋_GB2312" w:cs="仿宋_GB2312"/>
                <w:i w:val="0"/>
                <w:iCs w:val="0"/>
                <w:color w:val="000000"/>
                <w:sz w:val="20"/>
                <w:szCs w:val="20"/>
                <w:u w:val="none"/>
              </w:rPr>
            </w:pPr>
          </w:p>
        </w:tc>
      </w:tr>
      <w:tr w14:paraId="4D62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1480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910D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笔记本电脑</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C749">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lang w:val="en-US" w:eastAsia="zh-CN"/>
              </w:rPr>
            </w:pPr>
            <w:r>
              <w:rPr>
                <w:rFonts w:hint="eastAsia" w:ascii="仿宋_GB2312" w:hAnsi="宋体" w:eastAsia="仿宋_GB2312" w:cs="仿宋_GB2312"/>
                <w:i w:val="0"/>
                <w:iCs w:val="0"/>
                <w:color w:val="000000"/>
                <w:sz w:val="20"/>
                <w:szCs w:val="20"/>
                <w:u w:val="none"/>
                <w:lang w:val="en-US" w:eastAsia="zh-CN"/>
              </w:rPr>
              <w:t>商用/家用便携式笔记本电脑，全新正品行货，原厂未拆封，全国联保全新原装正品便携式笔记本电脑，支持全国联保；CPU：Intel i7-13650HX及以上规格；硬盘：≥1TB NVMe高速固态硬盘；显卡：RTX5060独立显卡，独立显存≥8GB；屏幕≥15.3英寸，分辨率≥1920*1200，100%sRGB高色域，≥165Hz刷新率；系统：预装正版Windows 11 64位简体中文操作系统；自带WiFi、蓝牙、常规拓展接口，满足日常使用需求；原厂正品，整机质保≥1年，核心硬件质保≥2年，全国联保；全新未拆封、无翻新，配套原厂资料及配件，可正常享受官方售后。</w:t>
            </w:r>
          </w:p>
          <w:p w14:paraId="10B70E54">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71A6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6093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B99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7600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DDA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15200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2E54C">
            <w:pPr>
              <w:keepNext w:val="0"/>
              <w:keepLines w:val="0"/>
              <w:suppressLineNumbers w:val="0"/>
              <w:spacing w:before="0" w:beforeAutospacing="0" w:after="0" w:afterAutospacing="0"/>
              <w:ind w:left="0" w:leftChars="0" w:right="0" w:rightChars="0" w:firstLine="0" w:firstLineChars="0"/>
              <w:jc w:val="center"/>
              <w:rPr>
                <w:rFonts w:hint="eastAsia" w:ascii="仿宋_GB2312" w:hAnsi="宋体" w:eastAsia="仿宋_GB2312" w:cs="仿宋_GB2312"/>
                <w:i w:val="0"/>
                <w:iCs w:val="0"/>
                <w:color w:val="000000"/>
                <w:sz w:val="20"/>
                <w:szCs w:val="20"/>
                <w:u w:val="none"/>
              </w:rPr>
            </w:pPr>
          </w:p>
        </w:tc>
      </w:tr>
      <w:tr w14:paraId="78961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CE5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6A8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打印复印扫描一体机</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FDE56">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支持自动双面打印，A4激光多功能一体机 打印/复印/扫描，具备A5打印功能</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4129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8CA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C70C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2150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9CF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8600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5E1B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2028825" cy="2028825"/>
                  <wp:effectExtent l="0" t="0" r="0" b="0"/>
                  <wp:docPr id="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descr="IMG_256"/>
                          <pic:cNvPicPr>
                            <a:picLocks noChangeAspect="1"/>
                          </pic:cNvPicPr>
                        </pic:nvPicPr>
                        <pic:blipFill>
                          <a:blip r:embed="rId5"/>
                          <a:stretch>
                            <a:fillRect/>
                          </a:stretch>
                        </pic:blipFill>
                        <pic:spPr>
                          <a:xfrm>
                            <a:off x="0" y="0"/>
                            <a:ext cx="2028825" cy="2028825"/>
                          </a:xfrm>
                          <a:prstGeom prst="rect">
                            <a:avLst/>
                          </a:prstGeom>
                          <a:noFill/>
                          <a:ln w="9525">
                            <a:noFill/>
                          </a:ln>
                        </pic:spPr>
                      </pic:pic>
                    </a:graphicData>
                  </a:graphic>
                </wp:inline>
              </w:drawing>
            </w:r>
          </w:p>
        </w:tc>
      </w:tr>
      <w:tr w14:paraId="18CB9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32"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A9F9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F76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直饮机</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AAA1D">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一、产品基础信息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产品名称：壁挂式冷热净饮一体机（过滤加热直饮机）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安装方式：壁挂台式两用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功能：原水过滤、即时加热、冷热出水一体化</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二、规格参数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机身外观：配备 LED 数字显示屏，冷热出水龙头</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额定电压：220V/50Hz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额定功率：加热功率≤1800W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净水通量：RO 反渗透净水系统，通量≥75G</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水箱 / 压力桶：具备储水结构，保障连续出水流量稳定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水温档位：常温水、热水双模式，热水高温≥95℃，满足泡茶、饮水需求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三、过滤系统配置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采用 RO 反渗透过滤，过滤精度 0.0001 微米，可有效去除水垢、细菌、重金属、余氯等杂质；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配备滤芯寿命监测功能，显示屏具备滤芯更换提醒；废水比≥1.5:1，具备节水设计</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四、安全防护参数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防干烧保护、漏水自动停机报警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儿童锁防烫功能，防止误触热水烫伤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整机水电分离结构，绝缘防漏电，带接地保护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高压、低压自动停机保护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五、执行标准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GB 34914-2021《反渗透净水机》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GB 4706.1《家用和类似用途电器安全通用要求》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涉水部件符合 GB 4706.19、食品级涉水材料标准</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111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F9E1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86E8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5195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632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2352675" cy="2352675"/>
                  <wp:effectExtent l="0" t="0" r="0" b="0"/>
                  <wp:docPr id="10"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descr="IMG_257"/>
                          <pic:cNvPicPr>
                            <a:picLocks noChangeAspect="1"/>
                          </pic:cNvPicPr>
                        </pic:nvPicPr>
                        <pic:blipFill>
                          <a:blip r:embed="rId6"/>
                          <a:stretch>
                            <a:fillRect/>
                          </a:stretch>
                        </pic:blipFill>
                        <pic:spPr>
                          <a:xfrm>
                            <a:off x="0" y="0"/>
                            <a:ext cx="2352675" cy="2352675"/>
                          </a:xfrm>
                          <a:prstGeom prst="rect">
                            <a:avLst/>
                          </a:prstGeom>
                          <a:noFill/>
                          <a:ln w="9525">
                            <a:noFill/>
                          </a:ln>
                        </pic:spPr>
                      </pic:pic>
                    </a:graphicData>
                  </a:graphic>
                </wp:inline>
              </w:drawing>
            </w:r>
          </w:p>
        </w:tc>
      </w:tr>
      <w:tr w14:paraId="0F986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2"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09EC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6B4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微波炉</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77DDB">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一、产品基础信息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产品名称：机械式家用商用微波炉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容量：≥20L</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操控方式：机械双旋钮控制，支持火力调节、定时设置，操作简易、故障率低</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外观：配备可视化钢化玻璃视窗，封闭防护门，可观察设备工作状态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二、核心电气规格</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额定电压 / 频率：220V~50Hz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微波输出功率：≥700W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额定输入功率：≤1150W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转盘尺寸：≥245mm 玻璃旋转转盘</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最长定时时长：≥30 分钟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三、功能配置参数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多档火力调节：高火、中火、解冻、低火多档位可选，满足加热、解冻、热饭需求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机械定时旋钮，操作简单，故障率低，适合单位食堂、办公室使用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全封闭钢化玻璃门，防微波泄漏，可视内部加热状态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食品级不锈钢内胆，易清洁、耐腐蚀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旋转匀热转盘，食物受热均匀无局部夹生</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内置散热系统，长时间工作不积热</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四、安全标准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符合 GB 4706.1、GB 4706.21《微波炉国家安全标准》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微波泄漏量≤0.5mW/cm</w:t>
            </w:r>
            <w:r>
              <w:rPr>
                <w:rFonts w:hint="eastAsia" w:ascii="宋体" w:hAnsi="宋体" w:eastAsia="宋体" w:cs="宋体"/>
                <w:i w:val="0"/>
                <w:iCs w:val="0"/>
                <w:color w:val="000000"/>
                <w:kern w:val="0"/>
                <w:sz w:val="20"/>
                <w:szCs w:val="20"/>
                <w:u w:val="none"/>
                <w:lang w:val="en-US" w:eastAsia="zh-CN" w:bidi="ar"/>
              </w:rPr>
              <w:t>²</w:t>
            </w:r>
            <w:r>
              <w:rPr>
                <w:rFonts w:hint="eastAsia" w:ascii="仿宋_GB2312" w:hAnsi="宋体" w:eastAsia="仿宋_GB2312" w:cs="仿宋_GB2312"/>
                <w:i w:val="0"/>
                <w:iCs w:val="0"/>
                <w:color w:val="000000"/>
                <w:kern w:val="0"/>
                <w:sz w:val="20"/>
                <w:szCs w:val="20"/>
                <w:u w:val="none"/>
                <w:lang w:val="en-US" w:eastAsia="zh-CN" w:bidi="ar"/>
              </w:rPr>
              <w:t>，远低于国标限值</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开门自动切断微波发射，防误操作烫伤过热自动断电保护，防止干烧损坏机器</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D4CD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09B1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57E2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489</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9D3D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489</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701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2352675" cy="1609725"/>
                  <wp:effectExtent l="0" t="0" r="0" b="0"/>
                  <wp:docPr id="14"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descr="IMG_258"/>
                          <pic:cNvPicPr>
                            <a:picLocks noChangeAspect="1"/>
                          </pic:cNvPicPr>
                        </pic:nvPicPr>
                        <pic:blipFill>
                          <a:blip r:embed="rId7"/>
                          <a:stretch>
                            <a:fillRect/>
                          </a:stretch>
                        </pic:blipFill>
                        <pic:spPr>
                          <a:xfrm>
                            <a:off x="0" y="0"/>
                            <a:ext cx="2352675" cy="1609725"/>
                          </a:xfrm>
                          <a:prstGeom prst="rect">
                            <a:avLst/>
                          </a:prstGeom>
                          <a:noFill/>
                          <a:ln w="9525">
                            <a:noFill/>
                          </a:ln>
                        </pic:spPr>
                      </pic:pic>
                    </a:graphicData>
                  </a:graphic>
                </wp:inline>
              </w:drawing>
            </w:r>
          </w:p>
        </w:tc>
      </w:tr>
      <w:tr w14:paraId="596A47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6"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91F2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6</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A73D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冰箱</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A7B12">
            <w:pPr>
              <w:keepNext w:val="0"/>
              <w:keepLines w:val="0"/>
              <w:widowControl/>
              <w:suppressLineNumbers w:val="0"/>
              <w:spacing w:before="0" w:beforeAutospacing="0" w:after="0" w:afterAutospacing="0"/>
              <w:ind w:left="0" w:right="0"/>
              <w:jc w:val="left"/>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一、产品基础信息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产品名称：三门家用冷藏冷冻冰箱</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总容积：≥218L</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门体结构：采用三门分体结构，具备独立冷藏室、软冷冻室、冷冻室，分区存储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外观：采用金属钣金耐磨面板，耐腐蚀、易清洁，适配日常办公、家用场景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二、容积分配参数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冷藏室容积：≥115L</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0°软冷冻室：≥42L</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冷冻室容积：≥61L</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三、电气与制冷规格</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额定电压/频率：220V 50Hz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制冷方式：直冷制冷，均匀锁鲜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冷冻能力：≥3.5kg/24h</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综合耗电量：≤0.58kW</w:t>
            </w:r>
            <w:r>
              <w:rPr>
                <w:rFonts w:hint="default" w:ascii="仿宋_GB2312" w:hAnsi="宋体" w:eastAsia="仿宋_GB2312" w:cs="仿宋_GB2312"/>
                <w:i w:val="0"/>
                <w:iCs w:val="0"/>
                <w:color w:val="000000"/>
                <w:kern w:val="0"/>
                <w:sz w:val="20"/>
                <w:szCs w:val="20"/>
                <w:u w:val="none"/>
                <w:lang w:val="en-US" w:eastAsia="zh-CN" w:bidi="ar"/>
              </w:rPr>
              <w:t>・</w:t>
            </w:r>
            <w:r>
              <w:rPr>
                <w:rFonts w:hint="eastAsia" w:ascii="仿宋_GB2312" w:hAnsi="宋体" w:eastAsia="仿宋_GB2312" w:cs="仿宋_GB2312"/>
                <w:i w:val="0"/>
                <w:iCs w:val="0"/>
                <w:color w:val="000000"/>
                <w:kern w:val="0"/>
                <w:sz w:val="20"/>
                <w:szCs w:val="20"/>
                <w:u w:val="none"/>
                <w:lang w:val="en-US" w:eastAsia="zh-CN" w:bidi="ar"/>
              </w:rPr>
              <w:t>h/24h，能效等级不低于三级</w:t>
            </w:r>
          </w:p>
          <w:p w14:paraId="731F35BF">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温控方式：机械旋钮控温，操作简单稳定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制冷剂：采用R600a环保无氟制冷剂，绿色节能、安全环保</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四、功能配置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三温区独立控温：冷藏保鲜、软冷冻、深度冷冻，食材分区存储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微孔发泡箱体，保温性能强，减少耗电</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可拆卸透明抽屉，分类存放、清洁方便</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支持宽电压启动，电压不稳环境可稳定运行</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配备加厚密封门封条，锁冷隔热，减少冷气流失</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五、安全执行标准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执行国标：GB 4706.1、GB 4706.13《家用制冷器具安全标准》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符合 GB/T 8059 家用冰箱性能标准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内胆、搁架均采用食品级安全材质</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3C82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E63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7E1F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1800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F035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1800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CE4B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1743075" cy="3438525"/>
                  <wp:effectExtent l="0" t="0" r="0" b="0"/>
                  <wp:docPr id="13"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IMG_259"/>
                          <pic:cNvPicPr>
                            <a:picLocks noChangeAspect="1"/>
                          </pic:cNvPicPr>
                        </pic:nvPicPr>
                        <pic:blipFill>
                          <a:blip r:embed="rId8"/>
                          <a:stretch>
                            <a:fillRect/>
                          </a:stretch>
                        </pic:blipFill>
                        <pic:spPr>
                          <a:xfrm>
                            <a:off x="0" y="0"/>
                            <a:ext cx="1743075" cy="3438525"/>
                          </a:xfrm>
                          <a:prstGeom prst="rect">
                            <a:avLst/>
                          </a:prstGeom>
                          <a:noFill/>
                          <a:ln w="9525">
                            <a:noFill/>
                          </a:ln>
                        </pic:spPr>
                      </pic:pic>
                    </a:graphicData>
                  </a:graphic>
                </wp:inline>
              </w:drawing>
            </w:r>
          </w:p>
        </w:tc>
      </w:tr>
      <w:tr w14:paraId="780BA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6"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6E8B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7</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AA63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消毒柜</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BC50">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一、产品名称：立式双室高温消毒柜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总容积：≥138L</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结构：上下双独立腔体结构，分层分区使用，配备多层置物架，承载收纳能力强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面板：钢化透明玻璃门，机身不锈钢材质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操控：机械旋钮，上下室独立分控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二、核心消毒规格</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消毒等级：达到国家二星级食具消毒标准，可杀灭细菌、芽孢等有害微生物</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消毒方式：采用远红外高温热力消毒方式，纯物理高温消毒，安全无残留</w:t>
            </w:r>
          </w:p>
          <w:p w14:paraId="06C89FCC">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消毒温度：下层高温舱≥120℃，满足高标准消杀需求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工作模式：上下室可单独启动，上层保洁存放、下层高温消毒</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内胆与层架：全304 不锈钢材质，耐腐蚀易清洗</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三、电气参数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额定电压 / 频率：220V/50Hz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整机额定功率：≤600W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隔热结构：配置加厚聚氨酯发泡隔热层，外壳不烫手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安全锁：配置高温工作自动锁门，防止开门烫伤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四、功能与结构参数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分层设计：双室五层大容量，满足单位食堂、办公室餐具存放消毒</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可视钢化玻璃门，实时观察内部工作状态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不锈钢整体机身，防锈抗油污，便于日常擦拭清洁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具备过热自动断电保护，干烧防护，延长设备使用寿命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底部防滑支撑脚，放置稳固不晃动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五、执行国家标准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GB 4706.1《家用和类似用途电器的安全 第 1 部分：通用要求》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GB 4706.50《消毒柜特殊安全要求》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GB 17988《食具消毒柜安全和卫生要求》（二星级消毒达标）</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1F76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0F1D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D166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41DF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DFF9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2352675" cy="2352675"/>
                  <wp:effectExtent l="0" t="0" r="0" b="0"/>
                  <wp:docPr id="8"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descr="IMG_260"/>
                          <pic:cNvPicPr>
                            <a:picLocks noChangeAspect="1"/>
                          </pic:cNvPicPr>
                        </pic:nvPicPr>
                        <pic:blipFill>
                          <a:blip r:embed="rId9"/>
                          <a:stretch>
                            <a:fillRect/>
                          </a:stretch>
                        </pic:blipFill>
                        <pic:spPr>
                          <a:xfrm>
                            <a:off x="0" y="0"/>
                            <a:ext cx="2352675" cy="2352675"/>
                          </a:xfrm>
                          <a:prstGeom prst="rect">
                            <a:avLst/>
                          </a:prstGeom>
                          <a:noFill/>
                          <a:ln w="9525">
                            <a:noFill/>
                          </a:ln>
                        </pic:spPr>
                      </pic:pic>
                    </a:graphicData>
                  </a:graphic>
                </wp:inline>
              </w:drawing>
            </w:r>
          </w:p>
        </w:tc>
      </w:tr>
      <w:tr w14:paraId="7F98F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99B6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CAFF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休闲桌椅</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41E95">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桌子：尺寸不小于80*80*75cm，木质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椅子：配套4把靠背软包橡木椅，高度要求与桌子高度适配</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625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套</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F2F2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5E0A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1D9E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800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3924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1295400" cy="1724025"/>
                  <wp:effectExtent l="0" t="0" r="0" b="0"/>
                  <wp:docPr id="1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61"/>
                          <pic:cNvPicPr>
                            <a:picLocks noChangeAspect="1"/>
                          </pic:cNvPicPr>
                        </pic:nvPicPr>
                        <pic:blipFill>
                          <a:blip r:embed="rId10"/>
                          <a:stretch>
                            <a:fillRect/>
                          </a:stretch>
                        </pic:blipFill>
                        <pic:spPr>
                          <a:xfrm>
                            <a:off x="0" y="0"/>
                            <a:ext cx="1295400" cy="1724025"/>
                          </a:xfrm>
                          <a:prstGeom prst="rect">
                            <a:avLst/>
                          </a:prstGeom>
                          <a:noFill/>
                          <a:ln w="9525">
                            <a:noFill/>
                          </a:ln>
                        </pic:spPr>
                      </pic:pic>
                    </a:graphicData>
                  </a:graphic>
                </wp:inline>
              </w:drawing>
            </w:r>
          </w:p>
        </w:tc>
      </w:tr>
      <w:tr w14:paraId="1332B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5"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B16C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E0D7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开水器</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C4130">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一、产品基础信息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产品名称：商用步进式开水机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容量：≥130L</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供电规格：380V三相电</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机身材质：整机 304 不锈钢一体成型，耐腐蚀易清洁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出水配置：双出水龙头，冷热分离出水</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二、电气核心参数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额定电压：380V 三相五线，适配商用工业供电标准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加热功率：大功率工业加热管，出水量大、升温快</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外露电源线长度：布线安装便捷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控制面板：配备LED智能数显面板，可实时显示水温、设备运行状态，工作状态可视化</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三、功能结构参数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内胆容积 130L，满足单位多人连续取水需求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采用步进式加热技术，逐层进水加热，杜绝千沸水</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具备高低水位自动感应补水，缺水自动停机保护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双龙头独立出水，一热一常温，满足饮水、泡茶需求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底部接废水储水底座，防地面溢水、方便排污清洁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加厚保温层，锁温省电，降低持续加热能耗</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四、多重安全防护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缺水干烧自动断电保护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超温过热停机、漏电接地保护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防干烧温控双重保险</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全绝缘水电分离结构，杜绝漏电风险</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五、执行标准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GB 4706.1《家用和类似用途电器安全通用要求》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GB 4706.36《商用电开水器安全标准》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涉水内胆、管路符合食品级 304 不锈钢卫生标准</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547E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A8F7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7D0C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1950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8889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1950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F8AA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2352675" cy="3714750"/>
                  <wp:effectExtent l="0" t="0" r="0" b="0"/>
                  <wp:docPr id="9"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62"/>
                          <pic:cNvPicPr>
                            <a:picLocks noChangeAspect="1"/>
                          </pic:cNvPicPr>
                        </pic:nvPicPr>
                        <pic:blipFill>
                          <a:blip r:embed="rId11"/>
                          <a:stretch>
                            <a:fillRect/>
                          </a:stretch>
                        </pic:blipFill>
                        <pic:spPr>
                          <a:xfrm>
                            <a:off x="0" y="0"/>
                            <a:ext cx="2352675" cy="3714750"/>
                          </a:xfrm>
                          <a:prstGeom prst="rect">
                            <a:avLst/>
                          </a:prstGeom>
                          <a:noFill/>
                          <a:ln w="9525">
                            <a:noFill/>
                          </a:ln>
                        </pic:spPr>
                      </pic:pic>
                    </a:graphicData>
                  </a:graphic>
                </wp:inline>
              </w:drawing>
            </w:r>
          </w:p>
        </w:tc>
      </w:tr>
      <w:tr w14:paraId="0A1E7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9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F3D0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10</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AA9D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洗衣机</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C835">
            <w:pPr>
              <w:keepNext w:val="0"/>
              <w:keepLines w:val="0"/>
              <w:widowControl/>
              <w:numPr>
                <w:ilvl w:val="0"/>
                <w:numId w:val="1"/>
              </w:numPr>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产品基础信息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产品名称：全自动变频滚筒洗衣机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洗涤容量：≥8kg</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机身厚度：超薄机身，可嵌入式安装</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能效等级：达到一级能效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外观：金属机身，旋钮 + 数字触控双操控</w:t>
            </w:r>
          </w:p>
          <w:p w14:paraId="28FFE068">
            <w:pPr>
              <w:keepNext w:val="0"/>
              <w:keepLines w:val="0"/>
              <w:widowControl/>
              <w:numPr>
                <w:ilvl w:val="0"/>
                <w:numId w:val="0"/>
              </w:numPr>
              <w:suppressLineNumbers w:val="0"/>
              <w:spacing w:before="0" w:beforeAutospacing="0" w:after="0" w:afterAutospacing="0"/>
              <w:ind w:left="0" w:leftChars="0" w:right="0" w:right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不锈钢防腐蚀内筒，柔护衣物不勾丝</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二、核心电气规格</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额定电压：220V/50Hz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电机类型：BLDC 直流无刷变频电机，低噪节能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脱水转速：≥1200 转/分钟，快速脱水</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排水方式：支持上排水/下排水兼容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三、功能配置参数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高温除螨洗：支持高温水流，深层除螨除菌</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多程序选择：搭载多套智能洗涤程序，包含标准洗、快速洗、羊毛洗、羽绒洗、大件洗、筒自洁等常用程序，适配各类面料衣物洗涤需求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搭配筒自洁功能，内筒自动冲刷，减少污垢残留</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童锁防护，防止儿童误操作更改程序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配置透明大视窗，洗涤状态直观可见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四、节能与安全标准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一级能效，节水省电，符合国家节能认证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支持不平衡自检、溢水自动保护、过热断电多重防护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执行国标：GB/T 4288《家用和类似用途电动洗衣机》、GB 4706.1 家用电器安全标准</w:t>
            </w:r>
            <w:r>
              <w:rPr>
                <w:rFonts w:hint="eastAsia" w:ascii="仿宋_GB2312" w:hAnsi="宋体" w:eastAsia="仿宋_GB2312" w:cs="仿宋_GB2312"/>
                <w:i w:val="0"/>
                <w:iCs w:val="0"/>
                <w:color w:val="000000"/>
                <w:kern w:val="0"/>
                <w:sz w:val="20"/>
                <w:szCs w:val="20"/>
                <w:u w:val="none"/>
                <w:lang w:val="en-US" w:eastAsia="zh-CN" w:bidi="ar"/>
              </w:rPr>
              <w:br w:type="textWrapping"/>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50DA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6CD2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D81E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1650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5350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1650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534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2276475" cy="2276475"/>
                  <wp:effectExtent l="0" t="0" r="0" b="0"/>
                  <wp:docPr id="12"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8" descr="IMG_263"/>
                          <pic:cNvPicPr>
                            <a:picLocks noChangeAspect="1"/>
                          </pic:cNvPicPr>
                        </pic:nvPicPr>
                        <pic:blipFill>
                          <a:blip r:embed="rId12"/>
                          <a:stretch>
                            <a:fillRect/>
                          </a:stretch>
                        </pic:blipFill>
                        <pic:spPr>
                          <a:xfrm>
                            <a:off x="0" y="0"/>
                            <a:ext cx="2276475" cy="2276475"/>
                          </a:xfrm>
                          <a:prstGeom prst="rect">
                            <a:avLst/>
                          </a:prstGeom>
                          <a:noFill/>
                          <a:ln w="9525">
                            <a:noFill/>
                          </a:ln>
                        </pic:spPr>
                      </pic:pic>
                    </a:graphicData>
                  </a:graphic>
                </wp:inline>
              </w:drawing>
            </w:r>
          </w:p>
        </w:tc>
      </w:tr>
      <w:tr w14:paraId="01803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9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90B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6D47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烘干机</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D93BF">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一、产品基础信息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产品名称：独立全自动直排式干衣机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额定烘干容量：≥10公斤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排气类型：采用双排气设计，支持前置免接管直排、背部接管排气两种方式，适配多种安装环境，空间适配性强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机身外观：配备钢化玻璃可视舱门，可直观查看设备工作状态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操控：采用旋钮+数码显示组合操控方式，程序显示清晰，操作便捷稳定</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二、电气核心参数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额定电压/频率：220V/50Hz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加热烘干功率：大功率恒温烘干，升温均匀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电机类型：配置低噪静音驱动电机，平稳运行低震动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安装方式：可独立落地摆放，支持叠放搭配滚筒洗衣机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三、核心功能配置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具备高温杀菌除螨：恒温高温烘杀螨虫、细菌，去除衣物潮气异味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多模式烘干程序：标准烘干、大件、羊毛、速烘、低温柔烘、筒清洁等多程序可选</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双排气设计：前置直排无需外接排烟管，适配无外墙阳台、储物间；背部预留标准出风口，可外接管道排风</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智能感应干衣：湿度传感，衣物干透自动停机，避免过度烘损面料</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毛絮过滤收纳盒，拦截衣物绒毛，清理便捷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童锁锁定功能，防止儿童误触更改运行程序</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四、安全与执行标准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多重安全防护：过热自动断电、高温阻燃内胆、漏电接地保护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内胆采用食品级不锈钢材质，耐腐蚀不伤衣物纤维</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执行国标：GB 4706.1、GB/T 29809《家用干衣机性能标准》</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5EBA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90D2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D010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144C9">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F08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2133600" cy="3171825"/>
                  <wp:effectExtent l="0" t="0" r="0" b="0"/>
                  <wp:docPr id="15"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 descr="IMG_264"/>
                          <pic:cNvPicPr>
                            <a:picLocks noChangeAspect="1"/>
                          </pic:cNvPicPr>
                        </pic:nvPicPr>
                        <pic:blipFill>
                          <a:blip r:embed="rId13"/>
                          <a:stretch>
                            <a:fillRect/>
                          </a:stretch>
                        </pic:blipFill>
                        <pic:spPr>
                          <a:xfrm>
                            <a:off x="0" y="0"/>
                            <a:ext cx="2133600" cy="3171825"/>
                          </a:xfrm>
                          <a:prstGeom prst="rect">
                            <a:avLst/>
                          </a:prstGeom>
                          <a:noFill/>
                          <a:ln w="9525">
                            <a:noFill/>
                          </a:ln>
                        </pic:spPr>
                      </pic:pic>
                    </a:graphicData>
                  </a:graphic>
                </wp:inline>
              </w:drawing>
            </w:r>
          </w:p>
        </w:tc>
      </w:tr>
      <w:tr w14:paraId="1F0BB0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7"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7E3F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22E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晾衣杆</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BE066">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一、主体材质：加厚不锈钢圆管，防锈耐腐蚀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结构样式：采用多杆分层晾晒结构，搭配X型交叉稳固支架，整体支撑性强、结构稳定</w:t>
            </w:r>
          </w:p>
          <w:p w14:paraId="6E4767BD">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高度：约1.255m，底部宽约0.68m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配件：配套晾晒挂杆、防风防滑脚垫</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二、结构性能参数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管材工艺：加厚不锈钢管壁，承重力强，整体静态承重≥60kg</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可折叠收纳，不用时收拢节省空间，阳台、室外均可摆放</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三横杆分层晾晒，可同时晾晒被褥、衣物，晾晒面积大</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底部防滑橡胶脚垫，防刮地面、防滑防倾倒，户外使用稳固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伸缩调节设计，可根据场地自由缩短长度</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三、适用场景与外观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外观：亮面不锈钢，不易生锈、水渍一擦即净</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适用：单位宿舍、职工阳台、室内外衣物被褥晾晒</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多功能配件位，可悬挂衣架、袜子晾晒篮，多功能晾晒</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四、质量执行标准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金属管材符合民用五金家具防锈工艺标准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支架焊接牢固，无虚焊、毛刺，承重结构无变形隐患</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E8B6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组</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3A35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6AA6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280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29AA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560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D07C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2266950" cy="2286000"/>
                  <wp:effectExtent l="0" t="0" r="0" b="0"/>
                  <wp:docPr id="16"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descr="IMG_265"/>
                          <pic:cNvPicPr>
                            <a:picLocks noChangeAspect="1"/>
                          </pic:cNvPicPr>
                        </pic:nvPicPr>
                        <pic:blipFill>
                          <a:blip r:embed="rId14"/>
                          <a:stretch>
                            <a:fillRect/>
                          </a:stretch>
                        </pic:blipFill>
                        <pic:spPr>
                          <a:xfrm>
                            <a:off x="0" y="0"/>
                            <a:ext cx="2266950" cy="2286000"/>
                          </a:xfrm>
                          <a:prstGeom prst="rect">
                            <a:avLst/>
                          </a:prstGeom>
                          <a:noFill/>
                          <a:ln w="9525">
                            <a:noFill/>
                          </a:ln>
                        </pic:spPr>
                      </pic:pic>
                    </a:graphicData>
                  </a:graphic>
                </wp:inline>
              </w:drawing>
            </w:r>
          </w:p>
        </w:tc>
      </w:tr>
      <w:tr w14:paraId="2832B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A78B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13</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A8B3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书柜</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40265">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1.面材:饰面选用AAA级0.8MM以上胡桃木木皮;封边:采用胡桃木实木封边;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2.基材:采用25MM厚E1级高密度板材，优质环保,甲醛含量≤5mg/100g.按照国标规定的检测方法检测，E1标准甲醛释放≤0.5mg/，密度800kg-900kg/m3.吸水膨胀率≤8.1%;</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油漆:采用优质环保油漆,甲醛含量小于1.5mg/,表面硬度大于3H，经五底三面八层在恒温、恒湿高度防尘的面漆房喷涂面，从而保证台面平整无颗粒、气泡、渣点，颜色均匀，手感光滑、丰满度好、圆润、耐磨、耐高温、防水、环保无毒害无气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4.外形:采用人体工程学设计舒适度好;</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5.五金:优质高强度五金连接件，经除油、除锈、酸洗电镀锌处理。</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36F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A02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16C6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1200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8D6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3600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4B9F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2352675" cy="2352675"/>
                  <wp:effectExtent l="0" t="0" r="0" b="0"/>
                  <wp:docPr id="17"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 descr="IMG_266"/>
                          <pic:cNvPicPr>
                            <a:picLocks noChangeAspect="1"/>
                          </pic:cNvPicPr>
                        </pic:nvPicPr>
                        <pic:blipFill>
                          <a:blip r:embed="rId15"/>
                          <a:stretch>
                            <a:fillRect/>
                          </a:stretch>
                        </pic:blipFill>
                        <pic:spPr>
                          <a:xfrm>
                            <a:off x="0" y="0"/>
                            <a:ext cx="2352675" cy="2352675"/>
                          </a:xfrm>
                          <a:prstGeom prst="rect">
                            <a:avLst/>
                          </a:prstGeom>
                          <a:noFill/>
                          <a:ln w="9525">
                            <a:noFill/>
                          </a:ln>
                        </pic:spPr>
                      </pic:pic>
                    </a:graphicData>
                  </a:graphic>
                </wp:inline>
              </w:drawing>
            </w:r>
          </w:p>
        </w:tc>
      </w:tr>
      <w:tr w14:paraId="7FEAE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73"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2400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14</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0581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装备柜</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16E27">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一、产品基础信息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产品名称：警用装备储物柜</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外形尺寸：柜体整体尺寸不小于1800mm×900mm×550mm，满足大批量装备存放空间需求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门体结构：对开透明钢化玻璃门，蓝色静电喷涂柜体</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标识：</w:t>
            </w:r>
            <w:r>
              <w:rPr>
                <w:rFonts w:hint="eastAsia" w:ascii="仿宋_GB2312" w:hAnsi="宋体" w:eastAsia="仿宋_GB2312" w:cs="仿宋_GB2312"/>
                <w:b/>
                <w:bCs/>
                <w:i w:val="0"/>
                <w:iCs w:val="0"/>
                <w:color w:val="000000"/>
                <w:kern w:val="0"/>
                <w:sz w:val="20"/>
                <w:szCs w:val="20"/>
                <w:u w:val="none"/>
                <w:lang w:val="en-US" w:eastAsia="zh-CN" w:bidi="ar"/>
              </w:rPr>
              <w:t>正面印制警徽、“警用装备柜” 标准字样标识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内部配置：多层可调钢制隔板，分层存放装备器材</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二、板材材质参数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柜体板材：优质加厚冷轧钢板，门框、门板厚度≥0.8mm，底盘加强板≥1.0mm</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表面工艺：酸洗磷化防锈处理，户外蓝色静电喷塑涂层，耐腐蚀、不掉漆、耐磕碰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玻璃门：≥5mm 加厚钢化玻璃，防爆防碎裂，可直观查看内部装备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三、锁具与安全配置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门锁：中央一体式防盗机械锁，双门联动锁闭，配备 2 把原装钥匙</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门铰链：加厚静音防锈合页，开关顺畅，承重不易变形下垂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内部层板：活动可调层板，可根据装备高度自由调节分层间距，单层承重≥40kg</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柜体底部：一体成型加固底座，防滑支撑，放置稳固不晃动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四、工艺与执行标准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钣金工艺：全数控折弯，无痕焊接，边角圆弧钝化处理无尖锐毛刺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防锈标准：经脱脂、酸洗、磷化多层防腐处理，满足室内长期存放要求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符合钢制办公家具通用技术规范，装备存放安防使用标准</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FE077">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组</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B49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E71B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1180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D782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5900</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3D296">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2352675" cy="3362325"/>
                  <wp:effectExtent l="0" t="0" r="0" b="0"/>
                  <wp:docPr id="3"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descr="IMG_267"/>
                          <pic:cNvPicPr>
                            <a:picLocks noChangeAspect="1"/>
                          </pic:cNvPicPr>
                        </pic:nvPicPr>
                        <pic:blipFill>
                          <a:blip r:embed="rId16"/>
                          <a:stretch>
                            <a:fillRect/>
                          </a:stretch>
                        </pic:blipFill>
                        <pic:spPr>
                          <a:xfrm>
                            <a:off x="0" y="0"/>
                            <a:ext cx="2352675" cy="3362325"/>
                          </a:xfrm>
                          <a:prstGeom prst="rect">
                            <a:avLst/>
                          </a:prstGeom>
                          <a:noFill/>
                          <a:ln w="9525">
                            <a:noFill/>
                          </a:ln>
                        </pic:spPr>
                      </pic:pic>
                    </a:graphicData>
                  </a:graphic>
                </wp:inline>
              </w:drawing>
            </w:r>
          </w:p>
        </w:tc>
      </w:tr>
      <w:tr w14:paraId="0E4C4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661"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4A2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D0A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装备架</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FF12">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一、产品基础信息</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产品名称：四层中型物资装备货架</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外形尺寸：外形尺寸不小于2000mm×2000mm×600mm，，存储空间充足，适配批量物资存放</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单层额定承重：≥200kg</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层数配置：四层可调节层板结构，支持层高灵活调节，适配不同规格物资、装备堆放</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外观：立柱、层板静电喷塑，模块化组装</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二、板材型材规格参数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立柱：≥40×80mmC 型槽钢，壁厚≥0.7mm，一体冲压成型</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横梁：≥40×60mm 抱焊横梁，壁厚≥0.6mm，卡扣式安装，拆装便捷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层板：冷轧钢板，厚度≥0.3mm，底部加加强筋，承载均匀不变形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支撑结构：双侧三角加强斜撑，提升整体稳定性，防侧翻</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三、工艺与性能标准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表面处理：脱脂→酸洗→磷化→静电喷塑，防锈防腐，不掉漆耐磕碰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层板高度可自由调节，适配不同高度装备、物资存放</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整体模块化卡扣拼装，无需焊接工具，现场快速组装</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单组四层总承载≥800kg，横梁抗弯、立柱抗弯折，长期承重无变形</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四、安全与执行标准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符合钢制仓储货架行业通用技术规范</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边角折弯钝化处理，无尖锐毛刺，避免划伤装备、人员</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底部立柱配防滑耐磨脚垫，保护地面，放置稳固不滑动</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DD8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组</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9B9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5A7B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6245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900</w:t>
            </w:r>
          </w:p>
        </w:tc>
        <w:tc>
          <w:tcPr>
            <w:tcW w:w="37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7309">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drawing>
                <wp:inline distT="0" distB="0" distL="114300" distR="114300">
                  <wp:extent cx="2352675" cy="2847975"/>
                  <wp:effectExtent l="0" t="0" r="0" b="0"/>
                  <wp:docPr id="6"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3" descr="IMG_268"/>
                          <pic:cNvPicPr>
                            <a:picLocks noChangeAspect="1"/>
                          </pic:cNvPicPr>
                        </pic:nvPicPr>
                        <pic:blipFill>
                          <a:blip r:embed="rId17"/>
                          <a:stretch>
                            <a:fillRect/>
                          </a:stretch>
                        </pic:blipFill>
                        <pic:spPr>
                          <a:xfrm>
                            <a:off x="0" y="0"/>
                            <a:ext cx="2352675" cy="2847975"/>
                          </a:xfrm>
                          <a:prstGeom prst="rect">
                            <a:avLst/>
                          </a:prstGeom>
                          <a:noFill/>
                          <a:ln w="9525">
                            <a:noFill/>
                          </a:ln>
                        </pic:spPr>
                      </pic:pic>
                    </a:graphicData>
                  </a:graphic>
                </wp:inline>
              </w:drawing>
            </w:r>
          </w:p>
        </w:tc>
      </w:tr>
      <w:tr w14:paraId="3CE05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86"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9EA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16</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4F7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存储柜</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1140">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一、整体外观尺寸参数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整体尺寸：柜体外尺寸不小于1800mm×850mm×460mm，单仓储物空间充足，满足随身物品、箱包、文件存放需求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仓体布局：采用多仓分区布局，储物仓数量不少于8仓，分区清晰、存取便捷</w:t>
            </w:r>
          </w:p>
          <w:p w14:paraId="02B7DEFF">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柜体结构：一体式落地柜体，底部加固承重底座，无需额外固定，插电即可投入使用</w:t>
            </w:r>
          </w:p>
          <w:p w14:paraId="031D9D70">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kern w:val="0"/>
                <w:sz w:val="20"/>
                <w:szCs w:val="20"/>
                <w:u w:val="none"/>
                <w:lang w:val="en-US" w:eastAsia="zh-CN" w:bidi="ar"/>
              </w:rPr>
            </w:pPr>
            <w:r>
              <w:rPr>
                <w:rFonts w:hint="eastAsia" w:ascii="仿宋_GB2312" w:hAnsi="宋体" w:eastAsia="仿宋_GB2312" w:cs="仿宋_GB2312"/>
                <w:i w:val="0"/>
                <w:iCs w:val="0"/>
                <w:color w:val="000000"/>
                <w:kern w:val="0"/>
                <w:sz w:val="20"/>
                <w:szCs w:val="20"/>
                <w:u w:val="none"/>
                <w:lang w:val="en-US" w:eastAsia="zh-CN" w:bidi="ar"/>
              </w:rPr>
              <w:t>操作区域：柜体集成触控操作显示区域，人机交互直观便捷</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二、柜体钣金材质技术指标</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板材原料：国标 SPCC 加厚冷轧钢板，门板厚度≥1.0mm，柜体框架≥1.2mm，承重不变形，抗冲击、防火防潮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表面工艺：柜体采用全自动静电高温喷塑工艺，经防锈防腐处理，具备良好耐刮擦、耐锈蚀能力，盐雾耐腐蚀性能优异，涂层牢固不掉漆、环保无异味</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焊接工艺：全柜体无缝满焊，边角圆弧打磨，无尖锐棱角，使用安全</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单格承重：每仓最大静态承重≥30kg，内部无毛刺，可放置箱包、文件、随身物品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使用寿命：柜体稳定使用年限≥8 年</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三、触控主控系统参数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显示屏：配备高清电容触控显示屏，支持强光可视，搭载全中文可视化操作界面，操作简单直观</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核心主板：四核嵌入式工控芯片，运行内存≥2GB，机身存储≥16GB，系统运行稳定不卡顿</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操作系统：搭载智能自助寄存专用系统，适配无人值守场景，支持24小时不间断自助存取工作模式</w:t>
            </w:r>
          </w:p>
          <w:p w14:paraId="32A58102">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识别存取方式：条码扫码存取（打印纸质取件码）、密码存取（自主设置临时取件密码）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可选升级：人脸识别、刷卡 IC 卡、微信扫码存取</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操作响应：存 / 取识别响应时间≤1 秒，开锁成功率≥99.5%</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四、电控锁具安全配置</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锁体类型：专用电磁防盗电控锁，单锁开关寿命≥50 万次，开锁速度＜1 秒</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应急开锁：每仓配备机械应急钥匙，断电、故障状态可人工开锁，杜绝物品锁死</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状态指示灯：储物仓内置状态指示灯，可通过不同灯光颜色区分仓体空闲、占用状态，设备运行状态直观清晰，便于使用管理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防撬报警：暴力撬动柜门时系统自动声光报警，并记录报警日志</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五、供电与环境适配参数</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额定工作电压：适配AC220V/50Hz常规市电，整机额定功率≤60W，待机功耗低，节能省电</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断电保护：内置备用蓄电池，断电后可维持 24 小时系统运行、正常开箱取物</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工作环境温度：-10℃ ~ +60℃，室内外均可稳定使用；适应湿度5%-95% RH 无凝露</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防护等级：不低于IP54 防尘防潮，适应大厅、走廊等半开放办公环境</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六、后台管理系统功能（投标加分项）</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数据记录：完整存储所有存取记录，包含时间、仓号、存取凭证、操作人，日志可导出 Excel 存档备查</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管理员权限：多级账号管理（超级管理员 / 前台管理员），支持远程清柜、远程开箱、批量解锁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超时提醒：自定义物品存放超时时间，超时弹窗提醒管理员清理滞留物品</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故障自检：开机自动检测锁具、屏幕、电路故障，故障代码弹窗提示，便于维护</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数据本地存储，无需联网也可独立使用；支持局域网后台统一管理多组柜子</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CF852">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0440A">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CC279">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3000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9B6A">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仿宋_GB2312" w:hAnsi="宋体" w:eastAsia="仿宋_GB2312" w:cs="仿宋_GB2312"/>
                <w:i w:val="0"/>
                <w:iCs w:val="0"/>
                <w:color w:val="000000"/>
                <w:sz w:val="20"/>
                <w:szCs w:val="20"/>
                <w:u w:val="none"/>
                <w:lang w:val="en-US"/>
              </w:rPr>
            </w:pPr>
            <w:r>
              <w:rPr>
                <w:rFonts w:hint="eastAsia" w:ascii="仿宋_GB2312" w:hAnsi="宋体" w:eastAsia="仿宋_GB2312" w:cs="仿宋_GB2312"/>
                <w:i w:val="0"/>
                <w:iCs w:val="0"/>
                <w:color w:val="000000"/>
                <w:kern w:val="0"/>
                <w:sz w:val="20"/>
                <w:szCs w:val="20"/>
                <w:u w:val="none"/>
                <w:lang w:val="en-US" w:eastAsia="zh-CN" w:bidi="ar"/>
              </w:rPr>
              <w:t>3000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810E">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1438275" cy="2790825"/>
                  <wp:effectExtent l="0" t="0" r="0" b="0"/>
                  <wp:docPr id="4"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4" descr="IMG_269"/>
                          <pic:cNvPicPr>
                            <a:picLocks noChangeAspect="1"/>
                          </pic:cNvPicPr>
                        </pic:nvPicPr>
                        <pic:blipFill>
                          <a:blip r:embed="rId18"/>
                          <a:stretch>
                            <a:fillRect/>
                          </a:stretch>
                        </pic:blipFill>
                        <pic:spPr>
                          <a:xfrm>
                            <a:off x="0" y="0"/>
                            <a:ext cx="1438275" cy="2790825"/>
                          </a:xfrm>
                          <a:prstGeom prst="rect">
                            <a:avLst/>
                          </a:prstGeom>
                          <a:noFill/>
                          <a:ln w="9525">
                            <a:noFill/>
                          </a:ln>
                        </pic:spPr>
                      </pic:pic>
                    </a:graphicData>
                  </a:graphic>
                </wp:inline>
              </w:drawing>
            </w:r>
          </w:p>
        </w:tc>
      </w:tr>
      <w:tr w14:paraId="7044E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4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7D3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17</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D6B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打印机底柜</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E80E">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适配柯尼卡美能达 bizhub C226 打印机</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148B1">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个</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EE2F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E979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260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45716">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260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6707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drawing>
                <wp:inline distT="0" distB="0" distL="114300" distR="114300">
                  <wp:extent cx="1838325" cy="2819400"/>
                  <wp:effectExtent l="0" t="0" r="0" b="0"/>
                  <wp:docPr id="5"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5" descr="IMG_270"/>
                          <pic:cNvPicPr>
                            <a:picLocks noChangeAspect="1"/>
                          </pic:cNvPicPr>
                        </pic:nvPicPr>
                        <pic:blipFill>
                          <a:blip r:embed="rId19"/>
                          <a:stretch>
                            <a:fillRect/>
                          </a:stretch>
                        </pic:blipFill>
                        <pic:spPr>
                          <a:xfrm>
                            <a:off x="0" y="0"/>
                            <a:ext cx="1838325" cy="2819400"/>
                          </a:xfrm>
                          <a:prstGeom prst="rect">
                            <a:avLst/>
                          </a:prstGeom>
                          <a:noFill/>
                          <a:ln w="9525">
                            <a:noFill/>
                          </a:ln>
                        </pic:spPr>
                      </pic:pic>
                    </a:graphicData>
                  </a:graphic>
                </wp:inline>
              </w:drawing>
            </w:r>
          </w:p>
        </w:tc>
      </w:tr>
      <w:tr w14:paraId="41411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00"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79435">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18</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87D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3匹立式柜机空调</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4DAA0">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1.类型：变频冷暖柜机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2.制冷量：≥7200W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3.能效：新国标一级能效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4.电压：220V/50Hz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5.标配功能：除湿、广角送风、童锁、断电记忆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6.包含：原装铜管、排水管、外机支架、打孔安装调试</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5A573">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668B">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82D4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5600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472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5600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8D933">
            <w:pPr>
              <w:keepNext w:val="0"/>
              <w:keepLines w:val="0"/>
              <w:suppressLineNumbers w:val="0"/>
              <w:spacing w:before="0" w:beforeAutospacing="0" w:after="0" w:afterAutospacing="0"/>
              <w:ind w:left="0" w:leftChars="0" w:right="0" w:rightChars="0" w:firstLine="0" w:firstLineChars="0"/>
              <w:jc w:val="center"/>
              <w:rPr>
                <w:rFonts w:hint="eastAsia" w:ascii="仿宋_GB2312" w:hAnsi="宋体" w:eastAsia="仿宋_GB2312" w:cs="仿宋_GB2312"/>
                <w:i w:val="0"/>
                <w:iCs w:val="0"/>
                <w:color w:val="000000"/>
                <w:sz w:val="20"/>
                <w:szCs w:val="20"/>
                <w:u w:val="none"/>
              </w:rPr>
            </w:pPr>
          </w:p>
        </w:tc>
      </w:tr>
      <w:tr w14:paraId="0062E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59" w:hRule="atLeast"/>
        </w:trPr>
        <w:tc>
          <w:tcPr>
            <w:tcW w:w="6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A31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19</w:t>
            </w:r>
          </w:p>
        </w:tc>
        <w:tc>
          <w:tcPr>
            <w:tcW w:w="14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B8808">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1.5匹壁挂空调采购基础参数</w:t>
            </w:r>
          </w:p>
        </w:tc>
        <w:tc>
          <w:tcPr>
            <w:tcW w:w="6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FDE82">
            <w:pPr>
              <w:keepNext w:val="0"/>
              <w:keepLines w:val="0"/>
              <w:widowControl/>
              <w:suppressLineNumbers w:val="0"/>
              <w:spacing w:before="0" w:beforeAutospacing="0" w:after="0" w:afterAutospacing="0"/>
              <w:ind w:left="0" w:leftChars="0" w:right="0" w:rightChars="0" w:firstLine="0" w:firstLineChars="0"/>
              <w:jc w:val="left"/>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1.类型：变频冷暖挂机</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2.制冷量：≥3500W</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3.能效：新国标一级能效</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4.电压：220V/50Hz</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5.标配功能：除湿、扫风、童锁、断电记忆</w:t>
            </w:r>
            <w:r>
              <w:rPr>
                <w:rFonts w:hint="eastAsia" w:ascii="仿宋_GB2312" w:hAnsi="宋体" w:eastAsia="仿宋_GB2312" w:cs="仿宋_GB2312"/>
                <w:i w:val="0"/>
                <w:iCs w:val="0"/>
                <w:color w:val="000000"/>
                <w:kern w:val="0"/>
                <w:sz w:val="20"/>
                <w:szCs w:val="20"/>
                <w:u w:val="none"/>
                <w:lang w:val="en-US" w:eastAsia="zh-CN" w:bidi="ar"/>
              </w:rPr>
              <w:br w:type="textWrapping"/>
            </w:r>
            <w:r>
              <w:rPr>
                <w:rFonts w:hint="eastAsia" w:ascii="仿宋_GB2312" w:hAnsi="宋体" w:eastAsia="仿宋_GB2312" w:cs="仿宋_GB2312"/>
                <w:i w:val="0"/>
                <w:iCs w:val="0"/>
                <w:color w:val="000000"/>
                <w:kern w:val="0"/>
                <w:sz w:val="20"/>
                <w:szCs w:val="20"/>
                <w:u w:val="none"/>
                <w:lang w:val="en-US" w:eastAsia="zh-CN" w:bidi="ar"/>
              </w:rPr>
              <w:t>6.包含：原装铜管、排水管、外机支架、打孔安装调试</w:t>
            </w:r>
          </w:p>
        </w:tc>
        <w:tc>
          <w:tcPr>
            <w:tcW w:w="5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D7C6C">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台</w:t>
            </w: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C2054">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1</w:t>
            </w: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0938D">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2000</w:t>
            </w: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3600">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i w:val="0"/>
                <w:iCs w:val="0"/>
                <w:color w:val="000000"/>
                <w:sz w:val="20"/>
                <w:szCs w:val="20"/>
                <w:u w:val="none"/>
              </w:rPr>
            </w:pPr>
            <w:r>
              <w:rPr>
                <w:rFonts w:hint="eastAsia" w:ascii="仿宋_GB2312" w:hAnsi="宋体" w:eastAsia="仿宋_GB2312" w:cs="仿宋_GB2312"/>
                <w:i w:val="0"/>
                <w:iCs w:val="0"/>
                <w:color w:val="000000"/>
                <w:kern w:val="0"/>
                <w:sz w:val="20"/>
                <w:szCs w:val="20"/>
                <w:u w:val="none"/>
                <w:lang w:val="en-US" w:eastAsia="zh-CN" w:bidi="ar"/>
              </w:rPr>
              <w:t>2000</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CFE4A">
            <w:pPr>
              <w:keepNext w:val="0"/>
              <w:keepLines w:val="0"/>
              <w:suppressLineNumbers w:val="0"/>
              <w:spacing w:before="0" w:beforeAutospacing="0" w:after="0" w:afterAutospacing="0"/>
              <w:ind w:left="0" w:leftChars="0" w:right="0" w:rightChars="0" w:firstLine="0" w:firstLineChars="0"/>
              <w:jc w:val="center"/>
              <w:rPr>
                <w:rFonts w:hint="eastAsia" w:ascii="仿宋_GB2312" w:hAnsi="宋体" w:eastAsia="仿宋_GB2312" w:cs="仿宋_GB2312"/>
                <w:i w:val="0"/>
                <w:iCs w:val="0"/>
                <w:color w:val="000000"/>
                <w:sz w:val="20"/>
                <w:szCs w:val="20"/>
                <w:u w:val="none"/>
              </w:rPr>
            </w:pPr>
          </w:p>
        </w:tc>
      </w:tr>
      <w:tr w14:paraId="37A36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1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7BF1FF">
            <w:pPr>
              <w:keepNext w:val="0"/>
              <w:keepLines w:val="0"/>
              <w:widowControl/>
              <w:suppressLineNumbers w:val="0"/>
              <w:spacing w:before="0" w:beforeAutospacing="0" w:after="0" w:afterAutospacing="0"/>
              <w:ind w:left="0" w:leftChars="0" w:right="0" w:rightChars="0" w:firstLine="0" w:firstLineChars="0"/>
              <w:jc w:val="center"/>
              <w:textAlignment w:val="center"/>
              <w:rPr>
                <w:rFonts w:hint="eastAsia" w:ascii="仿宋_GB2312" w:hAnsi="宋体" w:eastAsia="仿宋_GB2312" w:cs="仿宋_GB2312"/>
                <w:b/>
                <w:bCs/>
                <w:i w:val="0"/>
                <w:iCs w:val="0"/>
                <w:color w:val="000000"/>
                <w:sz w:val="24"/>
                <w:szCs w:val="24"/>
                <w:u w:val="none"/>
              </w:rPr>
            </w:pPr>
            <w:r>
              <w:rPr>
                <w:rFonts w:hint="eastAsia" w:ascii="仿宋_GB2312" w:hAnsi="宋体" w:eastAsia="仿宋_GB2312" w:cs="仿宋_GB2312"/>
                <w:b/>
                <w:bCs/>
                <w:i w:val="0"/>
                <w:iCs w:val="0"/>
                <w:color w:val="000000"/>
                <w:kern w:val="0"/>
                <w:sz w:val="24"/>
                <w:szCs w:val="24"/>
                <w:u w:val="none"/>
                <w:lang w:val="en-US" w:eastAsia="zh-CN" w:bidi="ar"/>
              </w:rPr>
              <w:t>总价</w:t>
            </w:r>
          </w:p>
        </w:tc>
        <w:tc>
          <w:tcPr>
            <w:tcW w:w="65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DD141">
            <w:pPr>
              <w:keepNext w:val="0"/>
              <w:keepLines w:val="0"/>
              <w:suppressLineNumbers w:val="0"/>
              <w:spacing w:before="0" w:beforeAutospacing="0" w:after="0" w:afterAutospacing="0"/>
              <w:ind w:left="0" w:leftChars="0" w:right="0" w:rightChars="0" w:firstLine="0" w:firstLineChars="0"/>
              <w:rPr>
                <w:rFonts w:hint="eastAsia" w:ascii="仿宋_GB2312" w:hAnsi="宋体" w:eastAsia="仿宋_GB2312" w:cs="仿宋_GB2312"/>
                <w:b/>
                <w:bCs/>
                <w:i w:val="0"/>
                <w:iCs w:val="0"/>
                <w:color w:val="000000"/>
                <w:sz w:val="24"/>
                <w:szCs w:val="24"/>
                <w:u w:val="none"/>
              </w:rPr>
            </w:pPr>
          </w:p>
        </w:tc>
        <w:tc>
          <w:tcPr>
            <w:tcW w:w="5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91D44">
            <w:pPr>
              <w:keepNext w:val="0"/>
              <w:keepLines w:val="0"/>
              <w:suppressLineNumbers w:val="0"/>
              <w:spacing w:before="0" w:beforeAutospacing="0" w:after="0" w:afterAutospacing="0"/>
              <w:ind w:left="0" w:leftChars="0" w:right="0" w:rightChars="0" w:firstLine="0" w:firstLineChars="0"/>
              <w:rPr>
                <w:rFonts w:hint="eastAsia" w:ascii="仿宋_GB2312" w:hAnsi="宋体" w:eastAsia="仿宋_GB2312" w:cs="仿宋_GB2312"/>
                <w:b/>
                <w:bCs/>
                <w:i w:val="0"/>
                <w:iCs w:val="0"/>
                <w:color w:val="000000"/>
                <w:sz w:val="24"/>
                <w:szCs w:val="24"/>
                <w:u w:val="none"/>
              </w:rPr>
            </w:pPr>
          </w:p>
        </w:tc>
        <w:tc>
          <w:tcPr>
            <w:tcW w:w="6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1DD8E">
            <w:pPr>
              <w:keepNext w:val="0"/>
              <w:keepLines w:val="0"/>
              <w:suppressLineNumbers w:val="0"/>
              <w:spacing w:before="0" w:beforeAutospacing="0" w:after="0" w:afterAutospacing="0"/>
              <w:ind w:left="0" w:leftChars="0" w:right="0" w:rightChars="0" w:firstLine="0" w:firstLineChars="0"/>
              <w:jc w:val="center"/>
              <w:rPr>
                <w:rFonts w:hint="eastAsia" w:ascii="仿宋_GB2312" w:hAnsi="宋体" w:eastAsia="仿宋_GB2312" w:cs="仿宋_GB2312"/>
                <w:b/>
                <w:bCs/>
                <w:i w:val="0"/>
                <w:iCs w:val="0"/>
                <w:color w:val="000000"/>
                <w:sz w:val="24"/>
                <w:szCs w:val="24"/>
                <w:u w:val="none"/>
              </w:rPr>
            </w:pPr>
          </w:p>
        </w:tc>
        <w:tc>
          <w:tcPr>
            <w:tcW w:w="8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5C847">
            <w:pPr>
              <w:keepNext w:val="0"/>
              <w:keepLines w:val="0"/>
              <w:suppressLineNumbers w:val="0"/>
              <w:spacing w:before="0" w:beforeAutospacing="0" w:after="0" w:afterAutospacing="0"/>
              <w:ind w:left="0" w:leftChars="0" w:right="0" w:rightChars="0" w:firstLine="0" w:firstLineChars="0"/>
              <w:jc w:val="center"/>
              <w:rPr>
                <w:rFonts w:hint="eastAsia" w:ascii="仿宋_GB2312" w:hAnsi="宋体" w:eastAsia="仿宋_GB2312" w:cs="仿宋_GB2312"/>
                <w:b/>
                <w:bCs/>
                <w:i w:val="0"/>
                <w:iCs w:val="0"/>
                <w:color w:val="000000"/>
                <w:sz w:val="24"/>
                <w:szCs w:val="24"/>
                <w:u w:val="none"/>
              </w:rPr>
            </w:pPr>
          </w:p>
        </w:tc>
        <w:tc>
          <w:tcPr>
            <w:tcW w:w="9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0599A">
            <w:pPr>
              <w:keepNext w:val="0"/>
              <w:keepLines w:val="0"/>
              <w:widowControl/>
              <w:suppressLineNumbers w:val="0"/>
              <w:spacing w:before="0" w:beforeAutospacing="0" w:after="0" w:afterAutospacing="0"/>
              <w:ind w:left="0" w:leftChars="0" w:right="0" w:rightChars="0" w:firstLine="0" w:firstLineChars="0"/>
              <w:jc w:val="center"/>
              <w:textAlignment w:val="center"/>
              <w:rPr>
                <w:rFonts w:hint="default" w:ascii="仿宋_GB2312" w:hAnsi="宋体" w:eastAsia="仿宋_GB2312" w:cs="仿宋_GB2312"/>
                <w:b/>
                <w:bCs/>
                <w:i w:val="0"/>
                <w:iCs w:val="0"/>
                <w:color w:val="000000"/>
                <w:sz w:val="24"/>
                <w:szCs w:val="24"/>
                <w:u w:val="none"/>
                <w:lang w:val="en-US"/>
              </w:rPr>
            </w:pPr>
            <w:r>
              <w:rPr>
                <w:rFonts w:hint="eastAsia" w:ascii="仿宋_GB2312" w:hAnsi="宋体" w:eastAsia="仿宋_GB2312" w:cs="仿宋_GB2312"/>
                <w:b/>
                <w:bCs/>
                <w:i w:val="0"/>
                <w:iCs w:val="0"/>
                <w:color w:val="000000"/>
                <w:kern w:val="0"/>
                <w:sz w:val="24"/>
                <w:szCs w:val="24"/>
                <w:u w:val="none"/>
                <w:lang w:val="en-US" w:eastAsia="zh-CN" w:bidi="ar"/>
              </w:rPr>
              <w:t>61059</w:t>
            </w:r>
          </w:p>
        </w:tc>
        <w:tc>
          <w:tcPr>
            <w:tcW w:w="3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49CF">
            <w:pPr>
              <w:keepNext w:val="0"/>
              <w:keepLines w:val="0"/>
              <w:suppressLineNumbers w:val="0"/>
              <w:spacing w:before="0" w:beforeAutospacing="0" w:after="0" w:afterAutospacing="0"/>
              <w:ind w:left="0" w:leftChars="0" w:right="0" w:rightChars="0" w:firstLine="0" w:firstLineChars="0"/>
              <w:jc w:val="center"/>
              <w:rPr>
                <w:rFonts w:hint="eastAsia" w:ascii="仿宋_GB2312" w:hAnsi="宋体" w:eastAsia="仿宋_GB2312" w:cs="仿宋_GB2312"/>
                <w:b/>
                <w:bCs/>
                <w:i w:val="0"/>
                <w:iCs w:val="0"/>
                <w:color w:val="000000"/>
                <w:sz w:val="24"/>
                <w:szCs w:val="24"/>
                <w:u w:val="none"/>
              </w:rPr>
            </w:pPr>
          </w:p>
        </w:tc>
      </w:tr>
    </w:tbl>
    <w:p w14:paraId="430E0050">
      <w:pPr>
        <w:rPr>
          <w:rFonts w:hint="eastAsia" w:ascii="仿宋" w:hAnsi="仿宋" w:eastAsia="仿宋" w:cs="仿宋"/>
          <w:b w:val="0"/>
          <w:bCs w:val="0"/>
          <w:kern w:val="2"/>
          <w:sz w:val="28"/>
          <w:szCs w:val="28"/>
          <w:lang w:val="en-US" w:eastAsia="zh-CN" w:bidi="ar-SA"/>
        </w:rPr>
      </w:pPr>
      <w:r>
        <w:rPr>
          <w:rFonts w:hint="eastAsia" w:ascii="仿宋" w:hAnsi="仿宋" w:eastAsia="仿宋" w:cs="仿宋"/>
          <w:b/>
          <w:bCs/>
          <w:kern w:val="2"/>
          <w:sz w:val="28"/>
          <w:szCs w:val="28"/>
          <w:lang w:val="en-US" w:eastAsia="zh-CN" w:bidi="ar-SA"/>
        </w:rPr>
        <w:t>注：</w:t>
      </w:r>
      <w:r>
        <w:rPr>
          <w:rFonts w:hint="eastAsia" w:ascii="仿宋" w:hAnsi="仿宋" w:eastAsia="仿宋" w:cs="仿宋"/>
          <w:b w:val="0"/>
          <w:bCs w:val="0"/>
          <w:kern w:val="2"/>
          <w:sz w:val="28"/>
          <w:szCs w:val="28"/>
          <w:lang w:val="en-US" w:eastAsia="zh-CN" w:bidi="ar-SA"/>
        </w:rPr>
        <w:t>1.供应商必须确保自己信息真实、准确，否则，因此造成的不利影响，采购单位概不负责。</w:t>
      </w:r>
    </w:p>
    <w:p w14:paraId="4FEAB15F">
      <w:pPr>
        <w:ind w:firstLine="560" w:firstLineChars="200"/>
        <w:rPr>
          <w:rFonts w:hint="default"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2.本项目按总价进行报价，按照总价最低原则进行采购。</w:t>
      </w:r>
    </w:p>
    <w:p w14:paraId="0FC8B52B">
      <w:pPr>
        <w:ind w:firstLine="560" w:firstLineChars="20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3.投标报价包含但不限于到场所需的一切费用（如：货物运输、搬运及安装费用），后续采购人不会再支付除中标价以外的任何价款。</w:t>
      </w:r>
    </w:p>
    <w:p w14:paraId="174C7667">
      <w:pPr>
        <w:ind w:firstLine="560" w:firstLineChars="200"/>
        <w:rPr>
          <w:rFonts w:hint="eastAsia" w:ascii="仿宋" w:hAnsi="仿宋" w:eastAsia="仿宋" w:cs="仿宋"/>
          <w:b w:val="0"/>
          <w:bCs w:val="0"/>
          <w:kern w:val="2"/>
          <w:sz w:val="28"/>
          <w:szCs w:val="28"/>
          <w:lang w:val="en-US" w:eastAsia="zh-CN" w:bidi="ar-SA"/>
        </w:rPr>
      </w:pPr>
      <w:r>
        <w:rPr>
          <w:rFonts w:hint="eastAsia" w:ascii="仿宋" w:hAnsi="仿宋" w:eastAsia="仿宋" w:cs="仿宋"/>
          <w:b w:val="0"/>
          <w:bCs w:val="0"/>
          <w:kern w:val="2"/>
          <w:sz w:val="28"/>
          <w:szCs w:val="28"/>
          <w:lang w:val="en-US" w:eastAsia="zh-CN" w:bidi="ar-SA"/>
        </w:rPr>
        <w:t>4.供应商不得随意修改采购需求的规格、数量等要求，如有特殊情况请添加备注栏说明。供应商须对报价货物的单项合计、总价合计金额数的正确性负责，出现不符合文件要求或报价合计金额数有误的、有争议的，予以作废处理。</w:t>
      </w:r>
    </w:p>
    <w:p w14:paraId="72447154">
      <w:pPr>
        <w:keepNext w:val="0"/>
        <w:keepLines w:val="0"/>
        <w:pageBreakBefore w:val="0"/>
        <w:widowControl w:val="0"/>
        <w:kinsoku/>
        <w:wordWrap/>
        <w:overflowPunct/>
        <w:topLinePunct w:val="0"/>
        <w:autoSpaceDE/>
        <w:autoSpaceDN/>
        <w:bidi w:val="0"/>
        <w:adjustRightInd/>
        <w:snapToGrid/>
        <w:ind w:firstLine="602" w:firstLineChars="200"/>
        <w:textAlignment w:val="auto"/>
        <w:rPr>
          <w:rFonts w:hint="default" w:ascii="仿宋" w:hAnsi="仿宋" w:eastAsia="仿宋" w:cs="仿宋"/>
          <w:b/>
          <w:bCs/>
          <w:sz w:val="30"/>
          <w:szCs w:val="30"/>
          <w:lang w:val="en-US" w:eastAsia="zh-CN"/>
        </w:rPr>
      </w:pPr>
      <w:r>
        <w:rPr>
          <w:rFonts w:hint="eastAsia" w:ascii="仿宋" w:hAnsi="仿宋" w:eastAsia="仿宋" w:cs="仿宋"/>
          <w:b/>
          <w:bCs/>
          <w:sz w:val="30"/>
          <w:szCs w:val="30"/>
          <w:lang w:val="en-US" w:eastAsia="zh-CN"/>
        </w:rPr>
        <w:t>5.质保期要求</w:t>
      </w:r>
    </w:p>
    <w:p w14:paraId="67039564">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采购清单中要求的</w:t>
      </w:r>
      <w:r>
        <w:rPr>
          <w:rFonts w:hint="eastAsia" w:ascii="仿宋" w:hAnsi="仿宋" w:eastAsia="仿宋" w:cs="仿宋"/>
          <w:sz w:val="30"/>
          <w:szCs w:val="30"/>
        </w:rPr>
        <w:t>空调、冰箱、洗衣机、烘干机</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微波炉</w:t>
      </w:r>
      <w:r>
        <w:rPr>
          <w:rFonts w:hint="eastAsia" w:ascii="仿宋" w:hAnsi="仿宋" w:eastAsia="仿宋" w:cs="仿宋"/>
          <w:sz w:val="30"/>
          <w:szCs w:val="30"/>
        </w:rPr>
        <w:t>等家用电器，免费质保标准不得低于《部分商品修理更换退货责任规定》国家强制三包最低要求：整机质保不少于1年，压缩机、变频电机、主控板等核心主要部件质保不少于3年</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微波炉主要部件质保不少于2年</w:t>
      </w:r>
      <w:r>
        <w:rPr>
          <w:rFonts w:hint="eastAsia" w:ascii="仿宋" w:hAnsi="仿宋" w:eastAsia="仿宋" w:cs="仿宋"/>
          <w:sz w:val="30"/>
          <w:szCs w:val="30"/>
          <w:lang w:eastAsia="zh-CN"/>
        </w:rPr>
        <w:t>）</w:t>
      </w:r>
      <w:r>
        <w:rPr>
          <w:rFonts w:hint="eastAsia" w:ascii="仿宋" w:hAnsi="仿宋" w:eastAsia="仿宋" w:cs="仿宋"/>
          <w:sz w:val="30"/>
          <w:szCs w:val="30"/>
        </w:rPr>
        <w:t>。</w:t>
      </w:r>
    </w:p>
    <w:p w14:paraId="66F7D421">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各品类设备实际免费质保期限、保修范围以所投产品原厂官方公开有效质保政策为准；原厂承诺质保年限、保修范围优于国家三包标准的，按原厂更高标准执行。若原厂品牌质保政策低于国家三包强制最低标准，统一按国家三包规定执行；更换后的零部件质保期自更换完工之日重新计算。</w:t>
      </w:r>
    </w:p>
    <w:p w14:paraId="76B6E62D">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质保统一自全部货物安装调试完成、采购人整体验收合格之日起计算；原厂三包起算规则长于本约定的，取两者中更有利于采购人的时间节点。</w:t>
      </w:r>
    </w:p>
    <w:p w14:paraId="7AC88C11">
      <w:pPr>
        <w:keepNext w:val="0"/>
        <w:keepLines w:val="0"/>
        <w:pageBreakBefore w:val="0"/>
        <w:widowControl w:val="0"/>
        <w:numPr>
          <w:ilvl w:val="0"/>
          <w:numId w:val="2"/>
        </w:numPr>
        <w:kinsoku/>
        <w:wordWrap/>
        <w:overflowPunct/>
        <w:topLinePunct w:val="0"/>
        <w:autoSpaceDE/>
        <w:autoSpaceDN/>
        <w:bidi w:val="0"/>
        <w:adjustRightInd/>
        <w:snapToGrid/>
        <w:ind w:left="0" w:leftChars="0"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质保期内，凡产品自身质量缺陷产生的维修、更换配件、上门服务、运输等全部费用，均由中标供应商承担，采购人无需支付任何人工费、配件费、上门费。</w:t>
      </w:r>
    </w:p>
    <w:p w14:paraId="46919FC4">
      <w:pPr>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 w:hAnsi="仿宋" w:eastAsia="仿宋" w:cs="仿宋"/>
          <w:sz w:val="30"/>
          <w:szCs w:val="30"/>
        </w:rPr>
      </w:pPr>
    </w:p>
    <w:p w14:paraId="26A9D36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30"/>
          <w:szCs w:val="30"/>
        </w:rPr>
      </w:pPr>
    </w:p>
    <w:p w14:paraId="215CD99A">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30"/>
          <w:szCs w:val="30"/>
        </w:rPr>
      </w:pPr>
    </w:p>
    <w:p w14:paraId="439E16C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仿宋" w:hAnsi="仿宋" w:eastAsia="仿宋" w:cs="仿宋"/>
          <w:sz w:val="30"/>
          <w:szCs w:val="30"/>
        </w:rPr>
        <w:sectPr>
          <w:pgSz w:w="16838" w:h="11906" w:orient="landscape"/>
          <w:pgMar w:top="1134" w:right="1417" w:bottom="1134" w:left="1417" w:header="851" w:footer="992" w:gutter="0"/>
          <w:pgBorders>
            <w:top w:val="none" w:sz="0" w:space="0"/>
            <w:left w:val="none" w:sz="0" w:space="0"/>
            <w:bottom w:val="none" w:sz="0" w:space="0"/>
            <w:right w:val="none" w:sz="0" w:space="0"/>
          </w:pgBorders>
          <w:cols w:space="0" w:num="1"/>
          <w:rtlGutter w:val="0"/>
          <w:docGrid w:type="lines" w:linePitch="321" w:charSpace="0"/>
        </w:sectPr>
      </w:pPr>
    </w:p>
    <w:tbl>
      <w:tblPr>
        <w:tblStyle w:val="14"/>
        <w:tblW w:w="5358" w:type="pct"/>
        <w:tblInd w:w="-3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6"/>
        <w:gridCol w:w="1505"/>
        <w:gridCol w:w="2919"/>
        <w:gridCol w:w="953"/>
        <w:gridCol w:w="1159"/>
        <w:gridCol w:w="1364"/>
        <w:gridCol w:w="1781"/>
      </w:tblGrid>
      <w:tr w14:paraId="6D6A5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5000" w:type="pct"/>
            <w:gridSpan w:val="7"/>
            <w:tcBorders>
              <w:top w:val="nil"/>
              <w:left w:val="nil"/>
              <w:bottom w:val="nil"/>
              <w:right w:val="nil"/>
            </w:tcBorders>
            <w:shd w:val="clear" w:color="auto" w:fill="auto"/>
            <w:noWrap/>
            <w:vAlign w:val="center"/>
          </w:tcPr>
          <w:p w14:paraId="1320A2D6">
            <w:pPr>
              <w:keepNext w:val="0"/>
              <w:keepLines w:val="0"/>
              <w:widowControl/>
              <w:suppressLineNumbers w:val="0"/>
              <w:spacing w:before="0" w:beforeAutospacing="0" w:after="0" w:afterAutospacing="0"/>
              <w:ind w:left="0" w:right="0"/>
              <w:jc w:val="center"/>
              <w:textAlignment w:val="center"/>
              <w:rPr>
                <w:rFonts w:hint="eastAsia" w:ascii="等线" w:hAnsi="等线" w:eastAsia="等线" w:cs="等线"/>
                <w:b/>
                <w:bCs/>
                <w:i w:val="0"/>
                <w:iCs w:val="0"/>
                <w:color w:val="000000"/>
                <w:kern w:val="0"/>
                <w:sz w:val="32"/>
                <w:szCs w:val="32"/>
                <w:u w:val="none"/>
                <w:lang w:val="en-US" w:eastAsia="zh-CN" w:bidi="ar"/>
              </w:rPr>
            </w:pPr>
            <w:r>
              <w:rPr>
                <w:rFonts w:hint="eastAsia" w:asciiTheme="majorEastAsia" w:hAnsiTheme="majorEastAsia" w:eastAsiaTheme="majorEastAsia" w:cstheme="majorEastAsia"/>
                <w:b/>
                <w:bCs/>
                <w:i w:val="0"/>
                <w:iCs w:val="0"/>
                <w:color w:val="000000"/>
                <w:kern w:val="0"/>
                <w:sz w:val="36"/>
                <w:szCs w:val="36"/>
                <w:u w:val="none"/>
                <w:lang w:val="en-US" w:eastAsia="zh-CN" w:bidi="ar"/>
              </w:rPr>
              <w:t>安庆港中心港区皖河新港一期边检办公物资采购报价表</w:t>
            </w:r>
          </w:p>
        </w:tc>
      </w:tr>
      <w:tr w14:paraId="703B3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0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3FEE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序号</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0D51">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sz w:val="28"/>
                <w:szCs w:val="28"/>
                <w:u w:val="none"/>
                <w:lang w:val="en-US"/>
              </w:rPr>
            </w:pPr>
            <w:r>
              <w:rPr>
                <w:rFonts w:hint="eastAsia" w:asciiTheme="minorEastAsia" w:hAnsiTheme="minorEastAsia" w:eastAsiaTheme="minorEastAsia" w:cstheme="minorEastAsia"/>
                <w:b/>
                <w:bCs/>
                <w:i w:val="0"/>
                <w:iCs w:val="0"/>
                <w:color w:val="000000"/>
                <w:kern w:val="0"/>
                <w:sz w:val="28"/>
                <w:szCs w:val="28"/>
                <w:u w:val="none"/>
                <w:lang w:val="en-US" w:eastAsia="zh-CN" w:bidi="ar"/>
              </w:rPr>
              <w:t>货物名称</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A424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规格参数</w:t>
            </w: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0CB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lang w:val="en-US" w:eastAsia="zh-CN" w:bidi="ar"/>
              </w:rPr>
              <w:t>单位</w:t>
            </w: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BC3E">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lang w:val="en-US" w:eastAsia="zh-CN" w:bidi="ar"/>
              </w:rPr>
              <w:t>数量</w:t>
            </w: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D68A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单价</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1DCD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小计（元）</w:t>
            </w:r>
          </w:p>
        </w:tc>
      </w:tr>
      <w:tr w14:paraId="506CD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B082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r>
              <w:rPr>
                <w:rFonts w:hint="eastAsia" w:asciiTheme="minorEastAsia" w:hAnsiTheme="minorEastAsia" w:eastAsiaTheme="minorEastAsia" w:cstheme="minorEastAsia"/>
                <w:b/>
                <w:bCs/>
                <w:i w:val="0"/>
                <w:iCs w:val="0"/>
                <w:color w:val="000000"/>
                <w:kern w:val="0"/>
                <w:sz w:val="28"/>
                <w:szCs w:val="28"/>
                <w:u w:val="none"/>
                <w:lang w:val="en-US" w:eastAsia="zh-CN" w:bidi="ar"/>
              </w:rPr>
              <w:t>1</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3CFE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 xml:space="preserve"> </w:t>
            </w: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4543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E29CC">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4ED93">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sz w:val="28"/>
                <w:szCs w:val="28"/>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DC1C">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7D76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r>
      <w:tr w14:paraId="0988E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F9FA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2</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B5F0">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2B76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C3A8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17810">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sz w:val="28"/>
                <w:szCs w:val="28"/>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69161">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F7FB6">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r>
      <w:tr w14:paraId="2E690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FB72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3</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035A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0265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B631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8E42F">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sz w:val="28"/>
                <w:szCs w:val="28"/>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84C4">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2E6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r>
      <w:tr w14:paraId="7DF04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9103">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4</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18F0F">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E4F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41A2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C8E96">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sz w:val="28"/>
                <w:szCs w:val="28"/>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0B0F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7BCD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r>
      <w:tr w14:paraId="1659A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F152B">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5</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B10B3">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3A91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69438">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709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sz w:val="28"/>
                <w:szCs w:val="28"/>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CD685">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AACDB">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r>
      <w:tr w14:paraId="64C30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3"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D3267">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kern w:val="0"/>
                <w:sz w:val="28"/>
                <w:szCs w:val="28"/>
                <w:u w:val="none"/>
                <w:lang w:val="en-US" w:eastAsia="zh-CN" w:bidi="ar"/>
              </w:rPr>
            </w:pPr>
            <w:r>
              <w:rPr>
                <w:rFonts w:hint="eastAsia" w:asciiTheme="minorEastAsia" w:hAnsiTheme="minorEastAsia" w:eastAsiaTheme="minorEastAsia" w:cstheme="minorEastAsia"/>
                <w:b/>
                <w:bCs/>
                <w:i w:val="0"/>
                <w:iCs w:val="0"/>
                <w:color w:val="000000"/>
                <w:kern w:val="0"/>
                <w:sz w:val="28"/>
                <w:szCs w:val="28"/>
                <w:u w:val="none"/>
                <w:lang w:val="en-US" w:eastAsia="zh-CN" w:bidi="ar"/>
              </w:rPr>
              <w:t>...</w:t>
            </w:r>
          </w:p>
        </w:tc>
        <w:tc>
          <w:tcPr>
            <w:tcW w:w="7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AD748">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14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20292">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4F4D">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kern w:val="0"/>
                <w:sz w:val="28"/>
                <w:szCs w:val="28"/>
                <w:u w:val="none"/>
                <w:lang w:val="en-US" w:eastAsia="zh-CN" w:bidi="ar"/>
              </w:rPr>
            </w:pPr>
          </w:p>
        </w:tc>
        <w:tc>
          <w:tcPr>
            <w:tcW w:w="5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4187">
            <w:pPr>
              <w:keepNext w:val="0"/>
              <w:keepLines w:val="0"/>
              <w:widowControl/>
              <w:suppressLineNumbers w:val="0"/>
              <w:spacing w:before="0" w:beforeAutospacing="0" w:after="0" w:afterAutospacing="0"/>
              <w:ind w:left="0" w:leftChars="0" w:right="0" w:rightChars="0"/>
              <w:jc w:val="center"/>
              <w:textAlignment w:val="center"/>
              <w:rPr>
                <w:rFonts w:hint="eastAsia" w:asciiTheme="minorEastAsia" w:hAnsiTheme="minorEastAsia" w:eastAsiaTheme="minorEastAsia" w:cstheme="minorEastAsia"/>
                <w:b/>
                <w:bCs/>
                <w:i w:val="0"/>
                <w:iCs w:val="0"/>
                <w:color w:val="000000"/>
                <w:sz w:val="28"/>
                <w:szCs w:val="28"/>
                <w:u w:val="none"/>
                <w:lang w:val="en-US" w:eastAsia="zh-CN"/>
              </w:rPr>
            </w:pPr>
          </w:p>
        </w:tc>
        <w:tc>
          <w:tcPr>
            <w:tcW w:w="66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300D">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FB67E">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r>
      <w:tr w14:paraId="3392A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3" w:hRule="atLeast"/>
        </w:trPr>
        <w:tc>
          <w:tcPr>
            <w:tcW w:w="4137" w:type="pct"/>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CADE0">
            <w:pPr>
              <w:keepNext w:val="0"/>
              <w:keepLines w:val="0"/>
              <w:widowControl/>
              <w:suppressLineNumbers w:val="0"/>
              <w:spacing w:before="0" w:beforeAutospacing="0" w:after="0" w:afterAutospacing="0"/>
              <w:ind w:left="0" w:right="0"/>
              <w:jc w:val="center"/>
              <w:textAlignment w:val="center"/>
              <w:rPr>
                <w:rFonts w:hint="default" w:asciiTheme="minorEastAsia" w:hAnsiTheme="minorEastAsia" w:eastAsiaTheme="minorEastAsia" w:cstheme="minorEastAsia"/>
                <w:b/>
                <w:bCs/>
                <w:i w:val="0"/>
                <w:iCs w:val="0"/>
                <w:color w:val="000000"/>
                <w:sz w:val="28"/>
                <w:szCs w:val="28"/>
                <w:u w:val="none"/>
                <w:lang w:val="en-US" w:eastAsia="zh-CN"/>
              </w:rPr>
            </w:pPr>
            <w:r>
              <w:rPr>
                <w:rFonts w:hint="eastAsia" w:asciiTheme="minorEastAsia" w:hAnsiTheme="minorEastAsia" w:eastAsiaTheme="minorEastAsia" w:cstheme="minorEastAsia"/>
                <w:b/>
                <w:bCs/>
                <w:i w:val="0"/>
                <w:iCs w:val="0"/>
                <w:color w:val="000000"/>
                <w:sz w:val="28"/>
                <w:szCs w:val="28"/>
                <w:u w:val="none"/>
                <w:lang w:val="en-US" w:eastAsia="zh-CN"/>
              </w:rPr>
              <w:t>报价合计:</w:t>
            </w:r>
          </w:p>
        </w:tc>
        <w:tc>
          <w:tcPr>
            <w:tcW w:w="8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7591A">
            <w:pPr>
              <w:keepNext w:val="0"/>
              <w:keepLines w:val="0"/>
              <w:widowControl/>
              <w:suppressLineNumbers w:val="0"/>
              <w:spacing w:before="0" w:beforeAutospacing="0" w:after="0" w:afterAutospacing="0"/>
              <w:ind w:left="0" w:right="0"/>
              <w:jc w:val="center"/>
              <w:textAlignment w:val="center"/>
              <w:rPr>
                <w:rFonts w:hint="eastAsia" w:asciiTheme="minorEastAsia" w:hAnsiTheme="minorEastAsia" w:eastAsiaTheme="minorEastAsia" w:cstheme="minorEastAsia"/>
                <w:b/>
                <w:bCs/>
                <w:i w:val="0"/>
                <w:iCs w:val="0"/>
                <w:color w:val="000000"/>
                <w:sz w:val="28"/>
                <w:szCs w:val="28"/>
                <w:u w:val="none"/>
              </w:rPr>
            </w:pPr>
          </w:p>
        </w:tc>
      </w:tr>
    </w:tbl>
    <w:p w14:paraId="6C7D797C">
      <w:pPr>
        <w:pStyle w:val="30"/>
        <w:ind w:left="0" w:leftChars="0" w:firstLine="0" w:firstLineChars="0"/>
        <w:rPr>
          <w:rFonts w:hint="eastAsia" w:eastAsia="宋体"/>
          <w:highlight w:val="none"/>
          <w:lang w:eastAsia="zh-CN"/>
        </w:rPr>
      </w:pPr>
      <w:r>
        <w:rPr>
          <w:rFonts w:hint="eastAsia"/>
          <w:highlight w:val="none"/>
          <w:lang w:eastAsia="zh-CN"/>
        </w:rPr>
        <w:t>（</w:t>
      </w:r>
      <w:r>
        <w:rPr>
          <w:rFonts w:hint="eastAsia"/>
          <w:highlight w:val="none"/>
          <w:lang w:val="en-US" w:eastAsia="zh-CN"/>
        </w:rPr>
        <w:t>报价表可根据项目需求自拟，但须供应商签字及盖章</w:t>
      </w:r>
      <w:r>
        <w:rPr>
          <w:rFonts w:hint="eastAsia"/>
          <w:highlight w:val="none"/>
          <w:lang w:eastAsia="zh-CN"/>
        </w:rPr>
        <w:t>）</w:t>
      </w:r>
    </w:p>
    <w:p w14:paraId="5B43311D">
      <w:pPr>
        <w:pStyle w:val="30"/>
        <w:ind w:left="0" w:leftChars="0" w:firstLine="0" w:firstLineChars="0"/>
        <w:rPr>
          <w:rFonts w:hint="eastAsia"/>
        </w:rPr>
      </w:pPr>
    </w:p>
    <w:p w14:paraId="144B2FE3">
      <w:pPr>
        <w:pStyle w:val="30"/>
        <w:ind w:left="0" w:leftChars="0" w:firstLine="0" w:firstLineChars="0"/>
        <w:rPr>
          <w:rFonts w:hint="eastAsia"/>
        </w:rPr>
      </w:pPr>
    </w:p>
    <w:p w14:paraId="6B2D04CD">
      <w:pPr>
        <w:spacing w:line="360" w:lineRule="auto"/>
        <w:ind w:firstLine="3561" w:firstLineChars="1696"/>
        <w:rPr>
          <w:rFonts w:hint="eastAsia" w:ascii="宋体" w:hAnsi="宋体" w:cs="宋体"/>
          <w:color w:val="auto"/>
          <w:szCs w:val="21"/>
          <w:highlight w:val="none"/>
        </w:rPr>
      </w:pPr>
      <w:r>
        <w:rPr>
          <w:rFonts w:hint="eastAsia" w:ascii="宋体" w:hAnsi="宋体" w:cs="宋体"/>
          <w:color w:val="auto"/>
          <w:szCs w:val="21"/>
          <w:highlight w:val="none"/>
        </w:rPr>
        <w:t>供应商：</w:t>
      </w:r>
      <w:r>
        <w:rPr>
          <w:rFonts w:ascii="宋体" w:hAnsi="宋体" w:cs="宋体"/>
          <w:color w:val="auto"/>
          <w:szCs w:val="21"/>
          <w:highlight w:val="none"/>
          <w:u w:val="single"/>
        </w:rPr>
        <w:t xml:space="preserve">                             </w:t>
      </w:r>
      <w:r>
        <w:rPr>
          <w:rFonts w:hint="eastAsia" w:ascii="宋体" w:hAnsi="宋体" w:cs="宋体"/>
          <w:color w:val="auto"/>
          <w:szCs w:val="21"/>
          <w:highlight w:val="none"/>
        </w:rPr>
        <w:t>（盖章）</w:t>
      </w:r>
    </w:p>
    <w:p w14:paraId="3A4DF92B">
      <w:pPr>
        <w:pStyle w:val="30"/>
        <w:rPr>
          <w:rFonts w:hint="eastAsia"/>
        </w:rPr>
      </w:pPr>
    </w:p>
    <w:p w14:paraId="71AFE7CF">
      <w:pPr>
        <w:pStyle w:val="30"/>
        <w:ind w:firstLine="3097" w:firstLineChars="1475"/>
        <w:rPr>
          <w:rFonts w:hint="eastAsia" w:ascii="宋体" w:hAnsi="宋体" w:eastAsia="宋体" w:cs="宋体"/>
          <w:color w:val="auto"/>
          <w:kern w:val="2"/>
          <w:sz w:val="21"/>
          <w:szCs w:val="21"/>
          <w:highlight w:val="none"/>
          <w:u w:val="single"/>
          <w:lang w:val="en-US" w:eastAsia="zh-CN" w:bidi="ar-SA"/>
        </w:rPr>
      </w:pPr>
      <w:r>
        <w:rPr>
          <w:rFonts w:hint="eastAsia" w:ascii="宋体" w:hAnsi="宋体" w:eastAsia="宋体" w:cs="宋体"/>
          <w:color w:val="auto"/>
          <w:kern w:val="2"/>
          <w:sz w:val="21"/>
          <w:szCs w:val="21"/>
          <w:highlight w:val="none"/>
          <w:lang w:val="en-US" w:eastAsia="zh-CN" w:bidi="ar-SA"/>
        </w:rPr>
        <w:t>联系方式：</w:t>
      </w:r>
      <w:r>
        <w:rPr>
          <w:rFonts w:hint="eastAsia" w:ascii="宋体" w:hAnsi="宋体" w:eastAsia="宋体" w:cs="宋体"/>
          <w:color w:val="auto"/>
          <w:kern w:val="2"/>
          <w:sz w:val="21"/>
          <w:szCs w:val="21"/>
          <w:highlight w:val="none"/>
          <w:u w:val="single"/>
          <w:lang w:val="en-US" w:eastAsia="zh-CN" w:bidi="ar-SA"/>
        </w:rPr>
        <w:t xml:space="preserve">                           </w:t>
      </w:r>
    </w:p>
    <w:p w14:paraId="12E1301E">
      <w:pPr>
        <w:pStyle w:val="30"/>
        <w:ind w:firstLine="3097" w:firstLineChars="1475"/>
        <w:rPr>
          <w:rFonts w:hint="eastAsia" w:ascii="宋体" w:hAnsi="宋体" w:eastAsia="宋体" w:cs="宋体"/>
          <w:color w:val="auto"/>
          <w:kern w:val="2"/>
          <w:sz w:val="21"/>
          <w:szCs w:val="21"/>
          <w:highlight w:val="none"/>
          <w:u w:val="single"/>
          <w:lang w:val="en-US" w:eastAsia="zh-CN" w:bidi="ar-SA"/>
        </w:rPr>
      </w:pPr>
    </w:p>
    <w:p w14:paraId="7550BF65">
      <w:pPr>
        <w:spacing w:line="360" w:lineRule="auto"/>
        <w:ind w:firstLine="3570" w:firstLineChars="1700"/>
        <w:rPr>
          <w:rFonts w:ascii="宋体" w:cs="宋体"/>
          <w:color w:val="auto"/>
          <w:szCs w:val="21"/>
          <w:highlight w:val="none"/>
        </w:rPr>
      </w:pPr>
      <w:r>
        <w:rPr>
          <w:rFonts w:hint="eastAsia" w:ascii="宋体" w:hAnsi="宋体" w:cs="宋体"/>
          <w:color w:val="auto"/>
          <w:szCs w:val="21"/>
          <w:highlight w:val="none"/>
        </w:rPr>
        <w:t>负责人：</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hint="eastAsia" w:ascii="宋体" w:hAnsi="宋体" w:cs="宋体"/>
          <w:color w:val="auto"/>
          <w:szCs w:val="21"/>
          <w:highlight w:val="none"/>
          <w:u w:val="single"/>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（签字或</w:t>
      </w:r>
      <w:r>
        <w:rPr>
          <w:rFonts w:hint="eastAsia" w:ascii="宋体" w:hAnsi="宋体" w:cs="宋体"/>
          <w:color w:val="auto"/>
          <w:szCs w:val="21"/>
          <w:highlight w:val="none"/>
          <w:lang w:val="en-US" w:eastAsia="zh-CN"/>
        </w:rPr>
        <w:t>盖</w:t>
      </w:r>
      <w:r>
        <w:rPr>
          <w:rFonts w:hint="eastAsia" w:ascii="宋体" w:hAnsi="宋体" w:cs="宋体"/>
          <w:color w:val="auto"/>
          <w:szCs w:val="21"/>
          <w:highlight w:val="none"/>
        </w:rPr>
        <w:t>章）</w:t>
      </w:r>
    </w:p>
    <w:p w14:paraId="7C62B760">
      <w:pPr>
        <w:spacing w:line="360" w:lineRule="auto"/>
        <w:ind w:firstLine="3570" w:firstLineChars="1700"/>
        <w:rPr>
          <w:rFonts w:ascii="宋体" w:cs="宋体"/>
          <w:color w:val="auto"/>
          <w:szCs w:val="21"/>
          <w:highlight w:val="none"/>
        </w:rPr>
      </w:pPr>
    </w:p>
    <w:p w14:paraId="2F65E88B">
      <w:pPr>
        <w:spacing w:line="360" w:lineRule="auto"/>
        <w:ind w:firstLine="3570" w:firstLineChars="1700"/>
        <w:rPr>
          <w:rFonts w:hint="eastAsia" w:ascii="宋体" w:hAnsi="宋体" w:cs="宋体"/>
          <w:color w:val="auto"/>
          <w:szCs w:val="21"/>
          <w:highlight w:val="none"/>
        </w:rPr>
      </w:pPr>
      <w:r>
        <w:rPr>
          <w:rFonts w:hint="eastAsia" w:ascii="宋体" w:hAnsi="宋体" w:cs="宋体"/>
          <w:color w:val="auto"/>
          <w:szCs w:val="21"/>
          <w:highlight w:val="none"/>
        </w:rPr>
        <w:t>日</w:t>
      </w:r>
      <w:r>
        <w:rPr>
          <w:rFonts w:ascii="宋体" w:hAnsi="宋体" w:cs="宋体"/>
          <w:color w:val="auto"/>
          <w:szCs w:val="21"/>
          <w:highlight w:val="none"/>
        </w:rPr>
        <w:t xml:space="preserve">  </w:t>
      </w:r>
      <w:r>
        <w:rPr>
          <w:rFonts w:hint="eastAsia" w:ascii="宋体" w:hAnsi="宋体" w:cs="宋体"/>
          <w:color w:val="auto"/>
          <w:szCs w:val="21"/>
          <w:highlight w:val="none"/>
        </w:rPr>
        <w:t>期：</w:t>
      </w:r>
      <w:r>
        <w:rPr>
          <w:rFonts w:ascii="宋体" w:hAnsi="宋体" w:cs="宋体"/>
          <w:color w:val="auto"/>
          <w:szCs w:val="21"/>
          <w:highlight w:val="none"/>
          <w:u w:val="single"/>
        </w:rPr>
        <w:t xml:space="preserve">           </w:t>
      </w:r>
      <w:r>
        <w:rPr>
          <w:rFonts w:hint="eastAsia" w:ascii="宋体" w:hAnsi="宋体" w:cs="宋体"/>
          <w:color w:val="auto"/>
          <w:szCs w:val="21"/>
          <w:highlight w:val="none"/>
        </w:rPr>
        <w:t>年</w:t>
      </w:r>
      <w:r>
        <w:rPr>
          <w:rFonts w:ascii="宋体" w:hAnsi="宋体" w:cs="宋体"/>
          <w:color w:val="auto"/>
          <w:szCs w:val="21"/>
          <w:highlight w:val="none"/>
          <w:u w:val="single"/>
        </w:rPr>
        <w:t xml:space="preserve">         </w:t>
      </w:r>
      <w:r>
        <w:rPr>
          <w:rFonts w:hint="eastAsia" w:ascii="宋体" w:hAnsi="宋体" w:cs="宋体"/>
          <w:color w:val="auto"/>
          <w:szCs w:val="21"/>
          <w:highlight w:val="none"/>
        </w:rPr>
        <w:t>月</w:t>
      </w:r>
      <w:r>
        <w:rPr>
          <w:rFonts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 xml:space="preserve"> </w:t>
      </w:r>
      <w:r>
        <w:rPr>
          <w:rFonts w:ascii="宋体" w:hAnsi="宋体" w:cs="宋体"/>
          <w:color w:val="auto"/>
          <w:szCs w:val="21"/>
          <w:highlight w:val="none"/>
          <w:u w:val="single"/>
        </w:rPr>
        <w:t xml:space="preserve">     </w:t>
      </w:r>
      <w:r>
        <w:rPr>
          <w:rFonts w:hint="eastAsia" w:ascii="宋体" w:hAnsi="宋体" w:cs="宋体"/>
          <w:color w:val="auto"/>
          <w:szCs w:val="21"/>
          <w:highlight w:val="none"/>
        </w:rPr>
        <w:t>日</w:t>
      </w:r>
    </w:p>
    <w:p w14:paraId="7ABF830C">
      <w:pP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br w:type="page"/>
      </w:r>
    </w:p>
    <w:p w14:paraId="522BB8E8">
      <w:pPr>
        <w:numPr>
          <w:ilvl w:val="0"/>
          <w:numId w:val="0"/>
        </w:numPr>
        <w:jc w:val="center"/>
        <w:rPr>
          <w:rFonts w:hint="eastAsia" w:ascii="宋体" w:hAnsi="Times New Roman" w:eastAsia="宋体" w:cs="宋体"/>
          <w:b/>
          <w:color w:val="auto"/>
          <w:kern w:val="0"/>
          <w:sz w:val="28"/>
          <w:szCs w:val="28"/>
          <w:highlight w:val="none"/>
          <w:shd w:val="clear" w:fill="FFFFFF"/>
          <w:lang w:val="en-US" w:eastAsia="zh-CN" w:bidi="ar-SA"/>
        </w:rPr>
      </w:pPr>
      <w:r>
        <w:rPr>
          <w:rFonts w:hint="eastAsia" w:ascii="宋体" w:hAnsi="Times New Roman" w:eastAsia="宋体" w:cs="宋体"/>
          <w:b/>
          <w:color w:val="auto"/>
          <w:kern w:val="0"/>
          <w:sz w:val="28"/>
          <w:szCs w:val="28"/>
          <w:highlight w:val="none"/>
          <w:shd w:val="clear" w:fill="FFFFFF"/>
          <w:lang w:val="en-US" w:eastAsia="zh-CN" w:bidi="ar-SA"/>
        </w:rPr>
        <w:t>相关证明文件</w:t>
      </w:r>
    </w:p>
    <w:p w14:paraId="78303553">
      <w:pPr>
        <w:spacing w:line="360" w:lineRule="auto"/>
        <w:ind w:firstLine="420" w:firstLineChars="200"/>
        <w:rPr>
          <w:rFonts w:ascii="宋体" w:hAnsi="宋体" w:eastAsia="宋体" w:cs="宋体"/>
          <w:color w:val="auto"/>
          <w:szCs w:val="21"/>
          <w:highlight w:val="none"/>
        </w:rPr>
      </w:pPr>
    </w:p>
    <w:p w14:paraId="7A4062F5">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1、</w:t>
      </w:r>
      <w:r>
        <w:rPr>
          <w:rFonts w:hint="eastAsia" w:ascii="宋体" w:hAnsi="宋体" w:eastAsia="宋体" w:cs="Times New Roman"/>
          <w:b/>
          <w:bCs/>
          <w:color w:val="auto"/>
          <w:szCs w:val="21"/>
          <w:highlight w:val="none"/>
          <w:lang w:val="en-US" w:eastAsia="zh-CN"/>
        </w:rPr>
        <w:t>营业执照副本</w:t>
      </w:r>
      <w:r>
        <w:rPr>
          <w:rFonts w:hint="eastAsia" w:ascii="宋体" w:hAnsi="宋体" w:cs="Times New Roman"/>
          <w:b/>
          <w:bCs/>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w:t>
      </w:r>
    </w:p>
    <w:p w14:paraId="60CA55B5">
      <w:pPr>
        <w:spacing w:line="360" w:lineRule="auto"/>
        <w:ind w:firstLine="420" w:firstLineChars="200"/>
        <w:rPr>
          <w:rFonts w:hint="eastAsia" w:ascii="宋体" w:hAnsi="宋体" w:cs="Times New Roman"/>
          <w:color w:val="auto"/>
          <w:szCs w:val="21"/>
          <w:highlight w:val="none"/>
          <w:lang w:val="en-US" w:eastAsia="zh-CN"/>
        </w:rPr>
      </w:pPr>
      <w:r>
        <w:rPr>
          <w:rFonts w:hint="eastAsia" w:ascii="宋体" w:hAnsi="宋体" w:eastAsia="宋体" w:cs="Times New Roman"/>
          <w:color w:val="auto"/>
          <w:szCs w:val="21"/>
          <w:highlight w:val="none"/>
          <w:lang w:val="en-US" w:eastAsia="zh-CN"/>
        </w:rPr>
        <w:t>2、税务登记证副本</w:t>
      </w:r>
      <w:r>
        <w:rPr>
          <w:rFonts w:hint="eastAsia" w:ascii="宋体" w:hAnsi="宋体" w:cs="Times New Roman"/>
          <w:color w:val="auto"/>
          <w:szCs w:val="21"/>
          <w:highlight w:val="none"/>
          <w:lang w:val="en-US" w:eastAsia="zh-CN"/>
        </w:rPr>
        <w:t>扫描件（加盖单位章）</w:t>
      </w:r>
      <w:r>
        <w:rPr>
          <w:rFonts w:hint="eastAsia" w:ascii="宋体" w:hAnsi="宋体" w:eastAsia="宋体" w:cs="Times New Roman"/>
          <w:color w:val="auto"/>
          <w:szCs w:val="21"/>
          <w:highlight w:val="none"/>
          <w:lang w:val="en-US" w:eastAsia="zh-CN"/>
        </w:rPr>
        <w:t>（如为三证合一的，只需提供三证合一的营业执照复印件）</w:t>
      </w:r>
      <w:r>
        <w:rPr>
          <w:rFonts w:hint="eastAsia" w:ascii="宋体" w:hAnsi="宋体" w:cs="Times New Roman"/>
          <w:color w:val="auto"/>
          <w:szCs w:val="21"/>
          <w:highlight w:val="none"/>
          <w:lang w:val="en-US" w:eastAsia="zh-CN"/>
        </w:rPr>
        <w:t>；</w:t>
      </w:r>
    </w:p>
    <w:p w14:paraId="2721543D">
      <w:pPr>
        <w:spacing w:line="360" w:lineRule="auto"/>
        <w:ind w:firstLine="420" w:firstLineChars="200"/>
        <w:rPr>
          <w:rFonts w:hint="eastAsia" w:ascii="宋体" w:hAnsi="宋体" w:eastAsia="宋体" w:cs="Times New Roman"/>
          <w:color w:val="auto"/>
          <w:szCs w:val="21"/>
          <w:highlight w:val="none"/>
          <w:lang w:val="en-US" w:eastAsia="zh-CN"/>
        </w:rPr>
      </w:pPr>
      <w:r>
        <w:rPr>
          <w:rFonts w:hint="eastAsia" w:ascii="宋体" w:hAnsi="宋体" w:cs="Times New Roman"/>
          <w:color w:val="auto"/>
          <w:szCs w:val="21"/>
          <w:highlight w:val="none"/>
          <w:lang w:val="en-US" w:eastAsia="zh-CN"/>
        </w:rPr>
        <w:t>3</w:t>
      </w:r>
      <w:r>
        <w:rPr>
          <w:rFonts w:hint="eastAsia" w:ascii="宋体" w:hAnsi="宋体" w:eastAsia="宋体" w:cs="Times New Roman"/>
          <w:color w:val="auto"/>
          <w:szCs w:val="21"/>
          <w:highlight w:val="none"/>
          <w:lang w:val="en-US" w:eastAsia="zh-CN"/>
        </w:rPr>
        <w:t>、参选人认为提供的其他材料；</w:t>
      </w:r>
    </w:p>
    <w:p w14:paraId="7D95A40A">
      <w:pPr>
        <w:spacing w:line="360" w:lineRule="auto"/>
        <w:ind w:firstLine="420" w:firstLineChars="200"/>
        <w:rPr>
          <w:rFonts w:hint="eastAsia" w:ascii="宋体" w:hAnsi="宋体" w:eastAsia="宋体" w:cs="宋体"/>
          <w:b/>
          <w:color w:val="000000" w:themeColor="text1"/>
          <w:szCs w:val="21"/>
          <w:highlight w:val="none"/>
          <w:lang w:val="en-US" w:eastAsia="zh-CN"/>
          <w14:textFill>
            <w14:solidFill>
              <w14:schemeClr w14:val="tx1"/>
            </w14:solidFill>
          </w14:textFill>
        </w:rPr>
      </w:pPr>
      <w:r>
        <w:rPr>
          <w:rFonts w:hint="eastAsia" w:ascii="宋体" w:hAnsi="宋体" w:cs="Times New Roman"/>
          <w:color w:val="auto"/>
          <w:szCs w:val="21"/>
          <w:highlight w:val="none"/>
          <w:lang w:val="en-US" w:eastAsia="zh-CN"/>
        </w:rPr>
        <w:t>4</w:t>
      </w:r>
      <w:r>
        <w:rPr>
          <w:rFonts w:hint="eastAsia" w:ascii="宋体" w:hAnsi="宋体" w:eastAsia="宋体" w:cs="Times New Roman"/>
          <w:color w:val="auto"/>
          <w:szCs w:val="21"/>
          <w:highlight w:val="none"/>
          <w:lang w:val="en-US" w:eastAsia="zh-CN"/>
        </w:rPr>
        <w:t>、</w:t>
      </w:r>
      <w:r>
        <w:rPr>
          <w:rFonts w:hint="eastAsia" w:ascii="宋体" w:hAnsi="宋体" w:eastAsia="宋体" w:cs="Times New Roman"/>
          <w:b/>
          <w:bCs/>
          <w:color w:val="auto"/>
          <w:szCs w:val="21"/>
          <w:highlight w:val="none"/>
          <w:lang w:val="en-US" w:eastAsia="zh-CN"/>
        </w:rPr>
        <w:t>须提供上述证明文件扫描件</w:t>
      </w:r>
      <w:r>
        <w:rPr>
          <w:rFonts w:hint="eastAsia" w:ascii="宋体" w:hAnsi="宋体" w:cs="Times New Roman"/>
          <w:b/>
          <w:bCs/>
          <w:color w:val="auto"/>
          <w:szCs w:val="21"/>
          <w:highlight w:val="none"/>
          <w:lang w:val="en-US" w:eastAsia="zh-CN"/>
        </w:rPr>
        <w:t>并加盖单位章</w:t>
      </w:r>
      <w:r>
        <w:rPr>
          <w:rFonts w:hint="eastAsia" w:ascii="宋体" w:hAnsi="宋体" w:eastAsia="宋体" w:cs="Times New Roman"/>
          <w:color w:val="auto"/>
          <w:szCs w:val="21"/>
          <w:highlight w:val="none"/>
          <w:lang w:val="en-US" w:eastAsia="zh-CN"/>
        </w:rPr>
        <w:t>。</w:t>
      </w:r>
    </w:p>
    <w:sectPr>
      <w:pgSz w:w="11906" w:h="16838"/>
      <w:pgMar w:top="1417" w:right="1134" w:bottom="1417" w:left="1134"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auto"/>
    <w:pitch w:val="default"/>
    <w:sig w:usb0="00000000" w:usb1="00000000" w:usb2="00000000" w:usb3="00000000" w:csb0="00040000" w:csb1="00000000"/>
  </w:font>
  <w:font w:name="MS Gothic">
    <w:panose1 w:val="020B0609070205080204"/>
    <w:charset w:val="80"/>
    <w:family w:val="auto"/>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MS PGothic">
    <w:panose1 w:val="020B0600070205080204"/>
    <w:charset w:val="80"/>
    <w:family w:val="auto"/>
    <w:pitch w:val="default"/>
    <w:sig w:usb0="E00002FF" w:usb1="6AC7FDFB" w:usb2="08000012" w:usb3="00000000" w:csb0="4002009F" w:csb1="DFD7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145CA">
    <w:pPr>
      <w:pStyle w:val="11"/>
      <w:jc w:val="center"/>
    </w:pPr>
    <w:r>
      <w:fldChar w:fldCharType="begin"/>
    </w:r>
    <w:r>
      <w:instrText xml:space="preserve"> PAGE   \* MERGEFORMAT </w:instrText>
    </w:r>
    <w:r>
      <w:fldChar w:fldCharType="separate"/>
    </w:r>
    <w:r>
      <w:rPr>
        <w:lang w:val="zh-CN"/>
      </w:rPr>
      <w:t>1</w:t>
    </w:r>
    <w:r>
      <w:rPr>
        <w:lang w:val="zh-CN"/>
      </w:rPr>
      <w:fldChar w:fldCharType="end"/>
    </w:r>
  </w:p>
  <w:p w14:paraId="64448E55">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F1AB83"/>
    <w:multiLevelType w:val="singleLevel"/>
    <w:tmpl w:val="43F1AB83"/>
    <w:lvl w:ilvl="0" w:tentative="0">
      <w:start w:val="1"/>
      <w:numFmt w:val="decimal"/>
      <w:suff w:val="nothing"/>
      <w:lvlText w:val="(%1)"/>
      <w:lvlJc w:val="left"/>
      <w:pPr>
        <w:ind w:left="425" w:hanging="425"/>
      </w:pPr>
      <w:rPr>
        <w:rFonts w:hint="default"/>
      </w:rPr>
    </w:lvl>
  </w:abstractNum>
  <w:abstractNum w:abstractNumId="1">
    <w:nsid w:val="7EE4BAB3"/>
    <w:multiLevelType w:val="singleLevel"/>
    <w:tmpl w:val="7EE4BAB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6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 w:name="KSO_WPS_MARK_KEY" w:val="9f114061-70b2-4939-80b4-c8d7c8f0f095"/>
  </w:docVars>
  <w:rsids>
    <w:rsidRoot w:val="00000000"/>
    <w:rsid w:val="0011760F"/>
    <w:rsid w:val="005A5FD9"/>
    <w:rsid w:val="03011BBD"/>
    <w:rsid w:val="03373831"/>
    <w:rsid w:val="043A35D9"/>
    <w:rsid w:val="047A0AB0"/>
    <w:rsid w:val="04C63C0C"/>
    <w:rsid w:val="054E0A22"/>
    <w:rsid w:val="06624721"/>
    <w:rsid w:val="06AF2555"/>
    <w:rsid w:val="075361E1"/>
    <w:rsid w:val="077E60E9"/>
    <w:rsid w:val="07AE7A02"/>
    <w:rsid w:val="092959CA"/>
    <w:rsid w:val="093C56FD"/>
    <w:rsid w:val="09FB7366"/>
    <w:rsid w:val="0AB64446"/>
    <w:rsid w:val="0AF10260"/>
    <w:rsid w:val="0B5F04E1"/>
    <w:rsid w:val="0C405504"/>
    <w:rsid w:val="0D5C4085"/>
    <w:rsid w:val="0DEB14A0"/>
    <w:rsid w:val="0E087DD1"/>
    <w:rsid w:val="0E8E6843"/>
    <w:rsid w:val="0FB71F81"/>
    <w:rsid w:val="10265DC9"/>
    <w:rsid w:val="102A2753"/>
    <w:rsid w:val="10675755"/>
    <w:rsid w:val="11AE2F10"/>
    <w:rsid w:val="128411BB"/>
    <w:rsid w:val="12CC5D44"/>
    <w:rsid w:val="13620456"/>
    <w:rsid w:val="13DF3855"/>
    <w:rsid w:val="14AE23A8"/>
    <w:rsid w:val="15F232AA"/>
    <w:rsid w:val="16073D2B"/>
    <w:rsid w:val="165C118C"/>
    <w:rsid w:val="16734728"/>
    <w:rsid w:val="1723614E"/>
    <w:rsid w:val="1740460A"/>
    <w:rsid w:val="17966920"/>
    <w:rsid w:val="199F3CF1"/>
    <w:rsid w:val="19EB7F67"/>
    <w:rsid w:val="1A497C7A"/>
    <w:rsid w:val="1AAD0A2A"/>
    <w:rsid w:val="1B634D6B"/>
    <w:rsid w:val="1B6F164B"/>
    <w:rsid w:val="1C5B49BB"/>
    <w:rsid w:val="1CA94A00"/>
    <w:rsid w:val="1D2D7FE2"/>
    <w:rsid w:val="1D660B43"/>
    <w:rsid w:val="1E4C4794"/>
    <w:rsid w:val="1EAF0286"/>
    <w:rsid w:val="1EDC23DC"/>
    <w:rsid w:val="1F0C74C8"/>
    <w:rsid w:val="1F4568DA"/>
    <w:rsid w:val="1F982105"/>
    <w:rsid w:val="1FDC5921"/>
    <w:rsid w:val="20256A93"/>
    <w:rsid w:val="20710D0B"/>
    <w:rsid w:val="20C20786"/>
    <w:rsid w:val="21876A79"/>
    <w:rsid w:val="22A75E85"/>
    <w:rsid w:val="236577EE"/>
    <w:rsid w:val="23865A9B"/>
    <w:rsid w:val="24FC5398"/>
    <w:rsid w:val="26737BC3"/>
    <w:rsid w:val="26845326"/>
    <w:rsid w:val="26EA27E4"/>
    <w:rsid w:val="27014AAB"/>
    <w:rsid w:val="277B29FC"/>
    <w:rsid w:val="284A2FED"/>
    <w:rsid w:val="290451DE"/>
    <w:rsid w:val="29053906"/>
    <w:rsid w:val="29E300B8"/>
    <w:rsid w:val="2A402842"/>
    <w:rsid w:val="2A5E32CD"/>
    <w:rsid w:val="2A6E7289"/>
    <w:rsid w:val="2B634913"/>
    <w:rsid w:val="2B980A61"/>
    <w:rsid w:val="2BE03DE5"/>
    <w:rsid w:val="2DE812CF"/>
    <w:rsid w:val="2E2E745B"/>
    <w:rsid w:val="2EA3335C"/>
    <w:rsid w:val="2EDA63CD"/>
    <w:rsid w:val="2F5729E1"/>
    <w:rsid w:val="30055088"/>
    <w:rsid w:val="30C751DE"/>
    <w:rsid w:val="31532D34"/>
    <w:rsid w:val="321D18EC"/>
    <w:rsid w:val="33A67A93"/>
    <w:rsid w:val="34C35352"/>
    <w:rsid w:val="351C1540"/>
    <w:rsid w:val="358362DE"/>
    <w:rsid w:val="36425CED"/>
    <w:rsid w:val="368B43A3"/>
    <w:rsid w:val="36F34AAB"/>
    <w:rsid w:val="37046FAB"/>
    <w:rsid w:val="38FA08E9"/>
    <w:rsid w:val="3A921C72"/>
    <w:rsid w:val="3C8F5568"/>
    <w:rsid w:val="3CEF2F5B"/>
    <w:rsid w:val="3D730C6A"/>
    <w:rsid w:val="3D7647F4"/>
    <w:rsid w:val="3DA67540"/>
    <w:rsid w:val="3DE6740A"/>
    <w:rsid w:val="3F4E33A6"/>
    <w:rsid w:val="3FAA436E"/>
    <w:rsid w:val="40733FFB"/>
    <w:rsid w:val="40F41E3E"/>
    <w:rsid w:val="40FE2CBD"/>
    <w:rsid w:val="41E55C2A"/>
    <w:rsid w:val="42154762"/>
    <w:rsid w:val="42735D21"/>
    <w:rsid w:val="44CE0BF8"/>
    <w:rsid w:val="45764C68"/>
    <w:rsid w:val="45863281"/>
    <w:rsid w:val="45DC6005"/>
    <w:rsid w:val="46193C36"/>
    <w:rsid w:val="464D7F77"/>
    <w:rsid w:val="473C62ED"/>
    <w:rsid w:val="478576EA"/>
    <w:rsid w:val="47E744AA"/>
    <w:rsid w:val="488720A5"/>
    <w:rsid w:val="48934632"/>
    <w:rsid w:val="48B325DE"/>
    <w:rsid w:val="48DB1B35"/>
    <w:rsid w:val="4929464F"/>
    <w:rsid w:val="49973CAE"/>
    <w:rsid w:val="4A2B6EBA"/>
    <w:rsid w:val="4A90748B"/>
    <w:rsid w:val="4A9C5168"/>
    <w:rsid w:val="4B05203C"/>
    <w:rsid w:val="4C013661"/>
    <w:rsid w:val="4C3A0034"/>
    <w:rsid w:val="4C7B081E"/>
    <w:rsid w:val="4D290B44"/>
    <w:rsid w:val="4DA644C0"/>
    <w:rsid w:val="4F4F6178"/>
    <w:rsid w:val="5015592D"/>
    <w:rsid w:val="50247F66"/>
    <w:rsid w:val="510F2EAF"/>
    <w:rsid w:val="51915487"/>
    <w:rsid w:val="51A46F68"/>
    <w:rsid w:val="51D830B6"/>
    <w:rsid w:val="52C339E3"/>
    <w:rsid w:val="534F73A8"/>
    <w:rsid w:val="538120ED"/>
    <w:rsid w:val="542235F6"/>
    <w:rsid w:val="54C067AF"/>
    <w:rsid w:val="55180399"/>
    <w:rsid w:val="564027A1"/>
    <w:rsid w:val="568B5FBF"/>
    <w:rsid w:val="573F1A30"/>
    <w:rsid w:val="57CC3760"/>
    <w:rsid w:val="5813167F"/>
    <w:rsid w:val="582726A1"/>
    <w:rsid w:val="58800458"/>
    <w:rsid w:val="58A106A5"/>
    <w:rsid w:val="58CC3C08"/>
    <w:rsid w:val="58ED7447"/>
    <w:rsid w:val="5915074C"/>
    <w:rsid w:val="59B461B6"/>
    <w:rsid w:val="59D81EA5"/>
    <w:rsid w:val="5A6574B1"/>
    <w:rsid w:val="5B780C22"/>
    <w:rsid w:val="5BF31143"/>
    <w:rsid w:val="5C84717D"/>
    <w:rsid w:val="5D7A5B71"/>
    <w:rsid w:val="5DF72B16"/>
    <w:rsid w:val="5FC30F01"/>
    <w:rsid w:val="60081970"/>
    <w:rsid w:val="60980510"/>
    <w:rsid w:val="61461DEA"/>
    <w:rsid w:val="614A56CF"/>
    <w:rsid w:val="61CB1761"/>
    <w:rsid w:val="62455DE0"/>
    <w:rsid w:val="641979F1"/>
    <w:rsid w:val="64966DD1"/>
    <w:rsid w:val="676A25AA"/>
    <w:rsid w:val="67EE31DB"/>
    <w:rsid w:val="688B1BF3"/>
    <w:rsid w:val="68AA4036"/>
    <w:rsid w:val="68EE4742"/>
    <w:rsid w:val="69594684"/>
    <w:rsid w:val="6A7C687C"/>
    <w:rsid w:val="6BA40786"/>
    <w:rsid w:val="6BF54D96"/>
    <w:rsid w:val="6C100DF0"/>
    <w:rsid w:val="6C251210"/>
    <w:rsid w:val="6C6241DE"/>
    <w:rsid w:val="6C6C7B47"/>
    <w:rsid w:val="6C7B4F81"/>
    <w:rsid w:val="6C8A471A"/>
    <w:rsid w:val="6CB95B66"/>
    <w:rsid w:val="6D655CEE"/>
    <w:rsid w:val="6D73576A"/>
    <w:rsid w:val="6DC20AF9"/>
    <w:rsid w:val="6E10335C"/>
    <w:rsid w:val="700C17BB"/>
    <w:rsid w:val="707C5D22"/>
    <w:rsid w:val="70D25720"/>
    <w:rsid w:val="70E1568B"/>
    <w:rsid w:val="71033854"/>
    <w:rsid w:val="712832BA"/>
    <w:rsid w:val="72037883"/>
    <w:rsid w:val="736B1B84"/>
    <w:rsid w:val="74DF6386"/>
    <w:rsid w:val="76037F2C"/>
    <w:rsid w:val="76742790"/>
    <w:rsid w:val="77163BB5"/>
    <w:rsid w:val="78A75E68"/>
    <w:rsid w:val="79554E68"/>
    <w:rsid w:val="79FC2292"/>
    <w:rsid w:val="7A5213A8"/>
    <w:rsid w:val="7AC83418"/>
    <w:rsid w:val="7AD324E9"/>
    <w:rsid w:val="7AF75AAB"/>
    <w:rsid w:val="7B5F3D7C"/>
    <w:rsid w:val="7C1F350C"/>
    <w:rsid w:val="7CC70BC5"/>
    <w:rsid w:val="7DA0067C"/>
    <w:rsid w:val="7DE8117C"/>
    <w:rsid w:val="7E3952E3"/>
    <w:rsid w:val="7E6B6EDC"/>
    <w:rsid w:val="7EAD3051"/>
    <w:rsid w:val="7EDE145C"/>
    <w:rsid w:val="7F183AC4"/>
    <w:rsid w:val="7F533BF8"/>
    <w:rsid w:val="7FA53D2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iPriority="99" w:semiHidden="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iPriority="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5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jc w:val="left"/>
      <w:outlineLvl w:val="1"/>
    </w:pPr>
    <w:rPr>
      <w:rFonts w:hint="eastAsia" w:ascii="宋体" w:hAnsi="宋体"/>
      <w:kern w:val="0"/>
      <w:sz w:val="24"/>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4">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5">
    <w:name w:val="annotation text"/>
    <w:basedOn w:val="1"/>
    <w:link w:val="52"/>
    <w:unhideWhenUsed/>
    <w:qFormat/>
    <w:uiPriority w:val="99"/>
    <w:pPr>
      <w:jc w:val="left"/>
    </w:pPr>
    <w:rPr>
      <w:rFonts w:ascii="等线" w:hAnsi="等线" w:eastAsia="等线"/>
      <w:szCs w:val="22"/>
    </w:rPr>
  </w:style>
  <w:style w:type="paragraph" w:styleId="6">
    <w:name w:val="Body Text"/>
    <w:basedOn w:val="1"/>
    <w:qFormat/>
    <w:uiPriority w:val="0"/>
    <w:pPr>
      <w:widowControl w:val="0"/>
      <w:tabs>
        <w:tab w:val="left" w:pos="567"/>
      </w:tabs>
      <w:spacing w:before="120" w:line="22" w:lineRule="atLeast"/>
      <w:jc w:val="both"/>
    </w:pPr>
    <w:rPr>
      <w:rFonts w:ascii="宋体" w:hAnsi="宋体" w:eastAsia="宋体" w:cs="Times New Roman"/>
      <w:kern w:val="2"/>
      <w:sz w:val="24"/>
      <w:szCs w:val="24"/>
      <w:lang w:val="en-US" w:eastAsia="zh-CN" w:bidi="ar-SA"/>
    </w:rPr>
  </w:style>
  <w:style w:type="paragraph" w:styleId="7">
    <w:name w:val="Body Text Indent"/>
    <w:basedOn w:val="1"/>
    <w:next w:val="8"/>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 w:type="paragraph" w:styleId="8">
    <w:name w:val="envelope return"/>
    <w:basedOn w:val="1"/>
    <w:unhideWhenUsed/>
    <w:qFormat/>
    <w:uiPriority w:val="99"/>
    <w:pPr>
      <w:snapToGrid w:val="0"/>
    </w:pPr>
    <w:rPr>
      <w:rFonts w:ascii="Arial" w:hAnsi="Arial"/>
    </w:rPr>
  </w:style>
  <w:style w:type="paragraph" w:styleId="9">
    <w:name w:val="Plain Text"/>
    <w:basedOn w:val="1"/>
    <w:link w:val="56"/>
    <w:qFormat/>
    <w:uiPriority w:val="0"/>
    <w:rPr>
      <w:rFonts w:ascii="宋体" w:hAnsi="Courier New"/>
      <w:szCs w:val="20"/>
    </w:rPr>
  </w:style>
  <w:style w:type="paragraph" w:styleId="10">
    <w:name w:val="Balloon Text"/>
    <w:basedOn w:val="1"/>
    <w:link w:val="54"/>
    <w:qFormat/>
    <w:uiPriority w:val="0"/>
    <w:rPr>
      <w:sz w:val="18"/>
      <w:szCs w:val="18"/>
    </w:rPr>
  </w:style>
  <w:style w:type="paragraph" w:styleId="11">
    <w:name w:val="footer"/>
    <w:basedOn w:val="1"/>
    <w:link w:val="50"/>
    <w:qFormat/>
    <w:uiPriority w:val="99"/>
    <w:pPr>
      <w:tabs>
        <w:tab w:val="center" w:pos="4153"/>
        <w:tab w:val="right" w:pos="8306"/>
      </w:tabs>
      <w:snapToGrid w:val="0"/>
      <w:jc w:val="left"/>
    </w:pPr>
    <w:rPr>
      <w:sz w:val="18"/>
      <w:szCs w:val="18"/>
    </w:rPr>
  </w:style>
  <w:style w:type="paragraph" w:styleId="12">
    <w:name w:val="header"/>
    <w:basedOn w:val="1"/>
    <w:link w:val="49"/>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style>
  <w:style w:type="character" w:styleId="18">
    <w:name w:val="FollowedHyperlink"/>
    <w:basedOn w:val="16"/>
    <w:qFormat/>
    <w:uiPriority w:val="0"/>
    <w:rPr>
      <w:color w:val="000000"/>
      <w:u w:val="none"/>
    </w:rPr>
  </w:style>
  <w:style w:type="character" w:styleId="19">
    <w:name w:val="Emphasis"/>
    <w:basedOn w:val="16"/>
    <w:qFormat/>
    <w:uiPriority w:val="0"/>
  </w:style>
  <w:style w:type="character" w:styleId="20">
    <w:name w:val="HTML Definition"/>
    <w:basedOn w:val="16"/>
    <w:qFormat/>
    <w:uiPriority w:val="0"/>
  </w:style>
  <w:style w:type="character" w:styleId="21">
    <w:name w:val="HTML Typewriter"/>
    <w:basedOn w:val="16"/>
    <w:qFormat/>
    <w:uiPriority w:val="0"/>
    <w:rPr>
      <w:rFonts w:hint="default" w:ascii="monospace" w:hAnsi="monospace" w:eastAsia="monospace" w:cs="monospace"/>
      <w:sz w:val="20"/>
    </w:rPr>
  </w:style>
  <w:style w:type="character" w:styleId="22">
    <w:name w:val="HTML Acronym"/>
    <w:basedOn w:val="16"/>
    <w:qFormat/>
    <w:uiPriority w:val="0"/>
  </w:style>
  <w:style w:type="character" w:styleId="23">
    <w:name w:val="HTML Variable"/>
    <w:basedOn w:val="16"/>
    <w:qFormat/>
    <w:uiPriority w:val="0"/>
  </w:style>
  <w:style w:type="character" w:styleId="24">
    <w:name w:val="Hyperlink"/>
    <w:basedOn w:val="16"/>
    <w:qFormat/>
    <w:uiPriority w:val="0"/>
    <w:rPr>
      <w:color w:val="000000"/>
      <w:u w:val="none"/>
    </w:rPr>
  </w:style>
  <w:style w:type="character" w:styleId="25">
    <w:name w:val="HTML Code"/>
    <w:basedOn w:val="16"/>
    <w:qFormat/>
    <w:uiPriority w:val="0"/>
    <w:rPr>
      <w:rFonts w:hint="default" w:ascii="monospace" w:hAnsi="monospace" w:eastAsia="monospace" w:cs="monospace"/>
      <w:sz w:val="20"/>
    </w:rPr>
  </w:style>
  <w:style w:type="character" w:styleId="26">
    <w:name w:val="annotation reference"/>
    <w:unhideWhenUsed/>
    <w:qFormat/>
    <w:uiPriority w:val="99"/>
    <w:rPr>
      <w:sz w:val="21"/>
      <w:szCs w:val="21"/>
    </w:rPr>
  </w:style>
  <w:style w:type="character" w:styleId="27">
    <w:name w:val="HTML Cite"/>
    <w:basedOn w:val="16"/>
    <w:qFormat/>
    <w:uiPriority w:val="0"/>
  </w:style>
  <w:style w:type="character" w:styleId="28">
    <w:name w:val="HTML Keyboard"/>
    <w:basedOn w:val="16"/>
    <w:qFormat/>
    <w:uiPriority w:val="0"/>
    <w:rPr>
      <w:rFonts w:ascii="monospace" w:hAnsi="monospace" w:eastAsia="monospace" w:cs="monospace"/>
      <w:sz w:val="20"/>
    </w:rPr>
  </w:style>
  <w:style w:type="character" w:styleId="29">
    <w:name w:val="HTML Sample"/>
    <w:basedOn w:val="16"/>
    <w:qFormat/>
    <w:uiPriority w:val="0"/>
    <w:rPr>
      <w:rFonts w:hint="default" w:ascii="monospace" w:hAnsi="monospace" w:eastAsia="monospace" w:cs="monospace"/>
    </w:rPr>
  </w:style>
  <w:style w:type="paragraph" w:customStyle="1" w:styleId="30">
    <w:name w:val="模板普通正文"/>
    <w:basedOn w:val="7"/>
    <w:qFormat/>
    <w:uiPriority w:val="0"/>
    <w:pPr>
      <w:widowControl w:val="0"/>
      <w:spacing w:beforeLines="50" w:after="10"/>
      <w:ind w:left="420" w:leftChars="200" w:firstLine="490" w:firstLineChars="175"/>
      <w:jc w:val="left"/>
    </w:pPr>
    <w:rPr>
      <w:rFonts w:ascii="Times New Roman" w:hAnsi="Times New Roman" w:eastAsia="宋体" w:cs="Times New Roman"/>
      <w:kern w:val="2"/>
      <w:sz w:val="21"/>
      <w:szCs w:val="24"/>
      <w:lang w:val="en-US" w:eastAsia="zh-CN" w:bidi="ar-SA"/>
    </w:rPr>
  </w:style>
  <w:style w:type="character" w:customStyle="1" w:styleId="31">
    <w:name w:val="n-link3"/>
    <w:basedOn w:val="16"/>
    <w:qFormat/>
    <w:uiPriority w:val="0"/>
  </w:style>
  <w:style w:type="character" w:customStyle="1" w:styleId="32">
    <w:name w:val="n-link9"/>
    <w:basedOn w:val="16"/>
    <w:qFormat/>
    <w:uiPriority w:val="0"/>
  </w:style>
  <w:style w:type="character" w:customStyle="1" w:styleId="33">
    <w:name w:val="n-link5"/>
    <w:basedOn w:val="16"/>
    <w:qFormat/>
    <w:uiPriority w:val="0"/>
  </w:style>
  <w:style w:type="character" w:customStyle="1" w:styleId="34">
    <w:name w:val="n-link3h"/>
    <w:basedOn w:val="16"/>
    <w:qFormat/>
    <w:uiPriority w:val="0"/>
    <w:rPr>
      <w:color w:val="FFFFFF"/>
    </w:rPr>
  </w:style>
  <w:style w:type="character" w:customStyle="1" w:styleId="35">
    <w:name w:val="n-link1h"/>
    <w:basedOn w:val="16"/>
    <w:qFormat/>
    <w:uiPriority w:val="0"/>
    <w:rPr>
      <w:color w:val="FFFFFF"/>
    </w:rPr>
  </w:style>
  <w:style w:type="character" w:customStyle="1" w:styleId="36">
    <w:name w:val="n-link9h"/>
    <w:basedOn w:val="16"/>
    <w:qFormat/>
    <w:uiPriority w:val="0"/>
    <w:rPr>
      <w:color w:val="FFFFFF"/>
    </w:rPr>
  </w:style>
  <w:style w:type="character" w:customStyle="1" w:styleId="37">
    <w:name w:val="n-link6h"/>
    <w:basedOn w:val="16"/>
    <w:qFormat/>
    <w:uiPriority w:val="0"/>
    <w:rPr>
      <w:color w:val="FFFFFF"/>
    </w:rPr>
  </w:style>
  <w:style w:type="character" w:customStyle="1" w:styleId="38">
    <w:name w:val="n-link7"/>
    <w:basedOn w:val="16"/>
    <w:qFormat/>
    <w:uiPriority w:val="0"/>
  </w:style>
  <w:style w:type="character" w:customStyle="1" w:styleId="39">
    <w:name w:val="n-link5h"/>
    <w:basedOn w:val="16"/>
    <w:qFormat/>
    <w:uiPriority w:val="0"/>
    <w:rPr>
      <w:color w:val="FFFFFF"/>
    </w:rPr>
  </w:style>
  <w:style w:type="character" w:customStyle="1" w:styleId="40">
    <w:name w:val="n-link2"/>
    <w:basedOn w:val="16"/>
    <w:qFormat/>
    <w:uiPriority w:val="0"/>
  </w:style>
  <w:style w:type="character" w:customStyle="1" w:styleId="41">
    <w:name w:val="n-link4h"/>
    <w:basedOn w:val="16"/>
    <w:qFormat/>
    <w:uiPriority w:val="0"/>
    <w:rPr>
      <w:color w:val="FFFFFF"/>
    </w:rPr>
  </w:style>
  <w:style w:type="character" w:customStyle="1" w:styleId="42">
    <w:name w:val="n-link8h"/>
    <w:basedOn w:val="16"/>
    <w:qFormat/>
    <w:uiPriority w:val="0"/>
    <w:rPr>
      <w:color w:val="FFFFFF"/>
    </w:rPr>
  </w:style>
  <w:style w:type="character" w:customStyle="1" w:styleId="43">
    <w:name w:val="n-link6"/>
    <w:basedOn w:val="16"/>
    <w:qFormat/>
    <w:uiPriority w:val="0"/>
  </w:style>
  <w:style w:type="character" w:customStyle="1" w:styleId="44">
    <w:name w:val="n-link8"/>
    <w:basedOn w:val="16"/>
    <w:qFormat/>
    <w:uiPriority w:val="0"/>
  </w:style>
  <w:style w:type="character" w:customStyle="1" w:styleId="45">
    <w:name w:val="n-link4"/>
    <w:basedOn w:val="16"/>
    <w:qFormat/>
    <w:uiPriority w:val="0"/>
  </w:style>
  <w:style w:type="character" w:customStyle="1" w:styleId="46">
    <w:name w:val="n-link1"/>
    <w:basedOn w:val="16"/>
    <w:qFormat/>
    <w:uiPriority w:val="0"/>
  </w:style>
  <w:style w:type="character" w:customStyle="1" w:styleId="47">
    <w:name w:val="n-link7h"/>
    <w:basedOn w:val="16"/>
    <w:qFormat/>
    <w:uiPriority w:val="0"/>
    <w:rPr>
      <w:color w:val="FFFFFF"/>
    </w:rPr>
  </w:style>
  <w:style w:type="character" w:customStyle="1" w:styleId="48">
    <w:name w:val="n-link2h"/>
    <w:basedOn w:val="16"/>
    <w:qFormat/>
    <w:uiPriority w:val="0"/>
    <w:rPr>
      <w:color w:val="FFFFFF"/>
    </w:rPr>
  </w:style>
  <w:style w:type="character" w:customStyle="1" w:styleId="49">
    <w:name w:val="页眉 字符"/>
    <w:basedOn w:val="16"/>
    <w:link w:val="12"/>
    <w:qFormat/>
    <w:uiPriority w:val="0"/>
    <w:rPr>
      <w:rFonts w:ascii="Calibri" w:hAnsi="Calibri"/>
      <w:kern w:val="2"/>
      <w:sz w:val="18"/>
      <w:szCs w:val="18"/>
    </w:rPr>
  </w:style>
  <w:style w:type="character" w:customStyle="1" w:styleId="50">
    <w:name w:val="页脚 字符"/>
    <w:basedOn w:val="16"/>
    <w:link w:val="11"/>
    <w:qFormat/>
    <w:uiPriority w:val="99"/>
    <w:rPr>
      <w:rFonts w:ascii="Calibri" w:hAnsi="Calibri"/>
      <w:kern w:val="2"/>
      <w:sz w:val="18"/>
      <w:szCs w:val="18"/>
    </w:rPr>
  </w:style>
  <w:style w:type="character" w:customStyle="1" w:styleId="51">
    <w:name w:val="标题 1 字符"/>
    <w:basedOn w:val="16"/>
    <w:link w:val="2"/>
    <w:qFormat/>
    <w:uiPriority w:val="0"/>
    <w:rPr>
      <w:rFonts w:ascii="Calibri" w:hAnsi="Calibri"/>
      <w:b/>
      <w:bCs/>
      <w:kern w:val="44"/>
      <w:sz w:val="44"/>
      <w:szCs w:val="44"/>
    </w:rPr>
  </w:style>
  <w:style w:type="character" w:customStyle="1" w:styleId="52">
    <w:name w:val="批注文字 字符"/>
    <w:basedOn w:val="16"/>
    <w:link w:val="5"/>
    <w:qFormat/>
    <w:uiPriority w:val="99"/>
    <w:rPr>
      <w:rFonts w:ascii="等线" w:hAnsi="等线" w:eastAsia="等线"/>
      <w:kern w:val="2"/>
      <w:sz w:val="21"/>
      <w:szCs w:val="22"/>
    </w:rPr>
  </w:style>
  <w:style w:type="character" w:customStyle="1" w:styleId="53">
    <w:name w:val="批注文字 Char1"/>
    <w:basedOn w:val="16"/>
    <w:qFormat/>
    <w:uiPriority w:val="0"/>
    <w:rPr>
      <w:rFonts w:ascii="Calibri" w:hAnsi="Calibri"/>
      <w:kern w:val="2"/>
      <w:sz w:val="21"/>
      <w:szCs w:val="24"/>
    </w:rPr>
  </w:style>
  <w:style w:type="character" w:customStyle="1" w:styleId="54">
    <w:name w:val="批注框文本 字符"/>
    <w:basedOn w:val="16"/>
    <w:link w:val="10"/>
    <w:qFormat/>
    <w:uiPriority w:val="0"/>
    <w:rPr>
      <w:rFonts w:ascii="Calibri" w:hAnsi="Calibri"/>
      <w:kern w:val="2"/>
      <w:sz w:val="18"/>
      <w:szCs w:val="18"/>
    </w:rPr>
  </w:style>
  <w:style w:type="paragraph" w:customStyle="1" w:styleId="55">
    <w:name w:val="修订1"/>
    <w:hidden/>
    <w:unhideWhenUsed/>
    <w:qFormat/>
    <w:uiPriority w:val="99"/>
    <w:rPr>
      <w:rFonts w:ascii="Calibri" w:hAnsi="Calibri" w:eastAsia="宋体" w:cs="Times New Roman"/>
      <w:kern w:val="2"/>
      <w:sz w:val="21"/>
      <w:szCs w:val="24"/>
      <w:lang w:val="en-US" w:eastAsia="zh-CN" w:bidi="ar-SA"/>
    </w:rPr>
  </w:style>
  <w:style w:type="character" w:customStyle="1" w:styleId="56">
    <w:name w:val="纯文本 字符"/>
    <w:link w:val="9"/>
    <w:qFormat/>
    <w:uiPriority w:val="0"/>
    <w:rPr>
      <w:rFonts w:ascii="宋体" w:hAnsi="Courier New"/>
      <w:kern w:val="2"/>
      <w:sz w:val="21"/>
    </w:rPr>
  </w:style>
  <w:style w:type="character" w:customStyle="1" w:styleId="57">
    <w:name w:val="纯文本 Char1"/>
    <w:basedOn w:val="16"/>
    <w:qFormat/>
    <w:uiPriority w:val="0"/>
    <w:rPr>
      <w:rFonts w:ascii="宋体" w:hAnsi="Courier New" w:cs="Courier New"/>
      <w:kern w:val="2"/>
      <w:sz w:val="21"/>
      <w:szCs w:val="21"/>
    </w:rPr>
  </w:style>
  <w:style w:type="paragraph" w:customStyle="1" w:styleId="58">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5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character" w:customStyle="1" w:styleId="60">
    <w:name w:val="font81"/>
    <w:basedOn w:val="16"/>
    <w:qFormat/>
    <w:uiPriority w:val="0"/>
    <w:rPr>
      <w:rFonts w:hint="default" w:ascii="Times New Roman" w:hAnsi="Times New Roman" w:cs="Times New Roman"/>
      <w:color w:val="000000"/>
      <w:sz w:val="20"/>
      <w:szCs w:val="20"/>
      <w:u w:val="none"/>
    </w:rPr>
  </w:style>
  <w:style w:type="character" w:customStyle="1" w:styleId="61">
    <w:name w:val="font41"/>
    <w:basedOn w:val="16"/>
    <w:qFormat/>
    <w:uiPriority w:val="0"/>
    <w:rPr>
      <w:rFonts w:hint="eastAsia" w:ascii="宋体" w:hAnsi="宋体" w:eastAsia="宋体" w:cs="宋体"/>
      <w:color w:val="000000"/>
      <w:sz w:val="20"/>
      <w:szCs w:val="20"/>
      <w:u w:val="none"/>
    </w:rPr>
  </w:style>
  <w:style w:type="paragraph" w:customStyle="1" w:styleId="62">
    <w:name w:val="正文 New"/>
    <w:basedOn w:val="1"/>
    <w:unhideWhenUsed/>
    <w:qFormat/>
    <w:uiPriority w:val="0"/>
    <w:pPr>
      <w:spacing w:before="100" w:beforeLines="0" w:beforeAutospacing="1" w:after="100" w:afterLines="0" w:afterAutospacing="1" w:line="440" w:lineRule="exact"/>
      <w:ind w:left="357" w:hanging="357"/>
    </w:pPr>
    <w:rPr>
      <w:rFonts w:hint="default"/>
      <w:sz w:val="21"/>
      <w:szCs w:val="21"/>
    </w:rPr>
  </w:style>
  <w:style w:type="character" w:customStyle="1" w:styleId="63">
    <w:name w:val="font01"/>
    <w:basedOn w:val="16"/>
    <w:qFormat/>
    <w:uiPriority w:val="0"/>
    <w:rPr>
      <w:rFonts w:hint="eastAsia" w:ascii="宋体" w:hAnsi="宋体" w:eastAsia="宋体" w:cs="宋体"/>
      <w:color w:val="000000"/>
      <w:sz w:val="24"/>
      <w:szCs w:val="24"/>
      <w:u w:val="none"/>
    </w:rPr>
  </w:style>
  <w:style w:type="character" w:customStyle="1" w:styleId="64">
    <w:name w:val="font61"/>
    <w:basedOn w:val="16"/>
    <w:qFormat/>
    <w:uiPriority w:val="0"/>
    <w:rPr>
      <w:rFonts w:hint="eastAsia" w:ascii="宋体" w:hAnsi="宋体" w:eastAsia="宋体" w:cs="宋体"/>
      <w:color w:val="000000"/>
      <w:sz w:val="22"/>
      <w:szCs w:val="22"/>
      <w:u w:val="none"/>
    </w:rPr>
  </w:style>
  <w:style w:type="character" w:customStyle="1" w:styleId="65">
    <w:name w:val="font21"/>
    <w:basedOn w:val="16"/>
    <w:qFormat/>
    <w:uiPriority w:val="0"/>
    <w:rPr>
      <w:rFonts w:hint="eastAsia" w:ascii="仿宋_GB2312" w:eastAsia="仿宋_GB2312" w:cs="仿宋_GB2312"/>
      <w:color w:val="000000"/>
      <w:sz w:val="20"/>
      <w:szCs w:val="20"/>
      <w:u w:val="none"/>
    </w:rPr>
  </w:style>
  <w:style w:type="character" w:customStyle="1" w:styleId="66">
    <w:name w:val="font51"/>
    <w:basedOn w:val="16"/>
    <w:qFormat/>
    <w:uiPriority w:val="0"/>
    <w:rPr>
      <w:rFonts w:ascii="MS Gothic" w:hAnsi="MS Gothic" w:eastAsia="MS Gothic" w:cs="MS Gothic"/>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1441</Words>
  <Characters>1615</Characters>
  <Lines>1</Lines>
  <Paragraphs>1</Paragraphs>
  <TotalTime>69</TotalTime>
  <ScaleCrop>false</ScaleCrop>
  <LinksUpToDate>false</LinksUpToDate>
  <CharactersWithSpaces>1689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2020-08-26T20:46:00Z</dcterms:created>
  <dc:creator>hfg</dc:creator>
  <cp:lastModifiedBy>w</cp:lastModifiedBy>
  <cp:lastPrinted>2026-07-16T08:01:00Z</cp:lastPrinted>
  <dcterms:modified xsi:type="dcterms:W3CDTF">2026-07-29T03:58:14Z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C595C83BACA64EB9AE38252FB5AA1177_13</vt:lpwstr>
  </property>
  <property fmtid="{D5CDD505-2E9C-101B-9397-08002B2CF9AE}" pid="4" name="KSOTemplateDocerSaveRecord">
    <vt:lpwstr>eyJoZGlkIjoiODg5OTFhMDZlNTRlMDA0MmIxOWM3MTZhYWRlMmFjYWMiLCJ1c2VySWQiOiI1MDM3OTU2NDYifQ==</vt:lpwstr>
  </property>
</Properties>
</file>