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莲湖公园2026年度零星修补工程防腐木采购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AQJK-CG-2026-064</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安庆市明达工程有限责任公司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七</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21464"/>
      <w:bookmarkStart w:id="1" w:name="_Toc54941328"/>
      <w:bookmarkStart w:id="2" w:name="_Toc23467"/>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0</w:t>
      </w:r>
    </w:p>
    <w:p w14:paraId="2BF1F9BC">
      <w:pPr>
        <w:pStyle w:val="28"/>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35393798"/>
      <w:bookmarkStart w:id="5" w:name="_Toc35393629"/>
      <w:bookmarkStart w:id="6" w:name="_Toc28359012"/>
      <w:bookmarkStart w:id="7" w:name="_Toc28359089"/>
      <w:r>
        <w:rPr>
          <w:rFonts w:hint="eastAsia" w:ascii="Arial" w:hAnsi="Arial" w:eastAsia="黑体"/>
          <w:b/>
          <w:i w:val="0"/>
          <w:iCs/>
          <w:color w:val="auto"/>
          <w:sz w:val="28"/>
          <w:szCs w:val="28"/>
          <w:highlight w:val="none"/>
          <w:lang w:eastAsia="zh-CN"/>
        </w:rPr>
        <w:t>莲湖公园2026年度零星修补工程防腐木采购</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受安庆市明达工程有限责任公司委托，现对“</w:t>
      </w:r>
      <w:r>
        <w:rPr>
          <w:rFonts w:hint="eastAsia" w:ascii="仿宋" w:hAnsi="仿宋" w:eastAsia="仿宋"/>
          <w:color w:val="auto"/>
          <w:sz w:val="28"/>
          <w:szCs w:val="28"/>
          <w:highlight w:val="none"/>
          <w:lang w:eastAsia="zh-CN"/>
        </w:rPr>
        <w:t>莲湖公园2026年度零星修补工程防腐木采购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AQJK-CG-2026-064</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莲湖公园2026年度零星修补工程防腐木采购</w:t>
      </w:r>
    </w:p>
    <w:p w14:paraId="2B35CE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6FF724CB">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服务期</w:t>
      </w:r>
      <w:r>
        <w:rPr>
          <w:rFonts w:hint="eastAsia" w:ascii="仿宋" w:hAnsi="仿宋" w:eastAsia="仿宋"/>
          <w:color w:val="auto"/>
          <w:sz w:val="28"/>
          <w:szCs w:val="28"/>
          <w:highlight w:val="none"/>
        </w:rPr>
        <w:t>：自合同签订日开始至30日历天</w:t>
      </w:r>
    </w:p>
    <w:p w14:paraId="032F988B">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4.最高投标费率：100%</w:t>
      </w:r>
    </w:p>
    <w:p w14:paraId="68AA5BD1">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5.评标办法：最低投标价法</w:t>
      </w:r>
    </w:p>
    <w:p w14:paraId="5E408C3D">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6.服务地点:安庆市</w:t>
      </w:r>
    </w:p>
    <w:p w14:paraId="03D3FF34">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7.</w:t>
      </w:r>
      <w:r>
        <w:rPr>
          <w:rFonts w:hint="eastAsia" w:ascii="仿宋" w:hAnsi="仿宋" w:eastAsia="仿宋"/>
          <w:color w:val="auto"/>
          <w:sz w:val="28"/>
          <w:szCs w:val="28"/>
          <w:highlight w:val="none"/>
        </w:rPr>
        <w:t>付款方式：</w:t>
      </w:r>
      <w:r>
        <w:rPr>
          <w:rFonts w:hint="eastAsia" w:ascii="仿宋" w:hAnsi="仿宋" w:eastAsia="仿宋"/>
          <w:color w:val="auto"/>
          <w:sz w:val="28"/>
          <w:szCs w:val="28"/>
          <w:highlight w:val="none"/>
          <w:lang w:val="en-US" w:eastAsia="zh-CN"/>
        </w:rPr>
        <w:t>货物到场经甲方验收合格后，提供</w:t>
      </w:r>
      <w:r>
        <w:rPr>
          <w:rFonts w:hint="eastAsia" w:ascii="仿宋" w:hAnsi="仿宋" w:eastAsia="仿宋"/>
          <w:color w:val="auto"/>
          <w:sz w:val="28"/>
          <w:szCs w:val="28"/>
          <w:highlight w:val="none"/>
        </w:rPr>
        <w:t>提供增值税专票</w:t>
      </w:r>
      <w:r>
        <w:rPr>
          <w:rFonts w:hint="eastAsia" w:ascii="仿宋" w:hAnsi="仿宋" w:eastAsia="仿宋"/>
          <w:color w:val="auto"/>
          <w:sz w:val="28"/>
          <w:szCs w:val="28"/>
          <w:highlight w:val="none"/>
          <w:lang w:val="en-US" w:eastAsia="zh-CN"/>
        </w:rPr>
        <w:t>一次性付清</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29</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29</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w:t>
      </w:r>
      <w:r>
        <w:rPr>
          <w:rFonts w:hint="eastAsia" w:ascii="仿宋" w:hAnsi="仿宋" w:eastAsia="仿宋"/>
          <w:color w:val="auto"/>
          <w:sz w:val="28"/>
          <w:szCs w:val="28"/>
          <w:highlight w:val="none"/>
        </w:rPr>
        <w:t>时间：2026年7月30日9时00分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28359095"/>
      <w:bookmarkStart w:id="9" w:name="_Toc28359018"/>
      <w:bookmarkStart w:id="10" w:name="_Toc35393636"/>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35393637"/>
      <w:bookmarkStart w:id="13" w:name="_Toc28359096"/>
      <w:bookmarkStart w:id="14" w:name="_Toc28359019"/>
      <w:bookmarkStart w:id="15" w:name="_Toc35393806"/>
      <w:r>
        <w:rPr>
          <w:rFonts w:hint="eastAsia" w:ascii="仿宋" w:hAnsi="仿宋" w:eastAsia="仿宋"/>
          <w:color w:val="auto"/>
          <w:sz w:val="28"/>
          <w:szCs w:val="28"/>
          <w:highlight w:val="none"/>
        </w:rPr>
        <w:t>1.采购人信息</w:t>
      </w:r>
      <w:bookmarkEnd w:id="12"/>
      <w:bookmarkEnd w:id="13"/>
      <w:bookmarkEnd w:id="14"/>
      <w:bookmarkEnd w:id="15"/>
    </w:p>
    <w:p w14:paraId="31932ED9">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称：安庆市明达工程有限责任公司</w:t>
      </w:r>
    </w:p>
    <w:p w14:paraId="44BFA2C3">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址：安庆市金家闸1号</w:t>
      </w:r>
    </w:p>
    <w:p w14:paraId="66007609">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人：焦先生</w:t>
      </w:r>
    </w:p>
    <w:p w14:paraId="66C14FF6">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联系方式：0556-5206306</w:t>
      </w: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rPr>
        <w:t>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莲湖公园2026年度零星修补工程防腐木采购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bookmarkStart w:id="70" w:name="_GoBack"/>
      <w:bookmarkEnd w:id="70"/>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26069"/>
      <w:bookmarkStart w:id="17" w:name="_Toc11223"/>
      <w:bookmarkStart w:id="18" w:name="_Toc5494132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439316871"/>
      <w:bookmarkStart w:id="21" w:name="_Toc54941330"/>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莲湖公园2026年度零星修补工程防腐木采购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AQJK-CG-2026-064</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color w:val="auto"/>
                <w:szCs w:val="21"/>
                <w:highlight w:val="none"/>
              </w:rPr>
            </w:pPr>
            <w:r>
              <w:rPr>
                <w:rFonts w:hint="eastAsia"/>
                <w:color w:val="auto"/>
                <w:szCs w:val="21"/>
                <w:highlight w:val="none"/>
              </w:rPr>
              <w:t>安庆市明达工程有限责任公司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比选最高投标费率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color w:val="auto"/>
                <w:szCs w:val="21"/>
                <w:highlight w:val="none"/>
              </w:rPr>
            </w:pPr>
            <w:r>
              <w:rPr>
                <w:rFonts w:hint="eastAsia"/>
                <w:color w:val="auto"/>
                <w:szCs w:val="21"/>
                <w:highlight w:val="none"/>
              </w:rPr>
              <w:t>自合同签订日开始至30日历天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w:t>
            </w:r>
            <w:r>
              <w:rPr>
                <w:rFonts w:hint="eastAsia" w:ascii="宋体" w:hAnsi="宋体" w:cs="宋体"/>
                <w:color w:val="auto"/>
                <w:szCs w:val="21"/>
                <w:highlight w:val="none"/>
              </w:rPr>
              <w:t>时间:2026年7月30日9时00分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不收取</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宋体" w:hAnsi="宋体" w:eastAsia="宋体" w:cs="宋体"/>
                <w:color w:val="auto"/>
                <w:szCs w:val="21"/>
                <w:highlight w:val="none"/>
                <w:lang w:val="en-US" w:eastAsia="zh-CN"/>
              </w:rPr>
              <w:t>货物到场经甲方验收合格后，提供</w:t>
            </w:r>
            <w:r>
              <w:rPr>
                <w:rFonts w:hint="eastAsia" w:ascii="宋体" w:hAnsi="宋体" w:eastAsia="宋体" w:cs="宋体"/>
                <w:color w:val="auto"/>
                <w:szCs w:val="21"/>
                <w:highlight w:val="none"/>
              </w:rPr>
              <w:t>提供增值税专票</w:t>
            </w:r>
            <w:r>
              <w:rPr>
                <w:rFonts w:hint="eastAsia" w:ascii="宋体" w:hAnsi="宋体" w:eastAsia="宋体" w:cs="宋体"/>
                <w:color w:val="auto"/>
                <w:szCs w:val="21"/>
                <w:highlight w:val="none"/>
                <w:lang w:val="en-US" w:eastAsia="zh-CN"/>
              </w:rPr>
              <w:t>一次性付清</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具体合同签订主体为安庆市明达工程有限责任公司，特此说明。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11149"/>
      <w:bookmarkStart w:id="26" w:name="_Toc10569"/>
      <w:bookmarkStart w:id="27"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479622047"/>
      <w:bookmarkStart w:id="31"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417655921"/>
      <w:bookmarkStart w:id="34" w:name="_Toc15032"/>
      <w:bookmarkStart w:id="35" w:name="_Toc418517858"/>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478821422"/>
      <w:bookmarkStart w:id="37" w:name="_Toc457998294"/>
      <w:bookmarkStart w:id="38" w:name="_Toc433721697"/>
      <w:bookmarkStart w:id="39" w:name="_Toc10586"/>
      <w:bookmarkStart w:id="40" w:name="_Toc31095"/>
      <w:bookmarkStart w:id="41" w:name="_Toc19876"/>
      <w:bookmarkStart w:id="42" w:name="_Toc456882340"/>
      <w:bookmarkStart w:id="43" w:name="_Toc10987"/>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418517860"/>
      <w:bookmarkStart w:id="46" w:name="_Toc417655923"/>
      <w:bookmarkStart w:id="47" w:name="_Toc21358"/>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241EEA13">
      <w:pPr>
        <w:pStyle w:val="2"/>
        <w:numPr>
          <w:ilvl w:val="0"/>
          <w:numId w:val="6"/>
        </w:numPr>
        <w:spacing w:before="62" w:beforeLines="20" w:after="62" w:afterLines="20" w:line="480" w:lineRule="exact"/>
        <w:ind w:firstLine="0" w:firstLineChars="0"/>
        <w:jc w:val="center"/>
        <w:rPr>
          <w:rFonts w:hint="eastAsia"/>
          <w:color w:val="auto"/>
          <w:sz w:val="32"/>
          <w:szCs w:val="32"/>
          <w:highlight w:val="none"/>
        </w:rPr>
      </w:pPr>
      <w:r>
        <w:rPr>
          <w:rFonts w:hint="eastAsia" w:ascii="Arial" w:hAnsi="Arial"/>
          <w:color w:val="auto"/>
          <w:kern w:val="2"/>
          <w:sz w:val="32"/>
          <w:szCs w:val="32"/>
          <w:highlight w:val="none"/>
          <w:lang w:eastAsia="zh-CN"/>
        </w:rPr>
        <w:t>项目需求及技术要求</w:t>
      </w:r>
    </w:p>
    <w:p w14:paraId="6AD7ADD5">
      <w:pPr>
        <w:numPr>
          <w:ilvl w:val="0"/>
          <w:numId w:val="7"/>
        </w:numPr>
        <w:tabs>
          <w:tab w:val="left" w:pos="3640"/>
        </w:tabs>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项目</w:t>
      </w:r>
      <w:r>
        <w:rPr>
          <w:rFonts w:hint="eastAsia" w:ascii="宋体" w:hAnsi="宋体" w:cs="宋体"/>
          <w:b/>
          <w:bCs/>
          <w:color w:val="auto"/>
          <w:szCs w:val="21"/>
          <w:highlight w:val="none"/>
          <w:lang w:val="en-US" w:eastAsia="zh-CN"/>
        </w:rPr>
        <w:t>需求</w:t>
      </w:r>
    </w:p>
    <w:tbl>
      <w:tblPr>
        <w:tblStyle w:val="61"/>
        <w:tblW w:w="10066" w:type="dxa"/>
        <w:jc w:val="center"/>
        <w:tblLayout w:type="fixed"/>
        <w:tblCellMar>
          <w:top w:w="0" w:type="dxa"/>
          <w:left w:w="108" w:type="dxa"/>
          <w:bottom w:w="0" w:type="dxa"/>
          <w:right w:w="108" w:type="dxa"/>
        </w:tblCellMar>
      </w:tblPr>
      <w:tblGrid>
        <w:gridCol w:w="563"/>
        <w:gridCol w:w="3450"/>
        <w:gridCol w:w="840"/>
        <w:gridCol w:w="1217"/>
        <w:gridCol w:w="2356"/>
        <w:gridCol w:w="1640"/>
      </w:tblGrid>
      <w:tr w14:paraId="68DDE901">
        <w:tblPrEx>
          <w:tblCellMar>
            <w:top w:w="0" w:type="dxa"/>
            <w:left w:w="108" w:type="dxa"/>
            <w:bottom w:w="0" w:type="dxa"/>
            <w:right w:w="108" w:type="dxa"/>
          </w:tblCellMar>
        </w:tblPrEx>
        <w:trPr>
          <w:trHeight w:val="599"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14:paraId="0CFDC3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序号</w:t>
            </w:r>
          </w:p>
        </w:tc>
        <w:tc>
          <w:tcPr>
            <w:tcW w:w="3450" w:type="dxa"/>
            <w:tcBorders>
              <w:top w:val="single" w:color="auto" w:sz="4" w:space="0"/>
              <w:left w:val="nil"/>
              <w:bottom w:val="single" w:color="auto" w:sz="4" w:space="0"/>
              <w:right w:val="single" w:color="auto" w:sz="4" w:space="0"/>
            </w:tcBorders>
            <w:noWrap/>
            <w:vAlign w:val="center"/>
          </w:tcPr>
          <w:p w14:paraId="0B93BE3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名称/规格</w:t>
            </w:r>
          </w:p>
        </w:tc>
        <w:tc>
          <w:tcPr>
            <w:tcW w:w="840" w:type="dxa"/>
            <w:tcBorders>
              <w:top w:val="single" w:color="auto" w:sz="4" w:space="0"/>
              <w:left w:val="nil"/>
              <w:bottom w:val="single" w:color="auto" w:sz="4" w:space="0"/>
              <w:right w:val="single" w:color="auto" w:sz="4" w:space="0"/>
            </w:tcBorders>
            <w:noWrap/>
            <w:vAlign w:val="center"/>
          </w:tcPr>
          <w:p w14:paraId="6B67A7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单位</w:t>
            </w:r>
          </w:p>
        </w:tc>
        <w:tc>
          <w:tcPr>
            <w:tcW w:w="1217" w:type="dxa"/>
            <w:tcBorders>
              <w:top w:val="single" w:color="auto" w:sz="4" w:space="0"/>
              <w:left w:val="nil"/>
              <w:bottom w:val="single" w:color="auto" w:sz="4" w:space="0"/>
              <w:right w:val="single" w:color="auto" w:sz="4" w:space="0"/>
            </w:tcBorders>
            <w:noWrap/>
            <w:vAlign w:val="center"/>
          </w:tcPr>
          <w:p w14:paraId="2F85DC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暂定数量</w:t>
            </w:r>
          </w:p>
        </w:tc>
        <w:tc>
          <w:tcPr>
            <w:tcW w:w="2356" w:type="dxa"/>
            <w:tcBorders>
              <w:top w:val="single" w:color="auto" w:sz="4" w:space="0"/>
              <w:left w:val="nil"/>
              <w:bottom w:val="single" w:color="auto" w:sz="4" w:space="0"/>
              <w:right w:val="single" w:color="auto" w:sz="4" w:space="0"/>
            </w:tcBorders>
            <w:noWrap/>
            <w:vAlign w:val="center"/>
          </w:tcPr>
          <w:p w14:paraId="65F48AAB">
            <w:pPr>
              <w:widowControl/>
              <w:jc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控制价单价</w:t>
            </w:r>
            <w:r>
              <w:rPr>
                <w:rFonts w:hint="eastAsia" w:ascii="宋体" w:hAnsi="宋体" w:cs="宋体"/>
                <w:color w:val="auto"/>
                <w:kern w:val="0"/>
                <w:sz w:val="22"/>
                <w:szCs w:val="22"/>
                <w:highlight w:val="none"/>
              </w:rPr>
              <w:t>/m³（元）</w:t>
            </w:r>
          </w:p>
        </w:tc>
        <w:tc>
          <w:tcPr>
            <w:tcW w:w="1640" w:type="dxa"/>
            <w:tcBorders>
              <w:top w:val="single" w:color="auto" w:sz="4" w:space="0"/>
              <w:left w:val="nil"/>
              <w:bottom w:val="single" w:color="auto" w:sz="4" w:space="0"/>
              <w:right w:val="single" w:color="auto" w:sz="4" w:space="0"/>
            </w:tcBorders>
            <w:noWrap/>
            <w:vAlign w:val="center"/>
          </w:tcPr>
          <w:p w14:paraId="12818CF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备</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注</w:t>
            </w:r>
          </w:p>
        </w:tc>
      </w:tr>
      <w:tr w14:paraId="7DCF3DC4">
        <w:tblPrEx>
          <w:tblCellMar>
            <w:top w:w="0" w:type="dxa"/>
            <w:left w:w="108" w:type="dxa"/>
            <w:bottom w:w="0" w:type="dxa"/>
            <w:right w:w="108" w:type="dxa"/>
          </w:tblCellMar>
        </w:tblPrEx>
        <w:trPr>
          <w:trHeight w:val="471"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14:paraId="388C5A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450" w:type="dxa"/>
            <w:tcBorders>
              <w:top w:val="single" w:color="auto" w:sz="4" w:space="0"/>
              <w:left w:val="nil"/>
              <w:bottom w:val="single" w:color="auto" w:sz="4" w:space="0"/>
              <w:right w:val="single" w:color="auto" w:sz="4" w:space="0"/>
            </w:tcBorders>
            <w:noWrap/>
            <w:vAlign w:val="center"/>
          </w:tcPr>
          <w:p w14:paraId="7ADD6AE6">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4.2cm*13.5cm</w:t>
            </w:r>
          </w:p>
        </w:tc>
        <w:tc>
          <w:tcPr>
            <w:tcW w:w="840" w:type="dxa"/>
            <w:tcBorders>
              <w:top w:val="single" w:color="auto" w:sz="4" w:space="0"/>
              <w:left w:val="nil"/>
              <w:bottom w:val="single" w:color="auto" w:sz="4" w:space="0"/>
              <w:right w:val="single" w:color="auto" w:sz="4" w:space="0"/>
            </w:tcBorders>
            <w:noWrap/>
            <w:vAlign w:val="center"/>
          </w:tcPr>
          <w:p w14:paraId="3ED200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m³</w:t>
            </w:r>
          </w:p>
        </w:tc>
        <w:tc>
          <w:tcPr>
            <w:tcW w:w="1217" w:type="dxa"/>
            <w:tcBorders>
              <w:top w:val="single" w:color="auto" w:sz="4" w:space="0"/>
              <w:left w:val="nil"/>
              <w:bottom w:val="single" w:color="auto" w:sz="4" w:space="0"/>
              <w:right w:val="single" w:color="auto" w:sz="4" w:space="0"/>
            </w:tcBorders>
            <w:noWrap/>
            <w:vAlign w:val="center"/>
          </w:tcPr>
          <w:p w14:paraId="78926040">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11</w:t>
            </w:r>
          </w:p>
        </w:tc>
        <w:tc>
          <w:tcPr>
            <w:tcW w:w="2356" w:type="dxa"/>
            <w:tcBorders>
              <w:top w:val="single" w:color="auto" w:sz="4" w:space="0"/>
              <w:left w:val="nil"/>
              <w:bottom w:val="single" w:color="auto" w:sz="4" w:space="0"/>
              <w:right w:val="single" w:color="auto" w:sz="4" w:space="0"/>
            </w:tcBorders>
            <w:noWrap/>
            <w:vAlign w:val="center"/>
          </w:tcPr>
          <w:p w14:paraId="1F0CE8A4">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2800</w:t>
            </w:r>
          </w:p>
        </w:tc>
        <w:tc>
          <w:tcPr>
            <w:tcW w:w="1640" w:type="dxa"/>
            <w:tcBorders>
              <w:top w:val="single" w:color="auto" w:sz="4" w:space="0"/>
              <w:left w:val="nil"/>
              <w:bottom w:val="single" w:color="auto" w:sz="4" w:space="0"/>
              <w:right w:val="single" w:color="auto" w:sz="4" w:space="0"/>
            </w:tcBorders>
            <w:noWrap/>
            <w:vAlign w:val="center"/>
          </w:tcPr>
          <w:p w14:paraId="162BA825">
            <w:pPr>
              <w:widowControl/>
              <w:jc w:val="center"/>
              <w:rPr>
                <w:rFonts w:ascii="宋体" w:hAnsi="宋体" w:cs="宋体"/>
                <w:color w:val="auto"/>
                <w:kern w:val="0"/>
                <w:sz w:val="22"/>
                <w:szCs w:val="22"/>
                <w:highlight w:val="none"/>
              </w:rPr>
            </w:pPr>
          </w:p>
        </w:tc>
      </w:tr>
      <w:tr w14:paraId="05EF8EFC">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4638096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450" w:type="dxa"/>
            <w:tcBorders>
              <w:top w:val="nil"/>
              <w:left w:val="nil"/>
              <w:bottom w:val="single" w:color="auto" w:sz="4" w:space="0"/>
              <w:right w:val="single" w:color="auto" w:sz="4" w:space="0"/>
            </w:tcBorders>
            <w:noWrap/>
            <w:vAlign w:val="center"/>
          </w:tcPr>
          <w:p w14:paraId="1A20112D">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4.2cm*10.5cm</w:t>
            </w:r>
          </w:p>
        </w:tc>
        <w:tc>
          <w:tcPr>
            <w:tcW w:w="840" w:type="dxa"/>
            <w:tcBorders>
              <w:top w:val="nil"/>
              <w:left w:val="nil"/>
              <w:bottom w:val="single" w:color="auto" w:sz="4" w:space="0"/>
              <w:right w:val="single" w:color="auto" w:sz="4" w:space="0"/>
            </w:tcBorders>
            <w:noWrap/>
            <w:vAlign w:val="center"/>
          </w:tcPr>
          <w:p w14:paraId="3E5E840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m³</w:t>
            </w:r>
          </w:p>
        </w:tc>
        <w:tc>
          <w:tcPr>
            <w:tcW w:w="1217" w:type="dxa"/>
            <w:tcBorders>
              <w:top w:val="nil"/>
              <w:left w:val="nil"/>
              <w:bottom w:val="single" w:color="auto" w:sz="4" w:space="0"/>
              <w:right w:val="single" w:color="auto" w:sz="4" w:space="0"/>
            </w:tcBorders>
            <w:noWrap/>
            <w:vAlign w:val="center"/>
          </w:tcPr>
          <w:p w14:paraId="13A1C8EF">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11</w:t>
            </w:r>
          </w:p>
        </w:tc>
        <w:tc>
          <w:tcPr>
            <w:tcW w:w="2356" w:type="dxa"/>
            <w:tcBorders>
              <w:top w:val="nil"/>
              <w:left w:val="nil"/>
              <w:bottom w:val="single" w:color="auto" w:sz="4" w:space="0"/>
              <w:right w:val="single" w:color="auto" w:sz="4" w:space="0"/>
            </w:tcBorders>
            <w:noWrap/>
            <w:vAlign w:val="top"/>
          </w:tcPr>
          <w:p w14:paraId="7A336061">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2800</w:t>
            </w:r>
          </w:p>
        </w:tc>
        <w:tc>
          <w:tcPr>
            <w:tcW w:w="1640" w:type="dxa"/>
            <w:tcBorders>
              <w:top w:val="nil"/>
              <w:left w:val="nil"/>
              <w:bottom w:val="single" w:color="auto" w:sz="4" w:space="0"/>
              <w:right w:val="single" w:color="auto" w:sz="4" w:space="0"/>
            </w:tcBorders>
            <w:noWrap/>
            <w:vAlign w:val="top"/>
          </w:tcPr>
          <w:p w14:paraId="19D6A30A">
            <w:pPr>
              <w:widowControl/>
              <w:jc w:val="center"/>
              <w:rPr>
                <w:rFonts w:ascii="宋体" w:hAnsi="宋体" w:cs="宋体"/>
                <w:color w:val="auto"/>
                <w:kern w:val="0"/>
                <w:sz w:val="22"/>
                <w:szCs w:val="22"/>
                <w:highlight w:val="none"/>
              </w:rPr>
            </w:pPr>
          </w:p>
        </w:tc>
      </w:tr>
      <w:tr w14:paraId="150F7FBD">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6E4E9FD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450" w:type="dxa"/>
            <w:tcBorders>
              <w:top w:val="nil"/>
              <w:left w:val="nil"/>
              <w:bottom w:val="single" w:color="auto" w:sz="4" w:space="0"/>
              <w:right w:val="single" w:color="auto" w:sz="4" w:space="0"/>
            </w:tcBorders>
            <w:noWrap/>
            <w:vAlign w:val="center"/>
          </w:tcPr>
          <w:p w14:paraId="44E1436D">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3.8cm*5.8cm</w:t>
            </w:r>
          </w:p>
        </w:tc>
        <w:tc>
          <w:tcPr>
            <w:tcW w:w="840" w:type="dxa"/>
            <w:tcBorders>
              <w:top w:val="nil"/>
              <w:left w:val="nil"/>
              <w:bottom w:val="single" w:color="auto" w:sz="4" w:space="0"/>
              <w:right w:val="single" w:color="auto" w:sz="4" w:space="0"/>
            </w:tcBorders>
            <w:noWrap/>
            <w:vAlign w:val="center"/>
          </w:tcPr>
          <w:p w14:paraId="244D44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m³</w:t>
            </w:r>
          </w:p>
        </w:tc>
        <w:tc>
          <w:tcPr>
            <w:tcW w:w="1217" w:type="dxa"/>
            <w:tcBorders>
              <w:top w:val="nil"/>
              <w:left w:val="nil"/>
              <w:bottom w:val="single" w:color="auto" w:sz="4" w:space="0"/>
              <w:right w:val="single" w:color="auto" w:sz="4" w:space="0"/>
            </w:tcBorders>
            <w:noWrap/>
            <w:vAlign w:val="center"/>
          </w:tcPr>
          <w:p w14:paraId="63A7946C">
            <w:pPr>
              <w:widowControl/>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10</w:t>
            </w:r>
          </w:p>
        </w:tc>
        <w:tc>
          <w:tcPr>
            <w:tcW w:w="2356" w:type="dxa"/>
            <w:tcBorders>
              <w:top w:val="nil"/>
              <w:left w:val="nil"/>
              <w:bottom w:val="single" w:color="auto" w:sz="4" w:space="0"/>
              <w:right w:val="single" w:color="auto" w:sz="4" w:space="0"/>
            </w:tcBorders>
            <w:noWrap/>
            <w:vAlign w:val="top"/>
          </w:tcPr>
          <w:p w14:paraId="73AA7174">
            <w:pPr>
              <w:widowControl/>
              <w:jc w:val="center"/>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2800</w:t>
            </w:r>
          </w:p>
        </w:tc>
        <w:tc>
          <w:tcPr>
            <w:tcW w:w="1640" w:type="dxa"/>
            <w:tcBorders>
              <w:top w:val="nil"/>
              <w:left w:val="nil"/>
              <w:bottom w:val="single" w:color="auto" w:sz="4" w:space="0"/>
              <w:right w:val="single" w:color="auto" w:sz="4" w:space="0"/>
            </w:tcBorders>
            <w:noWrap/>
            <w:vAlign w:val="top"/>
          </w:tcPr>
          <w:p w14:paraId="703DD1B2">
            <w:pPr>
              <w:widowControl/>
              <w:jc w:val="center"/>
              <w:rPr>
                <w:rFonts w:ascii="宋体" w:hAnsi="宋体" w:cs="宋体"/>
                <w:color w:val="auto"/>
                <w:kern w:val="0"/>
                <w:sz w:val="22"/>
                <w:szCs w:val="22"/>
                <w:highlight w:val="none"/>
              </w:rPr>
            </w:pPr>
          </w:p>
        </w:tc>
      </w:tr>
      <w:tr w14:paraId="2C767327">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218DE908">
            <w:pPr>
              <w:widowControl/>
              <w:jc w:val="center"/>
              <w:rPr>
                <w:rFonts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11E369D2">
            <w:pPr>
              <w:widowControl/>
              <w:jc w:val="center"/>
              <w:rPr>
                <w:rFonts w:ascii="宋体" w:hAnsi="宋体" w:cs="宋体"/>
                <w:color w:val="auto"/>
                <w:kern w:val="0"/>
                <w:sz w:val="22"/>
                <w:szCs w:val="22"/>
                <w:highlight w:val="none"/>
              </w:rPr>
            </w:pPr>
          </w:p>
        </w:tc>
        <w:tc>
          <w:tcPr>
            <w:tcW w:w="840" w:type="dxa"/>
            <w:tcBorders>
              <w:top w:val="nil"/>
              <w:left w:val="nil"/>
              <w:bottom w:val="single" w:color="auto" w:sz="4" w:space="0"/>
              <w:right w:val="single" w:color="auto" w:sz="4" w:space="0"/>
            </w:tcBorders>
            <w:noWrap/>
            <w:vAlign w:val="center"/>
          </w:tcPr>
          <w:p w14:paraId="6751B53C">
            <w:pPr>
              <w:widowControl/>
              <w:jc w:val="center"/>
              <w:rPr>
                <w:rFonts w:ascii="宋体" w:hAnsi="宋体" w:cs="宋体"/>
                <w:color w:val="auto"/>
                <w:kern w:val="0"/>
                <w:sz w:val="22"/>
                <w:szCs w:val="22"/>
                <w:highlight w:val="none"/>
              </w:rPr>
            </w:pPr>
          </w:p>
        </w:tc>
        <w:tc>
          <w:tcPr>
            <w:tcW w:w="1217" w:type="dxa"/>
            <w:tcBorders>
              <w:top w:val="nil"/>
              <w:left w:val="nil"/>
              <w:bottom w:val="single" w:color="auto" w:sz="4" w:space="0"/>
              <w:right w:val="single" w:color="auto" w:sz="4" w:space="0"/>
            </w:tcBorders>
            <w:noWrap/>
            <w:vAlign w:val="center"/>
          </w:tcPr>
          <w:p w14:paraId="6912DA21">
            <w:pPr>
              <w:widowControl/>
              <w:jc w:val="center"/>
              <w:rPr>
                <w:rFonts w:ascii="宋体" w:hAnsi="宋体" w:cs="宋体"/>
                <w:color w:val="auto"/>
                <w:kern w:val="0"/>
                <w:sz w:val="22"/>
                <w:szCs w:val="22"/>
                <w:highlight w:val="none"/>
              </w:rPr>
            </w:pPr>
          </w:p>
        </w:tc>
        <w:tc>
          <w:tcPr>
            <w:tcW w:w="2356" w:type="dxa"/>
            <w:tcBorders>
              <w:top w:val="nil"/>
              <w:left w:val="nil"/>
              <w:bottom w:val="single" w:color="auto" w:sz="4" w:space="0"/>
              <w:right w:val="single" w:color="auto" w:sz="4" w:space="0"/>
            </w:tcBorders>
            <w:noWrap/>
            <w:vAlign w:val="top"/>
          </w:tcPr>
          <w:p w14:paraId="10563A4A">
            <w:pPr>
              <w:widowControl/>
              <w:jc w:val="center"/>
              <w:rPr>
                <w:rFonts w:ascii="宋体" w:hAnsi="宋体" w:cs="宋体"/>
                <w:color w:val="auto"/>
                <w:kern w:val="0"/>
                <w:sz w:val="22"/>
                <w:szCs w:val="22"/>
                <w:highlight w:val="none"/>
              </w:rPr>
            </w:pPr>
          </w:p>
        </w:tc>
        <w:tc>
          <w:tcPr>
            <w:tcW w:w="1640" w:type="dxa"/>
            <w:tcBorders>
              <w:top w:val="nil"/>
              <w:left w:val="nil"/>
              <w:bottom w:val="single" w:color="auto" w:sz="4" w:space="0"/>
              <w:right w:val="single" w:color="auto" w:sz="4" w:space="0"/>
            </w:tcBorders>
            <w:noWrap/>
            <w:vAlign w:val="top"/>
          </w:tcPr>
          <w:p w14:paraId="29C53A1C">
            <w:pPr>
              <w:widowControl/>
              <w:jc w:val="center"/>
              <w:rPr>
                <w:rFonts w:ascii="宋体" w:hAnsi="宋体" w:cs="宋体"/>
                <w:color w:val="auto"/>
                <w:kern w:val="0"/>
                <w:sz w:val="22"/>
                <w:szCs w:val="22"/>
                <w:highlight w:val="none"/>
              </w:rPr>
            </w:pPr>
          </w:p>
        </w:tc>
      </w:tr>
      <w:tr w14:paraId="0EA895D9">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5EC5BAC3">
            <w:pPr>
              <w:widowControl/>
              <w:jc w:val="center"/>
              <w:rPr>
                <w:rFonts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4EB289CA">
            <w:pPr>
              <w:widowControl/>
              <w:jc w:val="center"/>
              <w:rPr>
                <w:rFonts w:ascii="宋体" w:hAnsi="宋体" w:cs="宋体"/>
                <w:color w:val="auto"/>
                <w:kern w:val="0"/>
                <w:sz w:val="22"/>
                <w:szCs w:val="22"/>
                <w:highlight w:val="none"/>
              </w:rPr>
            </w:pPr>
          </w:p>
        </w:tc>
        <w:tc>
          <w:tcPr>
            <w:tcW w:w="840" w:type="dxa"/>
            <w:tcBorders>
              <w:top w:val="nil"/>
              <w:left w:val="nil"/>
              <w:bottom w:val="single" w:color="auto" w:sz="4" w:space="0"/>
              <w:right w:val="single" w:color="auto" w:sz="4" w:space="0"/>
            </w:tcBorders>
            <w:noWrap/>
            <w:vAlign w:val="center"/>
          </w:tcPr>
          <w:p w14:paraId="62CFFAAB">
            <w:pPr>
              <w:widowControl/>
              <w:jc w:val="center"/>
              <w:rPr>
                <w:rFonts w:ascii="宋体" w:hAnsi="宋体" w:cs="宋体"/>
                <w:color w:val="auto"/>
                <w:kern w:val="0"/>
                <w:sz w:val="22"/>
                <w:szCs w:val="22"/>
                <w:highlight w:val="none"/>
              </w:rPr>
            </w:pPr>
          </w:p>
        </w:tc>
        <w:tc>
          <w:tcPr>
            <w:tcW w:w="1217" w:type="dxa"/>
            <w:tcBorders>
              <w:top w:val="nil"/>
              <w:left w:val="nil"/>
              <w:bottom w:val="single" w:color="auto" w:sz="4" w:space="0"/>
              <w:right w:val="single" w:color="auto" w:sz="4" w:space="0"/>
            </w:tcBorders>
            <w:noWrap/>
            <w:vAlign w:val="center"/>
          </w:tcPr>
          <w:p w14:paraId="44248053">
            <w:pPr>
              <w:widowControl/>
              <w:jc w:val="center"/>
              <w:rPr>
                <w:rFonts w:ascii="宋体" w:hAnsi="宋体" w:cs="宋体"/>
                <w:color w:val="auto"/>
                <w:kern w:val="0"/>
                <w:sz w:val="22"/>
                <w:szCs w:val="22"/>
                <w:highlight w:val="none"/>
              </w:rPr>
            </w:pPr>
          </w:p>
        </w:tc>
        <w:tc>
          <w:tcPr>
            <w:tcW w:w="2356" w:type="dxa"/>
            <w:tcBorders>
              <w:top w:val="nil"/>
              <w:left w:val="nil"/>
              <w:bottom w:val="single" w:color="auto" w:sz="4" w:space="0"/>
              <w:right w:val="single" w:color="auto" w:sz="4" w:space="0"/>
            </w:tcBorders>
            <w:noWrap/>
            <w:vAlign w:val="top"/>
          </w:tcPr>
          <w:p w14:paraId="245E2816">
            <w:pPr>
              <w:widowControl/>
              <w:jc w:val="center"/>
              <w:rPr>
                <w:rFonts w:ascii="宋体" w:hAnsi="宋体" w:cs="宋体"/>
                <w:color w:val="auto"/>
                <w:kern w:val="0"/>
                <w:sz w:val="22"/>
                <w:szCs w:val="22"/>
                <w:highlight w:val="none"/>
              </w:rPr>
            </w:pPr>
          </w:p>
        </w:tc>
        <w:tc>
          <w:tcPr>
            <w:tcW w:w="1640" w:type="dxa"/>
            <w:tcBorders>
              <w:top w:val="nil"/>
              <w:left w:val="nil"/>
              <w:bottom w:val="single" w:color="auto" w:sz="4" w:space="0"/>
              <w:right w:val="single" w:color="auto" w:sz="4" w:space="0"/>
            </w:tcBorders>
            <w:noWrap/>
            <w:vAlign w:val="top"/>
          </w:tcPr>
          <w:p w14:paraId="418014E0">
            <w:pPr>
              <w:widowControl/>
              <w:jc w:val="center"/>
              <w:rPr>
                <w:rFonts w:ascii="宋体" w:hAnsi="宋体" w:cs="宋体"/>
                <w:color w:val="auto"/>
                <w:kern w:val="0"/>
                <w:sz w:val="22"/>
                <w:szCs w:val="22"/>
                <w:highlight w:val="none"/>
              </w:rPr>
            </w:pPr>
          </w:p>
        </w:tc>
      </w:tr>
      <w:tr w14:paraId="134D9385">
        <w:tblPrEx>
          <w:tblCellMar>
            <w:top w:w="0" w:type="dxa"/>
            <w:left w:w="108" w:type="dxa"/>
            <w:bottom w:w="0" w:type="dxa"/>
            <w:right w:w="108" w:type="dxa"/>
          </w:tblCellMar>
        </w:tblPrEx>
        <w:trPr>
          <w:trHeight w:val="471" w:hRule="atLeast"/>
          <w:jc w:val="center"/>
        </w:trPr>
        <w:tc>
          <w:tcPr>
            <w:tcW w:w="563" w:type="dxa"/>
            <w:tcBorders>
              <w:top w:val="nil"/>
              <w:left w:val="single" w:color="auto" w:sz="4" w:space="0"/>
              <w:bottom w:val="single" w:color="auto" w:sz="4" w:space="0"/>
              <w:right w:val="single" w:color="auto" w:sz="4" w:space="0"/>
            </w:tcBorders>
            <w:noWrap/>
            <w:vAlign w:val="center"/>
          </w:tcPr>
          <w:p w14:paraId="391D9149">
            <w:pPr>
              <w:widowControl/>
              <w:jc w:val="center"/>
              <w:rPr>
                <w:rFonts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2A2A8551">
            <w:pPr>
              <w:widowControl/>
              <w:jc w:val="center"/>
              <w:rPr>
                <w:rFonts w:ascii="宋体" w:hAnsi="宋体" w:cs="宋体"/>
                <w:color w:val="auto"/>
                <w:kern w:val="0"/>
                <w:sz w:val="22"/>
                <w:szCs w:val="22"/>
                <w:highlight w:val="none"/>
              </w:rPr>
            </w:pPr>
          </w:p>
        </w:tc>
        <w:tc>
          <w:tcPr>
            <w:tcW w:w="840" w:type="dxa"/>
            <w:tcBorders>
              <w:top w:val="nil"/>
              <w:left w:val="nil"/>
              <w:bottom w:val="single" w:color="auto" w:sz="4" w:space="0"/>
              <w:right w:val="single" w:color="auto" w:sz="4" w:space="0"/>
            </w:tcBorders>
            <w:noWrap/>
            <w:vAlign w:val="center"/>
          </w:tcPr>
          <w:p w14:paraId="36DBA820">
            <w:pPr>
              <w:widowControl/>
              <w:jc w:val="center"/>
              <w:rPr>
                <w:rFonts w:ascii="宋体" w:hAnsi="宋体" w:cs="宋体"/>
                <w:color w:val="auto"/>
                <w:kern w:val="0"/>
                <w:sz w:val="22"/>
                <w:szCs w:val="22"/>
                <w:highlight w:val="none"/>
              </w:rPr>
            </w:pPr>
          </w:p>
        </w:tc>
        <w:tc>
          <w:tcPr>
            <w:tcW w:w="1217" w:type="dxa"/>
            <w:tcBorders>
              <w:top w:val="nil"/>
              <w:left w:val="nil"/>
              <w:bottom w:val="single" w:color="auto" w:sz="4" w:space="0"/>
              <w:right w:val="single" w:color="auto" w:sz="4" w:space="0"/>
            </w:tcBorders>
            <w:noWrap/>
            <w:vAlign w:val="center"/>
          </w:tcPr>
          <w:p w14:paraId="5193DF98">
            <w:pPr>
              <w:widowControl/>
              <w:jc w:val="center"/>
              <w:rPr>
                <w:rFonts w:ascii="宋体" w:hAnsi="宋体" w:cs="宋体"/>
                <w:color w:val="auto"/>
                <w:kern w:val="0"/>
                <w:sz w:val="22"/>
                <w:szCs w:val="22"/>
                <w:highlight w:val="none"/>
              </w:rPr>
            </w:pPr>
          </w:p>
        </w:tc>
        <w:tc>
          <w:tcPr>
            <w:tcW w:w="2356" w:type="dxa"/>
            <w:tcBorders>
              <w:top w:val="nil"/>
              <w:left w:val="nil"/>
              <w:bottom w:val="single" w:color="auto" w:sz="4" w:space="0"/>
              <w:right w:val="single" w:color="auto" w:sz="4" w:space="0"/>
            </w:tcBorders>
            <w:noWrap/>
            <w:vAlign w:val="top"/>
          </w:tcPr>
          <w:p w14:paraId="50FEFD1D">
            <w:pPr>
              <w:widowControl/>
              <w:jc w:val="center"/>
              <w:rPr>
                <w:rFonts w:ascii="宋体" w:hAnsi="宋体" w:cs="宋体"/>
                <w:color w:val="auto"/>
                <w:kern w:val="0"/>
                <w:sz w:val="22"/>
                <w:szCs w:val="22"/>
                <w:highlight w:val="none"/>
              </w:rPr>
            </w:pPr>
          </w:p>
        </w:tc>
        <w:tc>
          <w:tcPr>
            <w:tcW w:w="1640" w:type="dxa"/>
            <w:tcBorders>
              <w:top w:val="nil"/>
              <w:left w:val="nil"/>
              <w:bottom w:val="single" w:color="auto" w:sz="4" w:space="0"/>
              <w:right w:val="single" w:color="auto" w:sz="4" w:space="0"/>
            </w:tcBorders>
            <w:noWrap/>
            <w:vAlign w:val="top"/>
          </w:tcPr>
          <w:p w14:paraId="73F6BD66">
            <w:pPr>
              <w:widowControl/>
              <w:jc w:val="center"/>
              <w:rPr>
                <w:rFonts w:ascii="宋体" w:hAnsi="宋体" w:cs="宋体"/>
                <w:color w:val="auto"/>
                <w:kern w:val="0"/>
                <w:sz w:val="22"/>
                <w:szCs w:val="22"/>
                <w:highlight w:val="none"/>
              </w:rPr>
            </w:pPr>
          </w:p>
        </w:tc>
      </w:tr>
      <w:tr w14:paraId="72655BC2">
        <w:tblPrEx>
          <w:tblCellMar>
            <w:top w:w="0" w:type="dxa"/>
            <w:left w:w="108" w:type="dxa"/>
            <w:bottom w:w="0" w:type="dxa"/>
            <w:right w:w="108" w:type="dxa"/>
          </w:tblCellMar>
        </w:tblPrEx>
        <w:trPr>
          <w:trHeight w:val="490" w:hRule="atLeast"/>
          <w:jc w:val="center"/>
        </w:trPr>
        <w:tc>
          <w:tcPr>
            <w:tcW w:w="563" w:type="dxa"/>
            <w:tcBorders>
              <w:top w:val="nil"/>
              <w:left w:val="single" w:color="auto" w:sz="4" w:space="0"/>
              <w:bottom w:val="single" w:color="auto" w:sz="4" w:space="0"/>
              <w:right w:val="single" w:color="auto" w:sz="4" w:space="0"/>
            </w:tcBorders>
            <w:noWrap/>
            <w:vAlign w:val="center"/>
          </w:tcPr>
          <w:p w14:paraId="5F3D19EA">
            <w:pPr>
              <w:widowControl/>
              <w:jc w:val="center"/>
              <w:rPr>
                <w:rFonts w:hint="eastAsia" w:ascii="宋体" w:hAnsi="宋体" w:cs="宋体"/>
                <w:color w:val="auto"/>
                <w:kern w:val="0"/>
                <w:sz w:val="22"/>
                <w:szCs w:val="22"/>
                <w:highlight w:val="none"/>
              </w:rPr>
            </w:pPr>
          </w:p>
        </w:tc>
        <w:tc>
          <w:tcPr>
            <w:tcW w:w="3450" w:type="dxa"/>
            <w:tcBorders>
              <w:top w:val="nil"/>
              <w:left w:val="nil"/>
              <w:bottom w:val="single" w:color="auto" w:sz="4" w:space="0"/>
              <w:right w:val="single" w:color="auto" w:sz="4" w:space="0"/>
            </w:tcBorders>
            <w:noWrap/>
            <w:vAlign w:val="center"/>
          </w:tcPr>
          <w:p w14:paraId="09526136">
            <w:pPr>
              <w:widowControl/>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备注</w:t>
            </w:r>
          </w:p>
        </w:tc>
        <w:tc>
          <w:tcPr>
            <w:tcW w:w="4413" w:type="dxa"/>
            <w:gridSpan w:val="3"/>
            <w:tcBorders>
              <w:top w:val="nil"/>
              <w:left w:val="nil"/>
              <w:bottom w:val="single" w:color="auto" w:sz="4" w:space="0"/>
              <w:right w:val="single" w:color="auto" w:sz="4" w:space="0"/>
            </w:tcBorders>
            <w:noWrap/>
            <w:vAlign w:val="center"/>
          </w:tcPr>
          <w:p w14:paraId="21F0314D">
            <w:pPr>
              <w:widowControl/>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提供增值税专票</w:t>
            </w:r>
          </w:p>
        </w:tc>
        <w:tc>
          <w:tcPr>
            <w:tcW w:w="1640" w:type="dxa"/>
            <w:tcBorders>
              <w:top w:val="nil"/>
              <w:left w:val="nil"/>
              <w:bottom w:val="single" w:color="auto" w:sz="4" w:space="0"/>
              <w:right w:val="single" w:color="auto" w:sz="4" w:space="0"/>
            </w:tcBorders>
            <w:noWrap/>
            <w:vAlign w:val="center"/>
          </w:tcPr>
          <w:p w14:paraId="7EBD1EB7">
            <w:pPr>
              <w:widowControl/>
              <w:jc w:val="center"/>
              <w:rPr>
                <w:rFonts w:hint="eastAsia" w:ascii="宋体" w:hAnsi="宋体" w:cs="宋体"/>
                <w:color w:val="auto"/>
                <w:kern w:val="0"/>
                <w:sz w:val="22"/>
                <w:szCs w:val="22"/>
                <w:highlight w:val="none"/>
              </w:rPr>
            </w:pPr>
          </w:p>
        </w:tc>
      </w:tr>
    </w:tbl>
    <w:p w14:paraId="501A2550">
      <w:pPr>
        <w:spacing w:line="360" w:lineRule="auto"/>
        <w:ind w:firstLine="420" w:firstLineChars="200"/>
        <w:rPr>
          <w:rFonts w:hint="eastAsia" w:ascii="宋体" w:hAnsi="宋体" w:eastAsia="宋体" w:cs="宋体"/>
          <w:b w:val="0"/>
          <w:bCs w:val="0"/>
          <w:color w:val="auto"/>
          <w:sz w:val="21"/>
          <w:szCs w:val="21"/>
          <w:highlight w:val="none"/>
        </w:rPr>
      </w:pPr>
    </w:p>
    <w:p w14:paraId="0ACCBC80">
      <w:pPr>
        <w:pStyle w:val="29"/>
        <w:spacing w:line="520" w:lineRule="exact"/>
        <w:rPr>
          <w:rFonts w:hint="eastAsia" w:hAnsi="宋体" w:cs="宋体"/>
          <w:b/>
          <w:bCs/>
          <w:color w:val="auto"/>
          <w:sz w:val="24"/>
          <w:szCs w:val="24"/>
          <w:highlight w:val="none"/>
        </w:rPr>
      </w:pPr>
      <w:r>
        <w:rPr>
          <w:rFonts w:hint="eastAsia" w:hAnsi="宋体" w:cs="宋体"/>
          <w:b/>
          <w:bCs/>
          <w:color w:val="auto"/>
          <w:kern w:val="0"/>
          <w:sz w:val="24"/>
          <w:szCs w:val="24"/>
          <w:highlight w:val="none"/>
          <w:lang w:val="en-US" w:eastAsia="zh-CN" w:bidi="ar"/>
        </w:rPr>
        <w:t>二</w:t>
      </w:r>
      <w:r>
        <w:rPr>
          <w:rFonts w:hint="eastAsia" w:hAnsi="宋体" w:cs="宋体"/>
          <w:b/>
          <w:bCs/>
          <w:color w:val="auto"/>
          <w:kern w:val="0"/>
          <w:sz w:val="24"/>
          <w:szCs w:val="24"/>
          <w:highlight w:val="none"/>
          <w:lang w:val="zh-CN" w:bidi="ar"/>
        </w:rPr>
        <w:t>、</w:t>
      </w:r>
      <w:r>
        <w:rPr>
          <w:rFonts w:hint="eastAsia" w:hAnsi="宋体" w:cs="宋体"/>
          <w:b/>
          <w:bCs/>
          <w:color w:val="auto"/>
          <w:sz w:val="24"/>
          <w:szCs w:val="24"/>
          <w:highlight w:val="none"/>
        </w:rPr>
        <w:t>报价要求：</w:t>
      </w:r>
    </w:p>
    <w:p w14:paraId="3C61AFE8">
      <w:pPr>
        <w:pStyle w:val="423"/>
        <w:spacing w:line="360" w:lineRule="auto"/>
        <w:ind w:firstLine="48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本次采购按单价的</w:t>
      </w:r>
      <w:r>
        <w:rPr>
          <w:rFonts w:hint="eastAsia" w:ascii="宋体" w:hAnsi="宋体" w:cs="宋体"/>
          <w:b/>
          <w:bCs/>
          <w:color w:val="auto"/>
          <w:sz w:val="24"/>
          <w:highlight w:val="none"/>
          <w:lang w:val="en-US" w:eastAsia="zh-CN"/>
        </w:rPr>
        <w:t>费率</w:t>
      </w:r>
      <w:r>
        <w:rPr>
          <w:rFonts w:hint="eastAsia" w:ascii="宋体" w:hAnsi="宋体" w:cs="宋体"/>
          <w:b/>
          <w:bCs/>
          <w:color w:val="auto"/>
          <w:sz w:val="24"/>
          <w:highlight w:val="none"/>
        </w:rPr>
        <w:t>100%作为最高投标限价，</w:t>
      </w:r>
      <w:r>
        <w:rPr>
          <w:rFonts w:hint="eastAsia" w:ascii="宋体" w:hAnsi="宋体" w:cs="宋体"/>
          <w:b/>
          <w:bCs/>
          <w:snapToGrid w:val="0"/>
          <w:color w:val="auto"/>
          <w:sz w:val="24"/>
          <w:highlight w:val="none"/>
        </w:rPr>
        <w:t>报价方式为费率报价，在服务期限内不因任何因素而调整，以费率报价最低的为成交单位</w:t>
      </w:r>
      <w:r>
        <w:rPr>
          <w:rFonts w:hint="eastAsia" w:ascii="宋体" w:hAnsi="宋体" w:cs="宋体"/>
          <w:b/>
          <w:bCs/>
          <w:color w:val="auto"/>
          <w:sz w:val="24"/>
          <w:highlight w:val="none"/>
        </w:rPr>
        <w:t>。</w:t>
      </w:r>
    </w:p>
    <w:p w14:paraId="38294FB5">
      <w:pPr>
        <w:pStyle w:val="423"/>
        <w:spacing w:line="360" w:lineRule="auto"/>
        <w:ind w:firstLine="480"/>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2.</w:t>
      </w:r>
      <w:r>
        <w:rPr>
          <w:rFonts w:hint="eastAsia" w:ascii="宋体" w:hAnsi="宋体" w:eastAsia="宋体" w:cs="宋体"/>
          <w:b/>
          <w:bCs/>
          <w:color w:val="auto"/>
          <w:sz w:val="24"/>
          <w:highlight w:val="none"/>
        </w:rPr>
        <w:t>上述清单价格为控制价，最终结算</w:t>
      </w:r>
      <w:r>
        <w:rPr>
          <w:rFonts w:hint="eastAsia" w:ascii="宋体" w:hAnsi="宋体" w:eastAsia="宋体" w:cs="宋体"/>
          <w:b/>
          <w:bCs/>
          <w:color w:val="auto"/>
          <w:sz w:val="24"/>
          <w:highlight w:val="none"/>
          <w:lang w:val="en-US" w:eastAsia="zh-CN"/>
        </w:rPr>
        <w:t>单价</w:t>
      </w:r>
      <w:r>
        <w:rPr>
          <w:rFonts w:hint="eastAsia" w:ascii="宋体" w:hAnsi="宋体" w:eastAsia="宋体" w:cs="宋体"/>
          <w:b/>
          <w:bCs/>
          <w:color w:val="auto"/>
          <w:sz w:val="24"/>
          <w:highlight w:val="none"/>
        </w:rPr>
        <w:t>=控制价单价*中标费率</w:t>
      </w:r>
      <w:r>
        <w:rPr>
          <w:rFonts w:hint="eastAsia" w:ascii="宋体" w:hAnsi="宋体" w:eastAsia="宋体" w:cs="宋体"/>
          <w:b/>
          <w:bCs/>
          <w:color w:val="auto"/>
          <w:sz w:val="24"/>
          <w:highlight w:val="none"/>
          <w:lang w:eastAsia="zh-CN"/>
        </w:rPr>
        <w:t>。</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color w:val="auto"/>
          <w:highlight w:val="none"/>
        </w:rPr>
        <w:br w:type="page"/>
      </w:r>
      <w:bookmarkEnd w:id="25"/>
      <w:bookmarkEnd w:id="26"/>
      <w:bookmarkEnd w:id="27"/>
      <w:bookmarkStart w:id="48" w:name="_Toc25399"/>
      <w:bookmarkStart w:id="49" w:name="_Toc54941341"/>
      <w:bookmarkStart w:id="50" w:name="_Toc8981"/>
      <w:bookmarkStart w:id="51" w:name="_Toc439316880"/>
      <w:r>
        <w:rPr>
          <w:rFonts w:hint="eastAsia" w:ascii="Arial" w:hAnsi="Arial"/>
          <w:color w:val="auto"/>
          <w:kern w:val="2"/>
          <w:sz w:val="32"/>
          <w:szCs w:val="32"/>
          <w:highlight w:val="none"/>
        </w:rPr>
        <w:t>第四章</w:t>
      </w:r>
      <w:bookmarkStart w:id="52" w:name="_Toc10479"/>
      <w:bookmarkStart w:id="53" w:name="_Toc476584431"/>
      <w:r>
        <w:rPr>
          <w:rFonts w:hint="eastAsia" w:ascii="Arial" w:hAnsi="Arial"/>
          <w:color w:val="auto"/>
          <w:kern w:val="2"/>
          <w:sz w:val="32"/>
          <w:szCs w:val="32"/>
          <w:highlight w:val="none"/>
        </w:rPr>
        <w:t xml:space="preserve"> 合同主要条款</w:t>
      </w:r>
      <w:bookmarkEnd w:id="52"/>
      <w:bookmarkEnd w:id="53"/>
    </w:p>
    <w:p w14:paraId="63B46934">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买方（采购人）：</w:t>
      </w:r>
      <w:r>
        <w:rPr>
          <w:rFonts w:ascii="宋体" w:hAnsi="宋体" w:cs="宋体"/>
          <w:color w:val="auto"/>
          <w:szCs w:val="21"/>
          <w:highlight w:val="none"/>
          <w:u w:val="single"/>
        </w:rPr>
        <w:t xml:space="preserve">                           </w:t>
      </w:r>
    </w:p>
    <w:p w14:paraId="60EEF44F">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卖方（参选人）：</w:t>
      </w:r>
      <w:r>
        <w:rPr>
          <w:rFonts w:ascii="宋体" w:hAnsi="宋体" w:cs="宋体"/>
          <w:color w:val="auto"/>
          <w:szCs w:val="21"/>
          <w:highlight w:val="none"/>
          <w:u w:val="single"/>
        </w:rPr>
        <w:t xml:space="preserve">                           </w:t>
      </w:r>
    </w:p>
    <w:p w14:paraId="5D2C50B1">
      <w:pPr>
        <w:tabs>
          <w:tab w:val="left" w:pos="3640"/>
        </w:tabs>
        <w:autoSpaceDE w:val="0"/>
        <w:autoSpaceDN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根据《中华人民共和国民法典》及</w:t>
      </w:r>
      <w:r>
        <w:rPr>
          <w:rFonts w:ascii="宋体" w:hAnsi="宋体" w:cs="宋体"/>
          <w:color w:val="auto"/>
          <w:szCs w:val="21"/>
          <w:highlight w:val="none"/>
          <w:u w:val="single"/>
        </w:rPr>
        <w:t xml:space="preserve">                                </w:t>
      </w:r>
      <w:r>
        <w:rPr>
          <w:rFonts w:hint="eastAsia" w:ascii="宋体" w:hAnsi="宋体" w:cs="宋体"/>
          <w:color w:val="auto"/>
          <w:szCs w:val="21"/>
          <w:highlight w:val="none"/>
        </w:rPr>
        <w:t>比选文件，买、卖双方经协商一致，签订如下合同条款，并共同遵守。</w:t>
      </w:r>
    </w:p>
    <w:p w14:paraId="64D11ADB">
      <w:pPr>
        <w:tabs>
          <w:tab w:val="left" w:pos="3335"/>
          <w:tab w:val="left" w:pos="3640"/>
        </w:tabs>
        <w:autoSpaceDE w:val="0"/>
        <w:autoSpaceDN w:val="0"/>
        <w:spacing w:line="360" w:lineRule="auto"/>
        <w:ind w:firstLine="422" w:firstLineChars="200"/>
        <w:rPr>
          <w:rFonts w:ascii="宋体" w:cs="宋体"/>
          <w:b/>
          <w:color w:val="auto"/>
          <w:spacing w:val="8"/>
          <w:szCs w:val="21"/>
          <w:highlight w:val="none"/>
        </w:rPr>
      </w:pPr>
      <w:r>
        <w:rPr>
          <w:rFonts w:hint="eastAsia" w:ascii="宋体" w:hAnsi="宋体" w:cs="宋体"/>
          <w:b/>
          <w:color w:val="auto"/>
          <w:szCs w:val="21"/>
          <w:highlight w:val="none"/>
        </w:rPr>
        <w:t>一、服务内容</w:t>
      </w:r>
    </w:p>
    <w:p w14:paraId="1D6885AE">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服务内容：</w:t>
      </w:r>
    </w:p>
    <w:p w14:paraId="7AE88A35">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合同金额：</w:t>
      </w:r>
    </w:p>
    <w:p w14:paraId="1D94B8E6">
      <w:pPr>
        <w:tabs>
          <w:tab w:val="left" w:pos="3640"/>
        </w:tabs>
        <w:autoSpaceDE w:val="0"/>
        <w:autoSpaceDN w:val="0"/>
        <w:spacing w:line="360" w:lineRule="auto"/>
        <w:ind w:firstLine="422" w:firstLineChars="200"/>
        <w:rPr>
          <w:rFonts w:ascii="宋体" w:cs="宋体"/>
          <w:color w:val="auto"/>
          <w:szCs w:val="21"/>
          <w:highlight w:val="none"/>
        </w:rPr>
      </w:pPr>
      <w:r>
        <w:rPr>
          <w:rFonts w:hint="eastAsia" w:ascii="宋体" w:hAnsi="宋体" w:cs="宋体"/>
          <w:b/>
          <w:color w:val="auto"/>
          <w:szCs w:val="21"/>
          <w:highlight w:val="none"/>
        </w:rPr>
        <w:t>二、服务期：</w:t>
      </w:r>
    </w:p>
    <w:p w14:paraId="4B65F966">
      <w:pPr>
        <w:tabs>
          <w:tab w:val="left" w:pos="3640"/>
        </w:tabs>
        <w:autoSpaceDE w:val="0"/>
        <w:autoSpaceDN w:val="0"/>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三、服务人员配备：</w:t>
      </w:r>
    </w:p>
    <w:p w14:paraId="27768272">
      <w:pPr>
        <w:tabs>
          <w:tab w:val="left" w:pos="3640"/>
        </w:tabs>
        <w:autoSpaceDE w:val="0"/>
        <w:autoSpaceDN w:val="0"/>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四、服务地点：</w:t>
      </w:r>
    </w:p>
    <w:p w14:paraId="0772F51B">
      <w:pPr>
        <w:tabs>
          <w:tab w:val="left" w:pos="3640"/>
        </w:tabs>
        <w:autoSpaceDE w:val="0"/>
        <w:autoSpaceDN w:val="0"/>
        <w:spacing w:line="360" w:lineRule="auto"/>
        <w:ind w:firstLine="422" w:firstLineChars="200"/>
        <w:rPr>
          <w:rFonts w:ascii="宋体" w:cs="宋体"/>
          <w:b/>
          <w:color w:val="auto"/>
          <w:highlight w:val="none"/>
        </w:rPr>
      </w:pPr>
      <w:r>
        <w:rPr>
          <w:rFonts w:hint="eastAsia" w:ascii="宋体" w:hAnsi="宋体" w:cs="宋体"/>
          <w:b/>
          <w:color w:val="auto"/>
          <w:szCs w:val="21"/>
          <w:highlight w:val="none"/>
        </w:rPr>
        <w:t>五、</w:t>
      </w:r>
      <w:r>
        <w:rPr>
          <w:rFonts w:hint="eastAsia" w:ascii="宋体" w:hAnsi="宋体" w:cs="宋体"/>
          <w:b/>
          <w:color w:val="auto"/>
          <w:highlight w:val="none"/>
        </w:rPr>
        <w:t>验收：</w:t>
      </w:r>
    </w:p>
    <w:p w14:paraId="6621C72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六、付款方式：</w:t>
      </w:r>
    </w:p>
    <w:p w14:paraId="65819CA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七、履约保证金退还：</w:t>
      </w:r>
    </w:p>
    <w:p w14:paraId="71F0576C">
      <w:pPr>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八、违约责任</w:t>
      </w:r>
    </w:p>
    <w:p w14:paraId="670FEAFC">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1</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无正当理由拒绝接受服务，买方向卖方偿付合同价的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5EDBD17E">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2</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无正当理由逾期付款的，买方向卖方每日偿付合同价的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7374C36B">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3</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不能提供服务的，卖方向买方支付合同价的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70A64B3E">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4</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逾期提供服务的，卖方向买方每日偿付合同价的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5317C955">
      <w:pPr>
        <w:spacing w:line="360" w:lineRule="auto"/>
        <w:ind w:left="-178" w:leftChars="-85" w:firstLine="583" w:firstLineChars="257"/>
        <w:rPr>
          <w:rFonts w:ascii="宋体" w:cs="宋体"/>
          <w:b/>
          <w:color w:val="auto"/>
          <w:spacing w:val="8"/>
          <w:szCs w:val="21"/>
          <w:highlight w:val="none"/>
        </w:rPr>
      </w:pPr>
      <w:r>
        <w:rPr>
          <w:rFonts w:hint="eastAsia" w:ascii="宋体" w:hAnsi="宋体" w:cs="宋体"/>
          <w:b/>
          <w:color w:val="auto"/>
          <w:spacing w:val="8"/>
          <w:szCs w:val="21"/>
          <w:highlight w:val="none"/>
        </w:rPr>
        <w:t>九、解决合同纠纷方式</w:t>
      </w:r>
    </w:p>
    <w:p w14:paraId="2E3C7B39">
      <w:pPr>
        <w:spacing w:line="360" w:lineRule="auto"/>
        <w:ind w:left="-178" w:leftChars="-85" w:firstLine="580" w:firstLineChars="257"/>
        <w:rPr>
          <w:rFonts w:ascii="宋体" w:hAnsi="宋体" w:cs="宋体"/>
          <w:color w:val="auto"/>
          <w:spacing w:val="8"/>
          <w:szCs w:val="21"/>
          <w:highlight w:val="none"/>
        </w:rPr>
      </w:pPr>
      <w:r>
        <w:rPr>
          <w:rFonts w:hint="eastAsia" w:ascii="宋体" w:hAnsi="宋体" w:cs="宋体"/>
          <w:color w:val="auto"/>
          <w:spacing w:val="8"/>
          <w:szCs w:val="21"/>
          <w:highlight w:val="none"/>
        </w:rPr>
        <w:t>本合同如发生纠纷，买卖双方应当及时协商解决，协商不成时，按以下第（②）项方式处理：①根据《中华人民共和国仲裁法》的规定向</w:t>
      </w:r>
      <w:r>
        <w:rPr>
          <w:rFonts w:hint="eastAsia" w:ascii="宋体" w:hAnsi="宋体" w:cs="宋体"/>
          <w:color w:val="auto"/>
          <w:spacing w:val="8"/>
          <w:szCs w:val="21"/>
          <w:highlight w:val="none"/>
          <w:u w:val="single"/>
        </w:rPr>
        <w:t xml:space="preserve"> 安庆仲裁委员会 </w:t>
      </w:r>
      <w:r>
        <w:rPr>
          <w:rFonts w:hint="eastAsia" w:ascii="宋体" w:hAnsi="宋体" w:cs="宋体"/>
          <w:color w:val="auto"/>
          <w:spacing w:val="8"/>
          <w:szCs w:val="21"/>
          <w:highlight w:val="none"/>
        </w:rPr>
        <w:t>申请仲裁。②向</w:t>
      </w:r>
      <w:r>
        <w:rPr>
          <w:rFonts w:hint="eastAsia" w:ascii="宋体" w:hAnsi="宋体" w:cs="宋体"/>
          <w:color w:val="auto"/>
          <w:spacing w:val="8"/>
          <w:szCs w:val="21"/>
          <w:highlight w:val="none"/>
          <w:u w:val="single"/>
        </w:rPr>
        <w:t>项目所在地</w:t>
      </w:r>
      <w:r>
        <w:rPr>
          <w:rFonts w:hint="eastAsia" w:ascii="宋体" w:hAnsi="宋体" w:cs="宋体"/>
          <w:color w:val="auto"/>
          <w:spacing w:val="8"/>
          <w:szCs w:val="21"/>
          <w:highlight w:val="none"/>
        </w:rPr>
        <w:t>人民法院起诉。</w:t>
      </w:r>
    </w:p>
    <w:p w14:paraId="43A92D2A">
      <w:pPr>
        <w:spacing w:line="360" w:lineRule="auto"/>
        <w:ind w:left="-178" w:leftChars="-85" w:firstLine="542" w:firstLineChars="257"/>
        <w:rPr>
          <w:rFonts w:ascii="宋体" w:cs="宋体"/>
          <w:b/>
          <w:color w:val="auto"/>
          <w:spacing w:val="8"/>
          <w:szCs w:val="21"/>
          <w:highlight w:val="none"/>
        </w:rPr>
      </w:pPr>
      <w:r>
        <w:rPr>
          <w:rFonts w:hint="eastAsia" w:ascii="宋体" w:hAnsi="宋体" w:cs="宋体"/>
          <w:b/>
          <w:color w:val="auto"/>
          <w:szCs w:val="21"/>
          <w:highlight w:val="none"/>
        </w:rPr>
        <w:t>十、本合同的其他重要组成部分：</w:t>
      </w:r>
    </w:p>
    <w:p w14:paraId="2D56F1EE">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、比选文件；</w:t>
      </w:r>
    </w:p>
    <w:p w14:paraId="70E3398B">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、成交人的参选文件；</w:t>
      </w:r>
    </w:p>
    <w:p w14:paraId="1B6B09CF">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、成交通知书。</w:t>
      </w:r>
    </w:p>
    <w:p w14:paraId="2F88905B">
      <w:pPr>
        <w:spacing w:line="360" w:lineRule="auto"/>
        <w:ind w:firstLine="445" w:firstLineChars="196"/>
        <w:rPr>
          <w:rFonts w:ascii="宋体" w:cs="宋体"/>
          <w:b/>
          <w:color w:val="auto"/>
          <w:spacing w:val="8"/>
          <w:szCs w:val="21"/>
          <w:highlight w:val="none"/>
          <w:u w:val="single"/>
        </w:rPr>
      </w:pPr>
      <w:r>
        <w:rPr>
          <w:rFonts w:hint="eastAsia" w:ascii="宋体" w:hAnsi="宋体" w:cs="宋体"/>
          <w:b/>
          <w:color w:val="auto"/>
          <w:spacing w:val="8"/>
          <w:szCs w:val="21"/>
          <w:highlight w:val="none"/>
        </w:rPr>
        <w:t>十一、</w:t>
      </w:r>
      <w:r>
        <w:rPr>
          <w:rFonts w:hint="eastAsia" w:ascii="宋体" w:hAnsi="宋体" w:cs="宋体"/>
          <w:color w:val="auto"/>
          <w:spacing w:val="8"/>
          <w:szCs w:val="21"/>
          <w:highlight w:val="none"/>
        </w:rPr>
        <w:t>其他约定事项：</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u w:val="single"/>
        </w:rPr>
        <w:t>合同文本的组成部分的先后解释顺序为：</w:t>
      </w:r>
      <w:r>
        <w:rPr>
          <w:rFonts w:ascii="宋体" w:hAnsi="宋体" w:cs="宋体"/>
          <w:color w:val="auto"/>
          <w:spacing w:val="8"/>
          <w:szCs w:val="21"/>
          <w:highlight w:val="none"/>
          <w:u w:val="single"/>
        </w:rPr>
        <w:t>1</w:t>
      </w:r>
      <w:r>
        <w:rPr>
          <w:rFonts w:hint="eastAsia" w:ascii="宋体" w:hAnsi="宋体" w:cs="宋体"/>
          <w:color w:val="auto"/>
          <w:spacing w:val="8"/>
          <w:szCs w:val="21"/>
          <w:highlight w:val="none"/>
          <w:u w:val="single"/>
        </w:rPr>
        <w:t>、成交通知书；</w:t>
      </w:r>
      <w:r>
        <w:rPr>
          <w:rFonts w:ascii="宋体" w:hAnsi="宋体" w:cs="宋体"/>
          <w:color w:val="auto"/>
          <w:spacing w:val="8"/>
          <w:szCs w:val="21"/>
          <w:highlight w:val="none"/>
          <w:u w:val="single"/>
        </w:rPr>
        <w:t>2</w:t>
      </w:r>
      <w:r>
        <w:rPr>
          <w:rFonts w:hint="eastAsia" w:ascii="宋体" w:hAnsi="宋体" w:cs="宋体"/>
          <w:color w:val="auto"/>
          <w:spacing w:val="8"/>
          <w:szCs w:val="21"/>
          <w:highlight w:val="none"/>
          <w:u w:val="single"/>
        </w:rPr>
        <w:t>、比选文件；</w:t>
      </w:r>
      <w:r>
        <w:rPr>
          <w:rFonts w:ascii="宋体" w:hAnsi="宋体" w:cs="宋体"/>
          <w:color w:val="auto"/>
          <w:spacing w:val="8"/>
          <w:szCs w:val="21"/>
          <w:highlight w:val="none"/>
          <w:u w:val="single"/>
        </w:rPr>
        <w:t>3</w:t>
      </w:r>
      <w:r>
        <w:rPr>
          <w:rFonts w:hint="eastAsia" w:ascii="宋体" w:hAnsi="宋体" w:cs="宋体"/>
          <w:color w:val="auto"/>
          <w:spacing w:val="8"/>
          <w:szCs w:val="21"/>
          <w:highlight w:val="none"/>
          <w:u w:val="single"/>
        </w:rPr>
        <w:t>、本合同文本；</w:t>
      </w:r>
      <w:r>
        <w:rPr>
          <w:rFonts w:ascii="宋体" w:hAnsi="宋体" w:cs="宋体"/>
          <w:color w:val="auto"/>
          <w:spacing w:val="8"/>
          <w:szCs w:val="21"/>
          <w:highlight w:val="none"/>
          <w:u w:val="single"/>
        </w:rPr>
        <w:t>4</w:t>
      </w:r>
      <w:r>
        <w:rPr>
          <w:rFonts w:hint="eastAsia" w:ascii="宋体" w:hAnsi="宋体" w:cs="宋体"/>
          <w:color w:val="auto"/>
          <w:spacing w:val="8"/>
          <w:szCs w:val="21"/>
          <w:highlight w:val="none"/>
          <w:u w:val="single"/>
        </w:rPr>
        <w:t>、成交人的参选文件；</w:t>
      </w:r>
      <w:r>
        <w:rPr>
          <w:rFonts w:ascii="宋体" w:hAnsi="宋体" w:cs="宋体"/>
          <w:color w:val="auto"/>
          <w:spacing w:val="8"/>
          <w:szCs w:val="21"/>
          <w:highlight w:val="none"/>
          <w:u w:val="single"/>
        </w:rPr>
        <w:t>5</w:t>
      </w:r>
      <w:r>
        <w:rPr>
          <w:rFonts w:hint="eastAsia" w:ascii="宋体" w:hAnsi="宋体" w:cs="宋体"/>
          <w:color w:val="auto"/>
          <w:spacing w:val="8"/>
          <w:szCs w:val="21"/>
          <w:highlight w:val="none"/>
          <w:u w:val="single"/>
        </w:rPr>
        <w:t>、其他补充约定事项。</w:t>
      </w:r>
      <w:r>
        <w:rPr>
          <w:rFonts w:ascii="宋体" w:hAnsi="宋体" w:cs="宋体"/>
          <w:color w:val="auto"/>
          <w:spacing w:val="8"/>
          <w:szCs w:val="21"/>
          <w:highlight w:val="none"/>
          <w:u w:val="single"/>
        </w:rPr>
        <w:t xml:space="preserve">                    </w:t>
      </w:r>
      <w:r>
        <w:rPr>
          <w:rFonts w:ascii="宋体" w:hAnsi="宋体" w:cs="宋体"/>
          <w:b/>
          <w:color w:val="auto"/>
          <w:spacing w:val="8"/>
          <w:szCs w:val="21"/>
          <w:highlight w:val="none"/>
          <w:u w:val="single"/>
        </w:rPr>
        <w:t xml:space="preserve">                                 </w:t>
      </w:r>
    </w:p>
    <w:p w14:paraId="5973C00F">
      <w:pPr>
        <w:spacing w:line="360" w:lineRule="auto"/>
        <w:ind w:left="-178" w:leftChars="-85" w:firstLine="177" w:firstLineChars="78"/>
        <w:rPr>
          <w:rFonts w:ascii="宋体" w:cs="宋体"/>
          <w:color w:val="auto"/>
          <w:spacing w:val="8"/>
          <w:szCs w:val="21"/>
          <w:highlight w:val="none"/>
          <w:u w:val="single"/>
        </w:rPr>
      </w:pPr>
      <w:r>
        <w:rPr>
          <w:rFonts w:ascii="宋体" w:hAnsi="宋体" w:cs="宋体"/>
          <w:b/>
          <w:color w:val="auto"/>
          <w:spacing w:val="8"/>
          <w:szCs w:val="21"/>
          <w:highlight w:val="none"/>
          <w:u w:val="single"/>
        </w:rPr>
        <w:t xml:space="preserve">                                                       </w:t>
      </w:r>
      <w:r>
        <w:rPr>
          <w:rFonts w:ascii="宋体" w:hAnsi="宋体" w:cs="宋体"/>
          <w:color w:val="auto"/>
          <w:spacing w:val="8"/>
          <w:szCs w:val="21"/>
          <w:highlight w:val="none"/>
          <w:u w:val="single"/>
        </w:rPr>
        <w:t xml:space="preserve">                    </w:t>
      </w:r>
    </w:p>
    <w:p w14:paraId="15389D8D">
      <w:pPr>
        <w:spacing w:line="360" w:lineRule="auto"/>
        <w:ind w:left="-178" w:leftChars="-85" w:firstLine="176" w:firstLineChars="78"/>
        <w:rPr>
          <w:rFonts w:ascii="宋体" w:cs="宋体"/>
          <w:color w:val="auto"/>
          <w:spacing w:val="8"/>
          <w:szCs w:val="21"/>
          <w:highlight w:val="none"/>
          <w:u w:val="single"/>
        </w:rPr>
      </w:pPr>
      <w:r>
        <w:rPr>
          <w:rFonts w:ascii="宋体" w:hAnsi="宋体" w:cs="宋体"/>
          <w:color w:val="auto"/>
          <w:spacing w:val="8"/>
          <w:szCs w:val="21"/>
          <w:highlight w:val="none"/>
          <w:u w:val="single"/>
        </w:rPr>
        <w:t xml:space="preserve">                                                                           </w:t>
      </w:r>
    </w:p>
    <w:p w14:paraId="65A03FA9">
      <w:pPr>
        <w:tabs>
          <w:tab w:val="left" w:pos="3640"/>
        </w:tabs>
        <w:autoSpaceDE w:val="0"/>
        <w:autoSpaceDN w:val="0"/>
        <w:spacing w:line="360" w:lineRule="auto"/>
        <w:ind w:firstLine="420" w:firstLineChars="200"/>
        <w:rPr>
          <w:rFonts w:ascii="宋体" w:cs="宋体"/>
          <w:color w:val="auto"/>
          <w:szCs w:val="21"/>
          <w:highlight w:val="none"/>
        </w:rPr>
      </w:pPr>
    </w:p>
    <w:p w14:paraId="6A0CD6BB">
      <w:pPr>
        <w:tabs>
          <w:tab w:val="left" w:pos="3640"/>
        </w:tabs>
        <w:autoSpaceDE w:val="0"/>
        <w:autoSpaceDN w:val="0"/>
        <w:spacing w:line="360" w:lineRule="auto"/>
        <w:ind w:firstLine="420" w:firstLineChars="200"/>
        <w:rPr>
          <w:rFonts w:ascii="宋体" w:cs="宋体"/>
          <w:color w:val="auto"/>
          <w:szCs w:val="21"/>
          <w:highlight w:val="none"/>
        </w:rPr>
      </w:pPr>
    </w:p>
    <w:p w14:paraId="719B85AC">
      <w:pPr>
        <w:tabs>
          <w:tab w:val="left" w:pos="3640"/>
        </w:tabs>
        <w:autoSpaceDE w:val="0"/>
        <w:autoSpaceDN w:val="0"/>
        <w:spacing w:line="360" w:lineRule="auto"/>
        <w:ind w:firstLine="420" w:firstLineChars="200"/>
        <w:rPr>
          <w:rFonts w:ascii="宋体" w:cs="宋体"/>
          <w:color w:val="auto"/>
          <w:szCs w:val="21"/>
          <w:highlight w:val="none"/>
        </w:rPr>
      </w:pPr>
    </w:p>
    <w:p w14:paraId="212D7A62">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买  方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卖   方                        </w:t>
      </w:r>
    </w:p>
    <w:p w14:paraId="2E7AB3E7">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采购人（单位盖章）：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成交人（单位盖章）：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926F34A">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55829EFD">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E332464">
      <w:pPr>
        <w:snapToGrid w:val="0"/>
        <w:spacing w:line="480" w:lineRule="auto"/>
        <w:rPr>
          <w:rFonts w:ascii="宋体" w:cs="宋体"/>
          <w:color w:val="auto"/>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p>
    <w:p w14:paraId="5C9FD11E">
      <w:pPr>
        <w:pStyle w:val="113"/>
        <w:rPr>
          <w:rFonts w:hAnsi="宋体"/>
          <w:color w:val="auto"/>
          <w:szCs w:val="21"/>
          <w:highlight w:val="none"/>
        </w:rPr>
      </w:pPr>
    </w:p>
    <w:p w14:paraId="40931851">
      <w:pPr>
        <w:pStyle w:val="113"/>
        <w:rPr>
          <w:rFonts w:hAnsi="宋体"/>
          <w:color w:val="auto"/>
          <w:szCs w:val="21"/>
          <w:highlight w:val="none"/>
        </w:rPr>
      </w:pPr>
    </w:p>
    <w:p w14:paraId="42CFDC1D">
      <w:pPr>
        <w:pStyle w:val="113"/>
        <w:rPr>
          <w:rFonts w:hAnsi="宋体"/>
          <w:color w:val="auto"/>
          <w:szCs w:val="21"/>
          <w:highlight w:val="none"/>
        </w:rPr>
      </w:pPr>
    </w:p>
    <w:p w14:paraId="14457CF4">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26873"/>
      <w:bookmarkStart w:id="55" w:name="_Toc54884158"/>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54941342"/>
      <w:bookmarkStart w:id="57" w:name="_Toc476584433"/>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莲湖公园2026年度零星修补工程防腐木采购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29"/>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54941350"/>
      <w:bookmarkStart w:id="59"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58"/>
    <w:bookmarkEnd w:id="59"/>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0" w:name="_Toc16253"/>
      <w:bookmarkStart w:id="61" w:name="_Toc4481604"/>
      <w:bookmarkStart w:id="62" w:name="_Toc12052"/>
      <w:bookmarkStart w:id="63" w:name="_Toc2920"/>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0"/>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rPr>
        <w:t>四、诚信投标承诺书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234"/>
      <w:bookmarkStart w:id="67" w:name="_Toc4481606"/>
      <w:bookmarkStart w:id="68" w:name="_Toc22272"/>
      <w:bookmarkStart w:id="69" w:name="_Toc25079"/>
      <w:r>
        <w:rPr>
          <w:rFonts w:hint="eastAsia" w:ascii="Arial" w:hAnsi="Arial"/>
          <w:b/>
          <w:color w:val="auto"/>
          <w:kern w:val="0"/>
          <w:sz w:val="32"/>
          <w:highlight w:val="none"/>
        </w:rPr>
        <w:t>五、相关证明文件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莲湖公园2026年度零星修补工程防腐木采购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莲湖公园2026年度零星修补工程防腐木采购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11CBD23"/>
    <w:multiLevelType w:val="singleLevel"/>
    <w:tmpl w:val="C11CBD23"/>
    <w:lvl w:ilvl="0" w:tentative="0">
      <w:start w:val="1"/>
      <w:numFmt w:val="chineseCounting"/>
      <w:suff w:val="nothing"/>
      <w:lvlText w:val="%1、"/>
      <w:lvlJc w:val="left"/>
      <w:rPr>
        <w:rFonts w:hint="eastAsia"/>
      </w:rPr>
    </w:lvl>
  </w:abstractNum>
  <w:abstractNum w:abstractNumId="2">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0C"/>
    <w:multiLevelType w:val="singleLevel"/>
    <w:tmpl w:val="0000000C"/>
    <w:lvl w:ilvl="0" w:tentative="0">
      <w:start w:val="1"/>
      <w:numFmt w:val="chineseCounting"/>
      <w:suff w:val="nothing"/>
      <w:lvlText w:val="%1、"/>
      <w:lvlJc w:val="left"/>
      <w:rPr>
        <w:rFonts w:cs="Times New Roman"/>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3"/>
  </w:num>
  <w:num w:numId="3">
    <w:abstractNumId w:val="6"/>
  </w:num>
  <w:num w:numId="4">
    <w:abstractNumId w:val="7"/>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1868D9"/>
    <w:rsid w:val="7D24527D"/>
    <w:rsid w:val="7D27773C"/>
    <w:rsid w:val="7D3356C7"/>
    <w:rsid w:val="7D422172"/>
    <w:rsid w:val="7D4713B5"/>
    <w:rsid w:val="7D5976B6"/>
    <w:rsid w:val="7DA07E94"/>
    <w:rsid w:val="7DA16F04"/>
    <w:rsid w:val="7DB36601"/>
    <w:rsid w:val="7E2D0162"/>
    <w:rsid w:val="7E321CD4"/>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Style w:val="61"/>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next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Style w:val="6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eastAsia="黑体"/>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eastAsia="黑体"/>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10265</Words>
  <Characters>11015</Characters>
  <Lines>122</Lines>
  <Paragraphs>34</Paragraphs>
  <TotalTime>5</TotalTime>
  <ScaleCrop>false</ScaleCrop>
  <LinksUpToDate>false</LinksUpToDate>
  <CharactersWithSpaces>12629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2026-07-24T00:20:01Z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BBCC9213D7E34C0F8A02A281F49301A8_13</vt:lpwstr>
  </property>
  <property fmtid="{D5CDD505-2E9C-101B-9397-08002B2CF9AE}" pid="4" name="KSOTemplateDocerSaveRecord">
    <vt:lpwstr>eyJoZGlkIjoiODg5OTFhMDZlNTRlMDA0MmIxOWM3MTZhYWRlMmFjYWMiLCJ1c2VySWQiOiI1MDM3OTU2NDYifQ==</vt:lpwstr>
  </property>
</Properties>
</file>