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bookmarkStart w:id="77" w:name="_GoBack"/>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安徽路达公路工程有限责任公司房屋质量鉴定服务项目</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AQJK-CG-2026-049</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安徽路达公路工程有限责任公司    </w:t>
      </w:r>
    </w:p>
    <w:p w14:paraId="0B34CDE1">
      <w:pPr>
        <w:pStyle w:val="82"/>
        <w:rPr>
          <w:color w:val="auto"/>
          <w:highlight w:val="none"/>
        </w:rPr>
      </w:pPr>
    </w:p>
    <w:p w14:paraId="0445A8EC">
      <w:pPr>
        <w:pStyle w:val="82"/>
        <w:rPr>
          <w:color w:val="auto"/>
          <w:highlight w:val="none"/>
        </w:rPr>
      </w:pPr>
    </w:p>
    <w:p w14:paraId="347303D2">
      <w:pPr>
        <w:pStyle w:val="82"/>
        <w:rPr>
          <w:color w:val="auto"/>
          <w:highlight w:val="none"/>
        </w:rPr>
      </w:pPr>
    </w:p>
    <w:p w14:paraId="7B41AB99">
      <w:pPr>
        <w:pStyle w:val="82"/>
        <w:rPr>
          <w:color w:val="auto"/>
          <w:highlight w:val="none"/>
        </w:rPr>
      </w:pPr>
    </w:p>
    <w:p w14:paraId="4E315430">
      <w:pPr>
        <w:pStyle w:val="82"/>
        <w:rPr>
          <w:color w:val="auto"/>
          <w:highlight w:val="none"/>
        </w:rPr>
      </w:pPr>
    </w:p>
    <w:p w14:paraId="45E7BE8B">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21464"/>
      <w:bookmarkStart w:id="1" w:name="_Toc54941328"/>
      <w:bookmarkStart w:id="2" w:name="_Toc23467"/>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lang w:val="en-US" w:eastAsia="zh-CN"/>
        </w:rPr>
        <w:t>5</w:t>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w:t>
      </w:r>
      <w:r>
        <w:rPr>
          <w:rFonts w:hint="eastAsia"/>
          <w:b w:val="0"/>
          <w:caps w:val="0"/>
          <w:color w:val="auto"/>
          <w:sz w:val="30"/>
          <w:szCs w:val="30"/>
          <w:highlight w:val="none"/>
          <w:lang w:val="en-US" w:eastAsia="zh-CN"/>
        </w:rPr>
        <w:t>6</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18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0</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30135F0C">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hint="eastAsia" w:ascii="Arial" w:hAnsi="Arial" w:eastAsia="黑体" w:cs="Times New Roman"/>
          <w:b/>
          <w:i w:val="0"/>
          <w:color w:val="auto"/>
          <w:kern w:val="2"/>
          <w:sz w:val="32"/>
          <w:szCs w:val="32"/>
          <w:highlight w:val="none"/>
          <w:lang w:val="en-US" w:eastAsia="zh-CN" w:bidi="ar-SA"/>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3DCF8B2B">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ascii="Arial" w:hAnsi="Arial" w:eastAsia="黑体"/>
          <w:b/>
          <w:i w:val="0"/>
          <w:color w:val="auto"/>
          <w:sz w:val="32"/>
          <w:szCs w:val="32"/>
          <w:highlight w:val="none"/>
        </w:rPr>
      </w:pPr>
      <w:r>
        <w:rPr>
          <w:rFonts w:hint="eastAsia" w:ascii="Arial" w:hAnsi="Arial" w:eastAsia="黑体" w:cs="Times New Roman"/>
          <w:b/>
          <w:i w:val="0"/>
          <w:color w:val="auto"/>
          <w:kern w:val="2"/>
          <w:sz w:val="32"/>
          <w:szCs w:val="32"/>
          <w:highlight w:val="none"/>
          <w:lang w:val="en-US" w:eastAsia="zh-CN" w:bidi="ar-SA"/>
        </w:rPr>
        <w:t xml:space="preserve">第一章 </w:t>
      </w:r>
      <w:bookmarkEnd w:id="4"/>
      <w:bookmarkStart w:id="5" w:name="_Toc12179"/>
      <w:r>
        <w:rPr>
          <w:rFonts w:hint="eastAsia" w:ascii="Arial" w:hAnsi="Arial" w:eastAsia="黑体"/>
          <w:b/>
          <w:i w:val="0"/>
          <w:color w:val="auto"/>
          <w:sz w:val="32"/>
          <w:szCs w:val="32"/>
          <w:highlight w:val="none"/>
          <w:lang w:val="en-US" w:eastAsia="zh-CN"/>
        </w:rPr>
        <w:t>安徽路达公路工程有限责任公司房屋质量鉴定服务项目</w:t>
      </w:r>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35393798"/>
      <w:bookmarkStart w:id="7" w:name="_Toc28359012"/>
      <w:bookmarkStart w:id="8" w:name="_Toc28359089"/>
      <w:bookmarkStart w:id="9" w:name="_Toc3539362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安徽路达公路工程有限责任公司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安徽路达公路工程有限责任公司房屋质量鉴定服务项目</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AQJK-CG-2026-049</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项目编号：AQJK-CG-2026-049</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安徽路达公路工程有限责任公司房屋质量鉴定服务项目</w:t>
      </w:r>
    </w:p>
    <w:p w14:paraId="06520119">
      <w:pPr>
        <w:spacing w:line="480" w:lineRule="atLeast"/>
        <w:ind w:firstLine="560" w:firstLineChars="200"/>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工程概况：本次涉及的质量鉴定房屋包含办公楼、仓库、厂房、试验室等，总建筑面积约1785.18平方米。投标人需完成安徽路达公路工程有限责任公司房屋的质量鉴定工作，开展全面质量鉴定服务，包括但不限于房屋结构安全性检测、完损等级评定、抗震性能评估、危险点排查及后续技术咨询等工作，并取得安庆市住建部门相关批复文件。</w:t>
      </w:r>
    </w:p>
    <w:p w14:paraId="35801A86">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合同履约期限：10日历天</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1FBB89AE">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支付方式：取得安徽路达公路工程有限责任公司房屋房产证，提供相关的税费发票后，7日内一次性付清。</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45000.00元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具有中华人民共和国境内注册的独立法人资格，持有有效的营业执照，建设工程质量检测机构资质证书，检验检测机构资质认定证书等具有房屋质量鉴定相关资质</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02A2551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5月29日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2A2F2B1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8861B45">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 29日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6月1日15时00分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28359018"/>
      <w:bookmarkStart w:id="11" w:name="_Toc28359095"/>
      <w:bookmarkStart w:id="12" w:name="_Toc35393805"/>
      <w:bookmarkStart w:id="13"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35393806"/>
      <w:bookmarkStart w:id="15" w:name="_Toc28359096"/>
      <w:bookmarkStart w:id="16" w:name="_Toc35393637"/>
      <w:bookmarkStart w:id="17" w:name="_Toc28359019"/>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auto"/>
          <w:sz w:val="28"/>
          <w:szCs w:val="28"/>
          <w:highlight w:val="none"/>
          <w:lang w:eastAsia="zh-CN"/>
        </w:rPr>
        <w:t>安徽路达公路工程有限责任公司</w:t>
      </w:r>
    </w:p>
    <w:p w14:paraId="68C08A4B">
      <w:pPr>
        <w:spacing w:line="480" w:lineRule="atLeas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安庆市宜城路131号</w:t>
      </w:r>
    </w:p>
    <w:p w14:paraId="3578F221">
      <w:pPr>
        <w:ind w:firstLine="56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bCs/>
          <w:color w:val="auto"/>
          <w:sz w:val="28"/>
          <w:szCs w:val="28"/>
          <w:highlight w:val="none"/>
        </w:rPr>
        <w:t>联 系 人：</w:t>
      </w:r>
      <w:r>
        <w:rPr>
          <w:rFonts w:hint="eastAsia" w:ascii="仿宋" w:hAnsi="仿宋" w:eastAsia="仿宋" w:cs="仿宋"/>
          <w:color w:val="auto"/>
          <w:sz w:val="30"/>
          <w:szCs w:val="30"/>
          <w:highlight w:val="none"/>
          <w:lang w:val="en-US" w:eastAsia="zh-CN"/>
        </w:rPr>
        <w:t xml:space="preserve">马艳东 </w:t>
      </w:r>
    </w:p>
    <w:p w14:paraId="4D1B58E4">
      <w:pPr>
        <w:spacing w:line="480" w:lineRule="atLeast"/>
        <w:ind w:firstLine="600" w:firstLineChars="200"/>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30"/>
          <w:szCs w:val="30"/>
          <w:highlight w:val="none"/>
          <w:lang w:val="en-US" w:eastAsia="zh-CN"/>
        </w:rPr>
        <w:t xml:space="preserve">联系方式：13956510718 </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8351"/>
      <w:bookmarkStart w:id="19" w:name="_Toc13660"/>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安徽路达公路工程有限责任公司房屋质量鉴定服务项目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30195"/>
      <w:bookmarkStart w:id="21" w:name="_Toc26069"/>
      <w:bookmarkStart w:id="22" w:name="_Toc5494132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439316871"/>
      <w:bookmarkStart w:id="24" w:name="_Toc54941330"/>
      <w:bookmarkStart w:id="25"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安徽路达公路工程有限责任公司房屋质量鉴定服务项目</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AQJK-CG-2026-049</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安徽路达公路工程有限责任公司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45000.00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合同履约期限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val="en-US" w:eastAsia="zh-CN"/>
              </w:rPr>
            </w:pPr>
            <w:r>
              <w:rPr>
                <w:rFonts w:hint="eastAsia"/>
                <w:color w:val="auto"/>
                <w:szCs w:val="21"/>
                <w:highlight w:val="none"/>
                <w:lang w:val="en-US" w:eastAsia="zh-CN"/>
              </w:rPr>
              <w:t>10个日历天</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6月1日15时00分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51FEAE96">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取得安徽路达公路工程有限责任公司房屋房产证，提供相关的税费发票后，7日内一次性付清。</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安徽路达公路工程有限责任公司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11149"/>
      <w:bookmarkStart w:id="30" w:name="_Toc10569"/>
      <w:bookmarkStart w:id="31" w:name="_Toc54941340"/>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4481593"/>
      <w:bookmarkStart w:id="36" w:name="_Toc479622044"/>
      <w:bookmarkStart w:id="37"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12503"/>
      <w:bookmarkStart w:id="40" w:name="_Toc4481594"/>
      <w:bookmarkStart w:id="41" w:name="_Toc25319"/>
      <w:bookmarkStart w:id="42" w:name="_Toc47962204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479622047"/>
      <w:bookmarkStart w:id="44"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15032"/>
      <w:bookmarkStart w:id="47" w:name="_Toc417655921"/>
      <w:bookmarkStart w:id="48"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457998294"/>
      <w:bookmarkStart w:id="50" w:name="_Toc10987"/>
      <w:bookmarkStart w:id="51" w:name="_Toc456882340"/>
      <w:bookmarkStart w:id="52" w:name="_Toc19876"/>
      <w:bookmarkStart w:id="53" w:name="_Toc10586"/>
      <w:bookmarkStart w:id="54" w:name="_Toc31095"/>
      <w:bookmarkStart w:id="55" w:name="_Toc433721697"/>
      <w:bookmarkStart w:id="56" w:name="_Toc478821422"/>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21358"/>
      <w:bookmarkStart w:id="59" w:name="_Toc418517860"/>
      <w:bookmarkStart w:id="60" w:name="_Toc417655923"/>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7DDE0D10">
      <w:pPr>
        <w:pStyle w:val="2"/>
        <w:numPr>
          <w:ilvl w:val="0"/>
          <w:numId w:val="0"/>
        </w:numPr>
        <w:spacing w:before="62" w:beforeLines="20" w:after="62" w:afterLines="20" w:line="480" w:lineRule="exact"/>
        <w:ind w:firstLine="0" w:firstLineChars="0"/>
        <w:jc w:val="center"/>
        <w:rPr>
          <w:rFonts w:hint="eastAsia" w:ascii="Arial" w:hAnsi="Arial"/>
          <w:color w:val="auto"/>
          <w:kern w:val="2"/>
          <w:sz w:val="32"/>
          <w:szCs w:val="32"/>
          <w:highlight w:val="none"/>
          <w:lang w:eastAsia="zh-CN"/>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bookmarkStart w:id="62" w:name="_Toc31586"/>
    </w:p>
    <w:p w14:paraId="3F2019CE">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安徽路达公路工程有限责任公司需进行质量鉴定的房产有办公楼、仓库、厂房、试验室，总面积约为1785.18平方米。（该数据仅作参考，不作为房产证办理依据），安徽路达公路工程有限责任公司房屋建设完成后未办理房产证，且没有相关结构安全及抗震性能鉴定资料。</w:t>
      </w:r>
    </w:p>
    <w:p w14:paraId="0702EEFE">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按照关于解决市本级国有资产管理历史遗留问题的通知[庆自然资规函[2025]142号]的要求，我司就房屋办理房产证事宜咨询了安庆市不动产登记中心、自规局和住建局，得到的回复是对安徽路达公司房屋完成了质量鉴定、房产测绘和消防验收手续后将相关成果上报到市自规局，经市自规局核实后可取得自规局出具规划核实报告，然后将规划核实报告等资料上报给不动产登记中心，经不动产登记中心核实后，可取得安徽路达公路工程有限责任公司房屋房产证。</w:t>
      </w:r>
    </w:p>
    <w:p w14:paraId="0D6FC8FC">
      <w:pPr>
        <w:numPr>
          <w:ilvl w:val="0"/>
          <w:numId w:val="0"/>
        </w:numPr>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一、工程概况</w:t>
      </w:r>
    </w:p>
    <w:p w14:paraId="512B41C8">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次涉及的质量鉴定房屋包含办公楼、仓库、厂房、试验室等，总建筑面积约1785.18平方米。投标人需完成安徽路达公路工程有限责任公司房屋的质量鉴定工作，开展全面质量鉴定服务，包括但不限于房屋结构安全性检测、完损等级评定、抗震性能评估、危险点排查及后续技术咨询等工作，并取得安庆市住建部门相关批复文件。</w:t>
      </w:r>
    </w:p>
    <w:p w14:paraId="6609CABB">
      <w:pPr>
        <w:numPr>
          <w:ilvl w:val="0"/>
          <w:numId w:val="9"/>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投标人资格</w:t>
      </w:r>
    </w:p>
    <w:p w14:paraId="23EAF5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投标人资格：具有中华人民共和国境内注册的独立法人资格，持有有效的营业执照，</w:t>
      </w:r>
      <w:r>
        <w:rPr>
          <w:rFonts w:hint="eastAsia" w:ascii="仿宋_GB2312" w:hAnsi="仿宋_GB2312" w:eastAsia="仿宋_GB2312" w:cs="仿宋_GB2312"/>
          <w:b/>
          <w:bCs/>
          <w:color w:val="auto"/>
          <w:kern w:val="2"/>
          <w:sz w:val="28"/>
          <w:szCs w:val="28"/>
          <w:highlight w:val="none"/>
          <w:lang w:val="en-US" w:eastAsia="zh-CN" w:bidi="ar-SA"/>
        </w:rPr>
        <w:t>建设工程质量检测机构资质证书，检验检测机构资质认定证书等具有房屋质量鉴定相关资质。</w:t>
      </w:r>
    </w:p>
    <w:p w14:paraId="387C2C56">
      <w:pPr>
        <w:numPr>
          <w:ilvl w:val="0"/>
          <w:numId w:val="0"/>
        </w:numPr>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三、房屋安全质量验收、抗震鉴定工作内容</w:t>
      </w:r>
    </w:p>
    <w:p w14:paraId="3CF7D82E">
      <w:pPr>
        <w:numPr>
          <w:ilvl w:val="0"/>
          <w:numId w:val="1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投标人对安徽路达公路工程有限责任公司房屋进行结构安全鉴定，并出具相关鉴定报告书；</w:t>
      </w:r>
    </w:p>
    <w:p w14:paraId="4303C1DB">
      <w:pPr>
        <w:numPr>
          <w:ilvl w:val="0"/>
          <w:numId w:val="1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投标人对安徽路达公路工程有限责任公司房屋进行抗震性能鉴定，并出具相关鉴定报告书。 </w:t>
      </w:r>
    </w:p>
    <w:p w14:paraId="1A1BA934">
      <w:pPr>
        <w:numPr>
          <w:ilvl w:val="0"/>
          <w:numId w:val="1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投标人对安徽路达公路工程有限责任公司房屋鉴定过程中需整改提供整改技术要求等服务。</w:t>
      </w:r>
    </w:p>
    <w:p w14:paraId="3BDA29AD">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四、支付方式：取得安徽路达公路工程有限责任公司房屋房产证，提供相关的税费发票后，7日内一次性付清。</w:t>
      </w:r>
    </w:p>
    <w:p w14:paraId="0E35E888">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五、合同履约期限：10个日历天</w:t>
      </w:r>
    </w:p>
    <w:p w14:paraId="0EDC5ECC">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六、本项目最高限价：45000.00元。</w:t>
      </w:r>
    </w:p>
    <w:p w14:paraId="05318638">
      <w:p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0F7D33DA">
      <w:pPr>
        <w:rPr>
          <w:rFonts w:hint="eastAsia" w:ascii="宋体" w:hAnsi="宋体" w:eastAsia="宋体" w:cs="宋体"/>
          <w:color w:val="auto"/>
          <w:kern w:val="2"/>
          <w:sz w:val="21"/>
          <w:szCs w:val="21"/>
          <w:highlight w:val="none"/>
        </w:rPr>
      </w:pP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476584431"/>
      <w:bookmarkStart w:id="64" w:name="_Toc10479"/>
      <w:r>
        <w:rPr>
          <w:rFonts w:hint="eastAsia" w:ascii="Arial" w:hAnsi="Arial"/>
          <w:color w:val="auto"/>
          <w:kern w:val="2"/>
          <w:sz w:val="32"/>
          <w:szCs w:val="32"/>
          <w:highlight w:val="none"/>
        </w:rPr>
        <w:t xml:space="preserve"> 合同主要条款</w:t>
      </w:r>
      <w:bookmarkEnd w:id="29"/>
      <w:bookmarkEnd w:id="30"/>
      <w:bookmarkEnd w:id="31"/>
      <w:bookmarkEnd w:id="62"/>
      <w:bookmarkEnd w:id="63"/>
      <w:bookmarkEnd w:id="64"/>
    </w:p>
    <w:p w14:paraId="3A58DA98">
      <w:pPr>
        <w:rPr>
          <w:rFonts w:hint="eastAsia"/>
          <w:color w:val="auto"/>
          <w:highlight w:val="none"/>
          <w:lang w:eastAsia="zh-CN"/>
        </w:rPr>
      </w:pPr>
      <w:bookmarkStart w:id="65" w:name="_Toc439316880"/>
      <w:bookmarkStart w:id="66" w:name="_Toc54941341"/>
      <w:bookmarkStart w:id="67" w:name="_Toc8981"/>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footerReference r:id="rId12" w:type="first"/>
          <w:footerReference r:id="rId11"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8"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Start w:id="69" w:name="_Toc54884158"/>
      <w:bookmarkStart w:id="70" w:name="_Toc26873"/>
      <w:r>
        <w:rPr>
          <w:rFonts w:hint="eastAsia" w:ascii="Arial" w:hAnsi="Arial"/>
          <w:color w:val="auto"/>
          <w:kern w:val="2"/>
          <w:sz w:val="32"/>
          <w:szCs w:val="32"/>
          <w:highlight w:val="none"/>
        </w:rPr>
        <w:t>参选文件格式</w:t>
      </w:r>
      <w:bookmarkEnd w:id="68"/>
      <w:bookmarkEnd w:id="69"/>
      <w:bookmarkEnd w:id="70"/>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1" w:name="_Toc54941342"/>
      <w:bookmarkStart w:id="72"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71"/>
      <w:bookmarkEnd w:id="72"/>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安徽路达公路工程有限责任公司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安徽路达公路工程有限责任公司房屋质量鉴定服务项目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3" w:name="_Toc54941350"/>
      <w:bookmarkStart w:id="74" w:name="_Toc476584438"/>
      <w:r>
        <w:rPr>
          <w:rFonts w:hint="eastAsia" w:cs="宋体"/>
          <w:color w:val="auto"/>
          <w:highlight w:val="none"/>
        </w:rPr>
        <w:br w:type="page"/>
      </w:r>
      <w:bookmarkStart w:id="75"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3C0856B6">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报价</w:t>
            </w:r>
          </w:p>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lang w:val="en-US" w:eastAsia="zh-CN"/>
              </w:rPr>
              <w:t>总价</w:t>
            </w:r>
            <w:r>
              <w:rPr>
                <w:rFonts w:hint="eastAsia" w:hAnsi="宋体" w:cs="Times New Roman"/>
                <w:color w:val="auto"/>
                <w:sz w:val="24"/>
                <w:szCs w:val="24"/>
                <w:highlight w:val="none"/>
                <w:lang w:eastAsia="zh-CN"/>
              </w:rPr>
              <w:t>）</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参选人</w:t>
      </w:r>
      <w:r>
        <w:rPr>
          <w:rFonts w:hint="eastAsia" w:ascii="宋体" w:hAnsi="宋体" w:cs="Times New Roman"/>
          <w:b/>
          <w:color w:val="auto"/>
          <w:sz w:val="21"/>
          <w:szCs w:val="21"/>
          <w:highlight w:val="none"/>
        </w:rPr>
        <w:t>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5"/>
    <w:p w14:paraId="4FC0B612">
      <w:pPr>
        <w:rPr>
          <w:rFonts w:hint="eastAsia" w:ascii="宋体" w:hAnsi="Times New Roman" w:eastAsia="宋体" w:cs="宋体"/>
          <w:b/>
          <w:color w:val="auto"/>
          <w:kern w:val="0"/>
          <w:sz w:val="28"/>
          <w:szCs w:val="28"/>
          <w:highlight w:val="none"/>
          <w:shd w:val="clear" w:fill="FFFFFF"/>
          <w:lang w:val="en-US" w:eastAsia="zh-CN" w:bidi="ar-SA"/>
        </w:rPr>
      </w:pPr>
      <w:r>
        <w:rPr>
          <w:rFonts w:hint="eastAsia" w:cs="宋体"/>
          <w:color w:val="auto"/>
          <w:highlight w:val="none"/>
        </w:rPr>
        <w:br w:type="page"/>
      </w:r>
    </w:p>
    <w:p w14:paraId="1C405A5E">
      <w:pPr>
        <w:jc w:val="center"/>
        <w:rPr>
          <w:rFonts w:hint="eastAsia" w:ascii="宋体" w:hAnsi="Times New Roman" w:eastAsia="宋体" w:cs="宋体"/>
          <w:b/>
          <w:color w:val="auto"/>
          <w:kern w:val="0"/>
          <w:sz w:val="28"/>
          <w:szCs w:val="28"/>
          <w:highlight w:val="none"/>
          <w:shd w:val="clear" w:fill="FFFFFF"/>
          <w:lang w:val="en-US" w:eastAsia="zh-CN" w:bidi="ar-SA"/>
        </w:rPr>
      </w:pPr>
    </w:p>
    <w:p w14:paraId="005149D0">
      <w:p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房屋质量鉴定服务项目报价清单</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61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261" w:type="dxa"/>
            <w:noWrap w:val="0"/>
            <w:vAlign w:val="center"/>
          </w:tcPr>
          <w:p w14:paraId="743A91B6">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项目名称</w:t>
            </w:r>
          </w:p>
        </w:tc>
        <w:tc>
          <w:tcPr>
            <w:tcW w:w="4261" w:type="dxa"/>
            <w:noWrap w:val="0"/>
            <w:vAlign w:val="center"/>
          </w:tcPr>
          <w:p w14:paraId="36F6A35D">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报价（元）</w:t>
            </w:r>
          </w:p>
        </w:tc>
      </w:tr>
      <w:tr w14:paraId="5871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61" w:type="dxa"/>
            <w:noWrap w:val="0"/>
            <w:vAlign w:val="center"/>
          </w:tcPr>
          <w:p w14:paraId="4283CC8C">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结构安全鉴定</w:t>
            </w:r>
          </w:p>
        </w:tc>
        <w:tc>
          <w:tcPr>
            <w:tcW w:w="4261" w:type="dxa"/>
            <w:noWrap w:val="0"/>
            <w:vAlign w:val="center"/>
          </w:tcPr>
          <w:p w14:paraId="3DD66C99">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07FE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261" w:type="dxa"/>
            <w:noWrap w:val="0"/>
            <w:vAlign w:val="center"/>
          </w:tcPr>
          <w:p w14:paraId="5A0A7231">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抗震性能鉴定</w:t>
            </w:r>
          </w:p>
        </w:tc>
        <w:tc>
          <w:tcPr>
            <w:tcW w:w="4261" w:type="dxa"/>
            <w:noWrap w:val="0"/>
            <w:vAlign w:val="center"/>
          </w:tcPr>
          <w:p w14:paraId="0F6920E8">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3C1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261" w:type="dxa"/>
            <w:noWrap w:val="0"/>
            <w:vAlign w:val="center"/>
          </w:tcPr>
          <w:p w14:paraId="00AAC7B0">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整改</w:t>
            </w:r>
            <w:r>
              <w:rPr>
                <w:rFonts w:hint="eastAsia" w:ascii="Times New Roman" w:hAnsi="宋体" w:eastAsia="宋体" w:cs="Times New Roman"/>
                <w:color w:val="auto"/>
                <w:sz w:val="24"/>
                <w:szCs w:val="24"/>
                <w:highlight w:val="none"/>
                <w:lang w:val="en-US" w:eastAsia="zh-CN"/>
              </w:rPr>
              <w:t>服务费</w:t>
            </w:r>
          </w:p>
        </w:tc>
        <w:tc>
          <w:tcPr>
            <w:tcW w:w="4261" w:type="dxa"/>
            <w:noWrap w:val="0"/>
            <w:vAlign w:val="center"/>
          </w:tcPr>
          <w:p w14:paraId="409674A4">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4C00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261" w:type="dxa"/>
            <w:noWrap w:val="0"/>
            <w:vAlign w:val="center"/>
          </w:tcPr>
          <w:p w14:paraId="654CBF80">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合计</w:t>
            </w:r>
          </w:p>
        </w:tc>
        <w:tc>
          <w:tcPr>
            <w:tcW w:w="4261" w:type="dxa"/>
            <w:noWrap w:val="0"/>
            <w:vAlign w:val="center"/>
          </w:tcPr>
          <w:p w14:paraId="1970FB42">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r w14:paraId="2AE0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261" w:type="dxa"/>
            <w:noWrap w:val="0"/>
            <w:vAlign w:val="center"/>
          </w:tcPr>
          <w:p w14:paraId="6C167558">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c>
          <w:tcPr>
            <w:tcW w:w="4261" w:type="dxa"/>
            <w:noWrap w:val="0"/>
            <w:vAlign w:val="center"/>
          </w:tcPr>
          <w:p w14:paraId="64674629">
            <w:pPr>
              <w:keepNext w:val="0"/>
              <w:keepLines w:val="0"/>
              <w:suppressLineNumbers w:val="0"/>
              <w:spacing w:before="0" w:beforeAutospacing="0" w:after="0" w:afterAutospacing="0" w:line="400" w:lineRule="exact"/>
              <w:ind w:left="0" w:right="0"/>
              <w:jc w:val="center"/>
              <w:rPr>
                <w:rFonts w:hint="default" w:ascii="Times New Roman" w:hAnsi="宋体" w:eastAsia="宋体" w:cs="Times New Roman"/>
                <w:color w:val="auto"/>
                <w:sz w:val="24"/>
                <w:szCs w:val="24"/>
                <w:highlight w:val="none"/>
                <w:lang w:val="en-US" w:eastAsia="zh-CN"/>
              </w:rPr>
            </w:pPr>
          </w:p>
        </w:tc>
      </w:tr>
    </w:tbl>
    <w:p w14:paraId="4F637D6E">
      <w:pPr>
        <w:numPr>
          <w:ilvl w:val="0"/>
          <w:numId w:val="0"/>
        </w:numPr>
        <w:ind w:leftChars="0"/>
        <w:jc w:val="left"/>
        <w:rPr>
          <w:rFonts w:hint="default" w:ascii="仿宋" w:hAnsi="仿宋" w:eastAsia="仿宋" w:cs="仿宋"/>
          <w:color w:val="auto"/>
          <w:sz w:val="24"/>
          <w:szCs w:val="24"/>
          <w:highlight w:val="none"/>
          <w:lang w:val="en-US" w:eastAsia="zh-CN"/>
        </w:rPr>
      </w:pPr>
    </w:p>
    <w:p w14:paraId="32CE5CD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参选人</w:t>
      </w:r>
      <w:r>
        <w:rPr>
          <w:rFonts w:hint="eastAsia" w:ascii="宋体" w:hAnsi="宋体" w:cs="Times New Roman"/>
          <w:b/>
          <w:color w:val="auto"/>
          <w:sz w:val="21"/>
          <w:szCs w:val="21"/>
          <w:highlight w:val="none"/>
        </w:rPr>
        <w:t>公章）</w:t>
      </w:r>
    </w:p>
    <w:p w14:paraId="645272B5">
      <w:pPr>
        <w:spacing w:line="360" w:lineRule="auto"/>
        <w:ind w:firstLine="3465" w:firstLineChars="1650"/>
        <w:rPr>
          <w:rFonts w:hint="eastAsia" w:hAnsi="宋体"/>
          <w:color w:val="auto"/>
          <w:highlight w:val="none"/>
        </w:rPr>
      </w:pPr>
    </w:p>
    <w:p w14:paraId="4E188737">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1C9E521B">
      <w:pPr>
        <w:spacing w:line="360" w:lineRule="auto"/>
        <w:ind w:firstLine="3465" w:firstLineChars="1650"/>
        <w:rPr>
          <w:rFonts w:hint="eastAsia" w:ascii="宋体" w:hAnsi="宋体" w:cs="Times New Roman"/>
          <w:color w:val="auto"/>
          <w:szCs w:val="21"/>
          <w:highlight w:val="none"/>
        </w:rPr>
      </w:pPr>
    </w:p>
    <w:p w14:paraId="18764F17">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0709251A">
      <w:pPr>
        <w:spacing w:line="360" w:lineRule="auto"/>
        <w:ind w:firstLine="3570" w:firstLineChars="1700"/>
        <w:rPr>
          <w:rFonts w:hint="eastAsia" w:ascii="Times New Roman" w:hAnsi="Times New Roman" w:cs="Times New Roman"/>
          <w:color w:val="auto"/>
          <w:szCs w:val="21"/>
          <w:highlight w:val="none"/>
        </w:rPr>
      </w:pPr>
    </w:p>
    <w:p w14:paraId="4C5966F3">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6" w:name="_Toc54941345"/>
      <w:r>
        <w:rPr>
          <w:rFonts w:hint="eastAsia" w:hAnsi="Times New Roman" w:cs="宋体"/>
          <w:color w:val="auto"/>
          <w:kern w:val="0"/>
          <w:sz w:val="28"/>
          <w:szCs w:val="28"/>
          <w:highlight w:val="none"/>
          <w:shd w:val="clear"/>
          <w:lang w:val="en-US" w:eastAsia="zh-CN"/>
        </w:rPr>
        <w:t>三、</w:t>
      </w:r>
      <w:bookmarkEnd w:id="76"/>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11"/>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bookmarkEnd w:id="77"/>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03C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87B6">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587B6">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CBB4">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101D5">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4101D5">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安徽路达公路工程有限责任公司房屋质量鉴定服务项目比选文件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安徽路达公路工程有限责任公司房屋质量鉴定服务项目比选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3FB26"/>
    <w:multiLevelType w:val="singleLevel"/>
    <w:tmpl w:val="C353FB26"/>
    <w:lvl w:ilvl="0" w:tentative="0">
      <w:start w:val="2"/>
      <w:numFmt w:val="chineseCounting"/>
      <w:suff w:val="nothing"/>
      <w:lvlText w:val="%1、"/>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FE2395"/>
    <w:multiLevelType w:val="singleLevel"/>
    <w:tmpl w:val="0CFE2395"/>
    <w:lvl w:ilvl="0" w:tentative="0">
      <w:start w:val="1"/>
      <w:numFmt w:val="decimal"/>
      <w:lvlText w:val="(%1)"/>
      <w:lvlJc w:val="left"/>
      <w:pPr>
        <w:ind w:left="425" w:hanging="425"/>
      </w:pPr>
      <w:rPr>
        <w:rFonts w:hint="default"/>
      </w:rPr>
    </w:lvl>
  </w:abstractNum>
  <w:abstractNum w:abstractNumId="6">
    <w:nsid w:val="118D8E5F"/>
    <w:multiLevelType w:val="singleLevel"/>
    <w:tmpl w:val="118D8E5F"/>
    <w:lvl w:ilvl="0" w:tentative="0">
      <w:start w:val="1"/>
      <w:numFmt w:val="decimal"/>
      <w:suff w:val="nothing"/>
      <w:lvlText w:val="（%1）"/>
      <w:lvlJc w:val="left"/>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8">
    <w:nsid w:val="414EB988"/>
    <w:multiLevelType w:val="singleLevel"/>
    <w:tmpl w:val="414EB988"/>
    <w:lvl w:ilvl="0" w:tentative="0">
      <w:start w:val="2"/>
      <w:numFmt w:val="decimal"/>
      <w:suff w:val="nothing"/>
      <w:lvlText w:val="%1、"/>
      <w:lvlJc w:val="left"/>
    </w:lvl>
  </w:abstractNum>
  <w:abstractNum w:abstractNumId="9">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1"/>
  </w:num>
  <w:num w:numId="2">
    <w:abstractNumId w:val="2"/>
  </w:num>
  <w:num w:numId="3">
    <w:abstractNumId w:val="4"/>
  </w:num>
  <w:num w:numId="4">
    <w:abstractNumId w:val="7"/>
  </w:num>
  <w:num w:numId="5">
    <w:abstractNumId w:val="3"/>
  </w:num>
  <w:num w:numId="6">
    <w:abstractNumId w:val="9"/>
  </w:num>
  <w:num w:numId="7">
    <w:abstractNumId w:val="10"/>
  </w:num>
  <w:num w:numId="8">
    <w:abstractNumId w:val="5"/>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B3727"/>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BE44BA"/>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AB3799"/>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BB7530"/>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323AD6"/>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627CD"/>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2D7408"/>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BE6170"/>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407433"/>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271430"/>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11330</Words>
  <Characters>12052</Characters>
  <Lines>69</Lines>
  <Paragraphs>19</Paragraphs>
  <TotalTime>7</TotalTime>
  <ScaleCrop>false</ScaleCrop>
  <LinksUpToDate>false</LinksUpToDate>
  <CharactersWithSpaces>13666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2026-05-22T01:05:12Z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275E9B312B5E4902819EEB87F9D05E6F_13</vt:lpwstr>
  </property>
  <property fmtid="{D5CDD505-2E9C-101B-9397-08002B2CF9AE}" pid="4" name="KSOTemplateDocerSaveRecord">
    <vt:lpwstr>eyJoZGlkIjoiODg5OTFhMDZlNTRlMDA0MmIxOWM3MTZhYWRlMmFjYWMiLCJ1c2VySWQiOiI1MDM3OTU2NDYifQ==</vt:lpwstr>
  </property>
</Properties>
</file>