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安庆交控集团涉诉案件代理律师事务所</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AQJK-CG-2026-047</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安庆市交通控股集团有限公司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安庆交控集团涉诉案件代理律师事务所</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安庆市交通控股集团有限公司集采中心受安庆市交通控股集团有限公司委托，现对安庆交控集团涉诉案件代理律师事务所项目以询价的方式确定项目成交单位，</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28359089"/>
      <w:bookmarkStart w:id="3" w:name="_Toc28359012"/>
      <w:bookmarkStart w:id="4" w:name="_Toc35393629"/>
      <w:bookmarkStart w:id="5" w:name="_Toc35393798"/>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AQJK-CG-2026-047</w:t>
      </w:r>
    </w:p>
    <w:p w14:paraId="66167908">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安庆交控集团涉诉案件代理律师事务所询价项目</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最高限价：188505.00元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596DBF5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val="en-US" w:eastAsia="zh-CN"/>
        </w:rPr>
        <w:t>服务期限：自委托代理合同签订之日起至本案一审、二审、再审、执行等全流程办结止。</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报价要求：1.</w:t>
      </w:r>
      <w:r>
        <w:rPr>
          <w:rFonts w:hint="eastAsia" w:ascii="仿宋" w:hAnsi="仿宋" w:eastAsia="仿宋" w:cs="仿宋"/>
          <w:sz w:val="28"/>
          <w:szCs w:val="28"/>
        </w:rPr>
        <w:t>须列明基本收费、分段计费明细、优惠规则，为固定总价包干报价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color w:val="000000" w:themeColor="text1"/>
          <w:kern w:val="2"/>
          <w:sz w:val="30"/>
          <w:szCs w:val="30"/>
          <w:lang w:val="en-US" w:eastAsia="zh-CN" w:bidi="ar-SA"/>
          <w14:textFill>
            <w14:solidFill>
              <w14:schemeClr w14:val="tx1"/>
            </w14:solidFill>
          </w14:textFill>
        </w:rPr>
        <w:t>报价包含立案、庭审、文书起草、证据梳理、庭前调解、一审、二审、再审、执行等全阶段代理费，同时包含异地差旅费、鉴定协助费、材料打印邮寄费、资料费等办理本案全部相关费用，采购人不再支付任何其他费用。</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800"/>
      <w:bookmarkStart w:id="7" w:name="_Toc28359091"/>
      <w:bookmarkStart w:id="8" w:name="_Toc35393631"/>
      <w:bookmarkStart w:id="9" w:name="_Toc28359014"/>
      <w:r>
        <w:rPr>
          <w:rFonts w:hint="eastAsia" w:ascii="仿宋" w:hAnsi="仿宋" w:eastAsia="仿宋" w:cs="仿宋"/>
          <w:b/>
          <w:bCs/>
          <w:color w:val="auto"/>
          <w:sz w:val="30"/>
          <w:szCs w:val="30"/>
          <w:highlight w:val="none"/>
        </w:rPr>
        <w:t>本次</w:t>
      </w:r>
      <w:r>
        <w:rPr>
          <w:rFonts w:hint="eastAsia" w:ascii="仿宋" w:hAnsi="仿宋" w:eastAsia="仿宋" w:cs="仿宋"/>
          <w:b/>
          <w:bCs/>
          <w:color w:val="auto"/>
          <w:sz w:val="30"/>
          <w:szCs w:val="30"/>
          <w:highlight w:val="none"/>
          <w:lang w:val="en-US" w:eastAsia="zh-CN"/>
        </w:rPr>
        <w:t>询价</w:t>
      </w:r>
      <w:r>
        <w:rPr>
          <w:rFonts w:hint="eastAsia" w:ascii="仿宋" w:hAnsi="仿宋" w:eastAsia="仿宋" w:cs="仿宋"/>
          <w:b/>
          <w:bCs/>
          <w:color w:val="auto"/>
          <w:sz w:val="30"/>
          <w:szCs w:val="30"/>
          <w:highlight w:val="none"/>
        </w:rPr>
        <w:t>对象为已公示的安庆市交通控股集团有限公司</w:t>
      </w:r>
      <w:r>
        <w:rPr>
          <w:rFonts w:hint="eastAsia" w:ascii="仿宋" w:hAnsi="仿宋" w:eastAsia="仿宋" w:cs="仿宋"/>
          <w:b/>
          <w:bCs/>
          <w:color w:val="auto"/>
          <w:sz w:val="30"/>
          <w:szCs w:val="30"/>
          <w:highlight w:val="none"/>
          <w:lang w:val="en-US" w:eastAsia="zh-CN"/>
        </w:rPr>
        <w:t>法律顾问类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801"/>
      <w:bookmarkStart w:id="11" w:name="_Toc28359015"/>
      <w:bookmarkStart w:id="12" w:name="_Toc28359092"/>
      <w:bookmarkStart w:id="13" w:name="_Toc3539363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报价表提交截止时间：2026年5月22日 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发送解密密码时间：2026年5月22日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4.本次采购管理部门为安庆市交通控股集团有限公司集采中心，具体合同签订主体为安庆市交通控股集团有限公司。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18"/>
      <w:bookmarkStart w:id="17" w:name="_Toc35393636"/>
      <w:bookmarkStart w:id="18" w:name="_Toc35393805"/>
      <w:bookmarkStart w:id="19" w:name="_Toc2835909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38A492E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人：谭佩佩</w:t>
      </w:r>
    </w:p>
    <w:p w14:paraId="324B8FD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w:t>
      </w:r>
      <w:bookmarkStart w:id="24" w:name="_GoBack"/>
      <w:bookmarkEnd w:id="24"/>
      <w:r>
        <w:rPr>
          <w:rFonts w:hint="eastAsia" w:ascii="仿宋" w:hAnsi="仿宋" w:eastAsia="仿宋" w:cs="仿宋"/>
          <w:color w:val="auto"/>
          <w:sz w:val="30"/>
          <w:szCs w:val="30"/>
          <w:highlight w:val="none"/>
          <w:lang w:val="en-US" w:eastAsia="zh-CN"/>
        </w:rPr>
        <w:t>6-5595162</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639"/>
      <w:bookmarkStart w:id="21" w:name="_Toc28359021"/>
      <w:bookmarkStart w:id="22" w:name="_Toc35393808"/>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1F24EE2B">
      <w:pPr>
        <w:pStyle w:val="2"/>
        <w:keepNext w:val="0"/>
        <w:keepLines w:val="0"/>
        <w:pageBreakBefore w:val="0"/>
        <w:widowControl/>
        <w:kinsoku/>
        <w:wordWrap/>
        <w:overflowPunct/>
        <w:topLinePunct w:val="0"/>
        <w:autoSpaceDE/>
        <w:autoSpaceDN/>
        <w:bidi w:val="0"/>
        <w:adjustRightInd w:val="0"/>
        <w:snapToGrid w:val="0"/>
        <w:spacing w:before="0" w:after="0" w:line="62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安庆交控集团涉诉案件代理</w:t>
      </w:r>
      <w:r>
        <w:rPr>
          <w:rFonts w:hint="eastAsia" w:ascii="方正小标宋简体" w:hAnsi="方正小标宋简体" w:eastAsia="方正小标宋简体" w:cs="方正小标宋简体"/>
        </w:rPr>
        <w:t>律师事务所</w:t>
      </w:r>
      <w:r>
        <w:rPr>
          <w:rFonts w:hint="eastAsia" w:ascii="方正小标宋简体" w:hAnsi="方正小标宋简体" w:eastAsia="方正小标宋简体" w:cs="方正小标宋简体"/>
          <w:lang w:val="en-US" w:eastAsia="zh-CN"/>
        </w:rPr>
        <w:t>询价</w:t>
      </w:r>
    </w:p>
    <w:p w14:paraId="63556CA1">
      <w:pPr>
        <w:rPr>
          <w:rFonts w:hint="eastAsia"/>
        </w:rPr>
      </w:pPr>
    </w:p>
    <w:p w14:paraId="5C27BD15">
      <w:pPr>
        <w:pStyle w:val="3"/>
        <w:keepNext w:val="0"/>
        <w:keepLines w:val="0"/>
        <w:pageBreakBefore w:val="0"/>
        <w:widowControl/>
        <w:kinsoku/>
        <w:wordWrap/>
        <w:overflowPunct/>
        <w:topLinePunct w:val="0"/>
        <w:autoSpaceDE/>
        <w:autoSpaceDN/>
        <w:bidi w:val="0"/>
        <w:adjustRightInd w:val="0"/>
        <w:snapToGrid w:val="0"/>
        <w:spacing w:before="0" w:after="0"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一、询价背景</w:t>
      </w:r>
    </w:p>
    <w:p w14:paraId="2BFE1BB7">
      <w:pPr>
        <w:pStyle w:val="67"/>
        <w:keepNext w:val="0"/>
        <w:keepLines w:val="0"/>
        <w:pageBreakBefore w:val="0"/>
        <w:widowControl/>
        <w:numPr>
          <w:ilvl w:val="0"/>
          <w:numId w:val="0"/>
        </w:numPr>
        <w:kinsoku/>
        <w:wordWrap/>
        <w:overflowPunct/>
        <w:topLinePunct w:val="0"/>
        <w:autoSpaceDE/>
        <w:autoSpaceDN/>
        <w:bidi w:val="0"/>
        <w:adjustRightInd w:val="0"/>
        <w:snapToGrid w:val="0"/>
        <w:spacing w:before="0" w:after="0" w:line="480" w:lineRule="exact"/>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安庆市交通控股集团有限公司</w:t>
      </w:r>
      <w:r>
        <w:rPr>
          <w:rFonts w:hint="eastAsia" w:ascii="仿宋" w:hAnsi="仿宋" w:eastAsia="仿宋" w:cs="仿宋"/>
          <w:sz w:val="30"/>
          <w:szCs w:val="30"/>
        </w:rPr>
        <w:t>面临</w:t>
      </w:r>
      <w:r>
        <w:rPr>
          <w:rFonts w:hint="eastAsia" w:ascii="仿宋" w:hAnsi="仿宋" w:eastAsia="仿宋" w:cs="仿宋"/>
          <w:sz w:val="30"/>
          <w:szCs w:val="30"/>
          <w:lang w:val="en-US" w:eastAsia="zh-CN"/>
        </w:rPr>
        <w:t>1</w:t>
      </w:r>
      <w:r>
        <w:rPr>
          <w:rFonts w:hint="eastAsia" w:ascii="仿宋" w:hAnsi="仿宋" w:eastAsia="仿宋" w:cs="仿宋"/>
          <w:sz w:val="30"/>
          <w:szCs w:val="30"/>
        </w:rPr>
        <w:t>起船坞、码</w:t>
      </w:r>
      <w:r>
        <w:rPr>
          <w:rFonts w:hint="eastAsia" w:ascii="仿宋" w:hAnsi="仿宋" w:eastAsia="仿宋" w:cs="仿宋"/>
          <w:sz w:val="30"/>
          <w:szCs w:val="30"/>
          <w:lang w:val="en-US" w:eastAsia="zh-CN"/>
        </w:rPr>
        <w:t>头建造合同纠纷案件</w:t>
      </w:r>
      <w:r>
        <w:rPr>
          <w:rFonts w:hint="eastAsia" w:ascii="仿宋" w:hAnsi="仿宋" w:eastAsia="仿宋" w:cs="仿宋"/>
          <w:sz w:val="30"/>
          <w:szCs w:val="30"/>
        </w:rPr>
        <w:t>（案件</w:t>
      </w:r>
      <w:r>
        <w:rPr>
          <w:rFonts w:hint="eastAsia" w:ascii="仿宋" w:hAnsi="仿宋" w:eastAsia="仿宋" w:cs="仿宋"/>
          <w:sz w:val="30"/>
          <w:szCs w:val="30"/>
          <w:lang w:val="en-US" w:eastAsia="zh-CN"/>
        </w:rPr>
        <w:t>涉诉标的</w:t>
      </w:r>
      <w:r>
        <w:rPr>
          <w:rFonts w:hint="eastAsia" w:ascii="仿宋" w:hAnsi="仿宋" w:eastAsia="仿宋" w:cs="仿宋"/>
          <w:sz w:val="30"/>
          <w:szCs w:val="30"/>
        </w:rPr>
        <w:t>3150</w:t>
      </w:r>
      <w:r>
        <w:rPr>
          <w:rFonts w:hint="eastAsia" w:ascii="仿宋" w:hAnsi="仿宋" w:eastAsia="仿宋" w:cs="仿宋"/>
          <w:sz w:val="30"/>
          <w:szCs w:val="30"/>
          <w:lang w:val="en-US" w:eastAsia="zh-CN"/>
        </w:rPr>
        <w:t>.</w:t>
      </w:r>
      <w:r>
        <w:rPr>
          <w:rFonts w:hint="eastAsia" w:ascii="仿宋" w:hAnsi="仿宋" w:eastAsia="仿宋" w:cs="仿宋"/>
          <w:sz w:val="30"/>
          <w:szCs w:val="30"/>
        </w:rPr>
        <w:t>933877</w:t>
      </w:r>
      <w:r>
        <w:rPr>
          <w:rFonts w:hint="eastAsia" w:ascii="仿宋" w:hAnsi="仿宋" w:eastAsia="仿宋" w:cs="仿宋"/>
          <w:sz w:val="30"/>
          <w:szCs w:val="30"/>
          <w:lang w:val="en-US" w:eastAsia="zh-CN"/>
        </w:rPr>
        <w:t>万</w:t>
      </w:r>
      <w:r>
        <w:rPr>
          <w:rFonts w:hint="eastAsia" w:ascii="仿宋" w:hAnsi="仿宋" w:eastAsia="仿宋" w:cs="仿宋"/>
          <w:sz w:val="30"/>
          <w:szCs w:val="30"/>
        </w:rPr>
        <w:t>元），满足“涉诉争议标的额1000万元以上”的</w:t>
      </w:r>
      <w:r>
        <w:rPr>
          <w:rFonts w:hint="eastAsia" w:ascii="仿宋" w:hAnsi="仿宋" w:eastAsia="仿宋" w:cs="仿宋"/>
          <w:sz w:val="30"/>
          <w:szCs w:val="30"/>
          <w:lang w:val="en-US" w:eastAsia="zh-CN"/>
        </w:rPr>
        <w:t>询价</w:t>
      </w:r>
      <w:r>
        <w:rPr>
          <w:rFonts w:hint="eastAsia" w:ascii="仿宋" w:hAnsi="仿宋" w:eastAsia="仿宋" w:cs="仿宋"/>
          <w:sz w:val="30"/>
          <w:szCs w:val="30"/>
        </w:rPr>
        <w:t>条件；</w:t>
      </w:r>
      <w:r>
        <w:rPr>
          <w:rFonts w:hint="eastAsia" w:ascii="仿宋" w:hAnsi="仿宋" w:eastAsia="仿宋" w:cs="仿宋"/>
          <w:sz w:val="30"/>
          <w:szCs w:val="30"/>
          <w:lang w:val="en-US" w:eastAsia="zh-CN"/>
        </w:rPr>
        <w:t>市交控集团</w:t>
      </w:r>
      <w:r>
        <w:rPr>
          <w:rFonts w:hint="eastAsia" w:ascii="仿宋" w:hAnsi="仿宋" w:eastAsia="仿宋" w:cs="仿宋"/>
          <w:sz w:val="30"/>
          <w:szCs w:val="30"/>
        </w:rPr>
        <w:t>已建立法律顾问服务合格供应商库，本次</w:t>
      </w:r>
      <w:r>
        <w:rPr>
          <w:rFonts w:hint="eastAsia" w:ascii="仿宋" w:hAnsi="仿宋" w:eastAsia="仿宋" w:cs="仿宋"/>
          <w:sz w:val="30"/>
          <w:szCs w:val="30"/>
          <w:lang w:val="en-US" w:eastAsia="zh-CN"/>
        </w:rPr>
        <w:t>拟根据建库比选文件</w:t>
      </w:r>
      <w:r>
        <w:rPr>
          <w:rFonts w:hint="eastAsia" w:ascii="仿宋" w:hAnsi="仿宋" w:eastAsia="仿宋" w:cs="仿宋"/>
          <w:sz w:val="30"/>
          <w:szCs w:val="30"/>
        </w:rPr>
        <w:t>从库内5家供应商中通过</w:t>
      </w:r>
      <w:r>
        <w:rPr>
          <w:rFonts w:hint="eastAsia" w:ascii="仿宋" w:hAnsi="仿宋" w:eastAsia="仿宋" w:cs="仿宋"/>
          <w:sz w:val="30"/>
          <w:szCs w:val="30"/>
          <w:lang w:val="en-US" w:eastAsia="zh-CN"/>
        </w:rPr>
        <w:t>询价</w:t>
      </w:r>
      <w:r>
        <w:rPr>
          <w:rFonts w:hint="eastAsia" w:ascii="仿宋" w:hAnsi="仿宋" w:eastAsia="仿宋" w:cs="仿宋"/>
          <w:sz w:val="30"/>
          <w:szCs w:val="30"/>
        </w:rPr>
        <w:t>确定代理律所，服务报酬及权利义务按最终合同执行。</w:t>
      </w:r>
    </w:p>
    <w:p w14:paraId="2DB5FC36">
      <w:pPr>
        <w:pStyle w:val="67"/>
        <w:keepNext w:val="0"/>
        <w:keepLines w:val="0"/>
        <w:pageBreakBefore w:val="0"/>
        <w:widowControl/>
        <w:numPr>
          <w:ilvl w:val="0"/>
          <w:numId w:val="0"/>
        </w:numPr>
        <w:kinsoku/>
        <w:wordWrap/>
        <w:overflowPunct/>
        <w:topLinePunct w:val="0"/>
        <w:autoSpaceDE/>
        <w:autoSpaceDN/>
        <w:bidi w:val="0"/>
        <w:adjustRightInd w:val="0"/>
        <w:snapToGrid w:val="0"/>
        <w:spacing w:before="0" w:after="0" w:line="480" w:lineRule="exact"/>
        <w:ind w:left="0" w:leftChars="0" w:firstLine="600" w:firstLineChars="200"/>
        <w:jc w:val="both"/>
        <w:textAlignment w:val="auto"/>
        <w:rPr>
          <w:rFonts w:hint="eastAsia" w:ascii="仿宋" w:hAnsi="仿宋" w:eastAsia="仿宋" w:cs="仿宋"/>
          <w:sz w:val="30"/>
          <w:szCs w:val="30"/>
        </w:rPr>
      </w:pPr>
    </w:p>
    <w:p w14:paraId="595E542B">
      <w:pPr>
        <w:pStyle w:val="3"/>
        <w:keepNext w:val="0"/>
        <w:keepLines w:val="0"/>
        <w:pageBreakBefore w:val="0"/>
        <w:widowControl/>
        <w:kinsoku/>
        <w:wordWrap/>
        <w:overflowPunct/>
        <w:topLinePunct w:val="0"/>
        <w:autoSpaceDE/>
        <w:autoSpaceDN/>
        <w:bidi w:val="0"/>
        <w:adjustRightInd w:val="0"/>
        <w:snapToGrid w:val="0"/>
        <w:spacing w:before="0" w:after="0"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w:t>
      </w:r>
      <w:r>
        <w:rPr>
          <w:rFonts w:hint="eastAsia" w:ascii="楷体" w:hAnsi="楷体" w:eastAsia="楷体" w:cs="楷体"/>
          <w:sz w:val="30"/>
          <w:szCs w:val="30"/>
          <w:lang w:val="en-US" w:eastAsia="zh-CN"/>
        </w:rPr>
        <w:t>询价</w:t>
      </w:r>
      <w:r>
        <w:rPr>
          <w:rFonts w:hint="eastAsia" w:ascii="楷体" w:hAnsi="楷体" w:eastAsia="楷体" w:cs="楷体"/>
          <w:sz w:val="30"/>
          <w:szCs w:val="30"/>
        </w:rPr>
        <w:t>基础信息</w:t>
      </w:r>
    </w:p>
    <w:tbl>
      <w:tblPr>
        <w:tblStyle w:val="1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88"/>
        <w:gridCol w:w="7482"/>
      </w:tblGrid>
      <w:tr w14:paraId="35C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588" w:type="dxa"/>
            <w:noWrap w:val="0"/>
            <w:tcMar>
              <w:top w:w="60" w:type="dxa"/>
              <w:left w:w="120" w:type="dxa"/>
              <w:bottom w:w="30" w:type="dxa"/>
              <w:right w:w="120" w:type="dxa"/>
            </w:tcMar>
            <w:vAlign w:val="top"/>
          </w:tcPr>
          <w:p w14:paraId="1B8D57E1">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项目</w:t>
            </w:r>
          </w:p>
        </w:tc>
        <w:tc>
          <w:tcPr>
            <w:tcW w:w="7482" w:type="dxa"/>
            <w:noWrap w:val="0"/>
            <w:tcMar>
              <w:top w:w="60" w:type="dxa"/>
              <w:left w:w="120" w:type="dxa"/>
              <w:bottom w:w="30" w:type="dxa"/>
              <w:right w:w="120" w:type="dxa"/>
            </w:tcMar>
            <w:vAlign w:val="top"/>
          </w:tcPr>
          <w:p w14:paraId="58723674">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内容</w:t>
            </w:r>
          </w:p>
        </w:tc>
      </w:tr>
      <w:tr w14:paraId="44C6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2E7D6675">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采购人</w:t>
            </w:r>
          </w:p>
        </w:tc>
        <w:tc>
          <w:tcPr>
            <w:tcW w:w="7482" w:type="dxa"/>
            <w:noWrap w:val="0"/>
            <w:tcMar>
              <w:top w:w="60" w:type="dxa"/>
              <w:left w:w="120" w:type="dxa"/>
              <w:bottom w:w="30" w:type="dxa"/>
              <w:right w:w="120" w:type="dxa"/>
            </w:tcMar>
            <w:vAlign w:val="center"/>
          </w:tcPr>
          <w:p w14:paraId="409926D6">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安庆市交通控股集团有限公司</w:t>
            </w:r>
          </w:p>
        </w:tc>
      </w:tr>
      <w:tr w14:paraId="6C37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4298C0EB">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sz w:val="28"/>
                <w:szCs w:val="28"/>
              </w:rPr>
            </w:pPr>
            <w:r>
              <w:rPr>
                <w:rFonts w:hint="eastAsia" w:ascii="仿宋" w:hAnsi="仿宋" w:eastAsia="仿宋" w:cs="仿宋"/>
                <w:sz w:val="28"/>
                <w:szCs w:val="28"/>
              </w:rPr>
              <w:t>参选对象</w:t>
            </w:r>
          </w:p>
        </w:tc>
        <w:tc>
          <w:tcPr>
            <w:tcW w:w="7482" w:type="dxa"/>
            <w:noWrap w:val="0"/>
            <w:tcMar>
              <w:top w:w="60" w:type="dxa"/>
              <w:left w:w="120" w:type="dxa"/>
              <w:bottom w:w="30" w:type="dxa"/>
              <w:right w:w="120" w:type="dxa"/>
            </w:tcMar>
            <w:vAlign w:val="center"/>
          </w:tcPr>
          <w:p w14:paraId="2B99C6CD">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sz w:val="28"/>
                <w:szCs w:val="28"/>
              </w:rPr>
            </w:pPr>
            <w:r>
              <w:rPr>
                <w:rFonts w:hint="eastAsia" w:ascii="仿宋" w:hAnsi="仿宋" w:eastAsia="仿宋" w:cs="仿宋"/>
                <w:sz w:val="28"/>
                <w:szCs w:val="28"/>
              </w:rPr>
              <w:t>法律顾问服务合格供应商库内5家律师事务所</w:t>
            </w:r>
          </w:p>
        </w:tc>
      </w:tr>
      <w:tr w14:paraId="0D03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6881D8B8">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询价</w:t>
            </w:r>
            <w:r>
              <w:rPr>
                <w:rFonts w:hint="eastAsia" w:ascii="仿宋" w:hAnsi="仿宋" w:eastAsia="仿宋" w:cs="仿宋"/>
                <w:sz w:val="28"/>
                <w:szCs w:val="28"/>
              </w:rPr>
              <w:t>案件</w:t>
            </w:r>
          </w:p>
        </w:tc>
        <w:tc>
          <w:tcPr>
            <w:tcW w:w="7482" w:type="dxa"/>
            <w:noWrap w:val="0"/>
            <w:tcMar>
              <w:top w:w="60" w:type="dxa"/>
              <w:left w:w="120" w:type="dxa"/>
              <w:bottom w:w="30" w:type="dxa"/>
              <w:right w:w="120" w:type="dxa"/>
            </w:tcMar>
            <w:vAlign w:val="center"/>
          </w:tcPr>
          <w:p w14:paraId="62B630D1">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sz w:val="28"/>
                <w:szCs w:val="28"/>
              </w:rPr>
            </w:pPr>
            <w:r>
              <w:rPr>
                <w:rFonts w:hint="eastAsia" w:ascii="仿宋" w:hAnsi="仿宋" w:eastAsia="仿宋" w:cs="仿宋"/>
                <w:sz w:val="28"/>
                <w:szCs w:val="28"/>
              </w:rPr>
              <w:t>船坞、码头建造合同纠纷，案件</w:t>
            </w:r>
            <w:r>
              <w:rPr>
                <w:rFonts w:hint="eastAsia" w:ascii="仿宋" w:hAnsi="仿宋" w:eastAsia="仿宋" w:cs="仿宋"/>
                <w:sz w:val="28"/>
                <w:szCs w:val="28"/>
                <w:lang w:val="en-US" w:eastAsia="zh-CN"/>
              </w:rPr>
              <w:t>标的额</w:t>
            </w:r>
            <w:r>
              <w:rPr>
                <w:rFonts w:hint="eastAsia" w:ascii="仿宋" w:hAnsi="仿宋" w:eastAsia="仿宋" w:cs="仿宋"/>
                <w:sz w:val="28"/>
                <w:szCs w:val="28"/>
              </w:rPr>
              <w:t>3150.933877万元</w:t>
            </w:r>
            <w:r>
              <w:rPr>
                <w:rFonts w:hint="eastAsia" w:ascii="仿宋" w:hAnsi="仿宋" w:eastAsia="仿宋" w:cs="仿宋"/>
                <w:sz w:val="28"/>
                <w:szCs w:val="28"/>
                <w:lang w:eastAsia="zh-CN"/>
              </w:rPr>
              <w:t>；</w:t>
            </w:r>
          </w:p>
        </w:tc>
      </w:tr>
      <w:tr w14:paraId="785A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3CB3079B">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服务期限</w:t>
            </w:r>
          </w:p>
        </w:tc>
        <w:tc>
          <w:tcPr>
            <w:tcW w:w="7482" w:type="dxa"/>
            <w:noWrap w:val="0"/>
            <w:tcMar>
              <w:top w:w="60" w:type="dxa"/>
              <w:left w:w="120" w:type="dxa"/>
              <w:bottom w:w="30" w:type="dxa"/>
              <w:right w:w="120" w:type="dxa"/>
            </w:tcMar>
            <w:vAlign w:val="center"/>
          </w:tcPr>
          <w:p w14:paraId="77216A30">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自委托代理合同签订之日起至本案一审、二审、再审、执行等全流程办结止</w:t>
            </w:r>
          </w:p>
        </w:tc>
      </w:tr>
      <w:tr w14:paraId="17B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53A6A3C9">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tc>
        <w:tc>
          <w:tcPr>
            <w:tcW w:w="7482" w:type="dxa"/>
            <w:noWrap w:val="0"/>
            <w:tcMar>
              <w:top w:w="60" w:type="dxa"/>
              <w:left w:w="120" w:type="dxa"/>
              <w:bottom w:w="30" w:type="dxa"/>
              <w:right w:w="120" w:type="dxa"/>
            </w:tcMar>
            <w:vAlign w:val="center"/>
          </w:tcPr>
          <w:p w14:paraId="15B03A68">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代理律师事务所全权负责本案全流程法律服务，包括但不限于：案件研判、证据梳理收集、法律文书起草、立案应诉、庭前调解、一审庭审、二审上诉/应诉、再审、执行跟进、案件汇报、风险提示、材料整理归档等全部诉讼及非诉代理工作。</w:t>
            </w:r>
          </w:p>
        </w:tc>
      </w:tr>
      <w:tr w14:paraId="58C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330B25FB">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最高限价</w:t>
            </w:r>
          </w:p>
        </w:tc>
        <w:tc>
          <w:tcPr>
            <w:tcW w:w="7482" w:type="dxa"/>
            <w:noWrap w:val="0"/>
            <w:tcMar>
              <w:top w:w="60" w:type="dxa"/>
              <w:left w:w="120" w:type="dxa"/>
              <w:bottom w:w="30" w:type="dxa"/>
              <w:right w:w="120" w:type="dxa"/>
            </w:tcMar>
            <w:vAlign w:val="center"/>
          </w:tcPr>
          <w:p w14:paraId="3438762D">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以根据安徽省物价局2016年2月10日发布的《安徽律师收费标准》{皖价服[2016]13号}文件得出的计算结果（以下限为准）*50%为比选的最高限价，</w:t>
            </w:r>
            <w:r>
              <w:rPr>
                <w:rFonts w:hint="eastAsia" w:ascii="仿宋" w:hAnsi="仿宋" w:eastAsia="仿宋" w:cs="仿宋"/>
                <w:b/>
                <w:bCs/>
                <w:sz w:val="28"/>
                <w:szCs w:val="28"/>
                <w:lang w:val="en-US" w:eastAsia="zh-CN"/>
              </w:rPr>
              <w:t>即最高限价总价为：188505元。</w:t>
            </w:r>
          </w:p>
        </w:tc>
      </w:tr>
      <w:tr w14:paraId="30C3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0012C1B0">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报价要求</w:t>
            </w:r>
          </w:p>
        </w:tc>
        <w:tc>
          <w:tcPr>
            <w:tcW w:w="7482" w:type="dxa"/>
            <w:noWrap w:val="0"/>
            <w:tcMar>
              <w:top w:w="60" w:type="dxa"/>
              <w:left w:w="120" w:type="dxa"/>
              <w:bottom w:w="30" w:type="dxa"/>
              <w:right w:w="120" w:type="dxa"/>
            </w:tcMar>
            <w:vAlign w:val="center"/>
          </w:tcPr>
          <w:p w14:paraId="622ADB98">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sz w:val="28"/>
                <w:szCs w:val="28"/>
              </w:rPr>
            </w:pPr>
            <w:r>
              <w:rPr>
                <w:rFonts w:hint="eastAsia" w:ascii="仿宋" w:hAnsi="仿宋" w:eastAsia="仿宋" w:cs="仿宋"/>
                <w:b/>
                <w:bCs/>
                <w:sz w:val="28"/>
                <w:szCs w:val="28"/>
              </w:rPr>
              <w:t>须列明基本收费、分段计费明细、优惠规则，</w:t>
            </w:r>
            <w:r>
              <w:rPr>
                <w:rFonts w:hint="eastAsia" w:ascii="仿宋" w:hAnsi="仿宋" w:eastAsia="仿宋" w:cs="仿宋"/>
                <w:b w:val="0"/>
                <w:bCs w:val="0"/>
                <w:sz w:val="28"/>
                <w:szCs w:val="28"/>
              </w:rPr>
              <w:t>为固定总价包干报价。</w:t>
            </w:r>
          </w:p>
          <w:p w14:paraId="5FA81720">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价包含立案、庭审、文书起草、证据梳理、庭前调解、一审、二审、再审、执行等全阶段代理费，同时包含异地差旅费、鉴定协助费、材料打印邮寄费、资料费等办理本案全部相关费用，采购人不再支付任何其他费用。</w:t>
            </w:r>
          </w:p>
        </w:tc>
      </w:tr>
      <w:tr w14:paraId="6040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noWrap w:val="0"/>
            <w:tcMar>
              <w:top w:w="60" w:type="dxa"/>
              <w:left w:w="120" w:type="dxa"/>
              <w:bottom w:w="30" w:type="dxa"/>
              <w:right w:w="120" w:type="dxa"/>
            </w:tcMar>
            <w:vAlign w:val="center"/>
          </w:tcPr>
          <w:p w14:paraId="5F24A88C">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代理目标</w:t>
            </w:r>
          </w:p>
        </w:tc>
        <w:tc>
          <w:tcPr>
            <w:tcW w:w="7482" w:type="dxa"/>
            <w:noWrap w:val="0"/>
            <w:tcMar>
              <w:top w:w="60" w:type="dxa"/>
              <w:left w:w="120" w:type="dxa"/>
              <w:bottom w:w="30" w:type="dxa"/>
              <w:right w:w="120" w:type="dxa"/>
            </w:tcMar>
            <w:vAlign w:val="center"/>
          </w:tcPr>
          <w:p w14:paraId="40071631">
            <w:pPr>
              <w:pStyle w:val="6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促成在人民法院主持下达成有利庭前调解</w:t>
            </w:r>
            <w:r>
              <w:rPr>
                <w:rFonts w:hint="eastAsia" w:ascii="仿宋" w:hAnsi="仿宋" w:eastAsia="仿宋" w:cs="仿宋"/>
                <w:sz w:val="28"/>
                <w:szCs w:val="28"/>
                <w:lang w:val="en-US" w:eastAsia="zh-CN"/>
              </w:rPr>
              <w:t>，争取人民法院依法驳回原告诉讼请求；</w:t>
            </w:r>
          </w:p>
        </w:tc>
      </w:tr>
    </w:tbl>
    <w:p w14:paraId="72AF4553">
      <w:pPr>
        <w:jc w:val="both"/>
        <w:rPr>
          <w:rFonts w:hint="default" w:ascii="仿宋" w:hAnsi="仿宋" w:eastAsia="仿宋" w:cs="仿宋"/>
          <w:b w:val="0"/>
          <w:bCs w:val="0"/>
          <w:color w:val="auto"/>
          <w:kern w:val="2"/>
          <w:sz w:val="28"/>
          <w:szCs w:val="28"/>
          <w:highlight w:val="yellow"/>
          <w:lang w:val="en-US" w:eastAsia="zh-CN" w:bidi="ar-SA"/>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w:t>
      </w:r>
      <w:r>
        <w:rPr>
          <w:rFonts w:hint="eastAsia" w:ascii="仿宋" w:hAnsi="仿宋" w:eastAsia="仿宋" w:cs="仿宋"/>
          <w:b/>
          <w:bCs/>
          <w:color w:val="auto"/>
          <w:kern w:val="2"/>
          <w:sz w:val="28"/>
          <w:szCs w:val="28"/>
          <w:highlight w:val="none"/>
          <w:lang w:val="en-US" w:eastAsia="zh-CN" w:bidi="ar-SA"/>
        </w:rPr>
        <w:t>总价最低原则</w:t>
      </w:r>
      <w:r>
        <w:rPr>
          <w:rFonts w:hint="eastAsia" w:ascii="仿宋" w:hAnsi="仿宋" w:eastAsia="仿宋" w:cs="仿宋"/>
          <w:b w:val="0"/>
          <w:bCs w:val="0"/>
          <w:color w:val="auto"/>
          <w:kern w:val="2"/>
          <w:sz w:val="28"/>
          <w:szCs w:val="28"/>
          <w:highlight w:val="none"/>
          <w:lang w:val="en-US" w:eastAsia="zh-CN" w:bidi="ar-SA"/>
        </w:rPr>
        <w:t>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bCs/>
          <w:color w:val="auto"/>
          <w:kern w:val="2"/>
          <w:sz w:val="28"/>
          <w:szCs w:val="28"/>
          <w:highlight w:val="none"/>
          <w:lang w:val="en-US" w:eastAsia="zh-CN" w:bidi="ar-SA"/>
        </w:rPr>
        <w:t>供应商可根据明细自拟报价表，报价表需加盖公章</w:t>
      </w:r>
      <w:r>
        <w:rPr>
          <w:rFonts w:hint="eastAsia" w:ascii="仿宋" w:hAnsi="仿宋" w:eastAsia="仿宋" w:cs="仿宋"/>
          <w:b w:val="0"/>
          <w:bCs w:val="0"/>
          <w:color w:val="auto"/>
          <w:kern w:val="2"/>
          <w:sz w:val="28"/>
          <w:szCs w:val="28"/>
          <w:highlight w:val="none"/>
          <w:lang w:val="en-US" w:eastAsia="zh-CN" w:bidi="ar-SA"/>
        </w:rPr>
        <w:t>。</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62FF54CB">
      <w:pPr>
        <w:pStyle w:val="30"/>
        <w:ind w:left="0" w:leftChars="0" w:firstLine="0" w:firstLineChars="0"/>
        <w:rPr>
          <w:rFonts w:hint="eastAsia"/>
          <w:color w:val="auto"/>
          <w:highlight w:val="none"/>
        </w:rPr>
      </w:pP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75361E1"/>
    <w:rsid w:val="077E60E9"/>
    <w:rsid w:val="07AE7A02"/>
    <w:rsid w:val="07BB79FF"/>
    <w:rsid w:val="0AB64446"/>
    <w:rsid w:val="0AF10260"/>
    <w:rsid w:val="0B160CF9"/>
    <w:rsid w:val="0B5F04E1"/>
    <w:rsid w:val="0CC73A84"/>
    <w:rsid w:val="0E40747F"/>
    <w:rsid w:val="100010FB"/>
    <w:rsid w:val="1024111B"/>
    <w:rsid w:val="10815571"/>
    <w:rsid w:val="117B0031"/>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2A0B48"/>
    <w:rsid w:val="21876A79"/>
    <w:rsid w:val="236577EE"/>
    <w:rsid w:val="24FC5398"/>
    <w:rsid w:val="26737BC3"/>
    <w:rsid w:val="26845326"/>
    <w:rsid w:val="2795759A"/>
    <w:rsid w:val="284A2FED"/>
    <w:rsid w:val="28601B08"/>
    <w:rsid w:val="290451DE"/>
    <w:rsid w:val="2A402842"/>
    <w:rsid w:val="2DE812CF"/>
    <w:rsid w:val="2EDA63CD"/>
    <w:rsid w:val="30055088"/>
    <w:rsid w:val="30C751DE"/>
    <w:rsid w:val="310E6EC4"/>
    <w:rsid w:val="31883D4B"/>
    <w:rsid w:val="321D18EC"/>
    <w:rsid w:val="32851613"/>
    <w:rsid w:val="32A6321F"/>
    <w:rsid w:val="34C35352"/>
    <w:rsid w:val="351C1540"/>
    <w:rsid w:val="36425CED"/>
    <w:rsid w:val="36F34AAB"/>
    <w:rsid w:val="3A921C72"/>
    <w:rsid w:val="3C4F0C15"/>
    <w:rsid w:val="3CEF2F5B"/>
    <w:rsid w:val="3D547C4A"/>
    <w:rsid w:val="3D730C6A"/>
    <w:rsid w:val="3D7647F4"/>
    <w:rsid w:val="3F4E33A6"/>
    <w:rsid w:val="3FAA436E"/>
    <w:rsid w:val="40E60116"/>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14A56CF"/>
    <w:rsid w:val="62321EC8"/>
    <w:rsid w:val="62455DE0"/>
    <w:rsid w:val="64966DD1"/>
    <w:rsid w:val="676A25AA"/>
    <w:rsid w:val="688B1BF3"/>
    <w:rsid w:val="68EE4742"/>
    <w:rsid w:val="69594684"/>
    <w:rsid w:val="69E91CA5"/>
    <w:rsid w:val="6BAB73AD"/>
    <w:rsid w:val="6BF54D96"/>
    <w:rsid w:val="6C100DF0"/>
    <w:rsid w:val="6C6241DE"/>
    <w:rsid w:val="6C6C7B47"/>
    <w:rsid w:val="6C7B4F81"/>
    <w:rsid w:val="6D73576A"/>
    <w:rsid w:val="6E10335C"/>
    <w:rsid w:val="6F6C2254"/>
    <w:rsid w:val="6FC738A3"/>
    <w:rsid w:val="6FFE1DEB"/>
    <w:rsid w:val="700C17BB"/>
    <w:rsid w:val="707C5D22"/>
    <w:rsid w:val="70D25720"/>
    <w:rsid w:val="74535134"/>
    <w:rsid w:val="74DF6386"/>
    <w:rsid w:val="763F327A"/>
    <w:rsid w:val="770E2EFB"/>
    <w:rsid w:val="79FC2292"/>
    <w:rsid w:val="7CA44654"/>
    <w:rsid w:val="7D247252"/>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 w:type="character" w:customStyle="1" w:styleId="65">
    <w:name w:val="font61"/>
    <w:basedOn w:val="16"/>
    <w:qFormat/>
    <w:uiPriority w:val="0"/>
    <w:rPr>
      <w:rFonts w:ascii="Calibri" w:hAnsi="Calibri" w:cs="Calibri"/>
      <w:color w:val="000000"/>
      <w:sz w:val="24"/>
      <w:szCs w:val="24"/>
      <w:u w:val="none"/>
    </w:rPr>
  </w:style>
  <w:style w:type="character" w:customStyle="1" w:styleId="66">
    <w:name w:val="font51"/>
    <w:basedOn w:val="16"/>
    <w:qFormat/>
    <w:uiPriority w:val="0"/>
    <w:rPr>
      <w:rFonts w:hint="eastAsia" w:ascii="宋体" w:hAnsi="宋体" w:eastAsia="宋体" w:cs="宋体"/>
      <w:color w:val="000000"/>
      <w:sz w:val="32"/>
      <w:szCs w:val="32"/>
      <w:u w:val="none"/>
    </w:rPr>
  </w:style>
  <w:style w:type="paragraph" w:customStyle="1" w:styleId="6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2151</Words>
  <Characters>2347</Characters>
  <Lines>1</Lines>
  <Paragraphs>1</Paragraphs>
  <TotalTime>2</TotalTime>
  <ScaleCrop>false</ScaleCrop>
  <LinksUpToDate>false</LinksUpToDate>
  <CharactersWithSpaces>2423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2026-05-20T02:06:56Z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247F1F0694654B81A1305EE5B46A198B_13</vt:lpwstr>
  </property>
  <property fmtid="{D5CDD505-2E9C-101B-9397-08002B2CF9AE}" pid="4" name="KSOTemplateDocerSaveRecord">
    <vt:lpwstr>eyJoZGlkIjoiODg5OTFhMDZlNTRlMDA0MmIxOWM3MTZhYWRlMmFjYWMiLCJ1c2VySWQiOiI1MDM3OTU2NDYifQ==</vt:lpwstr>
  </property>
</Properties>
</file>