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28359011"/>
      <w:bookmarkStart w:id="1" w:name="_Toc35393797"/>
      <w:r>
        <w:rPr>
          <w:rFonts w:hint="eastAsia" w:ascii="宋体" w:hAnsi="宋体" w:cs="宋体"/>
          <w:b w:val="0"/>
          <w:bCs/>
          <w:color w:val="auto"/>
          <w:sz w:val="48"/>
          <w:szCs w:val="48"/>
          <w:highlight w:val="none"/>
          <w:lang w:val="en-US" w:eastAsia="zh-CN"/>
        </w:rPr>
        <w:t>安庆交控集团2026年二季度办公用品采购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AQJK-CG-2026-044</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安庆市交通控股集团有限公司办公室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安庆交控集团2026年二季度办公用品采购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安庆市交通控股集团有限公司集采中心受安庆市交通控股集团有限公司办公室委托，现对安庆交控集团2026年二季度办公用品采购以询价的方式确定供应商和供货价格，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35393798"/>
      <w:bookmarkStart w:id="3" w:name="_Toc28359012"/>
      <w:bookmarkStart w:id="4" w:name="_Toc35393629"/>
      <w:bookmarkStart w:id="5" w:name="_Toc28359089"/>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AQJK-CG-2026-044</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安庆交控集团2026年二季度办公用品采购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最高限价：7900.00元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付款方式：采购人在验收合格收到发票后 1个月内完成款项结算</w:t>
      </w:r>
    </w:p>
    <w:p w14:paraId="41232833">
      <w:pPr>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供货地点：安徽省安庆市大观区宜园路16号交控集团公司办公室</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28359014"/>
      <w:bookmarkStart w:id="7" w:name="_Toc35393631"/>
      <w:bookmarkStart w:id="8" w:name="_Toc28359091"/>
      <w:bookmarkStart w:id="9" w:name="_Toc35393800"/>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28359015"/>
      <w:bookmarkStart w:id="11" w:name="_Toc35393801"/>
      <w:bookmarkStart w:id="12" w:name="_Toc28359092"/>
      <w:bookmarkStart w:id="13" w:name="_Toc35393632"/>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635"/>
      <w:bookmarkStart w:id="15" w:name="_Toc35393804"/>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报价表提交截止时间：2026年5月15日 15时00分（北京时间）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发送解密密码时间：2026年5月15日 下午15点00分至15点30分</w:t>
      </w:r>
      <w:bookmarkStart w:id="24" w:name="_GoBack"/>
      <w:bookmarkEnd w:id="24"/>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4.本次采购管理部门为安庆市交通控股集团有限公司集采中心，具体合同签订主体为安庆市交通控股集团有限公司办公室。</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35393805"/>
      <w:bookmarkStart w:id="17" w:name="_Toc35393636"/>
      <w:bookmarkStart w:id="18" w:name="_Toc28359095"/>
      <w:bookmarkStart w:id="19" w:name="_Toc28359018"/>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称：安庆市交通控股集团有限公司办公室</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285D549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人：马芳</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联系方式：0556-5571828</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639"/>
      <w:bookmarkStart w:id="21" w:name="_Toc35393808"/>
      <w:bookmarkStart w:id="22" w:name="_Toc28359098"/>
      <w:bookmarkStart w:id="23" w:name="_Toc28359021"/>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3036"/>
        <w:gridCol w:w="1098"/>
        <w:gridCol w:w="1138"/>
        <w:gridCol w:w="3457"/>
        <w:gridCol w:w="1597"/>
        <w:gridCol w:w="1474"/>
        <w:gridCol w:w="1479"/>
      </w:tblGrid>
      <w:tr w14:paraId="2BC5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shd w:val="clear" w:color="auto" w:fill="auto"/>
            <w:noWrap/>
            <w:vAlign w:val="center"/>
          </w:tcPr>
          <w:p w14:paraId="535DF141">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物资采购计划报价单</w:t>
            </w:r>
          </w:p>
        </w:tc>
      </w:tr>
      <w:tr w14:paraId="24AE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25C3">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97B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采购物品</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FA4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0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0AE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规格型号</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D89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248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小计（元）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15D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873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1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4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A4打复印纸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8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7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B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8包/箱，红百旺75g</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F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B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17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E30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2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5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A3打复印纸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6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0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1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4包/箱，红百旺75g</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0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8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F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27E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2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C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黑色笔记本</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D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B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A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晨光B51K78记事本</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F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B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B3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A9F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5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8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会议记录本</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E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3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3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晨光PB5843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C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F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23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DED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7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7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文件夹（双夹）</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9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5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7C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F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3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CF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6E9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4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E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插排</w:t>
            </w:r>
            <w:r>
              <w:rPr>
                <w:rStyle w:val="65"/>
                <w:rFonts w:hint="default" w:eastAsia="宋体"/>
                <w:lang w:val="en-US" w:eastAsia="zh-CN" w:bidi="ar"/>
              </w:rPr>
              <w:t>5</w:t>
            </w:r>
            <w:r>
              <w:rPr>
                <w:rFonts w:hint="eastAsia" w:ascii="宋体" w:hAnsi="宋体" w:eastAsia="宋体" w:cs="宋体"/>
                <w:i w:val="0"/>
                <w:iCs w:val="0"/>
                <w:color w:val="000000"/>
                <w:kern w:val="0"/>
                <w:sz w:val="24"/>
                <w:szCs w:val="24"/>
                <w:u w:val="none"/>
                <w:lang w:val="en-US" w:eastAsia="zh-CN" w:bidi="ar"/>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8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2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5D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公牛插座GN605、5米</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4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3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F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85C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0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8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w:t>
            </w:r>
            <w:r>
              <w:rPr>
                <w:rStyle w:val="65"/>
                <w:rFonts w:hint="default" w:eastAsia="宋体"/>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C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E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62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C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D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61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CCD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9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w:t>
            </w:r>
            <w:r>
              <w:rPr>
                <w:rStyle w:val="65"/>
                <w:rFonts w:hint="default" w:eastAsia="宋体"/>
                <w:lang w:val="en-US" w:eastAsia="zh-CN" w:bidi="ar"/>
              </w:rPr>
              <w:t>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1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0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21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0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5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6C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B10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E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0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w:t>
            </w:r>
            <w:r>
              <w:rPr>
                <w:rStyle w:val="65"/>
                <w:rFonts w:hint="default" w:eastAsia="宋体"/>
                <w:lang w:val="en-US" w:eastAsia="zh-CN" w:bidi="ar"/>
              </w:rPr>
              <w:t>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1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E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E5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A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C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4F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AA5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6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E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w:t>
            </w:r>
            <w:r>
              <w:rPr>
                <w:rStyle w:val="65"/>
                <w:rFonts w:hint="default" w:eastAsia="宋体"/>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3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6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CF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9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5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22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A71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8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C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w:t>
            </w:r>
            <w:r>
              <w:rPr>
                <w:rStyle w:val="65"/>
                <w:rFonts w:hint="default" w:eastAsia="宋体"/>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8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9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EF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E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0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EE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7FC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9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8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得力燕尾夹</w:t>
            </w:r>
            <w:r>
              <w:rPr>
                <w:rStyle w:val="65"/>
                <w:rFonts w:hint="default" w:eastAsia="宋体"/>
                <w:lang w:val="en-US" w:eastAsia="zh-CN" w:bidi="ar"/>
              </w:rPr>
              <w:t>6#</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3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3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F4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1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8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99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DC1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1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7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抽杆夹小号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6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C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2C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6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5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A7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125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A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F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抽杆夹中号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7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C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33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D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A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9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D42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9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2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r>
              <w:rPr>
                <w:rStyle w:val="65"/>
                <w:rFonts w:hint="default" w:eastAsia="宋体"/>
                <w:lang w:val="en-US" w:eastAsia="zh-CN" w:bidi="ar"/>
              </w:rPr>
              <w:t>5</w:t>
            </w:r>
            <w:r>
              <w:rPr>
                <w:rFonts w:hint="eastAsia" w:ascii="宋体" w:hAnsi="宋体" w:eastAsia="宋体" w:cs="宋体"/>
                <w:i w:val="0"/>
                <w:iCs w:val="0"/>
                <w:color w:val="000000"/>
                <w:kern w:val="0"/>
                <w:sz w:val="24"/>
                <w:szCs w:val="24"/>
                <w:u w:val="none"/>
                <w:lang w:val="en-US" w:eastAsia="zh-CN" w:bidi="ar"/>
              </w:rPr>
              <w:t>号电池</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1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9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50节/盒</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F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1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59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0E1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A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r>
              <w:rPr>
                <w:rStyle w:val="65"/>
                <w:rFonts w:hint="default" w:eastAsia="宋体"/>
                <w:lang w:val="en-US" w:eastAsia="zh-CN" w:bidi="ar"/>
              </w:rPr>
              <w:t>7</w:t>
            </w:r>
            <w:r>
              <w:rPr>
                <w:rFonts w:hint="eastAsia" w:ascii="宋体" w:hAnsi="宋体" w:eastAsia="宋体" w:cs="宋体"/>
                <w:i w:val="0"/>
                <w:iCs w:val="0"/>
                <w:color w:val="000000"/>
                <w:kern w:val="0"/>
                <w:sz w:val="24"/>
                <w:szCs w:val="24"/>
                <w:u w:val="none"/>
                <w:lang w:val="en-US" w:eastAsia="zh-CN" w:bidi="ar"/>
              </w:rPr>
              <w:t>号电池</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0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1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E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50节/盒</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E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6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34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3EA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F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9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9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9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F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加厚型</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2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9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D8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6DED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A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A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晨光黑色直液中性笔0.7mm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1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6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E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50901 每盒12支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B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F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AF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5187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E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B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r>
              <w:rPr>
                <w:rStyle w:val="65"/>
                <w:rFonts w:hint="default" w:eastAsia="宋体"/>
                <w:lang w:val="en-US" w:eastAsia="zh-CN" w:bidi="ar"/>
              </w:rPr>
              <w:t>2B</w:t>
            </w:r>
            <w:r>
              <w:rPr>
                <w:rFonts w:hint="eastAsia" w:ascii="宋体" w:hAnsi="宋体" w:eastAsia="宋体" w:cs="宋体"/>
                <w:i w:val="0"/>
                <w:iCs w:val="0"/>
                <w:color w:val="000000"/>
                <w:kern w:val="0"/>
                <w:sz w:val="24"/>
                <w:szCs w:val="24"/>
                <w:u w:val="none"/>
                <w:lang w:val="en-US" w:eastAsia="zh-CN" w:bidi="ar"/>
              </w:rPr>
              <w:t>铅笔</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8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0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C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C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5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0A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004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3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晨光蓝色按动中性笔</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5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4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8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每盒12支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1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5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2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36BC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C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5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晨光黑色笔芯0.7mm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A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F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A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每盒20支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E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A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E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A0D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7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F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晨光黑色笔芯1.0mm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B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F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C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每盒20支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C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3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05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0573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F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B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D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F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每盒10小盒</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C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F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53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92D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7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F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得力中性笔  0.7mm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D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E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F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S96  每盒12支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5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D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AF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B16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0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0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得力中性笔  1.0mm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F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C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5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2"/>
                <w:szCs w:val="32"/>
                <w:u w:val="none"/>
              </w:rPr>
            </w:pPr>
            <w:r>
              <w:rPr>
                <w:rStyle w:val="66"/>
                <w:lang w:val="en-US" w:eastAsia="zh-CN" w:bidi="ar"/>
              </w:rPr>
              <w:t>s</w:t>
            </w:r>
            <w:r>
              <w:rPr>
                <w:rFonts w:hint="eastAsia" w:ascii="宋体" w:hAnsi="宋体" w:eastAsia="宋体" w:cs="宋体"/>
                <w:i w:val="0"/>
                <w:iCs w:val="0"/>
                <w:color w:val="000000"/>
                <w:kern w:val="0"/>
                <w:sz w:val="24"/>
                <w:szCs w:val="24"/>
                <w:u w:val="none"/>
                <w:lang w:val="en-US" w:eastAsia="zh-CN" w:bidi="ar"/>
              </w:rPr>
              <w:t>107  每盒12支</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3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A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87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47F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AA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F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铁皮文件柜</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9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F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1F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A3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1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9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2551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8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2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档案盒中号</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2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9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0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5.5cmm</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2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5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A0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4FCD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A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F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5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7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E3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C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7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D5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5A7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F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2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得力A4-资料册</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E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A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4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60页</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1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F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92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61B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5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档案盒（牛皮纸）</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6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B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3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5.5cmm</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F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9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EA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1842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EB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D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33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57C82258">
      <w:pPr>
        <w:jc w:val="both"/>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w:t>
      </w: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3.供应商可根据采购明细自拟报价表，报价表需加盖公章，投标报价包含但不限于到场所需的一切费用（如：货物运输及安装费用），后续采购人不会再支付除中标价以外的任何价款。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62FF54CB">
      <w:pPr>
        <w:pStyle w:val="30"/>
        <w:ind w:left="0" w:leftChars="0" w:firstLine="0" w:firstLineChars="0"/>
        <w:rPr>
          <w:rFonts w:hint="eastAsia"/>
          <w:color w:val="auto"/>
          <w:highlight w:val="none"/>
        </w:rPr>
      </w:pP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1743C84"/>
    <w:rsid w:val="03373831"/>
    <w:rsid w:val="036A550B"/>
    <w:rsid w:val="054E0A22"/>
    <w:rsid w:val="06AF2555"/>
    <w:rsid w:val="075361E1"/>
    <w:rsid w:val="077E60E9"/>
    <w:rsid w:val="07AE7A02"/>
    <w:rsid w:val="07BB79FF"/>
    <w:rsid w:val="0AB64446"/>
    <w:rsid w:val="0AF10260"/>
    <w:rsid w:val="0B160CF9"/>
    <w:rsid w:val="0B5F04E1"/>
    <w:rsid w:val="0CC73A84"/>
    <w:rsid w:val="0E40747F"/>
    <w:rsid w:val="100010FB"/>
    <w:rsid w:val="1024111B"/>
    <w:rsid w:val="10815571"/>
    <w:rsid w:val="117B0031"/>
    <w:rsid w:val="128411BB"/>
    <w:rsid w:val="12A61E39"/>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2A0B48"/>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547C4A"/>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8B5FBF"/>
    <w:rsid w:val="56FF3619"/>
    <w:rsid w:val="573F1A30"/>
    <w:rsid w:val="58800458"/>
    <w:rsid w:val="5BF31143"/>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C738A3"/>
    <w:rsid w:val="6FFE1DEB"/>
    <w:rsid w:val="700C17BB"/>
    <w:rsid w:val="707C5D22"/>
    <w:rsid w:val="70D25720"/>
    <w:rsid w:val="74535134"/>
    <w:rsid w:val="74DF6386"/>
    <w:rsid w:val="763F327A"/>
    <w:rsid w:val="770E2EFB"/>
    <w:rsid w:val="79FC2292"/>
    <w:rsid w:val="7CA44654"/>
    <w:rsid w:val="7D247252"/>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vertAlign w:val="superscript"/>
    </w:rPr>
  </w:style>
  <w:style w:type="character" w:customStyle="1" w:styleId="65">
    <w:name w:val="font61"/>
    <w:basedOn w:val="16"/>
    <w:uiPriority w:val="0"/>
    <w:rPr>
      <w:rFonts w:ascii="Calibri" w:hAnsi="Calibri" w:cs="Calibri"/>
      <w:color w:val="000000"/>
      <w:sz w:val="24"/>
      <w:szCs w:val="24"/>
      <w:u w:val="none"/>
    </w:rPr>
  </w:style>
  <w:style w:type="character" w:customStyle="1" w:styleId="66">
    <w:name w:val="font51"/>
    <w:basedOn w:val="16"/>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2015</Words>
  <Characters>2377</Characters>
  <Lines>1</Lines>
  <Paragraphs>1</Paragraphs>
  <TotalTime>1</TotalTime>
  <ScaleCrop>false</ScaleCrop>
  <LinksUpToDate>false</LinksUpToDate>
  <CharactersWithSpaces>2467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2026-05-11T06:44:08Z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6D48300B74CE47128DA94FB16496FD71_13</vt:lpwstr>
  </property>
  <property fmtid="{D5CDD505-2E9C-101B-9397-08002B2CF9AE}" pid="4" name="KSOTemplateDocerSaveRecord">
    <vt:lpwstr>eyJoZGlkIjoiODg5OTFhMDZlNTRlMDA0MmIxOWM3MTZhYWRlMmFjYWMiLCJ1c2VySWQiOiI1MDM3OTU2NDYifQ==</vt:lpwstr>
  </property>
</Properties>
</file>