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38758">
      <w:pPr>
        <w:spacing w:line="360" w:lineRule="auto"/>
        <w:jc w:val="center"/>
        <w:rPr>
          <w:rFonts w:hint="default" w:ascii="宋体" w:hAnsi="宋体" w:cs="宋体"/>
          <w:b/>
          <w:bCs/>
          <w:snapToGrid w:val="0"/>
          <w:color w:val="auto"/>
          <w:kern w:val="0"/>
          <w:sz w:val="44"/>
          <w:szCs w:val="44"/>
          <w:highlight w:val="none"/>
          <w:lang w:val="en-US" w:eastAsia="zh-CN"/>
        </w:rPr>
      </w:pPr>
      <w:r>
        <w:rPr>
          <w:rFonts w:hint="eastAsia" w:ascii="宋体" w:hAnsi="宋体" w:cs="宋体"/>
          <w:b/>
          <w:bCs/>
          <w:snapToGrid w:val="0"/>
          <w:color w:val="auto"/>
          <w:kern w:val="0"/>
          <w:sz w:val="44"/>
          <w:szCs w:val="44"/>
          <w:highlight w:val="none"/>
          <w:lang w:val="en-US" w:eastAsia="zh-CN"/>
        </w:rPr>
        <w:t>安庆市公共交通集团有限公司2026-2027年度公交车辆轮胎维修服务项目（重新招标）</w:t>
      </w:r>
    </w:p>
    <w:p w14:paraId="558A8B2F">
      <w:pPr>
        <w:pStyle w:val="38"/>
        <w:rPr>
          <w:rFonts w:hint="eastAsia"/>
          <w:color w:val="auto"/>
          <w:highlight w:val="none"/>
        </w:rPr>
      </w:pPr>
    </w:p>
    <w:p w14:paraId="5D784902">
      <w:pPr>
        <w:pStyle w:val="38"/>
        <w:rPr>
          <w:rFonts w:hint="eastAsia"/>
          <w:color w:val="auto"/>
          <w:highlight w:val="none"/>
        </w:rPr>
      </w:pPr>
    </w:p>
    <w:p w14:paraId="451BAD80">
      <w:pPr>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lang w:val="en-US" w:eastAsia="zh-CN"/>
        </w:rPr>
        <w:t>比</w:t>
      </w:r>
      <w:r>
        <w:rPr>
          <w:rFonts w:hint="eastAsia" w:ascii="宋体" w:hAnsi="宋体" w:cs="宋体"/>
          <w:b/>
          <w:color w:val="auto"/>
          <w:sz w:val="72"/>
          <w:szCs w:val="72"/>
          <w:highlight w:val="none"/>
        </w:rPr>
        <w:t xml:space="preserve"> </w:t>
      </w:r>
      <w:r>
        <w:rPr>
          <w:rFonts w:hint="eastAsia" w:ascii="宋体" w:hAnsi="宋体" w:cs="宋体"/>
          <w:b/>
          <w:color w:val="auto"/>
          <w:sz w:val="72"/>
          <w:szCs w:val="72"/>
          <w:highlight w:val="none"/>
          <w:lang w:val="en-US" w:eastAsia="zh-CN"/>
        </w:rPr>
        <w:t>选</w:t>
      </w:r>
      <w:r>
        <w:rPr>
          <w:rFonts w:hint="eastAsia" w:ascii="宋体" w:hAnsi="宋体" w:cs="宋体"/>
          <w:b/>
          <w:color w:val="auto"/>
          <w:sz w:val="72"/>
          <w:szCs w:val="72"/>
          <w:highlight w:val="none"/>
        </w:rPr>
        <w:t xml:space="preserve"> 文 件</w:t>
      </w:r>
    </w:p>
    <w:p w14:paraId="300E4618">
      <w:pPr>
        <w:spacing w:line="360" w:lineRule="auto"/>
        <w:jc w:val="center"/>
        <w:rPr>
          <w:rFonts w:ascii="宋体" w:hAnsi="宋体" w:cs="宋体"/>
          <w:b/>
          <w:color w:val="auto"/>
          <w:sz w:val="96"/>
          <w:szCs w:val="96"/>
          <w:highlight w:val="none"/>
        </w:rPr>
      </w:pPr>
    </w:p>
    <w:p w14:paraId="6373567C">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AQJK-CG-2026-036</w:t>
      </w:r>
    </w:p>
    <w:p w14:paraId="2E991122">
      <w:pPr>
        <w:spacing w:line="360" w:lineRule="auto"/>
        <w:rPr>
          <w:rFonts w:ascii="宋体" w:hAnsi="宋体" w:cs="宋体"/>
          <w:b/>
          <w:color w:val="auto"/>
          <w:sz w:val="24"/>
          <w:highlight w:val="none"/>
        </w:rPr>
      </w:pPr>
    </w:p>
    <w:p w14:paraId="3E1CCC14">
      <w:pPr>
        <w:spacing w:line="360" w:lineRule="auto"/>
        <w:rPr>
          <w:rFonts w:ascii="宋体" w:hAnsi="宋体" w:cs="宋体"/>
          <w:b/>
          <w:color w:val="auto"/>
          <w:sz w:val="24"/>
          <w:highlight w:val="none"/>
        </w:rPr>
      </w:pPr>
    </w:p>
    <w:p w14:paraId="4FBCE6B3">
      <w:pPr>
        <w:spacing w:line="360" w:lineRule="auto"/>
        <w:rPr>
          <w:rFonts w:ascii="宋体" w:hAnsi="宋体" w:cs="宋体"/>
          <w:b/>
          <w:color w:val="auto"/>
          <w:sz w:val="24"/>
          <w:highlight w:val="none"/>
        </w:rPr>
      </w:pPr>
    </w:p>
    <w:p w14:paraId="73C7F25E">
      <w:pPr>
        <w:spacing w:line="360" w:lineRule="auto"/>
        <w:rPr>
          <w:rFonts w:ascii="宋体" w:hAnsi="宋体" w:cs="宋体"/>
          <w:b/>
          <w:color w:val="auto"/>
          <w:sz w:val="24"/>
          <w:highlight w:val="none"/>
        </w:rPr>
      </w:pPr>
    </w:p>
    <w:p w14:paraId="0BF4B709">
      <w:pPr>
        <w:spacing w:line="360" w:lineRule="auto"/>
        <w:rPr>
          <w:rFonts w:ascii="宋体" w:hAnsi="宋体" w:cs="宋体"/>
          <w:b/>
          <w:color w:val="auto"/>
          <w:sz w:val="24"/>
          <w:highlight w:val="none"/>
        </w:rPr>
      </w:pPr>
    </w:p>
    <w:p w14:paraId="25EEA431">
      <w:pPr>
        <w:spacing w:line="360" w:lineRule="auto"/>
        <w:rPr>
          <w:rFonts w:ascii="宋体" w:hAnsi="宋体" w:cs="宋体"/>
          <w:b/>
          <w:color w:val="auto"/>
          <w:sz w:val="24"/>
          <w:highlight w:val="none"/>
        </w:rPr>
      </w:pPr>
    </w:p>
    <w:p w14:paraId="3EAD62C3">
      <w:pPr>
        <w:spacing w:line="360" w:lineRule="auto"/>
        <w:rPr>
          <w:rFonts w:ascii="宋体" w:hAnsi="宋体" w:cs="宋体"/>
          <w:b/>
          <w:color w:val="auto"/>
          <w:sz w:val="24"/>
          <w:highlight w:val="none"/>
        </w:rPr>
      </w:pPr>
    </w:p>
    <w:p w14:paraId="012228EE">
      <w:pPr>
        <w:spacing w:line="360" w:lineRule="auto"/>
        <w:ind w:firstLine="596" w:firstLineChars="198"/>
        <w:rPr>
          <w:rFonts w:hint="default" w:ascii="宋体" w:hAnsi="宋体" w:eastAsia="宋体" w:cs="宋体"/>
          <w:b/>
          <w:color w:val="auto"/>
          <w:sz w:val="24"/>
          <w:highlight w:val="none"/>
          <w:u w:val="single"/>
          <w:lang w:val="en-US" w:eastAsia="zh-CN"/>
        </w:rPr>
      </w:pPr>
      <w:r>
        <w:rPr>
          <w:rFonts w:hint="eastAsia" w:ascii="宋体" w:hAnsi="宋体" w:cs="宋体"/>
          <w:b/>
          <w:color w:val="auto"/>
          <w:sz w:val="30"/>
          <w:szCs w:val="30"/>
          <w:highlight w:val="none"/>
          <w:lang w:val="en-US" w:eastAsia="zh-CN"/>
        </w:rPr>
        <w:t>采</w:t>
      </w:r>
      <w:r>
        <w:rPr>
          <w:rFonts w:hint="eastAsia" w:ascii="宋体" w:hAnsi="宋体" w:cs="宋体"/>
          <w:b/>
          <w:color w:val="auto"/>
          <w:sz w:val="30"/>
          <w:szCs w:val="30"/>
          <w:highlight w:val="none"/>
        </w:rPr>
        <w:t xml:space="preserve">   </w:t>
      </w:r>
      <w:r>
        <w:rPr>
          <w:rFonts w:hint="eastAsia" w:ascii="宋体" w:hAnsi="宋体" w:cs="宋体"/>
          <w:b/>
          <w:color w:val="auto"/>
          <w:sz w:val="30"/>
          <w:szCs w:val="30"/>
          <w:highlight w:val="none"/>
          <w:lang w:val="en-US" w:eastAsia="zh-CN"/>
        </w:rPr>
        <w:t>购</w:t>
      </w:r>
      <w:r>
        <w:rPr>
          <w:rFonts w:hint="eastAsia" w:ascii="宋体" w:hAnsi="宋体" w:cs="宋体"/>
          <w:b/>
          <w:color w:val="auto"/>
          <w:sz w:val="30"/>
          <w:szCs w:val="30"/>
          <w:highlight w:val="none"/>
        </w:rPr>
        <w:t xml:space="preserve">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安庆市公共交通集团有限公司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pacing w:val="20"/>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p>
    <w:p w14:paraId="24E7FBC3">
      <w:pPr>
        <w:spacing w:line="360" w:lineRule="auto"/>
        <w:rPr>
          <w:rFonts w:ascii="宋体" w:hAnsi="宋体" w:cs="宋体"/>
          <w:b/>
          <w:color w:val="auto"/>
          <w:sz w:val="24"/>
          <w:highlight w:val="none"/>
          <w:u w:val="single"/>
        </w:rPr>
      </w:pPr>
    </w:p>
    <w:p w14:paraId="245C83A6">
      <w:pPr>
        <w:spacing w:line="360" w:lineRule="auto"/>
        <w:rPr>
          <w:rFonts w:ascii="宋体" w:hAnsi="宋体" w:cs="宋体"/>
          <w:b/>
          <w:color w:val="auto"/>
          <w:sz w:val="24"/>
          <w:highlight w:val="none"/>
          <w:u w:val="single"/>
        </w:rPr>
      </w:pPr>
    </w:p>
    <w:p w14:paraId="398E1F6C">
      <w:pPr>
        <w:pStyle w:val="26"/>
        <w:rPr>
          <w:color w:val="auto"/>
          <w:highlight w:val="none"/>
        </w:rPr>
      </w:pPr>
    </w:p>
    <w:p w14:paraId="148E2F12">
      <w:pPr>
        <w:spacing w:line="360" w:lineRule="auto"/>
        <w:jc w:val="center"/>
        <w:rPr>
          <w:rFonts w:ascii="宋体" w:hAnsi="宋体" w:cs="宋体"/>
          <w:b/>
          <w:color w:val="auto"/>
          <w:spacing w:val="40"/>
          <w:sz w:val="30"/>
          <w:szCs w:val="30"/>
          <w:highlight w:val="none"/>
        </w:rPr>
      </w:pPr>
    </w:p>
    <w:p w14:paraId="20847C70">
      <w:pPr>
        <w:spacing w:line="360" w:lineRule="auto"/>
        <w:jc w:val="center"/>
        <w:rPr>
          <w:rFonts w:hint="eastAsia" w:ascii="宋体" w:hAnsi="宋体" w:eastAsia="宋体" w:cs="仿宋_GB2312"/>
          <w:b/>
          <w:color w:val="auto"/>
          <w:sz w:val="30"/>
          <w:szCs w:val="30"/>
          <w:highlight w:val="none"/>
          <w:u w:val="none"/>
          <w:lang w:val="en-US" w:eastAsia="zh-CN"/>
        </w:rPr>
      </w:pPr>
      <w:r>
        <w:rPr>
          <w:rFonts w:hint="eastAsia" w:ascii="宋体" w:hAnsi="宋体" w:eastAsia="宋体" w:cs="仿宋_GB2312"/>
          <w:b/>
          <w:color w:val="auto"/>
          <w:sz w:val="30"/>
          <w:szCs w:val="30"/>
          <w:highlight w:val="none"/>
          <w:u w:val="none"/>
          <w:lang w:val="en-US" w:eastAsia="zh-CN"/>
        </w:rPr>
        <w:t>安庆市交通控股集团有限公司集采中心</w:t>
      </w:r>
    </w:p>
    <w:p w14:paraId="016BCAF9">
      <w:pPr>
        <w:spacing w:line="360" w:lineRule="auto"/>
        <w:jc w:val="center"/>
        <w:rPr>
          <w:rFonts w:hint="eastAsia" w:ascii="宋体" w:hAnsi="宋体" w:eastAsia="宋体" w:cs="仿宋_GB2312"/>
          <w:b/>
          <w:color w:val="auto"/>
          <w:sz w:val="30"/>
          <w:szCs w:val="30"/>
          <w:highlight w:val="none"/>
          <w:u w:val="none"/>
          <w:lang w:val="en-US" w:eastAsia="zh-CN"/>
        </w:rPr>
      </w:pPr>
    </w:p>
    <w:p w14:paraId="33C3DE6B">
      <w:pPr>
        <w:spacing w:line="360" w:lineRule="auto"/>
        <w:jc w:val="center"/>
        <w:rPr>
          <w:rFonts w:ascii="宋体" w:hAnsi="宋体" w:cs="宋体"/>
          <w:color w:val="auto"/>
          <w:sz w:val="32"/>
          <w:szCs w:val="32"/>
          <w:highlight w:val="none"/>
          <w:u w:val="single"/>
        </w:rPr>
      </w:pPr>
    </w:p>
    <w:p w14:paraId="152BF75F">
      <w:pPr>
        <w:pStyle w:val="35"/>
        <w:rPr>
          <w:color w:val="auto"/>
          <w:highlight w:val="none"/>
        </w:rPr>
      </w:pPr>
    </w:p>
    <w:p w14:paraId="1A5D07AF">
      <w:pPr>
        <w:widowControl/>
        <w:spacing w:line="480" w:lineRule="auto"/>
        <w:jc w:val="center"/>
        <w:rPr>
          <w:rFonts w:hint="eastAsia" w:ascii="宋体" w:hAnsi="宋体" w:cs="宋体"/>
          <w:color w:val="auto"/>
          <w:sz w:val="32"/>
          <w:szCs w:val="32"/>
          <w:highlight w:val="none"/>
          <w:u w:val="none"/>
          <w:lang w:val="en-US" w:eastAsia="zh-CN"/>
        </w:rPr>
      </w:pPr>
      <w:r>
        <w:rPr>
          <w:rFonts w:hint="eastAsia" w:ascii="宋体" w:hAnsi="宋体" w:cs="宋体"/>
          <w:color w:val="auto"/>
          <w:sz w:val="32"/>
          <w:szCs w:val="32"/>
          <w:highlight w:val="none"/>
          <w:u w:val="none"/>
          <w:lang w:val="en-US" w:eastAsia="zh-CN"/>
        </w:rPr>
        <w:t>二〇二六年四月</w:t>
      </w:r>
    </w:p>
    <w:p w14:paraId="21EEB528">
      <w:pPr>
        <w:widowControl/>
        <w:spacing w:line="480" w:lineRule="auto"/>
        <w:jc w:val="both"/>
        <w:rPr>
          <w:rFonts w:hint="eastAsia" w:ascii="黑体" w:hAnsi="黑体" w:eastAsia="黑体" w:cs="宋体"/>
          <w:b/>
          <w:color w:val="auto"/>
          <w:kern w:val="0"/>
          <w:sz w:val="32"/>
          <w:szCs w:val="32"/>
          <w:highlight w:val="none"/>
        </w:rPr>
        <w:sectPr>
          <w:headerReference r:id="rId3" w:type="default"/>
          <w:pgSz w:w="11906" w:h="16838"/>
          <w:pgMar w:top="1418" w:right="1418" w:bottom="1418" w:left="1418" w:header="680" w:footer="680" w:gutter="0"/>
          <w:pgNumType w:fmt="decimal" w:start="1"/>
          <w:cols w:space="720" w:num="1"/>
          <w:docGrid w:type="lines" w:linePitch="312" w:charSpace="0"/>
        </w:sectPr>
      </w:pPr>
    </w:p>
    <w:p w14:paraId="2D2C7491">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ascii="宋体" w:hAnsi="宋体"/>
          <w:b/>
          <w:color w:val="auto"/>
          <w:sz w:val="44"/>
          <w:szCs w:val="44"/>
          <w:highlight w:val="none"/>
        </w:rPr>
      </w:pPr>
      <w:r>
        <w:rPr>
          <w:rFonts w:hint="eastAsia" w:ascii="宋体" w:hAnsi="宋体"/>
          <w:b/>
          <w:color w:val="auto"/>
          <w:sz w:val="44"/>
          <w:szCs w:val="44"/>
          <w:highlight w:val="none"/>
        </w:rPr>
        <w:t>目   录</w:t>
      </w:r>
    </w:p>
    <w:p w14:paraId="24A70786">
      <w:pPr>
        <w:pStyle w:val="19"/>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asciiTheme="minorHAnsi" w:hAnsiTheme="minorHAnsi" w:eastAsiaTheme="minorEastAsia" w:cstheme="minorBidi"/>
          <w:color w:val="auto"/>
          <w:sz w:val="30"/>
          <w:szCs w:val="30"/>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color w:val="auto"/>
          <w:sz w:val="30"/>
          <w:szCs w:val="30"/>
          <w:highlight w:val="none"/>
        </w:rPr>
        <w:fldChar w:fldCharType="begin"/>
      </w:r>
      <w:r>
        <w:rPr>
          <w:color w:val="auto"/>
          <w:sz w:val="30"/>
          <w:szCs w:val="30"/>
          <w:highlight w:val="none"/>
        </w:rPr>
        <w:instrText xml:space="preserve"> HYPERLINK \l "_Toc4481589" </w:instrText>
      </w:r>
      <w:r>
        <w:rPr>
          <w:color w:val="auto"/>
          <w:sz w:val="30"/>
          <w:szCs w:val="30"/>
          <w:highlight w:val="none"/>
        </w:rPr>
        <w:fldChar w:fldCharType="separate"/>
      </w:r>
      <w:r>
        <w:rPr>
          <w:rStyle w:val="33"/>
          <w:rFonts w:hint="eastAsia"/>
          <w:color w:val="auto"/>
          <w:sz w:val="30"/>
          <w:szCs w:val="30"/>
          <w:highlight w:val="none"/>
        </w:rPr>
        <w:t>第一章</w:t>
      </w:r>
      <w:r>
        <w:rPr>
          <w:rFonts w:asciiTheme="minorHAnsi" w:hAnsiTheme="minorHAnsi" w:eastAsiaTheme="minorEastAsia" w:cstheme="minorBidi"/>
          <w:color w:val="auto"/>
          <w:sz w:val="30"/>
          <w:szCs w:val="30"/>
          <w:highlight w:val="none"/>
        </w:rPr>
        <w:tab/>
      </w:r>
      <w:r>
        <w:rPr>
          <w:rStyle w:val="33"/>
          <w:rFonts w:hint="eastAsia" w:eastAsiaTheme="minorEastAsia"/>
          <w:color w:val="auto"/>
          <w:sz w:val="30"/>
          <w:szCs w:val="30"/>
          <w:highlight w:val="none"/>
          <w:lang w:eastAsia="zh-CN"/>
        </w:rPr>
        <w:t>比选公告</w:t>
      </w:r>
      <w:r>
        <w:rPr>
          <w:color w:val="auto"/>
          <w:sz w:val="30"/>
          <w:szCs w:val="30"/>
          <w:highlight w:val="none"/>
        </w:rPr>
        <w:tab/>
      </w:r>
      <w:r>
        <w:rPr>
          <w:rFonts w:hint="eastAsia"/>
          <w:color w:val="auto"/>
          <w:sz w:val="30"/>
          <w:szCs w:val="30"/>
          <w:highlight w:val="none"/>
          <w:lang w:val="en-US" w:eastAsia="zh-CN"/>
        </w:rPr>
        <w:t>1</w:t>
      </w:r>
      <w:r>
        <w:rPr>
          <w:color w:val="auto"/>
          <w:sz w:val="30"/>
          <w:szCs w:val="30"/>
          <w:highlight w:val="none"/>
        </w:rPr>
        <w:fldChar w:fldCharType="end"/>
      </w:r>
    </w:p>
    <w:p w14:paraId="1C9FEAAF">
      <w:pPr>
        <w:pStyle w:val="19"/>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asciiTheme="minorHAnsi" w:hAnsiTheme="minorHAnsi" w:eastAsiaTheme="minorEastAsia" w:cstheme="minorBidi"/>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"_Toc4481590" </w:instrText>
      </w:r>
      <w:r>
        <w:rPr>
          <w:color w:val="auto"/>
          <w:sz w:val="30"/>
          <w:szCs w:val="30"/>
          <w:highlight w:val="none"/>
        </w:rPr>
        <w:fldChar w:fldCharType="separate"/>
      </w:r>
      <w:r>
        <w:rPr>
          <w:rStyle w:val="33"/>
          <w:rFonts w:hint="eastAsia"/>
          <w:color w:val="auto"/>
          <w:sz w:val="30"/>
          <w:szCs w:val="30"/>
          <w:highlight w:val="none"/>
        </w:rPr>
        <w:t>第二章</w:t>
      </w:r>
      <w:r>
        <w:rPr>
          <w:rFonts w:asciiTheme="minorHAnsi" w:hAnsiTheme="minorHAnsi" w:eastAsiaTheme="minorEastAsia" w:cstheme="minorBidi"/>
          <w:color w:val="auto"/>
          <w:sz w:val="30"/>
          <w:szCs w:val="30"/>
          <w:highlight w:val="none"/>
        </w:rPr>
        <w:tab/>
      </w:r>
      <w:r>
        <w:rPr>
          <w:rStyle w:val="33"/>
          <w:rFonts w:hint="eastAsia" w:eastAsiaTheme="minorEastAsia"/>
          <w:color w:val="auto"/>
          <w:sz w:val="30"/>
          <w:szCs w:val="30"/>
          <w:highlight w:val="none"/>
          <w:lang w:eastAsia="zh-CN"/>
        </w:rPr>
        <w:t>参选人</w:t>
      </w:r>
      <w:r>
        <w:rPr>
          <w:rStyle w:val="33"/>
          <w:rFonts w:hint="eastAsia"/>
          <w:color w:val="auto"/>
          <w:sz w:val="30"/>
          <w:szCs w:val="30"/>
          <w:highlight w:val="none"/>
        </w:rPr>
        <w:t>须知</w:t>
      </w:r>
      <w:r>
        <w:rPr>
          <w:color w:val="auto"/>
          <w:sz w:val="30"/>
          <w:szCs w:val="30"/>
          <w:highlight w:val="none"/>
        </w:rPr>
        <w:tab/>
      </w:r>
      <w:r>
        <w:rPr>
          <w:rFonts w:hint="eastAsia"/>
          <w:color w:val="auto"/>
          <w:sz w:val="30"/>
          <w:szCs w:val="30"/>
          <w:highlight w:val="none"/>
          <w:lang w:val="en-US" w:eastAsia="zh-CN"/>
        </w:rPr>
        <w:t>6</w:t>
      </w:r>
      <w:r>
        <w:rPr>
          <w:color w:val="auto"/>
          <w:sz w:val="30"/>
          <w:szCs w:val="30"/>
          <w:highlight w:val="none"/>
        </w:rPr>
        <w:fldChar w:fldCharType="end"/>
      </w:r>
    </w:p>
    <w:p w14:paraId="526DCAC3">
      <w:pPr>
        <w:pStyle w:val="19"/>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eastAsia" w:eastAsia="宋体" w:asciiTheme="minorHAnsi" w:hAnsiTheme="minorHAnsi" w:cstheme="minorBidi"/>
          <w:color w:val="auto"/>
          <w:sz w:val="30"/>
          <w:szCs w:val="30"/>
          <w:highlight w:val="none"/>
          <w:lang w:val="en-US" w:eastAsia="zh-CN"/>
        </w:rPr>
      </w:pPr>
      <w:r>
        <w:rPr>
          <w:color w:val="auto"/>
          <w:sz w:val="30"/>
          <w:szCs w:val="30"/>
          <w:highlight w:val="none"/>
        </w:rPr>
        <w:fldChar w:fldCharType="begin"/>
      </w:r>
      <w:r>
        <w:rPr>
          <w:color w:val="auto"/>
          <w:sz w:val="30"/>
          <w:szCs w:val="30"/>
          <w:highlight w:val="none"/>
        </w:rPr>
        <w:instrText xml:space="preserve"> HYPERLINK \l "_Toc4481598" </w:instrText>
      </w:r>
      <w:r>
        <w:rPr>
          <w:color w:val="auto"/>
          <w:sz w:val="30"/>
          <w:szCs w:val="30"/>
          <w:highlight w:val="none"/>
        </w:rPr>
        <w:fldChar w:fldCharType="separate"/>
      </w:r>
      <w:r>
        <w:rPr>
          <w:rStyle w:val="33"/>
          <w:rFonts w:hint="eastAsia"/>
          <w:color w:val="auto"/>
          <w:sz w:val="30"/>
          <w:szCs w:val="30"/>
          <w:highlight w:val="none"/>
        </w:rPr>
        <w:t>第三章</w:t>
      </w:r>
      <w:r>
        <w:rPr>
          <w:rFonts w:asciiTheme="minorHAnsi" w:hAnsiTheme="minorHAnsi" w:eastAsiaTheme="minorEastAsia" w:cstheme="minorBidi"/>
          <w:color w:val="auto"/>
          <w:sz w:val="30"/>
          <w:szCs w:val="30"/>
          <w:highlight w:val="none"/>
        </w:rPr>
        <w:tab/>
      </w:r>
      <w:r>
        <w:rPr>
          <w:rStyle w:val="33"/>
          <w:rFonts w:hint="eastAsia" w:eastAsiaTheme="minorEastAsia"/>
          <w:color w:val="auto"/>
          <w:sz w:val="30"/>
          <w:szCs w:val="30"/>
          <w:highlight w:val="none"/>
          <w:lang w:eastAsia="zh-CN"/>
        </w:rPr>
        <w:t>服务需求</w:t>
      </w:r>
      <w:r>
        <w:rPr>
          <w:rStyle w:val="33"/>
          <w:rFonts w:hint="eastAsia"/>
          <w:color w:val="auto"/>
          <w:sz w:val="30"/>
          <w:szCs w:val="30"/>
          <w:highlight w:val="none"/>
        </w:rPr>
        <w:t>及技术要求</w:t>
      </w:r>
      <w:r>
        <w:rPr>
          <w:color w:val="auto"/>
          <w:sz w:val="30"/>
          <w:szCs w:val="30"/>
          <w:highlight w:val="none"/>
        </w:rPr>
        <w:tab/>
      </w:r>
      <w:r>
        <w:rPr>
          <w:rFonts w:hint="eastAsia"/>
          <w:color w:val="auto"/>
          <w:sz w:val="30"/>
          <w:szCs w:val="30"/>
          <w:highlight w:val="none"/>
          <w:lang w:val="en-US" w:eastAsia="zh-CN"/>
        </w:rPr>
        <w:t>1</w:t>
      </w:r>
      <w:r>
        <w:rPr>
          <w:color w:val="auto"/>
          <w:sz w:val="30"/>
          <w:szCs w:val="30"/>
          <w:highlight w:val="none"/>
        </w:rPr>
        <w:fldChar w:fldCharType="end"/>
      </w:r>
      <w:r>
        <w:rPr>
          <w:rFonts w:hint="eastAsia"/>
          <w:color w:val="auto"/>
          <w:sz w:val="30"/>
          <w:szCs w:val="30"/>
          <w:highlight w:val="none"/>
          <w:lang w:val="en-US" w:eastAsia="zh-CN"/>
        </w:rPr>
        <w:t>9</w:t>
      </w:r>
    </w:p>
    <w:p w14:paraId="3A2BE53F">
      <w:pPr>
        <w:pStyle w:val="19"/>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eastAsia" w:eastAsia="宋体" w:asciiTheme="minorHAnsi" w:hAnsiTheme="minorHAnsi" w:cstheme="minorBidi"/>
          <w:color w:val="auto"/>
          <w:sz w:val="30"/>
          <w:szCs w:val="30"/>
          <w:highlight w:val="none"/>
          <w:lang w:val="en-US" w:eastAsia="zh-CN"/>
        </w:rPr>
      </w:pPr>
      <w:r>
        <w:rPr>
          <w:color w:val="auto"/>
          <w:sz w:val="30"/>
          <w:szCs w:val="30"/>
          <w:highlight w:val="none"/>
        </w:rPr>
        <w:fldChar w:fldCharType="begin"/>
      </w:r>
      <w:r>
        <w:rPr>
          <w:color w:val="auto"/>
          <w:sz w:val="30"/>
          <w:szCs w:val="30"/>
          <w:highlight w:val="none"/>
        </w:rPr>
        <w:instrText xml:space="preserve"> HYPERLINK \l "_Toc4481599" </w:instrText>
      </w:r>
      <w:r>
        <w:rPr>
          <w:color w:val="auto"/>
          <w:sz w:val="30"/>
          <w:szCs w:val="30"/>
          <w:highlight w:val="none"/>
        </w:rPr>
        <w:fldChar w:fldCharType="separate"/>
      </w:r>
      <w:r>
        <w:rPr>
          <w:rStyle w:val="33"/>
          <w:rFonts w:hint="eastAsia"/>
          <w:color w:val="auto"/>
          <w:sz w:val="30"/>
          <w:szCs w:val="30"/>
          <w:highlight w:val="none"/>
        </w:rPr>
        <w:t>第四章</w:t>
      </w:r>
      <w:r>
        <w:rPr>
          <w:rFonts w:asciiTheme="minorHAnsi" w:hAnsiTheme="minorHAnsi" w:eastAsiaTheme="minorEastAsia" w:cstheme="minorBidi"/>
          <w:color w:val="auto"/>
          <w:sz w:val="30"/>
          <w:szCs w:val="30"/>
          <w:highlight w:val="none"/>
        </w:rPr>
        <w:tab/>
      </w:r>
      <w:r>
        <w:rPr>
          <w:rStyle w:val="33"/>
          <w:rFonts w:hint="eastAsia"/>
          <w:color w:val="auto"/>
          <w:sz w:val="30"/>
          <w:szCs w:val="30"/>
          <w:highlight w:val="none"/>
        </w:rPr>
        <w:t>合同主要条款</w:t>
      </w:r>
      <w:r>
        <w:rPr>
          <w:color w:val="auto"/>
          <w:sz w:val="30"/>
          <w:szCs w:val="30"/>
          <w:highlight w:val="none"/>
        </w:rPr>
        <w:tab/>
      </w:r>
      <w:r>
        <w:rPr>
          <w:rFonts w:hint="eastAsia"/>
          <w:color w:val="auto"/>
          <w:sz w:val="30"/>
          <w:szCs w:val="30"/>
          <w:highlight w:val="none"/>
          <w:lang w:val="en-US" w:eastAsia="zh-CN"/>
        </w:rPr>
        <w:t>2</w:t>
      </w:r>
      <w:r>
        <w:rPr>
          <w:color w:val="auto"/>
          <w:sz w:val="30"/>
          <w:szCs w:val="30"/>
          <w:highlight w:val="none"/>
        </w:rPr>
        <w:fldChar w:fldCharType="end"/>
      </w:r>
      <w:r>
        <w:rPr>
          <w:rFonts w:hint="eastAsia"/>
          <w:color w:val="auto"/>
          <w:sz w:val="30"/>
          <w:szCs w:val="30"/>
          <w:highlight w:val="none"/>
          <w:lang w:val="en-US" w:eastAsia="zh-CN"/>
        </w:rPr>
        <w:t>2</w:t>
      </w:r>
    </w:p>
    <w:p w14:paraId="74B5A6F1">
      <w:pPr>
        <w:pStyle w:val="19"/>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default" w:eastAsia="宋体" w:asciiTheme="minorHAnsi" w:hAnsiTheme="minorHAnsi" w:cstheme="minorBidi"/>
          <w:color w:val="auto"/>
          <w:sz w:val="30"/>
          <w:szCs w:val="30"/>
          <w:highlight w:val="none"/>
          <w:lang w:val="en-US" w:eastAsia="zh-CN"/>
        </w:rPr>
      </w:pPr>
      <w:r>
        <w:rPr>
          <w:color w:val="auto"/>
          <w:sz w:val="30"/>
          <w:szCs w:val="30"/>
          <w:highlight w:val="none"/>
        </w:rPr>
        <w:fldChar w:fldCharType="begin"/>
      </w:r>
      <w:r>
        <w:rPr>
          <w:color w:val="auto"/>
          <w:sz w:val="30"/>
          <w:szCs w:val="30"/>
          <w:highlight w:val="none"/>
        </w:rPr>
        <w:instrText xml:space="preserve"> HYPERLINK \l "_Toc4481600" </w:instrText>
      </w:r>
      <w:r>
        <w:rPr>
          <w:color w:val="auto"/>
          <w:sz w:val="30"/>
          <w:szCs w:val="30"/>
          <w:highlight w:val="none"/>
        </w:rPr>
        <w:fldChar w:fldCharType="separate"/>
      </w:r>
      <w:r>
        <w:rPr>
          <w:rStyle w:val="33"/>
          <w:rFonts w:hint="eastAsia"/>
          <w:color w:val="auto"/>
          <w:sz w:val="30"/>
          <w:szCs w:val="30"/>
          <w:highlight w:val="none"/>
        </w:rPr>
        <w:t>第五章</w:t>
      </w:r>
      <w:r>
        <w:rPr>
          <w:rFonts w:asciiTheme="minorHAnsi" w:hAnsiTheme="minorHAnsi" w:eastAsiaTheme="minorEastAsia" w:cstheme="minorBidi"/>
          <w:color w:val="auto"/>
          <w:sz w:val="30"/>
          <w:szCs w:val="30"/>
          <w:highlight w:val="none"/>
        </w:rPr>
        <w:tab/>
      </w:r>
      <w:r>
        <w:rPr>
          <w:rStyle w:val="33"/>
          <w:rFonts w:hint="eastAsia" w:eastAsiaTheme="minorEastAsia"/>
          <w:color w:val="auto"/>
          <w:sz w:val="30"/>
          <w:szCs w:val="30"/>
          <w:highlight w:val="none"/>
          <w:lang w:eastAsia="zh-CN"/>
        </w:rPr>
        <w:t>参选文件</w:t>
      </w:r>
      <w:r>
        <w:rPr>
          <w:rStyle w:val="33"/>
          <w:rFonts w:hint="eastAsia"/>
          <w:color w:val="auto"/>
          <w:sz w:val="30"/>
          <w:szCs w:val="30"/>
          <w:highlight w:val="none"/>
        </w:rPr>
        <w:t>格式</w:t>
      </w:r>
      <w:r>
        <w:rPr>
          <w:color w:val="auto"/>
          <w:sz w:val="30"/>
          <w:szCs w:val="30"/>
          <w:highlight w:val="none"/>
        </w:rPr>
        <w:tab/>
      </w:r>
      <w:r>
        <w:rPr>
          <w:color w:val="auto"/>
          <w:sz w:val="30"/>
          <w:szCs w:val="30"/>
          <w:highlight w:val="none"/>
        </w:rPr>
        <w:fldChar w:fldCharType="end"/>
      </w:r>
      <w:r>
        <w:rPr>
          <w:rFonts w:hint="eastAsia"/>
          <w:color w:val="auto"/>
          <w:sz w:val="30"/>
          <w:szCs w:val="30"/>
          <w:highlight w:val="none"/>
          <w:lang w:val="en-US" w:eastAsia="zh-CN"/>
        </w:rPr>
        <w:t>24</w:t>
      </w:r>
    </w:p>
    <w:p w14:paraId="0D33D3D7">
      <w:pPr>
        <w:pStyle w:val="20"/>
        <w:tabs>
          <w:tab w:val="right" w:leader="dot" w:pos="9060"/>
        </w:tabs>
        <w:ind w:left="420"/>
        <w:rPr>
          <w:rFonts w:asciiTheme="minorHAnsi" w:hAnsiTheme="minorHAnsi" w:eastAsiaTheme="minorEastAsia" w:cstheme="minorBidi"/>
          <w:color w:val="auto"/>
          <w:sz w:val="21"/>
          <w:szCs w:val="22"/>
          <w:highlight w:val="none"/>
        </w:rPr>
      </w:pPr>
    </w:p>
    <w:p w14:paraId="73A56AA6">
      <w:pPr>
        <w:pStyle w:val="13"/>
        <w:tabs>
          <w:tab w:val="right" w:leader="dot" w:pos="9060"/>
        </w:tabs>
        <w:ind w:left="0" w:leftChars="0"/>
        <w:rPr>
          <w:rFonts w:ascii="宋体" w:hAnsi="宋体"/>
          <w:color w:val="auto"/>
          <w:highlight w:val="none"/>
        </w:rPr>
      </w:pPr>
      <w:r>
        <w:rPr>
          <w:rFonts w:ascii="宋体" w:hAnsi="宋体"/>
          <w:color w:val="auto"/>
          <w:highlight w:val="none"/>
        </w:rPr>
        <w:fldChar w:fldCharType="end"/>
      </w:r>
    </w:p>
    <w:p w14:paraId="3C5FFF72">
      <w:pPr>
        <w:pStyle w:val="13"/>
        <w:tabs>
          <w:tab w:val="right" w:leader="dot" w:pos="9060"/>
        </w:tabs>
        <w:ind w:left="0" w:leftChars="0"/>
        <w:rPr>
          <w:rFonts w:ascii="宋体" w:hAnsi="宋体"/>
          <w:color w:val="auto"/>
          <w:highlight w:val="none"/>
        </w:rPr>
      </w:pPr>
    </w:p>
    <w:p w14:paraId="566EA7A1">
      <w:pPr>
        <w:rPr>
          <w:color w:val="auto"/>
          <w:highlight w:val="none"/>
        </w:rPr>
      </w:pPr>
    </w:p>
    <w:p w14:paraId="7865704D">
      <w:pPr>
        <w:rPr>
          <w:color w:val="auto"/>
          <w:highlight w:val="none"/>
        </w:rPr>
      </w:pPr>
    </w:p>
    <w:p w14:paraId="1A32AE9C">
      <w:pPr>
        <w:rPr>
          <w:color w:val="auto"/>
          <w:highlight w:val="none"/>
        </w:rPr>
      </w:pPr>
    </w:p>
    <w:p w14:paraId="5F11A480">
      <w:pPr>
        <w:rPr>
          <w:color w:val="auto"/>
          <w:highlight w:val="none"/>
        </w:rPr>
      </w:pPr>
    </w:p>
    <w:p w14:paraId="7B168F76">
      <w:pPr>
        <w:widowControl/>
        <w:snapToGrid w:val="0"/>
        <w:rPr>
          <w:rFonts w:ascii="宋体" w:hAnsi="宋体" w:cs="Tahoma"/>
          <w:b/>
          <w:bCs/>
          <w:color w:val="auto"/>
          <w:kern w:val="0"/>
          <w:sz w:val="10"/>
          <w:szCs w:val="10"/>
          <w:highlight w:val="none"/>
        </w:rPr>
        <w:sectPr>
          <w:headerReference r:id="rId4" w:type="default"/>
          <w:footerReference r:id="rId5" w:type="default"/>
          <w:pgSz w:w="11906" w:h="16838"/>
          <w:pgMar w:top="1418" w:right="1418" w:bottom="1418" w:left="1418" w:header="680" w:footer="680" w:gutter="0"/>
          <w:pgNumType w:fmt="decimal" w:start="1"/>
          <w:cols w:space="720" w:num="1"/>
          <w:docGrid w:type="lines" w:linePitch="312" w:charSpace="0"/>
        </w:sectPr>
      </w:pPr>
    </w:p>
    <w:p w14:paraId="33FFFE22">
      <w:pPr>
        <w:jc w:val="center"/>
        <w:rPr>
          <w:rFonts w:hint="eastAsia" w:asciiTheme="majorEastAsia" w:hAnsiTheme="majorEastAsia" w:eastAsiaTheme="majorEastAsia" w:cstheme="majorEastAsia"/>
          <w:b/>
          <w:bCs/>
          <w:color w:val="auto"/>
          <w:sz w:val="32"/>
          <w:szCs w:val="40"/>
          <w:highlight w:val="none"/>
          <w:lang w:val="en-US" w:eastAsia="zh-CN"/>
        </w:rPr>
      </w:pPr>
      <w:r>
        <w:rPr>
          <w:rFonts w:hint="default" w:ascii="Times New Roman" w:hAnsi="Times New Roman" w:eastAsia="宋体" w:cs="Times New Roman"/>
          <w:b/>
          <w:bCs/>
          <w:color w:val="auto"/>
          <w:kern w:val="44"/>
          <w:sz w:val="32"/>
          <w:szCs w:val="44"/>
          <w:highlight w:val="none"/>
          <w:lang w:val="en-US" w:eastAsia="zh-CN" w:bidi="ar-SA"/>
        </w:rPr>
        <w:t>第一章</w:t>
      </w:r>
      <w:r>
        <w:rPr>
          <w:rFonts w:hint="eastAsia" w:cs="Times New Roman"/>
          <w:b/>
          <w:bCs/>
          <w:color w:val="auto"/>
          <w:kern w:val="44"/>
          <w:sz w:val="32"/>
          <w:szCs w:val="44"/>
          <w:highlight w:val="none"/>
          <w:lang w:val="en-US" w:eastAsia="zh-CN" w:bidi="ar-SA"/>
        </w:rPr>
        <w:t xml:space="preserve"> </w:t>
      </w:r>
      <w:r>
        <w:rPr>
          <w:rFonts w:hint="eastAsia" w:asciiTheme="majorEastAsia" w:hAnsiTheme="majorEastAsia" w:eastAsiaTheme="majorEastAsia" w:cstheme="majorEastAsia"/>
          <w:b/>
          <w:bCs/>
          <w:color w:val="auto"/>
          <w:sz w:val="32"/>
          <w:szCs w:val="40"/>
          <w:highlight w:val="none"/>
          <w:lang w:val="en-US" w:eastAsia="zh-CN"/>
        </w:rPr>
        <w:t>安庆市公共交通集团有限公司2026-2027年度公交车辆轮胎维修服务项目（重新招标）</w:t>
      </w:r>
    </w:p>
    <w:p w14:paraId="5258CAF4">
      <w:pPr>
        <w:jc w:val="center"/>
        <w:rPr>
          <w:rFonts w:hint="eastAsia" w:asciiTheme="majorEastAsia" w:hAnsiTheme="majorEastAsia" w:eastAsiaTheme="majorEastAsia" w:cstheme="majorEastAsia"/>
          <w:b/>
          <w:bCs/>
          <w:color w:val="auto"/>
          <w:sz w:val="32"/>
          <w:szCs w:val="40"/>
          <w:highlight w:val="none"/>
          <w:lang w:val="en-US" w:eastAsia="zh-CN"/>
        </w:rPr>
      </w:pPr>
      <w:r>
        <w:rPr>
          <w:rFonts w:hint="eastAsia" w:asciiTheme="majorEastAsia" w:hAnsiTheme="majorEastAsia" w:eastAsiaTheme="majorEastAsia" w:cstheme="majorEastAsia"/>
          <w:b/>
          <w:bCs/>
          <w:color w:val="auto"/>
          <w:sz w:val="32"/>
          <w:szCs w:val="40"/>
          <w:highlight w:val="none"/>
          <w:lang w:val="en-US" w:eastAsia="zh-CN"/>
        </w:rPr>
        <w:t>比选公告</w:t>
      </w:r>
    </w:p>
    <w:p w14:paraId="7D9634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eastAsia="zh-CN"/>
        </w:rPr>
        <w:t>安庆市交通控股集团有限公司集采中心</w:t>
      </w:r>
      <w:r>
        <w:rPr>
          <w:rFonts w:hint="eastAsia" w:ascii="仿宋" w:hAnsi="仿宋" w:eastAsia="仿宋" w:cs="Times New Roman"/>
          <w:color w:val="auto"/>
          <w:sz w:val="28"/>
          <w:szCs w:val="28"/>
          <w:highlight w:val="none"/>
        </w:rPr>
        <w:t>受</w:t>
      </w:r>
      <w:r>
        <w:rPr>
          <w:rFonts w:hint="eastAsia" w:ascii="仿宋" w:hAnsi="仿宋" w:eastAsia="仿宋" w:cs="Times New Roman"/>
          <w:color w:val="auto"/>
          <w:sz w:val="28"/>
          <w:szCs w:val="28"/>
          <w:highlight w:val="none"/>
          <w:lang w:val="en-US" w:eastAsia="zh-CN"/>
        </w:rPr>
        <w:t>安庆市公共交通集团有限公司</w:t>
      </w:r>
      <w:r>
        <w:rPr>
          <w:rFonts w:hint="eastAsia" w:ascii="仿宋" w:hAnsi="仿宋" w:eastAsia="仿宋" w:cs="Times New Roman"/>
          <w:color w:val="auto"/>
          <w:sz w:val="28"/>
          <w:szCs w:val="28"/>
          <w:highlight w:val="none"/>
        </w:rPr>
        <w:t>委托，现对“</w:t>
      </w:r>
      <w:r>
        <w:rPr>
          <w:rFonts w:hint="eastAsia" w:ascii="仿宋" w:hAnsi="仿宋" w:eastAsia="仿宋" w:cs="Times New Roman"/>
          <w:color w:val="auto"/>
          <w:sz w:val="28"/>
          <w:szCs w:val="28"/>
          <w:highlight w:val="none"/>
          <w:lang w:val="en-US" w:eastAsia="zh-CN"/>
        </w:rPr>
        <w:t>安庆市公共交通集团有限公司2026-2027年度公交车辆轮胎维修服务项目（重新招标）</w:t>
      </w:r>
      <w:r>
        <w:rPr>
          <w:rFonts w:hint="eastAsia" w:ascii="仿宋" w:hAnsi="仿宋" w:eastAsia="仿宋" w:cs="Times New Roman"/>
          <w:color w:val="auto"/>
          <w:sz w:val="28"/>
          <w:szCs w:val="28"/>
          <w:highlight w:val="none"/>
        </w:rPr>
        <w:t>”（项目编号：</w:t>
      </w:r>
      <w:r>
        <w:rPr>
          <w:rFonts w:hint="eastAsia" w:ascii="仿宋" w:hAnsi="仿宋" w:eastAsia="仿宋" w:cs="Times New Roman"/>
          <w:color w:val="auto"/>
          <w:sz w:val="28"/>
          <w:szCs w:val="28"/>
          <w:highlight w:val="none"/>
          <w:lang w:eastAsia="zh-CN"/>
        </w:rPr>
        <w:t>AQJK-CG-2026-036</w:t>
      </w:r>
      <w:r>
        <w:rPr>
          <w:rFonts w:hint="eastAsia" w:ascii="仿宋" w:hAnsi="仿宋" w:eastAsia="仿宋" w:cs="Times New Roman"/>
          <w:color w:val="auto"/>
          <w:sz w:val="28"/>
          <w:szCs w:val="28"/>
          <w:highlight w:val="none"/>
        </w:rPr>
        <w:t>）进行比选。</w:t>
      </w:r>
    </w:p>
    <w:p w14:paraId="319CE9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一、项目基本情况：</w:t>
      </w:r>
    </w:p>
    <w:p w14:paraId="47153A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项目名称：安庆市公共交通集团有限公司2026-2027年度公交车辆轮胎维修服务项目（重新招标）</w:t>
      </w:r>
    </w:p>
    <w:p w14:paraId="458D5D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项</w:t>
      </w:r>
      <w:r>
        <w:rPr>
          <w:rFonts w:hint="eastAsia" w:ascii="仿宋" w:hAnsi="仿宋" w:eastAsia="仿宋" w:cs="Times New Roman"/>
          <w:color w:val="auto"/>
          <w:sz w:val="28"/>
          <w:szCs w:val="28"/>
          <w:highlight w:val="none"/>
          <w:lang w:eastAsia="zh-CN"/>
        </w:rPr>
        <w:t>目概况：</w:t>
      </w:r>
      <w:r>
        <w:rPr>
          <w:rFonts w:hint="eastAsia" w:ascii="仿宋" w:hAnsi="仿宋" w:eastAsia="仿宋" w:cs="Times New Roman"/>
          <w:color w:val="auto"/>
          <w:sz w:val="28"/>
          <w:szCs w:val="28"/>
          <w:highlight w:val="none"/>
          <w:lang w:val="en-US" w:eastAsia="zh-CN"/>
        </w:rPr>
        <w:t>本项目为一个包，维修安凯牌纯电动客车（安凯牌HFF6109G03EV16）、福田牌纯电动客车（福田牌BJ6851EVCA-30）、万达牌纯电动客车（万达牌WD6117BEVG05）、安凯牌燃油客车（安凯牌HFF6100G39D）车辆轮胎，共计36台；具体详见采购需求清单</w:t>
      </w:r>
    </w:p>
    <w:p w14:paraId="7FFA99D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default" w:ascii="仿宋" w:hAnsi="仿宋" w:eastAsia="仿宋" w:cs="Times New Roman"/>
          <w:color w:val="auto"/>
          <w:sz w:val="28"/>
          <w:szCs w:val="28"/>
          <w:highlight w:val="none"/>
          <w:lang w:val="en-US" w:eastAsia="zh-CN"/>
        </w:rPr>
        <w:t>招标范围</w:t>
      </w:r>
      <w:r>
        <w:rPr>
          <w:rFonts w:hint="eastAsia" w:ascii="仿宋" w:hAnsi="仿宋" w:eastAsia="仿宋" w:cs="Times New Roman"/>
          <w:color w:val="auto"/>
          <w:sz w:val="28"/>
          <w:szCs w:val="28"/>
          <w:highlight w:val="none"/>
          <w:lang w:val="en-US" w:eastAsia="zh-CN"/>
        </w:rPr>
        <w:t>：为了保证本公司运营车辆良好的性能和使用效率，拟通过比选的方式择优确定1家车辆轮胎维修服务单位，提供包括但不限于以下服务：车辆轮胎维修更换、流动补胎以及技术咨询等</w:t>
      </w:r>
    </w:p>
    <w:p w14:paraId="7CC66D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服务期：合同期限为1年，自合同签订之日起计算。合同期满后，如履约情况良好且双方均同意续签，在年度预算资金能够保障、并符合相关规定及程序的前提下，可续签1年；期满后可再次续签1年，累计服务期限最多不超过3年。</w:t>
      </w:r>
    </w:p>
    <w:p w14:paraId="196AE5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最高投标费率：100%</w:t>
      </w:r>
    </w:p>
    <w:p w14:paraId="4354F4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评标办法：综合评分法</w:t>
      </w:r>
    </w:p>
    <w:p w14:paraId="080B65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宋体"/>
          <w:bCs/>
          <w:color w:val="auto"/>
          <w:sz w:val="28"/>
          <w:szCs w:val="28"/>
          <w:highlight w:val="none"/>
          <w:lang w:eastAsia="zh-CN"/>
        </w:rPr>
      </w:pPr>
      <w:r>
        <w:rPr>
          <w:rFonts w:hint="eastAsia" w:ascii="黑体" w:hAnsi="黑体" w:eastAsia="黑体" w:cs="宋体"/>
          <w:bCs/>
          <w:color w:val="auto"/>
          <w:sz w:val="28"/>
          <w:szCs w:val="28"/>
          <w:highlight w:val="none"/>
          <w:lang w:eastAsia="zh-CN"/>
        </w:rPr>
        <w:t>二、参选人的资格要求：</w:t>
      </w:r>
    </w:p>
    <w:p w14:paraId="035F56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1.具有合法有效的营业执照，</w:t>
      </w:r>
      <w:r>
        <w:rPr>
          <w:rFonts w:hint="eastAsia" w:ascii="仿宋" w:hAnsi="仿宋" w:eastAsia="仿宋" w:cs="Times New Roman"/>
          <w:color w:val="auto"/>
          <w:sz w:val="28"/>
          <w:szCs w:val="28"/>
          <w:highlight w:val="none"/>
          <w:lang w:val="en-US" w:eastAsia="zh-CN"/>
        </w:rPr>
        <w:t>具备一般纳税人资质</w:t>
      </w:r>
      <w:r>
        <w:rPr>
          <w:rFonts w:hint="eastAsia" w:ascii="仿宋" w:hAnsi="仿宋" w:eastAsia="仿宋" w:cs="Times New Roman"/>
          <w:color w:val="auto"/>
          <w:sz w:val="28"/>
          <w:szCs w:val="28"/>
          <w:highlight w:val="none"/>
          <w:lang w:eastAsia="zh-CN"/>
        </w:rPr>
        <w:t>；</w:t>
      </w:r>
    </w:p>
    <w:p w14:paraId="13D7ED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2.具备有效的三类及以上机动车维保备案证明；</w:t>
      </w:r>
    </w:p>
    <w:p w14:paraId="5F49CE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3.本项目特定资格要求：</w:t>
      </w:r>
    </w:p>
    <w:p w14:paraId="53D80E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（1）未被列入失信被执行人、重大税收违法案件当事人名单、政府采购严重失信行为记录名单；</w:t>
      </w:r>
    </w:p>
    <w:p w14:paraId="5FE857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（2）供应商营业场所必须在安庆市区内。</w:t>
      </w:r>
    </w:p>
    <w:p w14:paraId="741499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4.本项目不接受联合体投标。</w:t>
      </w:r>
    </w:p>
    <w:p w14:paraId="3A40F4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s="Times New Roman"/>
          <w:color w:val="auto"/>
          <w:sz w:val="28"/>
          <w:szCs w:val="28"/>
          <w:highlight w:val="none"/>
          <w:lang w:val="en-US" w:eastAsia="zh-CN"/>
        </w:rPr>
        <w:t>5.被列入安庆市交通控股集团有限公司黑名单管理系统或在安庆市交通控股集团有限公司处罚限制期限内的投标人不得参与本次投标活动。</w:t>
      </w:r>
    </w:p>
    <w:p w14:paraId="5AF3B6F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5BEA20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1.潜在参选人于</w:t>
      </w:r>
      <w:r>
        <w:rPr>
          <w:rFonts w:hint="eastAsia" w:ascii="仿宋" w:hAnsi="仿宋" w:eastAsia="仿宋" w:cs="Times New Roman"/>
          <w:color w:val="auto"/>
          <w:sz w:val="28"/>
          <w:szCs w:val="28"/>
          <w:highlight w:val="none"/>
          <w:lang w:val="en-US" w:eastAsia="zh-CN"/>
        </w:rPr>
        <w:t>2026年4月17日17</w:t>
      </w:r>
      <w:r>
        <w:rPr>
          <w:rFonts w:hint="eastAsia" w:ascii="仿宋" w:hAnsi="仿宋" w:eastAsia="仿宋" w:cs="Times New Roman"/>
          <w:color w:val="auto"/>
          <w:sz w:val="28"/>
          <w:szCs w:val="28"/>
          <w:highlight w:val="none"/>
          <w:lang w:eastAsia="zh-CN"/>
        </w:rPr>
        <w:t>点30分前，每天上午8:00至12:00，下午14:30至17:30（北京时间，法定节假日除外）登录安庆市交通控股集团有限公司集采平台（http://jc.zh0556.com/）获取比选文件。</w:t>
      </w:r>
    </w:p>
    <w:p w14:paraId="62620D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2.参选文件及相关资料工本费：不收取。</w:t>
      </w:r>
    </w:p>
    <w:p w14:paraId="28F632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3.报名方式：</w:t>
      </w:r>
      <w:r>
        <w:rPr>
          <w:rFonts w:hint="eastAsia" w:ascii="仿宋" w:hAnsi="仿宋" w:eastAsia="仿宋" w:cs="Times New Roman"/>
          <w:color w:val="auto"/>
          <w:sz w:val="28"/>
          <w:szCs w:val="28"/>
          <w:highlight w:val="none"/>
          <w:lang w:eastAsia="zh-CN"/>
        </w:rPr>
        <w:fldChar w:fldCharType="begin"/>
      </w:r>
      <w:r>
        <w:rPr>
          <w:rFonts w:hint="eastAsia" w:ascii="仿宋" w:hAnsi="仿宋" w:eastAsia="仿宋" w:cs="Times New Roman"/>
          <w:color w:val="auto"/>
          <w:sz w:val="28"/>
          <w:szCs w:val="28"/>
          <w:highlight w:val="none"/>
          <w:lang w:eastAsia="zh-CN"/>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lang w:eastAsia="zh-CN"/>
        </w:rPr>
        <w:fldChar w:fldCharType="separate"/>
      </w:r>
      <w:r>
        <w:rPr>
          <w:rFonts w:hint="eastAsia" w:ascii="仿宋" w:hAnsi="仿宋" w:eastAsia="仿宋" w:cs="Times New Roman"/>
          <w:color w:val="auto"/>
          <w:sz w:val="28"/>
          <w:szCs w:val="28"/>
          <w:highlight w:val="none"/>
          <w:lang w:eastAsia="zh-CN"/>
        </w:rPr>
        <w:t>将“确定参与比选的函”盖供应商公章在</w:t>
      </w:r>
      <w:r>
        <w:rPr>
          <w:rFonts w:hint="eastAsia" w:ascii="仿宋" w:hAnsi="仿宋" w:eastAsia="仿宋" w:cs="Times New Roman"/>
          <w:color w:val="auto"/>
          <w:sz w:val="28"/>
          <w:szCs w:val="28"/>
          <w:highlight w:val="none"/>
          <w:lang w:val="en-US" w:eastAsia="zh-CN"/>
        </w:rPr>
        <w:t>2026年4月17日17</w:t>
      </w:r>
      <w:r>
        <w:rPr>
          <w:rFonts w:hint="eastAsia" w:ascii="仿宋" w:hAnsi="仿宋" w:eastAsia="仿宋" w:cs="Times New Roman"/>
          <w:color w:val="auto"/>
          <w:sz w:val="28"/>
          <w:szCs w:val="28"/>
          <w:highlight w:val="none"/>
          <w:lang w:eastAsia="zh-CN"/>
        </w:rPr>
        <w:t>点30分前发邮箱1179928670@qq.com（报名截止后发送，报名无效。）</w:t>
      </w:r>
      <w:r>
        <w:rPr>
          <w:rFonts w:hint="eastAsia" w:ascii="仿宋" w:hAnsi="仿宋" w:eastAsia="仿宋" w:cs="Times New Roman"/>
          <w:color w:val="auto"/>
          <w:sz w:val="28"/>
          <w:szCs w:val="28"/>
          <w:highlight w:val="none"/>
          <w:lang w:eastAsia="zh-CN"/>
        </w:rPr>
        <w:fldChar w:fldCharType="end"/>
      </w:r>
    </w:p>
    <w:p w14:paraId="7117B9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4.已发确认参与函，而放弃参加比选的参选人，须在比选时间截止日前一天以公司名义向1179928670@qq.com发送放弃参与函（格式自拟）。否则招标管理人将予拉入集团黑名单处理。</w:t>
      </w:r>
    </w:p>
    <w:p w14:paraId="22C1D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宋体"/>
          <w:bCs/>
          <w:color w:val="auto"/>
          <w:sz w:val="28"/>
          <w:szCs w:val="28"/>
          <w:highlight w:val="none"/>
          <w:lang w:eastAsia="zh-CN"/>
        </w:rPr>
      </w:pPr>
      <w:r>
        <w:rPr>
          <w:rFonts w:hint="eastAsia" w:ascii="黑体" w:hAnsi="黑体" w:eastAsia="黑体" w:cs="宋体"/>
          <w:bCs/>
          <w:color w:val="auto"/>
          <w:sz w:val="28"/>
          <w:szCs w:val="28"/>
          <w:highlight w:val="none"/>
          <w:lang w:eastAsia="zh-CN"/>
        </w:rPr>
        <w:t>四、参选文件</w:t>
      </w:r>
      <w:r>
        <w:rPr>
          <w:rFonts w:hint="eastAsia" w:ascii="黑体" w:hAnsi="黑体" w:eastAsia="黑体" w:cs="宋体"/>
          <w:bCs/>
          <w:color w:val="auto"/>
          <w:sz w:val="28"/>
          <w:szCs w:val="28"/>
          <w:highlight w:val="none"/>
        </w:rPr>
        <w:t>的提交</w:t>
      </w:r>
      <w:r>
        <w:rPr>
          <w:rFonts w:hint="eastAsia" w:ascii="黑体" w:hAnsi="黑体" w:eastAsia="黑体" w:cs="宋体"/>
          <w:bCs/>
          <w:color w:val="auto"/>
          <w:sz w:val="28"/>
          <w:szCs w:val="28"/>
          <w:highlight w:val="none"/>
          <w:lang w:eastAsia="zh-CN"/>
        </w:rPr>
        <w:t>：</w:t>
      </w:r>
    </w:p>
    <w:p w14:paraId="47AB32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lang w:eastAsia="zh-CN"/>
        </w:rPr>
        <w:t>参选文件提交截止时间：</w:t>
      </w:r>
      <w:r>
        <w:rPr>
          <w:rFonts w:hint="eastAsia" w:ascii="仿宋" w:hAnsi="仿宋" w:eastAsia="仿宋" w:cs="Times New Roman"/>
          <w:color w:val="auto"/>
          <w:sz w:val="28"/>
          <w:szCs w:val="28"/>
          <w:highlight w:val="none"/>
          <w:lang w:val="en-US" w:eastAsia="zh-CN"/>
        </w:rPr>
        <w:t>2026年4月20日15时00分</w:t>
      </w:r>
    </w:p>
    <w:p w14:paraId="1655EF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地点：安庆市大观区宜园路</w:t>
      </w:r>
      <w:r>
        <w:rPr>
          <w:rFonts w:hint="eastAsia" w:ascii="仿宋" w:hAnsi="仿宋" w:eastAsia="仿宋" w:cs="Times New Roman"/>
          <w:color w:val="auto"/>
          <w:sz w:val="28"/>
          <w:szCs w:val="28"/>
          <w:highlight w:val="none"/>
          <w:lang w:val="en-US" w:eastAsia="zh-CN"/>
        </w:rPr>
        <w:t>16</w:t>
      </w:r>
      <w:r>
        <w:rPr>
          <w:rFonts w:hint="eastAsia" w:ascii="仿宋" w:hAnsi="仿宋" w:eastAsia="仿宋" w:cs="Times New Roman"/>
          <w:color w:val="auto"/>
          <w:sz w:val="28"/>
          <w:szCs w:val="28"/>
          <w:highlight w:val="none"/>
          <w:lang w:eastAsia="zh-CN"/>
        </w:rPr>
        <w:t>号安庆交控集团</w:t>
      </w:r>
      <w:r>
        <w:rPr>
          <w:rFonts w:hint="eastAsia" w:ascii="仿宋" w:hAnsi="仿宋" w:eastAsia="仿宋" w:cs="Times New Roman"/>
          <w:color w:val="auto"/>
          <w:sz w:val="28"/>
          <w:szCs w:val="28"/>
          <w:highlight w:val="none"/>
          <w:lang w:val="en-US" w:eastAsia="zh-CN"/>
        </w:rPr>
        <w:t>二号楼一楼开标室</w:t>
      </w:r>
    </w:p>
    <w:p w14:paraId="014893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宋体"/>
          <w:bCs/>
          <w:color w:val="auto"/>
          <w:sz w:val="28"/>
          <w:szCs w:val="28"/>
          <w:highlight w:val="none"/>
          <w:lang w:eastAsia="zh-CN"/>
        </w:rPr>
      </w:pPr>
      <w:r>
        <w:rPr>
          <w:rFonts w:hint="eastAsia" w:ascii="黑体" w:hAnsi="黑体" w:eastAsia="黑体" w:cs="宋体"/>
          <w:bCs/>
          <w:color w:val="auto"/>
          <w:sz w:val="28"/>
          <w:szCs w:val="28"/>
          <w:highlight w:val="none"/>
          <w:lang w:eastAsia="zh-CN"/>
        </w:rPr>
        <w:t>五、其他补充事宜：</w:t>
      </w:r>
    </w:p>
    <w:p w14:paraId="2504DE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1.参选人的联系人电话(手机</w:t>
      </w:r>
      <w:bookmarkStart w:id="66" w:name="_GoBack"/>
      <w:bookmarkEnd w:id="66"/>
      <w:r>
        <w:rPr>
          <w:rFonts w:hint="eastAsia" w:ascii="仿宋" w:hAnsi="仿宋" w:eastAsia="仿宋" w:cs="Times New Roman"/>
          <w:color w:val="auto"/>
          <w:sz w:val="28"/>
          <w:szCs w:val="28"/>
          <w:highlight w:val="none"/>
          <w:lang w:val="en-US" w:eastAsia="zh-CN"/>
        </w:rPr>
        <w:t>)、电子邮箱等通讯方式在比选过程中必须保持畅通，否则因上述原因造成的后果，责任自负。</w:t>
      </w:r>
    </w:p>
    <w:p w14:paraId="7443C2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2.本项目比选实行纸质参选，比选活动线下完成。比选时参选人需要按时到达比选现场进行签到，因参选人未按时到达比选现场，则视为主动放弃，对比选造成的不利后果由其自行承担。</w:t>
      </w:r>
    </w:p>
    <w:p w14:paraId="7EAC61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3.成交人应在采购人要求的时间内与采购人签订合同。</w:t>
      </w:r>
    </w:p>
    <w:p w14:paraId="5286CA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5F6F40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宋体"/>
          <w:bCs/>
          <w:color w:val="auto"/>
          <w:sz w:val="28"/>
          <w:szCs w:val="28"/>
          <w:highlight w:val="none"/>
          <w:lang w:eastAsia="zh-CN"/>
        </w:rPr>
      </w:pPr>
      <w:bookmarkStart w:id="0" w:name="_Toc35393805"/>
      <w:bookmarkStart w:id="1" w:name="_Toc35393636"/>
      <w:bookmarkStart w:id="2" w:name="_Toc28359018"/>
      <w:bookmarkStart w:id="3" w:name="_Toc28359095"/>
      <w:r>
        <w:rPr>
          <w:rFonts w:hint="eastAsia" w:ascii="黑体" w:hAnsi="黑体" w:eastAsia="黑体" w:cs="宋体"/>
          <w:bCs/>
          <w:color w:val="auto"/>
          <w:sz w:val="28"/>
          <w:szCs w:val="28"/>
          <w:highlight w:val="none"/>
          <w:lang w:eastAsia="zh-CN"/>
        </w:rPr>
        <w:t>六、凡对本次比选提出询问，请按以下方式联系</w:t>
      </w:r>
      <w:bookmarkEnd w:id="0"/>
      <w:bookmarkEnd w:id="1"/>
      <w:bookmarkEnd w:id="2"/>
      <w:bookmarkEnd w:id="3"/>
    </w:p>
    <w:p w14:paraId="0812B60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w:t>
      </w:r>
      <w:bookmarkStart w:id="4" w:name="_Toc28359019"/>
      <w:bookmarkStart w:id="5" w:name="_Toc28359096"/>
      <w:bookmarkStart w:id="6" w:name="_Toc35393806"/>
      <w:bookmarkStart w:id="7" w:name="_Toc35393637"/>
      <w:r>
        <w:rPr>
          <w:rFonts w:hint="eastAsia" w:ascii="仿宋" w:hAnsi="仿宋" w:eastAsia="仿宋" w:cs="Times New Roman"/>
          <w:color w:val="auto"/>
          <w:sz w:val="28"/>
          <w:szCs w:val="28"/>
          <w:highlight w:val="none"/>
          <w:lang w:val="en-US" w:eastAsia="zh-CN"/>
        </w:rPr>
        <w:t>.采购人信息</w:t>
      </w:r>
      <w:bookmarkEnd w:id="4"/>
      <w:bookmarkEnd w:id="5"/>
      <w:bookmarkEnd w:id="6"/>
      <w:bookmarkEnd w:id="7"/>
    </w:p>
    <w:p w14:paraId="2E35F7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bookmarkStart w:id="8" w:name="_Toc35393807"/>
      <w:bookmarkStart w:id="9" w:name="_Toc35393638"/>
      <w:bookmarkStart w:id="10" w:name="_Toc28359020"/>
      <w:bookmarkStart w:id="11" w:name="_Toc28359097"/>
      <w:r>
        <w:rPr>
          <w:rFonts w:hint="eastAsia" w:ascii="仿宋" w:hAnsi="仿宋" w:eastAsia="仿宋" w:cs="Times New Roman"/>
          <w:color w:val="auto"/>
          <w:sz w:val="28"/>
          <w:szCs w:val="28"/>
          <w:highlight w:val="none"/>
          <w:lang w:val="en-US" w:eastAsia="zh-CN"/>
        </w:rPr>
        <w:t>名     称：安庆市公共交通集团有限公司</w:t>
      </w:r>
    </w:p>
    <w:p w14:paraId="5EECBF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地     址：安庆市大观区袁柏路狮子山公交枢纽 </w:t>
      </w:r>
    </w:p>
    <w:p w14:paraId="77C3E1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 系 人：姚洋</w:t>
      </w:r>
    </w:p>
    <w:p w14:paraId="094906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联系方式：18156955955</w:t>
      </w:r>
    </w:p>
    <w:p w14:paraId="128CF8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2.采购人管理部门</w:t>
      </w:r>
    </w:p>
    <w:p w14:paraId="695C99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    称：安庆市交通控股集团有限公司集采中心</w:t>
      </w:r>
    </w:p>
    <w:p w14:paraId="7170CC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    址：安徽省安庆市大观区宜园路16号</w:t>
      </w:r>
    </w:p>
    <w:p w14:paraId="5862FD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 系 人：</w:t>
      </w:r>
      <w:bookmarkEnd w:id="8"/>
      <w:bookmarkEnd w:id="9"/>
      <w:bookmarkEnd w:id="10"/>
      <w:bookmarkEnd w:id="11"/>
      <w:r>
        <w:rPr>
          <w:rFonts w:hint="eastAsia" w:ascii="仿宋" w:hAnsi="仿宋" w:eastAsia="仿宋" w:cs="Times New Roman"/>
          <w:color w:val="auto"/>
          <w:sz w:val="28"/>
          <w:szCs w:val="28"/>
          <w:highlight w:val="none"/>
          <w:lang w:val="en-US" w:eastAsia="zh-CN"/>
        </w:rPr>
        <w:t>王欣怡</w:t>
      </w:r>
    </w:p>
    <w:p w14:paraId="10BAB7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联系方式：0556-5990510</w:t>
      </w:r>
    </w:p>
    <w:p w14:paraId="3D001F69">
      <w:pPr>
        <w:spacing w:line="480" w:lineRule="atLeast"/>
        <w:ind w:firstLine="560" w:firstLineChars="200"/>
        <w:rPr>
          <w:rFonts w:hint="eastAsia" w:ascii="仿宋" w:hAnsi="仿宋" w:eastAsia="仿宋" w:cs="Times New Roman"/>
          <w:color w:val="auto"/>
          <w:sz w:val="28"/>
          <w:szCs w:val="28"/>
          <w:highlight w:val="none"/>
          <w:lang w:val="en-US" w:eastAsia="zh-CN"/>
        </w:rPr>
      </w:pPr>
    </w:p>
    <w:p w14:paraId="646BC07A">
      <w:pPr>
        <w:rPr>
          <w:rFonts w:hint="eastAsia" w:ascii="宋体" w:hAnsi="宋体" w:eastAsia="宋体" w:cs="宋体"/>
          <w:color w:val="auto"/>
          <w:kern w:val="0"/>
          <w:szCs w:val="18"/>
          <w:highlight w:val="none"/>
          <w:lang w:val="en-US" w:eastAsia="zh-CN"/>
        </w:rPr>
      </w:pPr>
      <w:r>
        <w:rPr>
          <w:rFonts w:hint="eastAsia" w:ascii="宋体" w:hAnsi="宋体" w:eastAsia="宋体" w:cs="宋体"/>
          <w:color w:val="auto"/>
          <w:kern w:val="0"/>
          <w:szCs w:val="18"/>
          <w:highlight w:val="none"/>
          <w:lang w:val="en-US" w:eastAsia="zh-CN"/>
        </w:rPr>
        <w:br w:type="page"/>
      </w:r>
    </w:p>
    <w:p w14:paraId="504F4884">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bookmarkStart w:id="12" w:name="_Toc4481590"/>
      <w:bookmarkStart w:id="13" w:name="_Toc5725"/>
    </w:p>
    <w:p w14:paraId="18D40546">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7A7526A0">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0"/>
        <w:rPr>
          <w:rFonts w:hint="eastAsia" w:ascii="宋体" w:hAnsi="宋体" w:eastAsia="宋体" w:cs="宋体"/>
          <w:b/>
          <w:bCs/>
          <w:color w:val="auto"/>
          <w:kern w:val="44"/>
          <w:sz w:val="44"/>
          <w:szCs w:val="44"/>
          <w:highlight w:val="none"/>
          <w:lang w:val="en-US" w:eastAsia="zh-CN"/>
        </w:rPr>
      </w:pPr>
      <w:r>
        <w:rPr>
          <w:rFonts w:hint="eastAsia" w:ascii="宋体" w:hAnsi="宋体" w:eastAsia="宋体" w:cs="宋体"/>
          <w:b/>
          <w:bCs/>
          <w:color w:val="auto"/>
          <w:kern w:val="44"/>
          <w:sz w:val="44"/>
          <w:szCs w:val="44"/>
          <w:highlight w:val="none"/>
          <w:lang w:val="en-US" w:eastAsia="zh-CN"/>
        </w:rPr>
        <w:t>确定参与比选的函</w:t>
      </w:r>
    </w:p>
    <w:p w14:paraId="697C29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58E287A1">
      <w:pPr>
        <w:keepNext w:val="0"/>
        <w:keepLines w:val="0"/>
        <w:pageBreakBefore w:val="0"/>
        <w:widowControl w:val="0"/>
        <w:kinsoku/>
        <w:wordWrap/>
        <w:overflowPunct/>
        <w:topLinePunct w:val="0"/>
        <w:autoSpaceDE/>
        <w:autoSpaceDN/>
        <w:bidi w:val="0"/>
        <w:adjustRightInd/>
        <w:snapToGrid/>
        <w:spacing w:line="360" w:lineRule="auto"/>
        <w:ind w:firstLine="64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安庆市公共交通集团有限公司2026-2027年度公交车辆轮胎维修服务项目（重新招标）</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5B47D4D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0C595DF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065DE2E3">
      <w:pPr>
        <w:keepNext w:val="0"/>
        <w:keepLines w:val="0"/>
        <w:pageBreakBefore w:val="0"/>
        <w:widowControl w:val="0"/>
        <w:kinsoku/>
        <w:wordWrap/>
        <w:overflowPunct/>
        <w:topLinePunct w:val="0"/>
        <w:autoSpaceDE/>
        <w:autoSpaceDN/>
        <w:bidi w:val="0"/>
        <w:adjustRightInd/>
        <w:snapToGrid/>
        <w:spacing w:line="360" w:lineRule="auto"/>
        <w:ind w:firstLine="640"/>
        <w:jc w:val="both"/>
        <w:textAlignment w:val="auto"/>
        <w:rPr>
          <w:rFonts w:hint="eastAsia" w:ascii="仿宋" w:hAnsi="仿宋" w:eastAsia="仿宋" w:cs="仿宋"/>
          <w:b w:val="0"/>
          <w:bCs w:val="0"/>
          <w:color w:val="auto"/>
          <w:sz w:val="32"/>
          <w:szCs w:val="32"/>
          <w:highlight w:val="none"/>
          <w:u w:val="none"/>
          <w:lang w:val="en-US" w:eastAsia="zh-CN"/>
        </w:rPr>
      </w:pPr>
    </w:p>
    <w:p w14:paraId="6B946645">
      <w:pPr>
        <w:keepNext w:val="0"/>
        <w:keepLines w:val="0"/>
        <w:pageBreakBefore w:val="0"/>
        <w:widowControl w:val="0"/>
        <w:kinsoku/>
        <w:wordWrap/>
        <w:overflowPunct/>
        <w:topLinePunct w:val="0"/>
        <w:autoSpaceDE/>
        <w:autoSpaceDN/>
        <w:bidi w:val="0"/>
        <w:adjustRightInd/>
        <w:snapToGrid/>
        <w:spacing w:line="360" w:lineRule="auto"/>
        <w:ind w:firstLine="64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单位名称（盖章）</w:t>
      </w:r>
    </w:p>
    <w:p w14:paraId="58C5952D">
      <w:pPr>
        <w:keepNext w:val="0"/>
        <w:keepLines w:val="0"/>
        <w:pageBreakBefore w:val="0"/>
        <w:widowControl w:val="0"/>
        <w:kinsoku/>
        <w:wordWrap/>
        <w:overflowPunct/>
        <w:topLinePunct w:val="0"/>
        <w:autoSpaceDE/>
        <w:autoSpaceDN/>
        <w:bidi w:val="0"/>
        <w:adjustRightInd/>
        <w:snapToGrid/>
        <w:spacing w:line="360" w:lineRule="auto"/>
        <w:ind w:firstLine="64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年   月   日</w:t>
      </w:r>
    </w:p>
    <w:p w14:paraId="04D7CE0C">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397361FF">
      <w:pPr>
        <w:pStyle w:val="2"/>
        <w:numPr>
          <w:ilvl w:val="0"/>
          <w:numId w:val="0"/>
        </w:numPr>
        <w:ind w:left="1275" w:leftChars="0" w:hanging="1275" w:firstLineChars="0"/>
        <w:rPr>
          <w:color w:val="auto"/>
          <w:highlight w:val="none"/>
        </w:rPr>
      </w:pPr>
      <w:r>
        <w:rPr>
          <w:rFonts w:hint="default" w:ascii="Times New Roman" w:hAnsi="Times New Roman" w:eastAsia="宋体" w:cs="Times New Roman"/>
          <w:b/>
          <w:bCs/>
          <w:color w:val="auto"/>
          <w:kern w:val="44"/>
          <w:sz w:val="32"/>
          <w:szCs w:val="44"/>
          <w:highlight w:val="none"/>
          <w:lang w:val="en-US" w:eastAsia="zh-CN" w:bidi="ar-SA"/>
        </w:rPr>
        <w:t>第二章</w:t>
      </w:r>
      <w:r>
        <w:rPr>
          <w:rFonts w:hint="eastAsia"/>
          <w:color w:val="auto"/>
          <w:highlight w:val="none"/>
          <w:lang w:eastAsia="zh-CN"/>
        </w:rPr>
        <w:t>参选人</w:t>
      </w:r>
      <w:r>
        <w:rPr>
          <w:rFonts w:hint="eastAsia"/>
          <w:color w:val="auto"/>
          <w:highlight w:val="none"/>
        </w:rPr>
        <w:t>须知</w:t>
      </w:r>
      <w:bookmarkEnd w:id="12"/>
      <w:bookmarkEnd w:id="13"/>
    </w:p>
    <w:p w14:paraId="6A548114">
      <w:pPr>
        <w:pStyle w:val="60"/>
        <w:rPr>
          <w:color w:val="auto"/>
          <w:highlight w:val="none"/>
        </w:rPr>
      </w:pPr>
      <w:bookmarkStart w:id="14" w:name="_Toc27607"/>
      <w:bookmarkStart w:id="15" w:name="_Toc4481591"/>
      <w:r>
        <w:rPr>
          <w:rFonts w:hint="eastAsia"/>
          <w:color w:val="auto"/>
          <w:highlight w:val="none"/>
        </w:rPr>
        <w:t>（一）</w:t>
      </w:r>
      <w:r>
        <w:rPr>
          <w:rFonts w:hint="eastAsia"/>
          <w:color w:val="auto"/>
          <w:highlight w:val="none"/>
          <w:lang w:eastAsia="zh-CN"/>
        </w:rPr>
        <w:t>参选人</w:t>
      </w:r>
      <w:r>
        <w:rPr>
          <w:rFonts w:hint="eastAsia"/>
          <w:color w:val="auto"/>
          <w:highlight w:val="none"/>
        </w:rPr>
        <w:t>须知前附表</w:t>
      </w:r>
      <w:bookmarkEnd w:id="14"/>
      <w:bookmarkEnd w:id="15"/>
    </w:p>
    <w:tbl>
      <w:tblPr>
        <w:tblStyle w:val="27"/>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1983"/>
        <w:gridCol w:w="6629"/>
      </w:tblGrid>
      <w:tr w14:paraId="37A59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5716E14">
            <w:pPr>
              <w:keepNext w:val="0"/>
              <w:keepLines w:val="0"/>
              <w:suppressLineNumbers w:val="0"/>
              <w:spacing w:before="0" w:beforeAutospacing="0" w:after="0" w:afterAutospacing="0" w:line="420" w:lineRule="exact"/>
              <w:ind w:left="0" w:right="-358"/>
              <w:jc w:val="left"/>
              <w:rPr>
                <w:rFonts w:hint="default" w:ascii="宋体" w:hAnsi="宋体"/>
                <w:color w:val="auto"/>
                <w:szCs w:val="21"/>
                <w:highlight w:val="none"/>
              </w:rPr>
            </w:pPr>
            <w:r>
              <w:rPr>
                <w:rFonts w:hint="eastAsia" w:ascii="宋体" w:hAnsi="宋体"/>
                <w:color w:val="auto"/>
                <w:szCs w:val="21"/>
                <w:highlight w:val="none"/>
              </w:rPr>
              <w:t>序号</w:t>
            </w:r>
          </w:p>
        </w:tc>
        <w:tc>
          <w:tcPr>
            <w:tcW w:w="1068" w:type="pct"/>
            <w:tcBorders>
              <w:top w:val="single" w:color="auto" w:sz="4" w:space="0"/>
              <w:left w:val="single" w:color="auto" w:sz="4" w:space="0"/>
              <w:bottom w:val="single" w:color="auto" w:sz="4" w:space="0"/>
              <w:right w:val="single" w:color="auto" w:sz="4" w:space="0"/>
            </w:tcBorders>
            <w:vAlign w:val="center"/>
          </w:tcPr>
          <w:p w14:paraId="512562C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内容</w:t>
            </w:r>
          </w:p>
        </w:tc>
        <w:tc>
          <w:tcPr>
            <w:tcW w:w="3570" w:type="pct"/>
            <w:tcBorders>
              <w:top w:val="single" w:color="auto" w:sz="4" w:space="0"/>
              <w:left w:val="single" w:color="auto" w:sz="4" w:space="0"/>
              <w:bottom w:val="single" w:color="auto" w:sz="4" w:space="0"/>
              <w:right w:val="single" w:color="auto" w:sz="4" w:space="0"/>
            </w:tcBorders>
            <w:vAlign w:val="center"/>
          </w:tcPr>
          <w:p w14:paraId="4E7F4F00">
            <w:pPr>
              <w:keepNext w:val="0"/>
              <w:keepLines w:val="0"/>
              <w:suppressLineNumbers w:val="0"/>
              <w:tabs>
                <w:tab w:val="left" w:pos="1180"/>
              </w:tabs>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说明与要求</w:t>
            </w:r>
          </w:p>
        </w:tc>
      </w:tr>
      <w:tr w14:paraId="0FAF6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801F21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1068" w:type="pct"/>
            <w:tcBorders>
              <w:top w:val="single" w:color="auto" w:sz="4" w:space="0"/>
              <w:left w:val="single" w:color="auto" w:sz="4" w:space="0"/>
              <w:bottom w:val="single" w:color="auto" w:sz="4" w:space="0"/>
              <w:right w:val="single" w:color="auto" w:sz="4" w:space="0"/>
            </w:tcBorders>
            <w:vAlign w:val="center"/>
          </w:tcPr>
          <w:p w14:paraId="602553D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项目编号</w:t>
            </w:r>
          </w:p>
        </w:tc>
        <w:tc>
          <w:tcPr>
            <w:tcW w:w="3570" w:type="pct"/>
            <w:tcBorders>
              <w:top w:val="single" w:color="auto" w:sz="4" w:space="0"/>
              <w:left w:val="single" w:color="auto" w:sz="4" w:space="0"/>
              <w:bottom w:val="single" w:color="auto" w:sz="4" w:space="0"/>
              <w:right w:val="single" w:color="auto" w:sz="4" w:space="0"/>
            </w:tcBorders>
            <w:vAlign w:val="center"/>
          </w:tcPr>
          <w:p w14:paraId="4D22BB5C">
            <w:pPr>
              <w:keepNext w:val="0"/>
              <w:keepLines w:val="0"/>
              <w:suppressLineNumbers w:val="0"/>
              <w:spacing w:before="0" w:beforeAutospacing="0" w:after="0" w:afterAutospacing="0" w:line="420" w:lineRule="exact"/>
              <w:ind w:left="0" w:right="0"/>
              <w:rPr>
                <w:rFonts w:hint="eastAsia" w:eastAsia="宋体"/>
                <w:color w:val="auto"/>
                <w:szCs w:val="21"/>
                <w:highlight w:val="none"/>
                <w:lang w:val="en-US" w:eastAsia="zh-CN"/>
              </w:rPr>
            </w:pPr>
            <w:r>
              <w:rPr>
                <w:rFonts w:hint="eastAsia"/>
                <w:color w:val="auto"/>
                <w:szCs w:val="21"/>
                <w:highlight w:val="none"/>
                <w:lang w:val="en-US" w:eastAsia="zh-CN"/>
              </w:rPr>
              <w:t>AQJK-CG-2026-036</w:t>
            </w:r>
          </w:p>
        </w:tc>
      </w:tr>
      <w:tr w14:paraId="0AEF3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74167D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1068" w:type="pct"/>
            <w:tcBorders>
              <w:top w:val="single" w:color="auto" w:sz="4" w:space="0"/>
              <w:left w:val="single" w:color="auto" w:sz="4" w:space="0"/>
              <w:bottom w:val="single" w:color="auto" w:sz="4" w:space="0"/>
              <w:right w:val="single" w:color="auto" w:sz="4" w:space="0"/>
            </w:tcBorders>
            <w:vAlign w:val="center"/>
          </w:tcPr>
          <w:p w14:paraId="4567DCD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项目名称</w:t>
            </w:r>
          </w:p>
        </w:tc>
        <w:tc>
          <w:tcPr>
            <w:tcW w:w="3570" w:type="pct"/>
            <w:tcBorders>
              <w:top w:val="single" w:color="auto" w:sz="4" w:space="0"/>
              <w:left w:val="single" w:color="auto" w:sz="4" w:space="0"/>
              <w:bottom w:val="single" w:color="auto" w:sz="4" w:space="0"/>
              <w:right w:val="single" w:color="auto" w:sz="4" w:space="0"/>
            </w:tcBorders>
            <w:vAlign w:val="center"/>
          </w:tcPr>
          <w:p w14:paraId="656CD277">
            <w:pPr>
              <w:keepNext w:val="0"/>
              <w:keepLines w:val="0"/>
              <w:suppressLineNumbers w:val="0"/>
              <w:spacing w:before="0" w:beforeAutospacing="0" w:after="0" w:afterAutospacing="0" w:line="420" w:lineRule="exact"/>
              <w:ind w:left="0" w:right="0"/>
              <w:rPr>
                <w:rFonts w:hint="eastAsia" w:eastAsia="宋体"/>
                <w:color w:val="auto"/>
                <w:szCs w:val="21"/>
                <w:highlight w:val="none"/>
                <w:lang w:eastAsia="zh-CN"/>
              </w:rPr>
            </w:pPr>
            <w:r>
              <w:rPr>
                <w:rFonts w:hint="eastAsia" w:ascii="宋体" w:hAnsi="宋体" w:cs="宋体"/>
                <w:color w:val="auto"/>
                <w:kern w:val="0"/>
                <w:szCs w:val="18"/>
                <w:highlight w:val="none"/>
                <w:lang w:val="en-US" w:eastAsia="zh-CN"/>
              </w:rPr>
              <w:t>安庆市公共交通集团有限公司2026-2027年度公交车辆轮胎维修服务项目（重新招标）</w:t>
            </w:r>
          </w:p>
        </w:tc>
      </w:tr>
      <w:tr w14:paraId="16091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5A36DE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3</w:t>
            </w:r>
          </w:p>
        </w:tc>
        <w:tc>
          <w:tcPr>
            <w:tcW w:w="1068" w:type="pct"/>
            <w:tcBorders>
              <w:top w:val="single" w:color="auto" w:sz="4" w:space="0"/>
              <w:left w:val="single" w:color="auto" w:sz="4" w:space="0"/>
              <w:bottom w:val="single" w:color="auto" w:sz="4" w:space="0"/>
              <w:right w:val="single" w:color="auto" w:sz="4" w:space="0"/>
            </w:tcBorders>
            <w:vAlign w:val="center"/>
          </w:tcPr>
          <w:p w14:paraId="27694DD1">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采购人</w:t>
            </w:r>
          </w:p>
        </w:tc>
        <w:tc>
          <w:tcPr>
            <w:tcW w:w="3570" w:type="pct"/>
            <w:tcBorders>
              <w:top w:val="single" w:color="auto" w:sz="4" w:space="0"/>
              <w:left w:val="single" w:color="auto" w:sz="4" w:space="0"/>
              <w:bottom w:val="single" w:color="auto" w:sz="4" w:space="0"/>
              <w:right w:val="single" w:color="auto" w:sz="4" w:space="0"/>
            </w:tcBorders>
            <w:vAlign w:val="center"/>
          </w:tcPr>
          <w:p w14:paraId="20184844">
            <w:pPr>
              <w:keepNext w:val="0"/>
              <w:keepLines w:val="0"/>
              <w:suppressLineNumbers w:val="0"/>
              <w:spacing w:before="0" w:beforeAutospacing="0" w:after="0" w:afterAutospacing="0" w:line="420" w:lineRule="exact"/>
              <w:ind w:left="0" w:right="0"/>
              <w:rPr>
                <w:rFonts w:hint="eastAsia" w:eastAsia="宋体"/>
                <w:color w:val="auto"/>
                <w:szCs w:val="21"/>
                <w:highlight w:val="none"/>
                <w:lang w:eastAsia="zh-CN"/>
              </w:rPr>
            </w:pPr>
            <w:r>
              <w:rPr>
                <w:rFonts w:hint="eastAsia" w:ascii="宋体" w:hAnsi="宋体" w:cs="宋体"/>
                <w:color w:val="auto"/>
                <w:kern w:val="0"/>
                <w:szCs w:val="18"/>
                <w:highlight w:val="none"/>
                <w:lang w:eastAsia="zh-CN"/>
              </w:rPr>
              <w:t>安庆市公共交通集团有限公司</w:t>
            </w:r>
          </w:p>
        </w:tc>
      </w:tr>
      <w:tr w14:paraId="3F4E4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CD95CA8">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1068" w:type="pct"/>
            <w:tcBorders>
              <w:top w:val="single" w:color="auto" w:sz="4" w:space="0"/>
              <w:left w:val="single" w:color="auto" w:sz="4" w:space="0"/>
              <w:bottom w:val="single" w:color="auto" w:sz="4" w:space="0"/>
              <w:right w:val="single" w:color="auto" w:sz="4" w:space="0"/>
            </w:tcBorders>
            <w:vAlign w:val="center"/>
          </w:tcPr>
          <w:p w14:paraId="1440DE56">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采购管理部门</w:t>
            </w:r>
          </w:p>
        </w:tc>
        <w:tc>
          <w:tcPr>
            <w:tcW w:w="3570" w:type="pct"/>
            <w:tcBorders>
              <w:top w:val="single" w:color="auto" w:sz="4" w:space="0"/>
              <w:left w:val="single" w:color="auto" w:sz="4" w:space="0"/>
              <w:bottom w:val="single" w:color="auto" w:sz="4" w:space="0"/>
              <w:right w:val="single" w:color="auto" w:sz="4" w:space="0"/>
            </w:tcBorders>
            <w:vAlign w:val="center"/>
          </w:tcPr>
          <w:p w14:paraId="30FD580F">
            <w:pPr>
              <w:keepNext w:val="0"/>
              <w:keepLines w:val="0"/>
              <w:suppressLineNumbers w:val="0"/>
              <w:spacing w:before="0" w:beforeAutospacing="0" w:after="0" w:afterAutospacing="0" w:line="420" w:lineRule="exact"/>
              <w:ind w:left="0" w:right="0"/>
              <w:rPr>
                <w:rFonts w:hint="default" w:ascii="宋体" w:hAnsi="宋体" w:cs="宋体"/>
                <w:color w:val="auto"/>
                <w:kern w:val="0"/>
                <w:szCs w:val="18"/>
                <w:highlight w:val="none"/>
                <w:lang w:val="en-US" w:eastAsia="zh-CN"/>
              </w:rPr>
            </w:pPr>
            <w:r>
              <w:rPr>
                <w:rFonts w:hint="eastAsia" w:ascii="宋体" w:hAnsi="宋体" w:cs="宋体"/>
                <w:color w:val="auto"/>
                <w:kern w:val="0"/>
                <w:szCs w:val="18"/>
                <w:highlight w:val="none"/>
                <w:lang w:val="en-US" w:eastAsia="zh-CN"/>
              </w:rPr>
              <w:t>安庆市交通控股集团有限公司集采中心</w:t>
            </w:r>
          </w:p>
        </w:tc>
      </w:tr>
      <w:tr w14:paraId="192D4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FCEE9A2">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1068" w:type="pct"/>
            <w:tcBorders>
              <w:top w:val="single" w:color="auto" w:sz="4" w:space="0"/>
              <w:left w:val="single" w:color="auto" w:sz="4" w:space="0"/>
              <w:bottom w:val="single" w:color="auto" w:sz="4" w:space="0"/>
              <w:right w:val="single" w:color="auto" w:sz="4" w:space="0"/>
            </w:tcBorders>
            <w:vAlign w:val="center"/>
          </w:tcPr>
          <w:p w14:paraId="6C220BE3">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lang w:val="en-US" w:eastAsia="zh-CN"/>
              </w:rPr>
              <w:t>采购</w:t>
            </w:r>
            <w:r>
              <w:rPr>
                <w:rFonts w:hint="eastAsia"/>
                <w:color w:val="auto"/>
                <w:szCs w:val="21"/>
                <w:highlight w:val="none"/>
              </w:rPr>
              <w:t>方式</w:t>
            </w:r>
          </w:p>
        </w:tc>
        <w:tc>
          <w:tcPr>
            <w:tcW w:w="3570" w:type="pct"/>
            <w:tcBorders>
              <w:top w:val="single" w:color="auto" w:sz="4" w:space="0"/>
              <w:left w:val="single" w:color="auto" w:sz="4" w:space="0"/>
              <w:bottom w:val="single" w:color="auto" w:sz="4" w:space="0"/>
              <w:right w:val="single" w:color="auto" w:sz="4" w:space="0"/>
            </w:tcBorders>
            <w:vAlign w:val="center"/>
          </w:tcPr>
          <w:p w14:paraId="05D09E0A">
            <w:pPr>
              <w:keepNext w:val="0"/>
              <w:keepLines w:val="0"/>
              <w:suppressLineNumbers w:val="0"/>
              <w:spacing w:before="0" w:beforeAutospacing="0" w:after="0" w:afterAutospacing="0" w:line="420" w:lineRule="exact"/>
              <w:ind w:left="0" w:right="0"/>
              <w:rPr>
                <w:rFonts w:hint="eastAsia" w:eastAsia="宋体"/>
                <w:color w:val="auto"/>
                <w:szCs w:val="21"/>
                <w:highlight w:val="none"/>
                <w:lang w:eastAsia="zh-CN"/>
              </w:rPr>
            </w:pPr>
            <w:r>
              <w:rPr>
                <w:rFonts w:hint="eastAsia"/>
                <w:color w:val="auto"/>
                <w:szCs w:val="21"/>
                <w:highlight w:val="none"/>
                <w:lang w:val="en-US" w:eastAsia="zh-CN"/>
              </w:rPr>
              <w:t>比选</w:t>
            </w:r>
          </w:p>
        </w:tc>
      </w:tr>
      <w:tr w14:paraId="72776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CEC5EBE">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1068" w:type="pct"/>
            <w:tcBorders>
              <w:top w:val="single" w:color="auto" w:sz="4" w:space="0"/>
              <w:left w:val="single" w:color="auto" w:sz="4" w:space="0"/>
              <w:bottom w:val="single" w:color="auto" w:sz="4" w:space="0"/>
              <w:right w:val="single" w:color="auto" w:sz="4" w:space="0"/>
            </w:tcBorders>
            <w:vAlign w:val="center"/>
          </w:tcPr>
          <w:p w14:paraId="08465E2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包别划分</w:t>
            </w:r>
          </w:p>
        </w:tc>
        <w:tc>
          <w:tcPr>
            <w:tcW w:w="3570" w:type="pct"/>
            <w:tcBorders>
              <w:top w:val="single" w:color="auto" w:sz="4" w:space="0"/>
              <w:left w:val="single" w:color="auto" w:sz="4" w:space="0"/>
              <w:bottom w:val="single" w:color="auto" w:sz="4" w:space="0"/>
              <w:right w:val="single" w:color="auto" w:sz="4" w:space="0"/>
            </w:tcBorders>
            <w:vAlign w:val="center"/>
          </w:tcPr>
          <w:p w14:paraId="3DD3A0F3">
            <w:pPr>
              <w:keepNext w:val="0"/>
              <w:keepLines w:val="0"/>
              <w:suppressLineNumbers w:val="0"/>
              <w:spacing w:before="0" w:beforeAutospacing="0" w:after="0" w:afterAutospacing="0" w:line="420" w:lineRule="exact"/>
              <w:ind w:left="0" w:right="0"/>
              <w:rPr>
                <w:rFonts w:hint="default"/>
                <w:color w:val="auto"/>
                <w:szCs w:val="21"/>
                <w:highlight w:val="none"/>
                <w:lang w:val="en-US"/>
              </w:rPr>
            </w:pPr>
            <w:r>
              <w:rPr>
                <w:rFonts w:hint="eastAsia" w:ascii="宋体" w:hAnsi="宋体" w:cs="宋体"/>
                <w:color w:val="auto"/>
                <w:kern w:val="0"/>
                <w:szCs w:val="21"/>
                <w:highlight w:val="none"/>
                <w:lang w:val="en-US" w:eastAsia="zh-CN"/>
              </w:rPr>
              <w:t>一个包</w:t>
            </w:r>
          </w:p>
        </w:tc>
      </w:tr>
      <w:tr w14:paraId="3A2B2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9EB73B8">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1068" w:type="pct"/>
            <w:tcBorders>
              <w:top w:val="single" w:color="auto" w:sz="4" w:space="0"/>
              <w:left w:val="single" w:color="auto" w:sz="4" w:space="0"/>
              <w:bottom w:val="single" w:color="auto" w:sz="4" w:space="0"/>
              <w:right w:val="single" w:color="auto" w:sz="4" w:space="0"/>
            </w:tcBorders>
            <w:vAlign w:val="center"/>
          </w:tcPr>
          <w:p w14:paraId="1382741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资金来源</w:t>
            </w:r>
          </w:p>
        </w:tc>
        <w:tc>
          <w:tcPr>
            <w:tcW w:w="3570" w:type="pct"/>
            <w:tcBorders>
              <w:top w:val="single" w:color="auto" w:sz="4" w:space="0"/>
              <w:left w:val="single" w:color="auto" w:sz="4" w:space="0"/>
              <w:bottom w:val="single" w:color="auto" w:sz="4" w:space="0"/>
              <w:right w:val="single" w:color="auto" w:sz="4" w:space="0"/>
            </w:tcBorders>
            <w:vAlign w:val="center"/>
          </w:tcPr>
          <w:p w14:paraId="7C471AB5">
            <w:pPr>
              <w:keepNext w:val="0"/>
              <w:keepLines w:val="0"/>
              <w:suppressLineNumbers w:val="0"/>
              <w:spacing w:before="0" w:beforeAutospacing="0" w:after="0" w:afterAutospacing="0" w:line="420" w:lineRule="exact"/>
              <w:ind w:left="0" w:right="0"/>
              <w:rPr>
                <w:rFonts w:hint="default" w:eastAsia="宋体"/>
                <w:color w:val="auto"/>
                <w:szCs w:val="21"/>
                <w:highlight w:val="none"/>
                <w:lang w:val="en-US" w:eastAsia="zh-CN"/>
              </w:rPr>
            </w:pPr>
            <w:r>
              <w:rPr>
                <w:rFonts w:hint="eastAsia"/>
                <w:color w:val="auto"/>
                <w:szCs w:val="21"/>
                <w:highlight w:val="none"/>
                <w:lang w:val="en-US" w:eastAsia="zh-CN"/>
              </w:rPr>
              <w:t>自筹资金</w:t>
            </w:r>
          </w:p>
        </w:tc>
      </w:tr>
      <w:tr w14:paraId="2936B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60" w:type="pct"/>
            <w:tcBorders>
              <w:top w:val="single" w:color="auto" w:sz="4" w:space="0"/>
              <w:left w:val="single" w:color="auto" w:sz="4" w:space="0"/>
              <w:right w:val="single" w:color="auto" w:sz="4" w:space="0"/>
            </w:tcBorders>
            <w:vAlign w:val="center"/>
          </w:tcPr>
          <w:p w14:paraId="0E392EBA">
            <w:pPr>
              <w:keepNext w:val="0"/>
              <w:keepLines w:val="0"/>
              <w:suppressLineNumbers w:val="0"/>
              <w:spacing w:before="0" w:beforeLines="0" w:beforeAutospacing="0" w:after="0" w:afterLines="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c>
          <w:tcPr>
            <w:tcW w:w="1068" w:type="pct"/>
            <w:tcBorders>
              <w:top w:val="single" w:color="auto" w:sz="4" w:space="0"/>
              <w:left w:val="single" w:color="auto" w:sz="4" w:space="0"/>
              <w:right w:val="single" w:color="auto" w:sz="4" w:space="0"/>
            </w:tcBorders>
            <w:vAlign w:val="center"/>
          </w:tcPr>
          <w:p w14:paraId="626B1799">
            <w:pPr>
              <w:keepNext w:val="0"/>
              <w:keepLines w:val="0"/>
              <w:suppressLineNumbers w:val="0"/>
              <w:spacing w:before="0" w:beforeLines="0" w:beforeAutospacing="0" w:after="0" w:afterLines="0" w:afterAutospacing="0" w:line="420" w:lineRule="exact"/>
              <w:ind w:left="0" w:right="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最高限价</w:t>
            </w:r>
          </w:p>
        </w:tc>
        <w:tc>
          <w:tcPr>
            <w:tcW w:w="3570" w:type="pct"/>
            <w:tcBorders>
              <w:top w:val="single" w:color="auto" w:sz="4" w:space="0"/>
              <w:left w:val="single" w:color="auto" w:sz="4" w:space="0"/>
              <w:bottom w:val="single" w:color="auto" w:sz="4" w:space="0"/>
              <w:right w:val="single" w:color="auto" w:sz="4" w:space="0"/>
            </w:tcBorders>
            <w:vAlign w:val="center"/>
          </w:tcPr>
          <w:p w14:paraId="4F42D6CB">
            <w:pPr>
              <w:keepNext w:val="0"/>
              <w:keepLines w:val="0"/>
              <w:widowControl/>
              <w:suppressLineNumbers w:val="0"/>
              <w:spacing w:before="0" w:beforeAutospacing="0" w:after="0" w:afterAutospacing="0"/>
              <w:ind w:left="0" w:leftChars="0" w:right="0" w:rightChars="0"/>
              <w:jc w:val="left"/>
              <w:textAlignment w:val="center"/>
              <w:rPr>
                <w:rFonts w:hint="default" w:eastAsia="宋体"/>
                <w:color w:val="auto"/>
                <w:szCs w:val="21"/>
                <w:highlight w:val="none"/>
                <w:lang w:val="en-US" w:eastAsia="zh-CN"/>
              </w:rPr>
            </w:pPr>
            <w:r>
              <w:rPr>
                <w:rFonts w:hint="eastAsia"/>
                <w:color w:val="auto"/>
                <w:highlight w:val="none"/>
                <w:lang w:val="en-US" w:eastAsia="zh-CN"/>
              </w:rPr>
              <w:t>100%</w:t>
            </w:r>
          </w:p>
        </w:tc>
      </w:tr>
      <w:tr w14:paraId="39498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2767618">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1068" w:type="pct"/>
            <w:tcBorders>
              <w:top w:val="single" w:color="auto" w:sz="4" w:space="0"/>
              <w:left w:val="single" w:color="auto" w:sz="4" w:space="0"/>
              <w:bottom w:val="single" w:color="auto" w:sz="4" w:space="0"/>
              <w:right w:val="single" w:color="auto" w:sz="4" w:space="0"/>
            </w:tcBorders>
            <w:vAlign w:val="center"/>
          </w:tcPr>
          <w:p w14:paraId="606E9BC3">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项目地点</w:t>
            </w:r>
          </w:p>
        </w:tc>
        <w:tc>
          <w:tcPr>
            <w:tcW w:w="3570" w:type="pct"/>
            <w:tcBorders>
              <w:top w:val="single" w:color="auto" w:sz="4" w:space="0"/>
              <w:left w:val="single" w:color="auto" w:sz="4" w:space="0"/>
              <w:bottom w:val="single" w:color="auto" w:sz="4" w:space="0"/>
              <w:right w:val="single" w:color="auto" w:sz="4" w:space="0"/>
            </w:tcBorders>
            <w:vAlign w:val="center"/>
          </w:tcPr>
          <w:p w14:paraId="5D622C1D">
            <w:pPr>
              <w:keepNext w:val="0"/>
              <w:keepLines w:val="0"/>
              <w:suppressLineNumbers w:val="0"/>
              <w:spacing w:before="0" w:beforeAutospacing="0" w:after="0" w:afterAutospacing="0" w:line="420" w:lineRule="exact"/>
              <w:ind w:left="0" w:right="0"/>
              <w:rPr>
                <w:rFonts w:hint="default" w:eastAsia="宋体"/>
                <w:color w:val="auto"/>
                <w:szCs w:val="21"/>
                <w:highlight w:val="none"/>
                <w:lang w:val="en-US" w:eastAsia="zh-CN"/>
              </w:rPr>
            </w:pPr>
            <w:r>
              <w:rPr>
                <w:rFonts w:hint="eastAsia" w:ascii="宋体" w:hAnsi="宋体" w:cs="宋体"/>
                <w:color w:val="auto"/>
                <w:kern w:val="0"/>
                <w:szCs w:val="18"/>
                <w:highlight w:val="none"/>
                <w:lang w:val="en-US" w:eastAsia="zh-CN"/>
              </w:rPr>
              <w:t>安庆市交通控股集团有限公司</w:t>
            </w:r>
          </w:p>
        </w:tc>
      </w:tr>
      <w:tr w14:paraId="08486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E78552B">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1068" w:type="pct"/>
            <w:tcBorders>
              <w:top w:val="single" w:color="auto" w:sz="4" w:space="0"/>
              <w:left w:val="single" w:color="auto" w:sz="4" w:space="0"/>
              <w:bottom w:val="single" w:color="auto" w:sz="4" w:space="0"/>
              <w:right w:val="single" w:color="auto" w:sz="4" w:space="0"/>
            </w:tcBorders>
            <w:vAlign w:val="center"/>
          </w:tcPr>
          <w:p w14:paraId="0F5DB492">
            <w:pPr>
              <w:keepNext w:val="0"/>
              <w:keepLines w:val="0"/>
              <w:suppressLineNumbers w:val="0"/>
              <w:spacing w:before="0" w:beforeAutospacing="0" w:after="0" w:afterAutospacing="0" w:line="420" w:lineRule="exact"/>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服务期</w:t>
            </w:r>
          </w:p>
        </w:tc>
        <w:tc>
          <w:tcPr>
            <w:tcW w:w="3570" w:type="pct"/>
            <w:tcBorders>
              <w:top w:val="single" w:color="auto" w:sz="4" w:space="0"/>
              <w:left w:val="single" w:color="auto" w:sz="4" w:space="0"/>
              <w:bottom w:val="single" w:color="auto" w:sz="4" w:space="0"/>
              <w:right w:val="single" w:color="auto" w:sz="4" w:space="0"/>
            </w:tcBorders>
            <w:vAlign w:val="center"/>
          </w:tcPr>
          <w:p w14:paraId="1935F991">
            <w:pPr>
              <w:keepNext w:val="0"/>
              <w:keepLines w:val="0"/>
              <w:suppressLineNumbers w:val="0"/>
              <w:spacing w:before="0" w:beforeAutospacing="0" w:after="0" w:afterAutospacing="0" w:line="420" w:lineRule="exact"/>
              <w:ind w:left="0" w:right="0"/>
              <w:rPr>
                <w:rFonts w:hint="default" w:eastAsia="宋体"/>
                <w:color w:val="auto"/>
                <w:szCs w:val="21"/>
                <w:highlight w:val="none"/>
                <w:lang w:val="en-US" w:eastAsia="zh-CN"/>
              </w:rPr>
            </w:pPr>
            <w:r>
              <w:rPr>
                <w:rFonts w:hint="default" w:ascii="宋体" w:hAnsi="宋体" w:eastAsia="宋体" w:cs="宋体"/>
                <w:color w:val="auto"/>
                <w:sz w:val="24"/>
                <w:szCs w:val="24"/>
                <w:highlight w:val="none"/>
              </w:rPr>
              <w:t>合同期限为1年，自合同签订之日起计算。合同期满后，如履约情况良好且双方均同意续签，在年度预算资金能够保障、并符合相关规定及程序的前提下，可续签1年；期满后可再次续签1年，累计服务期限最多不超过3年。</w:t>
            </w:r>
          </w:p>
        </w:tc>
      </w:tr>
      <w:tr w14:paraId="09B77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9D74127">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1</w:t>
            </w:r>
          </w:p>
        </w:tc>
        <w:tc>
          <w:tcPr>
            <w:tcW w:w="1068" w:type="pct"/>
            <w:tcBorders>
              <w:top w:val="single" w:color="auto" w:sz="4" w:space="0"/>
              <w:left w:val="single" w:color="auto" w:sz="4" w:space="0"/>
              <w:bottom w:val="single" w:color="auto" w:sz="4" w:space="0"/>
              <w:right w:val="single" w:color="auto" w:sz="4" w:space="0"/>
            </w:tcBorders>
            <w:vAlign w:val="center"/>
          </w:tcPr>
          <w:p w14:paraId="4C62E64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资格要求</w:t>
            </w:r>
          </w:p>
        </w:tc>
        <w:tc>
          <w:tcPr>
            <w:tcW w:w="3570" w:type="pct"/>
            <w:tcBorders>
              <w:top w:val="single" w:color="auto" w:sz="4" w:space="0"/>
              <w:left w:val="single" w:color="auto" w:sz="4" w:space="0"/>
              <w:bottom w:val="single" w:color="auto" w:sz="4" w:space="0"/>
              <w:right w:val="single" w:color="auto" w:sz="4" w:space="0"/>
            </w:tcBorders>
            <w:vAlign w:val="center"/>
          </w:tcPr>
          <w:p w14:paraId="5E4C7A77">
            <w:pPr>
              <w:keepNext w:val="0"/>
              <w:keepLines w:val="0"/>
              <w:widowControl/>
              <w:suppressLineNumbers w:val="0"/>
              <w:spacing w:before="0" w:beforeAutospacing="0" w:after="0" w:afterAutospacing="0" w:line="500" w:lineRule="exact"/>
              <w:ind w:left="0" w:right="0"/>
              <w:jc w:val="left"/>
              <w:rPr>
                <w:rFonts w:hint="default"/>
                <w:color w:val="auto"/>
                <w:highlight w:val="none"/>
              </w:rPr>
            </w:pPr>
            <w:r>
              <w:rPr>
                <w:rFonts w:hint="eastAsia"/>
                <w:color w:val="auto"/>
                <w:highlight w:val="none"/>
              </w:rPr>
              <w:t>详见比选公告</w:t>
            </w:r>
          </w:p>
        </w:tc>
      </w:tr>
      <w:tr w14:paraId="21EC4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940D06C">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1068" w:type="pct"/>
            <w:tcBorders>
              <w:top w:val="single" w:color="auto" w:sz="4" w:space="0"/>
              <w:left w:val="single" w:color="auto" w:sz="4" w:space="0"/>
              <w:bottom w:val="single" w:color="auto" w:sz="4" w:space="0"/>
              <w:right w:val="single" w:color="auto" w:sz="4" w:space="0"/>
            </w:tcBorders>
            <w:vAlign w:val="center"/>
          </w:tcPr>
          <w:p w14:paraId="5C773C2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资格审查方式</w:t>
            </w:r>
          </w:p>
        </w:tc>
        <w:tc>
          <w:tcPr>
            <w:tcW w:w="3570" w:type="pct"/>
            <w:tcBorders>
              <w:top w:val="single" w:color="auto" w:sz="4" w:space="0"/>
              <w:left w:val="single" w:color="auto" w:sz="4" w:space="0"/>
              <w:bottom w:val="single" w:color="auto" w:sz="4" w:space="0"/>
              <w:right w:val="single" w:color="auto" w:sz="4" w:space="0"/>
            </w:tcBorders>
            <w:vAlign w:val="center"/>
          </w:tcPr>
          <w:p w14:paraId="48889B2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资格后审</w:t>
            </w:r>
          </w:p>
        </w:tc>
      </w:tr>
      <w:tr w14:paraId="28C86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8B29745">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3</w:t>
            </w:r>
          </w:p>
        </w:tc>
        <w:tc>
          <w:tcPr>
            <w:tcW w:w="1068" w:type="pct"/>
            <w:tcBorders>
              <w:top w:val="single" w:color="auto" w:sz="4" w:space="0"/>
              <w:left w:val="single" w:color="auto" w:sz="4" w:space="0"/>
              <w:bottom w:val="single" w:color="auto" w:sz="4" w:space="0"/>
              <w:right w:val="single" w:color="auto" w:sz="4" w:space="0"/>
            </w:tcBorders>
            <w:vAlign w:val="center"/>
          </w:tcPr>
          <w:p w14:paraId="32CF7DB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3570" w:type="pct"/>
            <w:tcBorders>
              <w:top w:val="single" w:color="auto" w:sz="4" w:space="0"/>
              <w:left w:val="single" w:color="auto" w:sz="4" w:space="0"/>
              <w:bottom w:val="single" w:color="auto" w:sz="4" w:space="0"/>
              <w:right w:val="single" w:color="auto" w:sz="4" w:space="0"/>
            </w:tcBorders>
            <w:vAlign w:val="center"/>
          </w:tcPr>
          <w:p w14:paraId="0A8156E8">
            <w:pPr>
              <w:keepNext w:val="0"/>
              <w:keepLines w:val="0"/>
              <w:suppressLineNumbers w:val="0"/>
              <w:spacing w:before="0" w:beforeAutospacing="0" w:after="0" w:afterAutospacing="0" w:line="420" w:lineRule="exact"/>
              <w:ind w:left="-2" w:leftChars="-1" w:right="0" w:firstLine="2"/>
              <w:rPr>
                <w:rFonts w:hint="default"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日历天（从</w:t>
            </w:r>
            <w:r>
              <w:rPr>
                <w:rFonts w:hint="eastAsia" w:ascii="宋体" w:hAnsi="宋体"/>
                <w:color w:val="auto"/>
                <w:szCs w:val="21"/>
                <w:highlight w:val="none"/>
                <w:lang w:eastAsia="zh-CN"/>
              </w:rPr>
              <w:t>参选</w:t>
            </w:r>
            <w:r>
              <w:rPr>
                <w:rFonts w:hint="eastAsia" w:ascii="宋体" w:hAnsi="宋体"/>
                <w:color w:val="auto"/>
                <w:szCs w:val="21"/>
                <w:highlight w:val="none"/>
              </w:rPr>
              <w:t>截止时间算起）</w:t>
            </w:r>
          </w:p>
        </w:tc>
      </w:tr>
      <w:tr w14:paraId="497AA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0522521">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4</w:t>
            </w:r>
          </w:p>
        </w:tc>
        <w:tc>
          <w:tcPr>
            <w:tcW w:w="1068" w:type="pct"/>
            <w:tcBorders>
              <w:top w:val="single" w:color="auto" w:sz="4" w:space="0"/>
              <w:left w:val="single" w:color="auto" w:sz="4" w:space="0"/>
              <w:bottom w:val="single" w:color="auto" w:sz="4" w:space="0"/>
              <w:right w:val="single" w:color="auto" w:sz="4" w:space="0"/>
            </w:tcBorders>
            <w:vAlign w:val="center"/>
          </w:tcPr>
          <w:p w14:paraId="55B854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3570" w:type="pct"/>
            <w:tcBorders>
              <w:top w:val="single" w:color="auto" w:sz="4" w:space="0"/>
              <w:left w:val="single" w:color="auto" w:sz="4" w:space="0"/>
              <w:bottom w:val="single" w:color="auto" w:sz="4" w:space="0"/>
              <w:right w:val="single" w:color="auto" w:sz="4" w:space="0"/>
            </w:tcBorders>
            <w:vAlign w:val="center"/>
          </w:tcPr>
          <w:p w14:paraId="6B0A6129">
            <w:pPr>
              <w:keepNext w:val="0"/>
              <w:keepLines w:val="0"/>
              <w:suppressLineNumbers w:val="0"/>
              <w:spacing w:before="0" w:beforeAutospacing="0" w:after="0" w:afterAutospacing="0" w:line="420" w:lineRule="exact"/>
              <w:ind w:left="0" w:right="0"/>
              <w:rPr>
                <w:rFonts w:hint="default" w:ascii="宋体" w:hAnsi="宋体" w:eastAsia="宋体"/>
                <w:b/>
                <w:color w:val="auto"/>
                <w:spacing w:val="-14"/>
                <w:szCs w:val="21"/>
                <w:highlight w:val="none"/>
                <w:lang w:val="en-US" w:eastAsia="zh-CN"/>
              </w:rPr>
            </w:pPr>
            <w:r>
              <w:rPr>
                <w:rFonts w:hint="eastAsia" w:ascii="宋体" w:hAnsi="宋体"/>
                <w:color w:val="auto"/>
                <w:szCs w:val="21"/>
                <w:highlight w:val="none"/>
                <w:lang w:val="en-US" w:eastAsia="zh-CN"/>
              </w:rPr>
              <w:t>本项目不收取</w:t>
            </w:r>
          </w:p>
        </w:tc>
      </w:tr>
      <w:tr w14:paraId="51652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76941B5">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1068" w:type="pct"/>
            <w:tcBorders>
              <w:top w:val="single" w:color="auto" w:sz="4" w:space="0"/>
              <w:left w:val="single" w:color="auto" w:sz="4" w:space="0"/>
              <w:bottom w:val="single" w:color="auto" w:sz="4" w:space="0"/>
              <w:right w:val="single" w:color="auto" w:sz="4" w:space="0"/>
            </w:tcBorders>
            <w:vAlign w:val="center"/>
          </w:tcPr>
          <w:p w14:paraId="49B27179">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s="宋体"/>
                <w:color w:val="auto"/>
                <w:szCs w:val="21"/>
                <w:highlight w:val="none"/>
                <w:lang w:eastAsia="zh-CN"/>
              </w:rPr>
              <w:t>参选文件</w:t>
            </w:r>
            <w:r>
              <w:rPr>
                <w:rFonts w:hint="eastAsia" w:ascii="宋体" w:hAnsi="宋体" w:cs="宋体"/>
                <w:color w:val="auto"/>
                <w:szCs w:val="21"/>
                <w:highlight w:val="none"/>
              </w:rPr>
              <w:t>份数、密封、装订</w:t>
            </w:r>
          </w:p>
        </w:tc>
        <w:tc>
          <w:tcPr>
            <w:tcW w:w="3570" w:type="pct"/>
            <w:tcBorders>
              <w:top w:val="single" w:color="auto" w:sz="4" w:space="0"/>
              <w:left w:val="single" w:color="auto" w:sz="4" w:space="0"/>
              <w:bottom w:val="single" w:color="auto" w:sz="4" w:space="0"/>
              <w:right w:val="single" w:color="auto" w:sz="4" w:space="0"/>
            </w:tcBorders>
            <w:vAlign w:val="center"/>
          </w:tcPr>
          <w:p w14:paraId="0AA6FC03">
            <w:pPr>
              <w:keepNext w:val="0"/>
              <w:keepLines w:val="0"/>
              <w:suppressLineNumbers w:val="0"/>
              <w:spacing w:before="0" w:beforeAutospacing="0" w:after="0" w:afterAutospacing="0" w:line="420" w:lineRule="exact"/>
              <w:ind w:left="0" w:right="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1.参选文件份数：壹份正本，贰份副本；</w:t>
            </w:r>
          </w:p>
          <w:p w14:paraId="6B8026E4">
            <w:pPr>
              <w:keepNext w:val="0"/>
              <w:keepLines w:val="0"/>
              <w:suppressLineNumbers w:val="0"/>
              <w:spacing w:before="0" w:beforeAutospacing="0" w:after="0" w:afterAutospacing="0" w:line="420" w:lineRule="exact"/>
              <w:ind w:left="0" w:right="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2.参选人应将参选文件的正本和副本同时装于一个袋内。包装密封，并于密封袋上加盖单位公章。密封袋上须写明：项目名称、参选人名称、项目编号。</w:t>
            </w:r>
          </w:p>
          <w:p w14:paraId="47ACFF5D">
            <w:pPr>
              <w:keepNext w:val="0"/>
              <w:keepLines w:val="0"/>
              <w:suppressLineNumbers w:val="0"/>
              <w:spacing w:before="0" w:beforeAutospacing="0" w:after="0" w:afterAutospacing="0" w:line="420" w:lineRule="exact"/>
              <w:ind w:left="0" w:right="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3.参选文件正本和副本均需胶装成册并标明页码，不得采用活页或容易拆解的装订形式。</w:t>
            </w:r>
          </w:p>
          <w:p w14:paraId="3B351CDF">
            <w:pPr>
              <w:keepNext w:val="0"/>
              <w:keepLines w:val="0"/>
              <w:suppressLineNumbers w:val="0"/>
              <w:spacing w:before="0" w:beforeAutospacing="0" w:after="0" w:afterAutospacing="0" w:line="420" w:lineRule="exact"/>
              <w:ind w:left="0" w:right="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4.参选文件封面的需清楚地注明“正本”或“副本”。</w:t>
            </w:r>
          </w:p>
          <w:p w14:paraId="22AF0096">
            <w:pPr>
              <w:keepNext w:val="0"/>
              <w:keepLines w:val="0"/>
              <w:suppressLineNumbers w:val="0"/>
              <w:spacing w:before="0" w:beforeAutospacing="0" w:after="0" w:afterAutospacing="0" w:line="420" w:lineRule="exact"/>
              <w:ind w:left="0" w:right="0"/>
              <w:rPr>
                <w:rFonts w:hint="default"/>
                <w:color w:val="auto"/>
                <w:kern w:val="0"/>
                <w:szCs w:val="21"/>
                <w:highlight w:val="none"/>
              </w:rPr>
            </w:pPr>
            <w:r>
              <w:rPr>
                <w:rFonts w:hint="eastAsia" w:ascii="宋体" w:hAnsi="宋体" w:cs="宋体"/>
                <w:b/>
                <w:color w:val="auto"/>
                <w:szCs w:val="21"/>
                <w:highlight w:val="none"/>
                <w:lang w:val="en-US" w:eastAsia="zh-CN"/>
              </w:rPr>
              <w:t>5.参选人须在递交参选文件截止时间前，到达比选地点现场递交参选文件。</w:t>
            </w:r>
          </w:p>
        </w:tc>
      </w:tr>
      <w:tr w14:paraId="427F9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4874A78">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6</w:t>
            </w:r>
          </w:p>
        </w:tc>
        <w:tc>
          <w:tcPr>
            <w:tcW w:w="1068" w:type="pct"/>
            <w:tcBorders>
              <w:top w:val="single" w:color="auto" w:sz="4" w:space="0"/>
              <w:left w:val="single" w:color="auto" w:sz="4" w:space="0"/>
              <w:bottom w:val="single" w:color="auto" w:sz="4" w:space="0"/>
              <w:right w:val="single" w:color="auto" w:sz="4" w:space="0"/>
            </w:tcBorders>
            <w:vAlign w:val="center"/>
          </w:tcPr>
          <w:p w14:paraId="225B4821">
            <w:pPr>
              <w:keepNext w:val="0"/>
              <w:keepLines w:val="0"/>
              <w:suppressLineNumbers w:val="0"/>
              <w:spacing w:before="0" w:beforeAutospacing="0" w:after="0" w:afterAutospacing="0" w:line="420" w:lineRule="exact"/>
              <w:ind w:left="0" w:right="0"/>
              <w:jc w:val="center"/>
              <w:rPr>
                <w:rFonts w:hint="eastAsia" w:ascii="宋体" w:hAnsi="宋体" w:cs="宋体"/>
                <w:color w:val="auto"/>
                <w:szCs w:val="21"/>
                <w:highlight w:val="none"/>
              </w:rPr>
            </w:pPr>
            <w:r>
              <w:rPr>
                <w:rFonts w:hint="eastAsia" w:ascii="宋体" w:hAnsi="宋体"/>
                <w:color w:val="auto"/>
                <w:szCs w:val="21"/>
                <w:highlight w:val="none"/>
                <w:lang w:eastAsia="zh-CN"/>
              </w:rPr>
              <w:t>参选文件</w:t>
            </w:r>
            <w:r>
              <w:rPr>
                <w:rFonts w:hint="eastAsia" w:ascii="宋体" w:hAnsi="宋体"/>
                <w:color w:val="auto"/>
                <w:szCs w:val="21"/>
                <w:highlight w:val="none"/>
              </w:rPr>
              <w:t>提交</w:t>
            </w:r>
          </w:p>
        </w:tc>
        <w:tc>
          <w:tcPr>
            <w:tcW w:w="3570" w:type="pct"/>
            <w:tcBorders>
              <w:top w:val="single" w:color="auto" w:sz="4" w:space="0"/>
              <w:left w:val="single" w:color="auto" w:sz="4" w:space="0"/>
              <w:bottom w:val="single" w:color="auto" w:sz="4" w:space="0"/>
              <w:right w:val="single" w:color="auto" w:sz="4" w:space="0"/>
            </w:tcBorders>
            <w:vAlign w:val="center"/>
          </w:tcPr>
          <w:p w14:paraId="4B3F5C5F">
            <w:pPr>
              <w:keepNext w:val="0"/>
              <w:keepLines w:val="0"/>
              <w:suppressLineNumbers w:val="0"/>
              <w:autoSpaceDE w:val="0"/>
              <w:autoSpaceDN w:val="0"/>
              <w:adjustRightInd w:val="0"/>
              <w:spacing w:before="0" w:beforeAutospacing="0" w:after="0" w:afterAutospacing="0" w:line="380" w:lineRule="exact"/>
              <w:ind w:left="0" w:right="0"/>
              <w:jc w:val="left"/>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rPr>
              <w:t>地点:</w:t>
            </w:r>
            <w:r>
              <w:rPr>
                <w:rFonts w:hint="eastAsia" w:ascii="宋体" w:hAnsi="宋体"/>
                <w:color w:val="auto"/>
                <w:szCs w:val="21"/>
                <w:highlight w:val="none"/>
                <w:u w:val="none"/>
                <w:lang w:eastAsia="zh-CN"/>
              </w:rPr>
              <w:t>安庆市大观区宜园路16号安庆交控集团</w:t>
            </w:r>
            <w:r>
              <w:rPr>
                <w:rFonts w:hint="eastAsia" w:ascii="宋体" w:hAnsi="宋体"/>
                <w:color w:val="auto"/>
                <w:szCs w:val="21"/>
                <w:highlight w:val="none"/>
                <w:u w:val="none"/>
                <w:lang w:val="en-US" w:eastAsia="zh-CN"/>
              </w:rPr>
              <w:t>二号楼一楼开标室</w:t>
            </w:r>
          </w:p>
          <w:p w14:paraId="0F97F648">
            <w:pPr>
              <w:keepNext w:val="0"/>
              <w:keepLines w:val="0"/>
              <w:suppressLineNumbers w:val="0"/>
              <w:autoSpaceDE w:val="0"/>
              <w:autoSpaceDN w:val="0"/>
              <w:adjustRightInd w:val="0"/>
              <w:spacing w:before="0" w:beforeAutospacing="0" w:after="0" w:afterAutospacing="0" w:line="380" w:lineRule="exact"/>
              <w:ind w:left="0" w:right="0"/>
              <w:jc w:val="left"/>
              <w:rPr>
                <w:rFonts w:hint="eastAsia" w:ascii="宋体" w:hAnsi="宋体" w:cs="宋体"/>
                <w:b/>
                <w:bCs/>
                <w:color w:val="auto"/>
                <w:szCs w:val="21"/>
                <w:highlight w:val="none"/>
                <w:u w:val="none"/>
              </w:rPr>
            </w:pPr>
            <w:r>
              <w:rPr>
                <w:rFonts w:hint="eastAsia" w:ascii="宋体" w:hAnsi="宋体"/>
                <w:color w:val="auto"/>
                <w:szCs w:val="21"/>
                <w:highlight w:val="none"/>
                <w:u w:val="none"/>
                <w:lang w:eastAsia="zh-CN"/>
              </w:rPr>
              <w:t>参选</w:t>
            </w:r>
            <w:r>
              <w:rPr>
                <w:rFonts w:hint="eastAsia" w:ascii="宋体" w:hAnsi="宋体"/>
                <w:color w:val="auto"/>
                <w:szCs w:val="21"/>
                <w:highlight w:val="none"/>
                <w:u w:val="none"/>
              </w:rPr>
              <w:t>截止时间：</w:t>
            </w:r>
            <w:r>
              <w:rPr>
                <w:rFonts w:hint="eastAsia" w:ascii="宋体" w:hAnsi="宋体"/>
                <w:color w:val="auto"/>
                <w:szCs w:val="21"/>
                <w:highlight w:val="none"/>
                <w:u w:val="none"/>
                <w:lang w:val="en-US" w:eastAsia="zh-CN"/>
              </w:rPr>
              <w:t>2026年4月20日15时00分</w:t>
            </w:r>
          </w:p>
        </w:tc>
      </w:tr>
      <w:tr w14:paraId="04941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28D1EE0">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1068" w:type="pct"/>
            <w:tcBorders>
              <w:top w:val="single" w:color="auto" w:sz="4" w:space="0"/>
              <w:left w:val="single" w:color="auto" w:sz="4" w:space="0"/>
              <w:bottom w:val="single" w:color="auto" w:sz="4" w:space="0"/>
              <w:right w:val="single" w:color="auto" w:sz="4" w:space="0"/>
            </w:tcBorders>
            <w:vAlign w:val="center"/>
          </w:tcPr>
          <w:p w14:paraId="7C117F5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媒介发布</w:t>
            </w:r>
          </w:p>
        </w:tc>
        <w:tc>
          <w:tcPr>
            <w:tcW w:w="3570" w:type="pct"/>
            <w:tcBorders>
              <w:top w:val="single" w:color="auto" w:sz="4" w:space="0"/>
              <w:left w:val="single" w:color="auto" w:sz="4" w:space="0"/>
              <w:bottom w:val="single" w:color="auto" w:sz="4" w:space="0"/>
              <w:right w:val="single" w:color="auto" w:sz="4" w:space="0"/>
            </w:tcBorders>
            <w:vAlign w:val="center"/>
          </w:tcPr>
          <w:p w14:paraId="2657B988">
            <w:pPr>
              <w:keepNext w:val="0"/>
              <w:keepLines w:val="0"/>
              <w:suppressLineNumbers w:val="0"/>
              <w:autoSpaceDE w:val="0"/>
              <w:autoSpaceDN w:val="0"/>
              <w:adjustRightInd w:val="0"/>
              <w:spacing w:before="0" w:beforeAutospacing="0" w:after="0" w:afterAutospacing="0" w:line="380" w:lineRule="exact"/>
              <w:ind w:left="0" w:right="0"/>
              <w:jc w:val="left"/>
              <w:rPr>
                <w:rFonts w:hint="eastAsia" w:ascii="宋体" w:hAnsi="宋体"/>
                <w:color w:val="auto"/>
                <w:szCs w:val="21"/>
                <w:highlight w:val="none"/>
                <w:u w:val="none"/>
              </w:rPr>
            </w:pPr>
            <w:r>
              <w:rPr>
                <w:rFonts w:hint="eastAsia" w:ascii="宋体" w:hAnsi="宋体"/>
                <w:color w:val="auto"/>
                <w:szCs w:val="21"/>
                <w:highlight w:val="none"/>
                <w:u w:val="none"/>
              </w:rPr>
              <w:t>在</w:t>
            </w:r>
            <w:r>
              <w:rPr>
                <w:rFonts w:hint="eastAsia" w:ascii="宋体" w:hAnsi="宋体"/>
                <w:color w:val="auto"/>
                <w:szCs w:val="21"/>
                <w:highlight w:val="none"/>
                <w:u w:val="none"/>
                <w:lang w:eastAsia="zh-CN"/>
              </w:rPr>
              <w:t>安庆市交通控股集团有限公司集采</w:t>
            </w:r>
            <w:r>
              <w:rPr>
                <w:rFonts w:hint="eastAsia" w:ascii="宋体" w:hAnsi="宋体"/>
                <w:color w:val="auto"/>
                <w:szCs w:val="21"/>
                <w:highlight w:val="none"/>
                <w:u w:val="none"/>
                <w:lang w:val="en-US" w:eastAsia="zh-CN"/>
              </w:rPr>
              <w:t>平台</w:t>
            </w:r>
            <w:r>
              <w:rPr>
                <w:rFonts w:hint="eastAsia" w:ascii="宋体" w:hAnsi="宋体"/>
                <w:color w:val="auto"/>
                <w:szCs w:val="21"/>
                <w:highlight w:val="none"/>
                <w:u w:val="none"/>
              </w:rPr>
              <w:t>（</w:t>
            </w:r>
            <w:r>
              <w:rPr>
                <w:rFonts w:hint="eastAsia" w:ascii="宋体" w:hAnsi="宋体"/>
                <w:color w:val="auto"/>
                <w:szCs w:val="21"/>
                <w:highlight w:val="none"/>
                <w:u w:val="none"/>
                <w:lang w:eastAsia="zh-CN"/>
              </w:rPr>
              <w:t>http：//jc.zh0556.com/</w:t>
            </w:r>
            <w:r>
              <w:rPr>
                <w:rFonts w:hint="eastAsia" w:ascii="宋体" w:hAnsi="宋体"/>
                <w:color w:val="auto"/>
                <w:szCs w:val="21"/>
                <w:highlight w:val="none"/>
                <w:u w:val="none"/>
              </w:rPr>
              <w:t>）发布</w:t>
            </w:r>
          </w:p>
        </w:tc>
      </w:tr>
      <w:tr w14:paraId="393E7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F7694F3">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8</w:t>
            </w:r>
          </w:p>
        </w:tc>
        <w:tc>
          <w:tcPr>
            <w:tcW w:w="1068" w:type="pct"/>
            <w:tcBorders>
              <w:top w:val="single" w:color="auto" w:sz="4" w:space="0"/>
              <w:left w:val="single" w:color="auto" w:sz="4" w:space="0"/>
              <w:bottom w:val="single" w:color="auto" w:sz="4" w:space="0"/>
              <w:right w:val="single" w:color="auto" w:sz="4" w:space="0"/>
            </w:tcBorders>
            <w:vAlign w:val="center"/>
          </w:tcPr>
          <w:p w14:paraId="5EA89E8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开标时间和地点</w:t>
            </w:r>
          </w:p>
        </w:tc>
        <w:tc>
          <w:tcPr>
            <w:tcW w:w="3570" w:type="pct"/>
            <w:tcBorders>
              <w:top w:val="single" w:color="auto" w:sz="4" w:space="0"/>
              <w:left w:val="single" w:color="auto" w:sz="4" w:space="0"/>
              <w:bottom w:val="single" w:color="auto" w:sz="4" w:space="0"/>
              <w:right w:val="single" w:color="auto" w:sz="4" w:space="0"/>
            </w:tcBorders>
            <w:vAlign w:val="center"/>
          </w:tcPr>
          <w:p w14:paraId="2A683CF5">
            <w:pPr>
              <w:keepNext w:val="0"/>
              <w:keepLines w:val="0"/>
              <w:suppressLineNumbers w:val="0"/>
              <w:spacing w:before="0" w:beforeAutospacing="0" w:after="0" w:afterAutospacing="0" w:line="420" w:lineRule="exact"/>
              <w:ind w:left="0" w:right="0"/>
              <w:rPr>
                <w:rFonts w:hint="default" w:ascii="宋体" w:hAnsi="宋体"/>
                <w:color w:val="auto"/>
                <w:szCs w:val="21"/>
                <w:highlight w:val="none"/>
                <w:u w:val="none"/>
              </w:rPr>
            </w:pPr>
            <w:r>
              <w:rPr>
                <w:rFonts w:hint="eastAsia" w:ascii="宋体" w:hAnsi="宋体"/>
                <w:color w:val="auto"/>
                <w:szCs w:val="21"/>
                <w:highlight w:val="none"/>
                <w:u w:val="none"/>
              </w:rPr>
              <w:t>时间:</w:t>
            </w:r>
            <w:r>
              <w:rPr>
                <w:rFonts w:hint="eastAsia" w:ascii="宋体" w:hAnsi="宋体"/>
                <w:color w:val="auto"/>
                <w:szCs w:val="21"/>
                <w:highlight w:val="none"/>
                <w:u w:val="none"/>
                <w:lang w:val="en-US" w:eastAsia="zh-CN"/>
              </w:rPr>
              <w:t>2026年4月20日15时00分</w:t>
            </w:r>
          </w:p>
          <w:p w14:paraId="0A3F298A">
            <w:pPr>
              <w:keepNext w:val="0"/>
              <w:keepLines w:val="0"/>
              <w:suppressLineNumbers w:val="0"/>
              <w:spacing w:before="0" w:beforeAutospacing="0" w:after="0" w:afterAutospacing="0" w:line="420" w:lineRule="exact"/>
              <w:ind w:left="0" w:right="0"/>
              <w:rPr>
                <w:rFonts w:hint="default" w:ascii="宋体" w:hAnsi="宋体"/>
                <w:color w:val="auto"/>
                <w:szCs w:val="21"/>
                <w:highlight w:val="none"/>
                <w:u w:val="none"/>
                <w:lang w:val="en-US" w:eastAsia="zh-CN"/>
              </w:rPr>
            </w:pPr>
            <w:r>
              <w:rPr>
                <w:rFonts w:hint="eastAsia" w:ascii="宋体" w:hAnsi="宋体"/>
                <w:color w:val="auto"/>
                <w:szCs w:val="21"/>
                <w:highlight w:val="none"/>
                <w:u w:val="none"/>
              </w:rPr>
              <w:t>地点:</w:t>
            </w:r>
            <w:r>
              <w:rPr>
                <w:rFonts w:hint="eastAsia" w:ascii="宋体" w:hAnsi="宋体"/>
                <w:color w:val="auto"/>
                <w:szCs w:val="21"/>
                <w:highlight w:val="none"/>
                <w:u w:val="none"/>
                <w:lang w:eastAsia="zh-CN"/>
              </w:rPr>
              <w:t>安庆市大观区宜园路16号安庆交控集团</w:t>
            </w:r>
            <w:r>
              <w:rPr>
                <w:rFonts w:hint="eastAsia" w:ascii="宋体" w:hAnsi="宋体"/>
                <w:color w:val="auto"/>
                <w:szCs w:val="21"/>
                <w:highlight w:val="none"/>
                <w:u w:val="none"/>
                <w:lang w:val="en-US" w:eastAsia="zh-CN"/>
              </w:rPr>
              <w:t>2号楼1楼开标室</w:t>
            </w:r>
          </w:p>
        </w:tc>
      </w:tr>
      <w:tr w14:paraId="0BA28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C3333CA">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1068" w:type="pct"/>
            <w:tcBorders>
              <w:top w:val="single" w:color="auto" w:sz="4" w:space="0"/>
              <w:left w:val="single" w:color="auto" w:sz="4" w:space="0"/>
              <w:bottom w:val="single" w:color="auto" w:sz="4" w:space="0"/>
              <w:right w:val="single" w:color="auto" w:sz="4" w:space="0"/>
            </w:tcBorders>
            <w:vAlign w:val="center"/>
          </w:tcPr>
          <w:p w14:paraId="3C8A590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评标方法</w:t>
            </w:r>
          </w:p>
        </w:tc>
        <w:tc>
          <w:tcPr>
            <w:tcW w:w="3570" w:type="pct"/>
            <w:tcBorders>
              <w:top w:val="single" w:color="auto" w:sz="4" w:space="0"/>
              <w:left w:val="single" w:color="auto" w:sz="4" w:space="0"/>
              <w:bottom w:val="single" w:color="auto" w:sz="4" w:space="0"/>
              <w:right w:val="single" w:color="auto" w:sz="4" w:space="0"/>
            </w:tcBorders>
            <w:vAlign w:val="center"/>
          </w:tcPr>
          <w:p w14:paraId="36374AA4">
            <w:pPr>
              <w:keepNext w:val="0"/>
              <w:keepLines w:val="0"/>
              <w:suppressLineNumbers w:val="0"/>
              <w:spacing w:before="0" w:beforeAutospacing="0" w:after="0" w:afterAutospacing="0" w:line="420" w:lineRule="exact"/>
              <w:ind w:left="0" w:right="0"/>
              <w:rPr>
                <w:rFonts w:hint="eastAsia" w:ascii="宋体" w:hAnsi="宋体" w:eastAsia="宋体"/>
                <w:color w:val="auto"/>
                <w:szCs w:val="21"/>
                <w:highlight w:val="none"/>
                <w:lang w:eastAsia="zh-CN"/>
              </w:rPr>
            </w:pPr>
            <w:r>
              <w:rPr>
                <w:rFonts w:hint="eastAsia" w:ascii="宋体" w:hAnsi="宋体"/>
                <w:b/>
                <w:color w:val="auto"/>
                <w:szCs w:val="21"/>
                <w:highlight w:val="none"/>
                <w:lang w:val="en-US" w:eastAsia="zh-CN"/>
              </w:rPr>
              <w:t>综合评分法</w:t>
            </w:r>
          </w:p>
        </w:tc>
      </w:tr>
      <w:tr w14:paraId="0C601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43A21F9">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1068" w:type="pct"/>
            <w:tcBorders>
              <w:top w:val="single" w:color="auto" w:sz="4" w:space="0"/>
              <w:left w:val="single" w:color="auto" w:sz="4" w:space="0"/>
              <w:bottom w:val="single" w:color="auto" w:sz="4" w:space="0"/>
              <w:right w:val="single" w:color="auto" w:sz="4" w:space="0"/>
            </w:tcBorders>
            <w:vAlign w:val="center"/>
          </w:tcPr>
          <w:p w14:paraId="5A073711">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cs="Times New Roman"/>
                <w:b w:val="0"/>
                <w:bCs w:val="0"/>
                <w:color w:val="auto"/>
                <w:szCs w:val="21"/>
                <w:highlight w:val="none"/>
              </w:rPr>
              <w:t>专家评审费（元）</w:t>
            </w:r>
          </w:p>
        </w:tc>
        <w:tc>
          <w:tcPr>
            <w:tcW w:w="3570" w:type="pct"/>
            <w:tcBorders>
              <w:top w:val="single" w:color="auto" w:sz="4" w:space="0"/>
              <w:left w:val="single" w:color="auto" w:sz="4" w:space="0"/>
              <w:bottom w:val="single" w:color="auto" w:sz="4" w:space="0"/>
              <w:right w:val="single" w:color="auto" w:sz="4" w:space="0"/>
            </w:tcBorders>
            <w:vAlign w:val="center"/>
          </w:tcPr>
          <w:p w14:paraId="289D3E12">
            <w:pPr>
              <w:keepNext w:val="0"/>
              <w:keepLines w:val="0"/>
              <w:suppressLineNumbers w:val="0"/>
              <w:spacing w:before="0" w:beforeAutospacing="0" w:after="0" w:afterAutospacing="0" w:line="420" w:lineRule="exact"/>
              <w:ind w:left="0" w:right="0"/>
              <w:rPr>
                <w:rFonts w:hint="eastAsia" w:ascii="宋体" w:hAnsi="宋体" w:cs="宋体"/>
                <w:b/>
                <w:bCs/>
                <w:color w:val="auto"/>
                <w:szCs w:val="21"/>
                <w:highlight w:val="none"/>
                <w:lang w:eastAsia="zh-CN"/>
              </w:rPr>
            </w:pPr>
            <w:r>
              <w:rPr>
                <w:rFonts w:hint="eastAsia" w:ascii="宋体" w:hAnsi="Times New Roman" w:eastAsia="宋体" w:cs="Times New Roman"/>
                <w:b/>
                <w:bCs/>
                <w:color w:val="auto"/>
                <w:szCs w:val="21"/>
                <w:highlight w:val="none"/>
                <w:lang w:val="en-US" w:eastAsia="zh-CN"/>
              </w:rPr>
              <w:t>由成交人承担</w:t>
            </w:r>
          </w:p>
        </w:tc>
      </w:tr>
      <w:tr w14:paraId="19F66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1F93824">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21</w:t>
            </w:r>
          </w:p>
        </w:tc>
        <w:tc>
          <w:tcPr>
            <w:tcW w:w="1068" w:type="pct"/>
            <w:tcBorders>
              <w:top w:val="single" w:color="auto" w:sz="4" w:space="0"/>
              <w:left w:val="single" w:color="auto" w:sz="4" w:space="0"/>
              <w:bottom w:val="single" w:color="auto" w:sz="4" w:space="0"/>
              <w:right w:val="single" w:color="auto" w:sz="4" w:space="0"/>
            </w:tcBorders>
            <w:vAlign w:val="center"/>
          </w:tcPr>
          <w:p w14:paraId="40D396F4">
            <w:pPr>
              <w:keepNext w:val="0"/>
              <w:keepLines w:val="0"/>
              <w:suppressLineNumbers w:val="0"/>
              <w:spacing w:before="0" w:beforeAutospacing="0" w:after="0" w:afterAutospacing="0" w:line="420" w:lineRule="exact"/>
              <w:ind w:left="0" w:right="0"/>
              <w:jc w:val="center"/>
              <w:rPr>
                <w:rFonts w:hint="default" w:ascii="宋体" w:hAnsi="宋体"/>
                <w:b/>
                <w:bCs/>
                <w:color w:val="auto"/>
                <w:szCs w:val="21"/>
                <w:highlight w:val="none"/>
              </w:rPr>
            </w:pPr>
            <w:r>
              <w:rPr>
                <w:rFonts w:hint="eastAsia" w:ascii="宋体" w:hAnsi="宋体"/>
                <w:b w:val="0"/>
                <w:bCs w:val="0"/>
                <w:color w:val="auto"/>
                <w:szCs w:val="21"/>
                <w:highlight w:val="none"/>
              </w:rPr>
              <w:t>履约保证金</w:t>
            </w:r>
          </w:p>
        </w:tc>
        <w:tc>
          <w:tcPr>
            <w:tcW w:w="3570" w:type="pct"/>
            <w:tcBorders>
              <w:top w:val="single" w:color="auto" w:sz="4" w:space="0"/>
              <w:left w:val="single" w:color="auto" w:sz="4" w:space="0"/>
              <w:bottom w:val="single" w:color="auto" w:sz="4" w:space="0"/>
              <w:right w:val="single" w:color="auto" w:sz="4" w:space="0"/>
            </w:tcBorders>
            <w:vAlign w:val="center"/>
          </w:tcPr>
          <w:p w14:paraId="19F7DBB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（1）履约保证金的金额：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人民币壹万元整（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000.00元</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w:t>
            </w:r>
          </w:p>
          <w:p w14:paraId="3D5EC579">
            <w:pPr>
              <w:keepNext w:val="0"/>
              <w:keepLines w:val="0"/>
              <w:suppressLineNumbers w:val="0"/>
              <w:spacing w:before="0" w:beforeAutospacing="0" w:after="0" w:afterAutospacing="0" w:line="480" w:lineRule="exact"/>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（2）履约保证金的形式：可以为银行转账、银行电汇</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银行保函、担保机构担保、保证保险。</w:t>
            </w:r>
          </w:p>
          <w:p w14:paraId="5D690D8D">
            <w:pPr>
              <w:keepNext w:val="0"/>
              <w:keepLines w:val="0"/>
              <w:numPr>
                <w:ilvl w:val="0"/>
                <w:numId w:val="0"/>
              </w:numPr>
              <w:suppressLineNumbers w:val="0"/>
              <w:spacing w:before="0" w:beforeAutospacing="0" w:after="0" w:afterAutospacing="0" w:line="420" w:lineRule="exact"/>
              <w:ind w:left="0" w:right="0" w:rightChars="0"/>
              <w:rPr>
                <w:rFonts w:hint="default"/>
                <w:color w:val="auto"/>
                <w:highlight w:val="none"/>
                <w:lang w:val="en-US" w:eastAsia="zh-CN"/>
              </w:rPr>
            </w:pPr>
            <w:r>
              <w:rPr>
                <w:rFonts w:hint="eastAsia" w:ascii="宋体" w:hAnsi="宋体" w:eastAsia="宋体" w:cs="宋体"/>
                <w:color w:val="auto"/>
                <w:szCs w:val="21"/>
                <w:highlight w:val="none"/>
              </w:rPr>
              <w:t>（3）提交时限：中标人在合同签订前应按招标文件要求提交履约担保。若中标人未按规定提交履约担保的，招标人可取消其中标资格，并保留进一步追偿的权利。</w:t>
            </w:r>
          </w:p>
        </w:tc>
      </w:tr>
      <w:tr w14:paraId="00062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5"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6D962CA">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2</w:t>
            </w:r>
          </w:p>
        </w:tc>
        <w:tc>
          <w:tcPr>
            <w:tcW w:w="1068" w:type="pct"/>
            <w:tcBorders>
              <w:top w:val="single" w:color="auto" w:sz="4" w:space="0"/>
              <w:left w:val="single" w:color="auto" w:sz="4" w:space="0"/>
              <w:bottom w:val="single" w:color="auto" w:sz="4" w:space="0"/>
              <w:right w:val="single" w:color="auto" w:sz="4" w:space="0"/>
            </w:tcBorders>
            <w:vAlign w:val="center"/>
          </w:tcPr>
          <w:p w14:paraId="6B454A4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b w:val="0"/>
                <w:bCs w:val="0"/>
                <w:color w:val="auto"/>
                <w:szCs w:val="21"/>
                <w:highlight w:val="none"/>
              </w:rPr>
              <w:t>付款方式</w:t>
            </w:r>
          </w:p>
        </w:tc>
        <w:tc>
          <w:tcPr>
            <w:tcW w:w="3570" w:type="pct"/>
            <w:tcBorders>
              <w:top w:val="single" w:color="auto" w:sz="4" w:space="0"/>
              <w:left w:val="single" w:color="auto" w:sz="4" w:space="0"/>
              <w:bottom w:val="single" w:color="auto" w:sz="4" w:space="0"/>
              <w:right w:val="single" w:color="auto" w:sz="4" w:space="0"/>
            </w:tcBorders>
            <w:vAlign w:val="center"/>
          </w:tcPr>
          <w:p w14:paraId="4E74DF82">
            <w:pPr>
              <w:keepNext w:val="0"/>
              <w:keepLines w:val="0"/>
              <w:suppressLineNumbers w:val="0"/>
              <w:spacing w:before="0" w:beforeAutospacing="0" w:after="0" w:afterAutospacing="0" w:line="420" w:lineRule="exact"/>
              <w:ind w:left="0" w:right="0"/>
              <w:jc w:val="left"/>
              <w:rPr>
                <w:rFonts w:hint="eastAsia" w:ascii="宋体" w:hAnsi="宋体" w:eastAsia="宋体"/>
                <w:b/>
                <w:bCs/>
                <w:color w:val="auto"/>
                <w:szCs w:val="21"/>
                <w:highlight w:val="none"/>
                <w:lang w:eastAsia="zh-CN"/>
              </w:rPr>
            </w:pPr>
            <w:r>
              <w:rPr>
                <w:rFonts w:hint="eastAsia" w:ascii="宋体" w:hAnsi="宋体" w:eastAsia="宋体" w:cs="宋体"/>
                <w:color w:val="auto"/>
                <w:spacing w:val="10"/>
                <w:sz w:val="21"/>
                <w:szCs w:val="21"/>
                <w:highlight w:val="none"/>
                <w:lang w:val="en-US" w:eastAsia="zh-CN"/>
              </w:rPr>
              <w:t>双方需在每季度次月5日前，就上季度轮胎维修使用情况进行核对，核对无异议后，投标人开具增值税专用发票给业主单位，业主单位于次月15日前一次性支付投标人上季度货款。（节假日顺延）</w:t>
            </w:r>
            <w:r>
              <w:rPr>
                <w:rFonts w:hint="eastAsia" w:ascii="宋体" w:hAnsi="宋体" w:eastAsia="宋体" w:cs="宋体"/>
                <w:color w:val="auto"/>
                <w:sz w:val="21"/>
                <w:szCs w:val="21"/>
                <w:highlight w:val="none"/>
                <w:lang w:val="en-US" w:eastAsia="zh-CN"/>
              </w:rPr>
              <w:t>（结算价=费用单价*中标费率）</w:t>
            </w:r>
          </w:p>
        </w:tc>
      </w:tr>
      <w:tr w14:paraId="40278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394A539">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1068" w:type="pct"/>
            <w:tcBorders>
              <w:top w:val="single" w:color="auto" w:sz="4" w:space="0"/>
              <w:left w:val="single" w:color="auto" w:sz="4" w:space="0"/>
              <w:bottom w:val="single" w:color="auto" w:sz="4" w:space="0"/>
              <w:right w:val="single" w:color="auto" w:sz="4" w:space="0"/>
            </w:tcBorders>
            <w:vAlign w:val="center"/>
          </w:tcPr>
          <w:p w14:paraId="70EFC773">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廉政监督和投诉举报</w:t>
            </w:r>
          </w:p>
        </w:tc>
        <w:tc>
          <w:tcPr>
            <w:tcW w:w="3570" w:type="pct"/>
            <w:tcBorders>
              <w:top w:val="single" w:color="auto" w:sz="4" w:space="0"/>
              <w:left w:val="single" w:color="auto" w:sz="4" w:space="0"/>
              <w:bottom w:val="single" w:color="auto" w:sz="4" w:space="0"/>
              <w:right w:val="single" w:color="auto" w:sz="4" w:space="0"/>
            </w:tcBorders>
            <w:vAlign w:val="center"/>
          </w:tcPr>
          <w:p w14:paraId="000B9AD3">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凡有意参加</w:t>
            </w:r>
            <w:r>
              <w:rPr>
                <w:rFonts w:hint="eastAsia" w:cs="Times New Roman"/>
                <w:color w:val="auto"/>
                <w:szCs w:val="20"/>
                <w:highlight w:val="none"/>
                <w:lang w:eastAsia="zh-CN"/>
              </w:rPr>
              <w:t>参选</w:t>
            </w:r>
            <w:r>
              <w:rPr>
                <w:rFonts w:hint="eastAsia" w:ascii="Times New Roman" w:hAnsi="Times New Roman" w:eastAsia="宋体" w:cs="Times New Roman"/>
                <w:color w:val="auto"/>
                <w:szCs w:val="20"/>
                <w:highlight w:val="none"/>
              </w:rPr>
              <w:t>的单位，在参与过程中，遇排斥潜在</w:t>
            </w:r>
            <w:r>
              <w:rPr>
                <w:rFonts w:hint="eastAsia" w:cs="Times New Roman"/>
                <w:color w:val="auto"/>
                <w:szCs w:val="20"/>
                <w:highlight w:val="none"/>
                <w:lang w:eastAsia="zh-CN"/>
              </w:rPr>
              <w:t>参选人</w:t>
            </w:r>
            <w:r>
              <w:rPr>
                <w:rFonts w:hint="eastAsia" w:ascii="Times New Roman" w:hAnsi="Times New Roman" w:eastAsia="宋体" w:cs="Times New Roman"/>
                <w:color w:val="auto"/>
                <w:szCs w:val="20"/>
                <w:highlight w:val="none"/>
              </w:rPr>
              <w:t>等现象，可在开标截止时间1日前向招标部门提出书面质疑。如对质疑答复不满，可在开标截止时间前不少于12小时将书面投诉材料送达至监察部门。</w:t>
            </w:r>
          </w:p>
          <w:p w14:paraId="28B36443">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地址：安庆市交通控股集团有限公司一号楼纪检监察室。</w:t>
            </w:r>
          </w:p>
          <w:p w14:paraId="2135E4AE">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szCs w:val="20"/>
                <w:highlight w:val="none"/>
              </w:rPr>
              <w:t>电话：0556-5595102</w:t>
            </w:r>
          </w:p>
        </w:tc>
      </w:tr>
      <w:tr w14:paraId="750DE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275159D">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24</w:t>
            </w:r>
          </w:p>
        </w:tc>
        <w:tc>
          <w:tcPr>
            <w:tcW w:w="1068" w:type="pct"/>
            <w:tcBorders>
              <w:top w:val="single" w:color="auto" w:sz="4" w:space="0"/>
              <w:left w:val="single" w:color="auto" w:sz="4" w:space="0"/>
              <w:bottom w:val="single" w:color="auto" w:sz="4" w:space="0"/>
              <w:right w:val="single" w:color="auto" w:sz="4" w:space="0"/>
            </w:tcBorders>
            <w:vAlign w:val="center"/>
          </w:tcPr>
          <w:p w14:paraId="0CEBBE3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备注</w:t>
            </w:r>
          </w:p>
        </w:tc>
        <w:tc>
          <w:tcPr>
            <w:tcW w:w="3570" w:type="pct"/>
            <w:tcBorders>
              <w:top w:val="single" w:color="auto" w:sz="4" w:space="0"/>
              <w:left w:val="single" w:color="auto" w:sz="4" w:space="0"/>
              <w:bottom w:val="single" w:color="auto" w:sz="4" w:space="0"/>
              <w:right w:val="single" w:color="auto" w:sz="4" w:space="0"/>
            </w:tcBorders>
            <w:vAlign w:val="center"/>
          </w:tcPr>
          <w:p w14:paraId="4823A601">
            <w:pPr>
              <w:keepNext w:val="0"/>
              <w:keepLines w:val="0"/>
              <w:suppressLineNumbers w:val="0"/>
              <w:spacing w:before="0" w:beforeAutospacing="0" w:after="0" w:afterAutospacing="0" w:line="420" w:lineRule="exact"/>
              <w:ind w:left="0" w:right="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w:t>
            </w:r>
            <w:r>
              <w:rPr>
                <w:rFonts w:hint="eastAsia" w:ascii="宋体" w:hAnsi="宋体"/>
                <w:color w:val="auto"/>
                <w:szCs w:val="21"/>
                <w:highlight w:val="none"/>
                <w:lang w:eastAsia="zh-CN"/>
              </w:rPr>
              <w:t>比选文件</w:t>
            </w:r>
            <w:r>
              <w:rPr>
                <w:rFonts w:hint="eastAsia" w:ascii="宋体" w:hAnsi="宋体"/>
                <w:color w:val="auto"/>
                <w:szCs w:val="21"/>
                <w:highlight w:val="none"/>
              </w:rPr>
              <w:t>的解释权归采购</w:t>
            </w:r>
            <w:r>
              <w:rPr>
                <w:rFonts w:hint="eastAsia" w:ascii="宋体" w:hAnsi="宋体"/>
                <w:color w:val="auto"/>
                <w:szCs w:val="21"/>
                <w:highlight w:val="none"/>
                <w:lang w:val="en-US" w:eastAsia="zh-CN"/>
              </w:rPr>
              <w:t>管理部门</w:t>
            </w:r>
            <w:r>
              <w:rPr>
                <w:rFonts w:hint="eastAsia" w:ascii="宋体" w:hAnsi="宋体"/>
                <w:color w:val="auto"/>
                <w:szCs w:val="21"/>
                <w:highlight w:val="none"/>
              </w:rPr>
              <w:t>。</w:t>
            </w:r>
          </w:p>
          <w:p w14:paraId="78402720">
            <w:pPr>
              <w:keepNext w:val="0"/>
              <w:keepLines w:val="0"/>
              <w:suppressLineNumbers w:val="0"/>
              <w:spacing w:before="0" w:beforeAutospacing="0" w:after="0" w:afterAutospacing="0" w:line="420" w:lineRule="exact"/>
              <w:ind w:left="0" w:right="0"/>
              <w:rPr>
                <w:rFonts w:hint="default"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2</w:t>
            </w:r>
            <w:r>
              <w:rPr>
                <w:rFonts w:hint="eastAsia" w:ascii="Times New Roman" w:hAnsi="Times New Roman" w:eastAsia="宋体" w:cs="Times New Roman"/>
                <w:color w:val="auto"/>
                <w:szCs w:val="20"/>
                <w:highlight w:val="none"/>
                <w:lang w:eastAsia="zh-CN"/>
              </w:rPr>
              <w:t>、</w:t>
            </w:r>
            <w:r>
              <w:rPr>
                <w:rFonts w:hint="eastAsia" w:ascii="Times New Roman" w:hAnsi="Times New Roman" w:eastAsia="宋体" w:cs="Times New Roman"/>
                <w:color w:val="auto"/>
                <w:szCs w:val="20"/>
                <w:highlight w:val="none"/>
              </w:rPr>
              <w:t>成交人</w:t>
            </w:r>
            <w:r>
              <w:rPr>
                <w:rFonts w:hint="eastAsia" w:ascii="Times New Roman" w:hAnsi="Times New Roman" w:eastAsia="宋体" w:cs="Times New Roman"/>
                <w:color w:val="auto"/>
                <w:szCs w:val="20"/>
                <w:highlight w:val="none"/>
                <w:lang w:val="en-US" w:eastAsia="zh-CN"/>
              </w:rPr>
              <w:t>必须</w:t>
            </w:r>
            <w:r>
              <w:rPr>
                <w:rFonts w:hint="eastAsia" w:cs="Times New Roman"/>
                <w:color w:val="auto"/>
                <w:szCs w:val="20"/>
                <w:highlight w:val="none"/>
                <w:lang w:val="en-US" w:eastAsia="zh-CN"/>
              </w:rPr>
              <w:t>符合相应资格条件</w:t>
            </w:r>
            <w:r>
              <w:rPr>
                <w:rFonts w:hint="default" w:ascii="Times New Roman" w:hAnsi="Times New Roman" w:eastAsia="宋体" w:cs="Times New Roman"/>
                <w:color w:val="auto"/>
                <w:szCs w:val="20"/>
                <w:highlight w:val="none"/>
              </w:rPr>
              <w:t>，</w:t>
            </w:r>
            <w:r>
              <w:rPr>
                <w:rFonts w:hint="eastAsia" w:ascii="Times New Roman" w:hAnsi="Times New Roman" w:eastAsia="宋体" w:cs="Times New Roman"/>
                <w:color w:val="auto"/>
                <w:szCs w:val="20"/>
                <w:highlight w:val="none"/>
                <w:lang w:val="en-US" w:eastAsia="zh-CN"/>
              </w:rPr>
              <w:t>不得委托或分包</w:t>
            </w:r>
            <w:r>
              <w:rPr>
                <w:rFonts w:hint="default" w:ascii="Times New Roman" w:hAnsi="Times New Roman" w:eastAsia="宋体" w:cs="Times New Roman"/>
                <w:color w:val="auto"/>
                <w:szCs w:val="20"/>
                <w:highlight w:val="none"/>
              </w:rPr>
              <w:t>。</w:t>
            </w:r>
          </w:p>
          <w:p w14:paraId="27BB3FD5">
            <w:pPr>
              <w:keepNext w:val="0"/>
              <w:keepLines w:val="0"/>
              <w:suppressLineNumbers w:val="0"/>
              <w:spacing w:before="0" w:beforeAutospacing="0" w:after="0" w:afterAutospacing="0" w:line="420" w:lineRule="exact"/>
              <w:ind w:left="0" w:right="0"/>
              <w:rPr>
                <w:rFonts w:hint="eastAsia" w:ascii="宋体" w:hAnsi="宋体"/>
                <w:color w:val="auto"/>
                <w:szCs w:val="21"/>
                <w:highlight w:val="none"/>
              </w:rPr>
            </w:pPr>
            <w:r>
              <w:rPr>
                <w:rFonts w:hint="eastAsia" w:ascii="Times New Roman" w:hAnsi="Times New Roman" w:eastAsia="宋体" w:cs="Times New Roman"/>
                <w:color w:val="auto"/>
                <w:szCs w:val="20"/>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本次招标采购管理</w:t>
            </w:r>
            <w:r>
              <w:rPr>
                <w:rFonts w:hint="eastAsia" w:cs="Times New Roman"/>
                <w:color w:val="auto"/>
                <w:kern w:val="2"/>
                <w:sz w:val="21"/>
                <w:highlight w:val="none"/>
                <w:lang w:val="en-US" w:eastAsia="zh-CN" w:bidi="ar-SA"/>
              </w:rPr>
              <w:t>部门</w:t>
            </w:r>
            <w:r>
              <w:rPr>
                <w:rFonts w:hint="eastAsia" w:ascii="Times New Roman" w:hAnsi="Times New Roman" w:eastAsia="宋体" w:cs="Times New Roman"/>
                <w:color w:val="auto"/>
                <w:kern w:val="2"/>
                <w:sz w:val="21"/>
                <w:highlight w:val="none"/>
                <w:lang w:val="en-US" w:eastAsia="zh-CN" w:bidi="ar-SA"/>
              </w:rPr>
              <w:t>为安庆市交通控股集团有限公司集采中心，具体合同签订主体为</w:t>
            </w:r>
            <w:r>
              <w:rPr>
                <w:rFonts w:hint="eastAsia" w:cs="Times New Roman"/>
                <w:color w:val="auto"/>
                <w:kern w:val="2"/>
                <w:sz w:val="21"/>
                <w:highlight w:val="none"/>
                <w:lang w:val="en-US" w:eastAsia="zh-CN" w:bidi="ar-SA"/>
              </w:rPr>
              <w:t>安庆市公共交通集团有限公司</w:t>
            </w:r>
            <w:r>
              <w:rPr>
                <w:rFonts w:hint="eastAsia" w:ascii="Times New Roman" w:hAnsi="Times New Roman" w:eastAsia="宋体" w:cs="Times New Roman"/>
                <w:b w:val="0"/>
                <w:bCs w:val="0"/>
                <w:color w:val="auto"/>
                <w:kern w:val="2"/>
                <w:sz w:val="21"/>
                <w:highlight w:val="none"/>
                <w:lang w:val="en-US" w:eastAsia="zh-CN" w:bidi="ar-SA"/>
              </w:rPr>
              <w:t>，</w:t>
            </w:r>
            <w:r>
              <w:rPr>
                <w:rFonts w:hint="eastAsia" w:ascii="Times New Roman" w:hAnsi="Times New Roman" w:eastAsia="宋体" w:cs="Times New Roman"/>
                <w:color w:val="auto"/>
                <w:kern w:val="2"/>
                <w:sz w:val="21"/>
                <w:highlight w:val="none"/>
                <w:lang w:val="en-US" w:eastAsia="zh-CN" w:bidi="ar-SA"/>
              </w:rPr>
              <w:t>特此说明</w:t>
            </w:r>
            <w:r>
              <w:rPr>
                <w:rFonts w:hint="eastAsia" w:cs="Times New Roman"/>
                <w:color w:val="auto"/>
                <w:kern w:val="2"/>
                <w:sz w:val="21"/>
                <w:highlight w:val="none"/>
                <w:lang w:val="en-US" w:eastAsia="zh-CN" w:bidi="ar-SA"/>
              </w:rPr>
              <w:t>。</w:t>
            </w:r>
          </w:p>
        </w:tc>
      </w:tr>
    </w:tbl>
    <w:p w14:paraId="4A81C756">
      <w:pPr>
        <w:rPr>
          <w:color w:val="auto"/>
          <w:highlight w:val="none"/>
        </w:rPr>
      </w:pPr>
      <w:bookmarkStart w:id="16" w:name="_Toc14999"/>
    </w:p>
    <w:bookmarkEnd w:id="16"/>
    <w:p w14:paraId="4B9C0B71">
      <w:pPr>
        <w:rPr>
          <w:rFonts w:hint="eastAsia"/>
          <w:color w:val="auto"/>
          <w:highlight w:val="none"/>
        </w:rPr>
      </w:pPr>
      <w:bookmarkStart w:id="17" w:name="_Toc4481592"/>
      <w:bookmarkStart w:id="18" w:name="_Toc28310"/>
      <w:r>
        <w:rPr>
          <w:rFonts w:hint="eastAsia"/>
          <w:color w:val="auto"/>
          <w:highlight w:val="none"/>
        </w:rPr>
        <w:br w:type="page"/>
      </w:r>
    </w:p>
    <w:bookmarkEnd w:id="17"/>
    <w:bookmarkEnd w:id="18"/>
    <w:p w14:paraId="1960188A">
      <w:pPr>
        <w:keepNext/>
        <w:keepLines/>
        <w:widowControl w:val="0"/>
        <w:spacing w:before="120" w:beforeLines="0" w:after="120" w:afterLines="0" w:line="360" w:lineRule="exact"/>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19" w:name="_Toc54941331"/>
      <w:bookmarkStart w:id="20" w:name="_Toc2521"/>
      <w:bookmarkStart w:id="21" w:name="_Toc16271"/>
      <w:bookmarkStart w:id="22" w:name="_Toc12394"/>
      <w:bookmarkStart w:id="23" w:name="_Toc476584426"/>
      <w:bookmarkStart w:id="24" w:name="_Toc54941337"/>
      <w:bookmarkStart w:id="25" w:name="_Toc18076"/>
      <w:bookmarkStart w:id="26" w:name="_Toc4481596"/>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宋体" w:hAnsi="宋体"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bookmarkEnd w:id="19"/>
      <w:bookmarkEnd w:id="20"/>
      <w:bookmarkEnd w:id="21"/>
      <w:bookmarkEnd w:id="22"/>
    </w:p>
    <w:bookmarkEnd w:id="23"/>
    <w:bookmarkEnd w:id="24"/>
    <w:p w14:paraId="544698F5">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一</w:t>
      </w:r>
      <w:r>
        <w:rPr>
          <w:rFonts w:hint="eastAsia" w:ascii="Arial" w:hAnsi="Arial" w:eastAsia="宋体" w:cs="Times New Roman"/>
          <w:b/>
          <w:color w:val="auto"/>
          <w:kern w:val="0"/>
          <w:sz w:val="32"/>
          <w:szCs w:val="20"/>
          <w:highlight w:val="none"/>
        </w:rPr>
        <w:t>）总则</w:t>
      </w:r>
    </w:p>
    <w:p w14:paraId="5571E1EC">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1、定义</w:t>
      </w:r>
    </w:p>
    <w:p w14:paraId="02F0B574">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1.1、采购单位是指采购人和采购管理部门。</w:t>
      </w:r>
    </w:p>
    <w:p w14:paraId="566A2F28">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1.2、参选人是指对“参选人须知前附表”序号2所指的项目表现出兴趣，按照规定的程序，从采购单位获取了比选文件，并实际参与了该项目投标活动的供应商。</w:t>
      </w:r>
    </w:p>
    <w:p w14:paraId="4B6AF3AB">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2、参选人资格要求</w:t>
      </w:r>
    </w:p>
    <w:p w14:paraId="51F7F001">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2.1、参与本项目的参选人必须满足的要求：详见参选人须知前附表。</w:t>
      </w:r>
    </w:p>
    <w:p w14:paraId="0BDB5CBD">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2.2、参选人之间如果存在下列情形之一的，不得同时参加同一包别或者不分包别的同一项目投标：</w:t>
      </w:r>
    </w:p>
    <w:p w14:paraId="3B25DCAB">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（1）法定代表人为同一个人的两个及两个以上法人；</w:t>
      </w:r>
    </w:p>
    <w:p w14:paraId="27BC12DC">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（2）母公司、全资子公司及其控股公司；</w:t>
      </w:r>
    </w:p>
    <w:p w14:paraId="569DADA7">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（3）法律和行政法规规定的其他情形。</w:t>
      </w:r>
    </w:p>
    <w:p w14:paraId="23D97487">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2.3、参选人必须确保自己信息真实、准确，否则，参选人因此蒙受损失，采购单位概不负责。</w:t>
      </w:r>
    </w:p>
    <w:p w14:paraId="74CD21D8">
      <w:pPr>
        <w:adjustRightInd w:val="0"/>
        <w:spacing w:line="500" w:lineRule="exact"/>
        <w:ind w:firstLine="413" w:firstLineChars="196"/>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3、联合体投标</w:t>
      </w:r>
    </w:p>
    <w:p w14:paraId="1DE355E3">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本项目不接受联合体</w:t>
      </w:r>
    </w:p>
    <w:p w14:paraId="73541F9C">
      <w:pPr>
        <w:adjustRightInd w:val="0"/>
        <w:spacing w:line="500" w:lineRule="exact"/>
        <w:ind w:firstLine="413" w:firstLineChars="196"/>
        <w:rPr>
          <w:rFonts w:ascii="宋体" w:hAnsi="宋体" w:eastAsia="宋体" w:cs="Times New Roman"/>
          <w:bCs/>
          <w:color w:val="auto"/>
          <w:szCs w:val="21"/>
          <w:highlight w:val="none"/>
        </w:rPr>
      </w:pPr>
      <w:r>
        <w:rPr>
          <w:rFonts w:hint="eastAsia" w:ascii="宋体" w:hAnsi="宋体" w:eastAsia="宋体" w:cs="Times New Roman"/>
          <w:b/>
          <w:color w:val="auto"/>
          <w:szCs w:val="21"/>
          <w:highlight w:val="none"/>
        </w:rPr>
        <w:t>4、比选费用：</w:t>
      </w:r>
      <w:r>
        <w:rPr>
          <w:rFonts w:hint="eastAsia" w:ascii="宋体" w:hAnsi="宋体" w:eastAsia="宋体" w:cs="Times New Roman"/>
          <w:bCs/>
          <w:color w:val="auto"/>
          <w:szCs w:val="21"/>
          <w:highlight w:val="none"/>
        </w:rPr>
        <w:t>参选人必须自行承担参加比选的所有费用。不论中标与否，采购单位在任何情况下均无义务和责任承担这些费用。</w:t>
      </w:r>
    </w:p>
    <w:p w14:paraId="75B17698">
      <w:pPr>
        <w:widowControl/>
        <w:spacing w:line="50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5、参选人有以下情形不得参与本次投标活动</w:t>
      </w:r>
    </w:p>
    <w:p w14:paraId="47E78AE7">
      <w:pPr>
        <w:widowControl/>
        <w:spacing w:line="5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5.1被列入安庆市交通控股集团有限公司黑名单管理系统。</w:t>
      </w:r>
    </w:p>
    <w:p w14:paraId="08ED459E">
      <w:pPr>
        <w:widowControl/>
        <w:spacing w:line="5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5.2在安庆市交通控股集团有限公司处罚限制期限内的投标人。</w:t>
      </w:r>
    </w:p>
    <w:p w14:paraId="1B7C221A">
      <w:pPr>
        <w:widowControl/>
        <w:spacing w:line="5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14773DAA">
      <w:pPr>
        <w:rPr>
          <w:rFonts w:ascii="宋体" w:hAnsi="宋体" w:eastAsia="宋体" w:cs="Times New Roman"/>
          <w:bCs/>
          <w:color w:val="auto"/>
          <w:szCs w:val="21"/>
          <w:highlight w:val="none"/>
        </w:rPr>
      </w:pPr>
      <w:r>
        <w:rPr>
          <w:rFonts w:ascii="宋体" w:hAnsi="宋体" w:eastAsia="宋体" w:cs="Times New Roman"/>
          <w:bCs/>
          <w:color w:val="auto"/>
          <w:szCs w:val="21"/>
          <w:highlight w:val="none"/>
        </w:rPr>
        <w:br w:type="page"/>
      </w:r>
    </w:p>
    <w:p w14:paraId="3AC1F4C8">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27" w:name="_Toc4481593"/>
      <w:bookmarkStart w:id="28" w:name="_Toc479622044"/>
      <w:bookmarkStart w:id="29" w:name="_Toc8536"/>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二</w:t>
      </w:r>
      <w:r>
        <w:rPr>
          <w:rFonts w:hint="eastAsia" w:ascii="Arial" w:hAnsi="Arial" w:eastAsia="宋体" w:cs="Times New Roman"/>
          <w:b/>
          <w:color w:val="auto"/>
          <w:kern w:val="0"/>
          <w:sz w:val="32"/>
          <w:szCs w:val="20"/>
          <w:highlight w:val="none"/>
        </w:rPr>
        <w:t>）</w:t>
      </w:r>
      <w:bookmarkEnd w:id="27"/>
      <w:bookmarkEnd w:id="28"/>
      <w:bookmarkEnd w:id="29"/>
      <w:r>
        <w:rPr>
          <w:rFonts w:hint="eastAsia" w:ascii="Arial" w:hAnsi="Arial" w:eastAsia="宋体" w:cs="Times New Roman"/>
          <w:b/>
          <w:color w:val="auto"/>
          <w:kern w:val="0"/>
          <w:sz w:val="32"/>
          <w:szCs w:val="20"/>
          <w:highlight w:val="none"/>
        </w:rPr>
        <w:t>比选文件</w:t>
      </w:r>
    </w:p>
    <w:p w14:paraId="278AABB1">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6、比选文件的构成</w:t>
      </w:r>
    </w:p>
    <w:p w14:paraId="58B553D7">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6.1、比选文件包括：</w:t>
      </w:r>
    </w:p>
    <w:p w14:paraId="1F5BC3B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（1）第一章  比选公告；</w:t>
      </w:r>
    </w:p>
    <w:p w14:paraId="4D241391">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（2）第二章  参选人须知；</w:t>
      </w:r>
    </w:p>
    <w:p w14:paraId="77F49002">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（3）第三章  </w:t>
      </w:r>
      <w:r>
        <w:rPr>
          <w:rFonts w:hint="eastAsia" w:ascii="宋体" w:hAnsi="宋体" w:cs="Times New Roman"/>
          <w:color w:val="auto"/>
          <w:szCs w:val="21"/>
          <w:highlight w:val="none"/>
          <w:lang w:val="en-US" w:eastAsia="zh-CN"/>
        </w:rPr>
        <w:t>服务</w:t>
      </w:r>
      <w:r>
        <w:rPr>
          <w:rFonts w:hint="eastAsia" w:ascii="宋体" w:hAnsi="宋体" w:eastAsia="宋体" w:cs="Times New Roman"/>
          <w:color w:val="auto"/>
          <w:szCs w:val="21"/>
          <w:highlight w:val="none"/>
          <w:lang w:eastAsia="zh-CN"/>
        </w:rPr>
        <w:t>需求及技术要求</w:t>
      </w:r>
      <w:r>
        <w:rPr>
          <w:rFonts w:hint="eastAsia" w:ascii="宋体" w:hAnsi="宋体" w:eastAsia="宋体" w:cs="Times New Roman"/>
          <w:color w:val="auto"/>
          <w:szCs w:val="21"/>
          <w:highlight w:val="none"/>
        </w:rPr>
        <w:t>；</w:t>
      </w:r>
    </w:p>
    <w:p w14:paraId="35E7BB79">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（4）第四章  合同主要条款；</w:t>
      </w:r>
    </w:p>
    <w:p w14:paraId="322C6B5C">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（5）第五章  参选文件格式。</w:t>
      </w:r>
    </w:p>
    <w:p w14:paraId="1DE4C29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6.2、参选人应认真阅读和充分理解比选文件中所有的内容。如果参选人没有满足比选文件的有关要求，其风险由参选人自行承担。</w:t>
      </w:r>
    </w:p>
    <w:p w14:paraId="3DFD60DE">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5A3F56FE">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7、比选文件的澄清</w:t>
      </w:r>
    </w:p>
    <w:p w14:paraId="20B81D75">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7.1、参选人可以要求采购单位对比选文件中的有关问题进行答疑或澄清。</w:t>
      </w:r>
    </w:p>
    <w:p w14:paraId="746338A3">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7.2、参选人对比选文件如有异议，应在投标截止日期前向采购单位提出。</w:t>
      </w:r>
    </w:p>
    <w:p w14:paraId="1DCAB14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7A00FFD2">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7.4、采购单位对在规定时间收到的且需要做出澄清的问题，将以8款所述方式进行答复，但不说明问题的来源。</w:t>
      </w:r>
    </w:p>
    <w:p w14:paraId="11428315">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8、比选文件的修改</w:t>
      </w:r>
    </w:p>
    <w:p w14:paraId="1817AB4B">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8.1、采购单位可以对比选文件进行修改。</w:t>
      </w:r>
    </w:p>
    <w:p w14:paraId="31BEE7DB">
      <w:pPr>
        <w:spacing w:line="500" w:lineRule="exact"/>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8.2、采购单位对参选人异议的答复和对比选文件的</w:t>
      </w:r>
      <w:r>
        <w:rPr>
          <w:rFonts w:ascii="宋体" w:hAnsi="宋体" w:eastAsia="宋体" w:cs="Times New Roman"/>
          <w:b/>
          <w:bCs/>
          <w:color w:val="auto"/>
          <w:szCs w:val="21"/>
          <w:highlight w:val="none"/>
        </w:rPr>
        <w:t>澄</w:t>
      </w:r>
      <w:r>
        <w:rPr>
          <w:rFonts w:hint="eastAsia" w:ascii="宋体" w:hAnsi="宋体" w:eastAsia="宋体" w:cs="Times New Roman"/>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513AF6C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8.3、</w:t>
      </w:r>
      <w:bookmarkStart w:id="30" w:name="_Toc9821"/>
      <w:r>
        <w:rPr>
          <w:rFonts w:hint="eastAsia" w:ascii="宋体" w:hAnsi="宋体" w:eastAsia="宋体" w:cs="Times New Roman"/>
          <w:color w:val="auto"/>
          <w:szCs w:val="21"/>
          <w:highlight w:val="none"/>
        </w:rPr>
        <w:t>当比选文件与对比选文件的澄清、修改、补充等在同一内容的表述上不一致时，以最后发出的为准。</w:t>
      </w:r>
    </w:p>
    <w:p w14:paraId="40CABB3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s="Times New Roman"/>
          <w:color w:val="auto"/>
          <w:szCs w:val="21"/>
          <w:highlight w:val="none"/>
        </w:rPr>
        <w:t>。</w:t>
      </w:r>
    </w:p>
    <w:bookmarkEnd w:id="30"/>
    <w:p w14:paraId="764FD8C0">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9、参选文件的构成</w:t>
      </w:r>
    </w:p>
    <w:p w14:paraId="5EDE17D8">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9.1、参选文件应该按照“参选文件格式”规定的内容和顺序进行编写。</w:t>
      </w:r>
    </w:p>
    <w:p w14:paraId="6C624363">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9.2、参选人应提交“参选人须知前附表”中规定的参选文件。</w:t>
      </w:r>
    </w:p>
    <w:p w14:paraId="671D27A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9.3、参选人必须对其参选文件的真实性与准确性负责。参选人一旦中标，其参选文件将作为合同的重要组成部分。</w:t>
      </w:r>
    </w:p>
    <w:p w14:paraId="7B693FD8">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9.4、参选人提供的</w:t>
      </w:r>
      <w:r>
        <w:rPr>
          <w:rFonts w:hint="eastAsia" w:ascii="宋体" w:hAnsi="宋体" w:eastAsia="宋体" w:cs="Times New Roman"/>
          <w:color w:val="auto"/>
          <w:szCs w:val="21"/>
          <w:highlight w:val="none"/>
          <w:lang w:val="en-US" w:eastAsia="zh-CN"/>
        </w:rPr>
        <w:t>货物/</w:t>
      </w:r>
      <w:r>
        <w:rPr>
          <w:rFonts w:hint="eastAsia" w:ascii="宋体" w:hAnsi="宋体" w:eastAsia="宋体" w:cs="Times New Roman"/>
          <w:color w:val="auto"/>
          <w:szCs w:val="21"/>
          <w:highlight w:val="none"/>
          <w:lang w:eastAsia="zh-CN"/>
        </w:rPr>
        <w:t>服务</w:t>
      </w:r>
      <w:r>
        <w:rPr>
          <w:rFonts w:hint="eastAsia" w:ascii="宋体" w:hAnsi="宋体" w:eastAsia="宋体" w:cs="Times New Roman"/>
          <w:color w:val="auto"/>
          <w:szCs w:val="21"/>
          <w:highlight w:val="none"/>
        </w:rPr>
        <w:t>能满足比选文件约定的实质性要求。否则，其参选文件在评标时有可能被认为是对比选文件未做出实质性的响应，而被评标委员会终止对其做进一步的评审。</w:t>
      </w:r>
    </w:p>
    <w:p w14:paraId="7D6FEFFA">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10、投标报价</w:t>
      </w:r>
    </w:p>
    <w:p w14:paraId="427D2A69">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10.1、参选文件的报价表上应清楚地标明参选人拟提供</w:t>
      </w:r>
      <w:r>
        <w:rPr>
          <w:rFonts w:hint="eastAsia" w:ascii="宋体" w:hAnsi="宋体" w:eastAsia="宋体" w:cs="Times New Roman"/>
          <w:color w:val="auto"/>
          <w:szCs w:val="21"/>
          <w:highlight w:val="none"/>
          <w:lang w:val="en-US" w:eastAsia="zh-CN"/>
        </w:rPr>
        <w:t>货物/服务</w:t>
      </w:r>
      <w:r>
        <w:rPr>
          <w:rFonts w:hint="eastAsia" w:ascii="宋体" w:hAnsi="宋体" w:eastAsia="宋体" w:cs="Times New Roman"/>
          <w:color w:val="auto"/>
          <w:szCs w:val="21"/>
          <w:highlight w:val="none"/>
        </w:rPr>
        <w:t>的名称、价格等内容。</w:t>
      </w:r>
    </w:p>
    <w:p w14:paraId="425A6B6E">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10.2、除非特别要求，每个项目（或每个包）只允许有一个方案、一个报价。多方案、多报价的参选文件将视为无效参选文件。</w:t>
      </w:r>
    </w:p>
    <w:p w14:paraId="7BDD1100">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10.3、参选人的报价应包含满足本次招标需求的所有费用（包括但不限于：人工费、材料费、运输费、保险、税金等）。</w:t>
      </w:r>
    </w:p>
    <w:p w14:paraId="42B24D8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10.4、投标报价高于</w:t>
      </w:r>
      <w:r>
        <w:rPr>
          <w:rFonts w:hint="eastAsia" w:ascii="宋体" w:hAnsi="宋体" w:cs="Times New Roman"/>
          <w:color w:val="auto"/>
          <w:szCs w:val="21"/>
          <w:highlight w:val="none"/>
          <w:lang w:eastAsia="zh-CN"/>
        </w:rPr>
        <w:t>最高投标费率</w:t>
      </w:r>
      <w:r>
        <w:rPr>
          <w:rFonts w:hint="eastAsia" w:ascii="宋体" w:hAnsi="宋体" w:eastAsia="宋体" w:cs="Times New Roman"/>
          <w:color w:val="auto"/>
          <w:szCs w:val="21"/>
          <w:highlight w:val="none"/>
        </w:rPr>
        <w:t>为投标无效。</w:t>
      </w:r>
    </w:p>
    <w:p w14:paraId="38206AE9">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10.5、若参选报价函中报价的大写金额和小写金额不一致的，以大写金额为准；单价金额小数点有明显错位的，应以总价为准，并修正单价。</w:t>
      </w:r>
    </w:p>
    <w:p w14:paraId="468900F0">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10.6、</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中报价与参选文件中相应内容不一致的，以</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中报价为准。</w:t>
      </w:r>
    </w:p>
    <w:p w14:paraId="0DF1624B">
      <w:pPr>
        <w:spacing w:line="500" w:lineRule="exact"/>
        <w:ind w:firstLine="422" w:firstLineChars="200"/>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11、投标货币：</w:t>
      </w:r>
      <w:r>
        <w:rPr>
          <w:rFonts w:hint="eastAsia" w:ascii="宋体" w:hAnsi="宋体" w:eastAsia="宋体" w:cs="Times New Roman"/>
          <w:color w:val="auto"/>
          <w:szCs w:val="21"/>
          <w:highlight w:val="none"/>
        </w:rPr>
        <w:t>人民币。</w:t>
      </w:r>
    </w:p>
    <w:p w14:paraId="0CE5C6A9">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12、投标保证金：本项目不收取</w:t>
      </w:r>
    </w:p>
    <w:p w14:paraId="3586BD38">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13、投标有效期</w:t>
      </w:r>
    </w:p>
    <w:p w14:paraId="0B62A0A1">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14.投标有效期见“参选人须知前附表”的规定。</w:t>
      </w:r>
    </w:p>
    <w:p w14:paraId="1DDD230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14.1、在投标有效期内，参选人不得要求撤销或修改其参选文件。</w:t>
      </w:r>
    </w:p>
    <w:p w14:paraId="50653705">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14.2、投标有效期从投标截止之日算起。</w:t>
      </w:r>
    </w:p>
    <w:p w14:paraId="3EF269B2">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3188B4BE">
      <w:pPr>
        <w:spacing w:line="500" w:lineRule="exact"/>
        <w:ind w:firstLine="422" w:firstLineChars="200"/>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15、参选文件的签署</w:t>
      </w:r>
    </w:p>
    <w:p w14:paraId="700E673C">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15.1、参选人应按“参选人须知前附表”约定的份数和比选文件约定的格式，编制并提交参选文件。</w:t>
      </w:r>
    </w:p>
    <w:p w14:paraId="4CC17DE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15.2、参选文件应由参选人的法定代表人或个体工商户经营者或授权委托人签署，并加盖单位公章。</w:t>
      </w:r>
    </w:p>
    <w:p w14:paraId="3066998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15.3、参选文件不得行间插字、涂改或增删。如有修改错漏处，必须由参选人的法定代表人或个体工商户经营者或授权委托人签字，并加盖单位公章。</w:t>
      </w:r>
    </w:p>
    <w:p w14:paraId="14FAD050">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15CA5103">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15.5、参选文件封面、</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、报价表、</w:t>
      </w:r>
      <w:r>
        <w:rPr>
          <w:rFonts w:hint="eastAsia" w:ascii="宋体" w:hAnsi="宋体" w:eastAsia="宋体" w:cs="Times New Roman"/>
          <w:color w:val="auto"/>
          <w:szCs w:val="21"/>
          <w:highlight w:val="none"/>
          <w:lang w:eastAsia="zh-CN"/>
        </w:rPr>
        <w:t>项目</w:t>
      </w:r>
      <w:r>
        <w:rPr>
          <w:rFonts w:hint="eastAsia" w:ascii="宋体" w:hAnsi="宋体" w:eastAsia="宋体" w:cs="Times New Roman"/>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、报价表、</w:t>
      </w:r>
      <w:r>
        <w:rPr>
          <w:rFonts w:hint="eastAsia" w:ascii="宋体" w:hAnsi="宋体" w:eastAsia="宋体" w:cs="Times New Roman"/>
          <w:color w:val="auto"/>
          <w:szCs w:val="21"/>
          <w:highlight w:val="none"/>
          <w:lang w:eastAsia="zh-CN"/>
        </w:rPr>
        <w:t>项目</w:t>
      </w:r>
      <w:r>
        <w:rPr>
          <w:rFonts w:hint="eastAsia" w:ascii="宋体" w:hAnsi="宋体" w:eastAsia="宋体" w:cs="Times New Roman"/>
          <w:color w:val="auto"/>
          <w:szCs w:val="21"/>
          <w:highlight w:val="none"/>
        </w:rPr>
        <w:t>内容及质量要求不符合比选文件要求的，视为无效标。由授权委托人签字或盖章的在参选文件中须同时提交授权书。</w:t>
      </w:r>
    </w:p>
    <w:p w14:paraId="62A3E027">
      <w:pPr>
        <w:rPr>
          <w:rFonts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71393212">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31" w:name="_Toc479622046"/>
      <w:bookmarkStart w:id="32" w:name="_Toc12503"/>
      <w:bookmarkStart w:id="33" w:name="_Toc4481594"/>
      <w:bookmarkStart w:id="34" w:name="_Toc25319"/>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三</w:t>
      </w:r>
      <w:r>
        <w:rPr>
          <w:rFonts w:hint="eastAsia" w:ascii="Arial" w:hAnsi="Arial" w:eastAsia="宋体" w:cs="Times New Roman"/>
          <w:b/>
          <w:color w:val="auto"/>
          <w:kern w:val="0"/>
          <w:sz w:val="32"/>
          <w:szCs w:val="20"/>
          <w:highlight w:val="none"/>
        </w:rPr>
        <w:t>）参选文件的提交</w:t>
      </w:r>
      <w:bookmarkEnd w:id="31"/>
      <w:bookmarkEnd w:id="32"/>
      <w:bookmarkEnd w:id="33"/>
      <w:bookmarkEnd w:id="34"/>
    </w:p>
    <w:p w14:paraId="61C83187">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16、参选文件的装订、密封和标记</w:t>
      </w:r>
    </w:p>
    <w:p w14:paraId="35CBBBA9">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16.1、参选文件正本和副本均需胶装成册并标明页码，不得采用活页或容易拆解的装订形式。</w:t>
      </w:r>
    </w:p>
    <w:p w14:paraId="2FD1D159">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16.2、参选人应将参选文件的正本和副本同时装于一个袋内。包装密封，并于密封袋上加盖单位公章。</w:t>
      </w:r>
    </w:p>
    <w:p w14:paraId="50FD1CD3">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16.3、密封袋上应写明：项目名称、参选单位名称、项目编号（加盖单位公章），详见参选人须知前附表。</w:t>
      </w:r>
    </w:p>
    <w:p w14:paraId="362CA911">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16.4、未按参选人须知要求装订、密封和标记的参选文件，将认定为投标无效。</w:t>
      </w:r>
    </w:p>
    <w:p w14:paraId="198EAC8A">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16.5、查验证件</w:t>
      </w:r>
    </w:p>
    <w:p w14:paraId="5D8057F9">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16.5.1、采购人审查参选人以下证件，若证件不全或不符合要求，则查验不合格。</w:t>
      </w:r>
    </w:p>
    <w:p w14:paraId="04A522AC">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法定代表人或个体工商户经营者应出示有效二代居民身份证、授权委托人应出示有效二代居民身份证、授权书；（授权书格式见附件）。</w:t>
      </w:r>
    </w:p>
    <w:p w14:paraId="107165FF">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17、</w:t>
      </w:r>
      <w:r>
        <w:rPr>
          <w:rFonts w:hint="eastAsia" w:ascii="宋体" w:hAnsi="宋体" w:cs="Times New Roman"/>
          <w:b/>
          <w:color w:val="auto"/>
          <w:szCs w:val="21"/>
          <w:highlight w:val="none"/>
          <w:lang w:eastAsia="zh-CN"/>
        </w:rPr>
        <w:t>参选</w:t>
      </w:r>
      <w:r>
        <w:rPr>
          <w:rFonts w:hint="eastAsia" w:ascii="宋体" w:hAnsi="宋体" w:eastAsia="宋体" w:cs="Times New Roman"/>
          <w:b/>
          <w:color w:val="auto"/>
          <w:szCs w:val="21"/>
          <w:highlight w:val="none"/>
        </w:rPr>
        <w:t>截止时间</w:t>
      </w:r>
    </w:p>
    <w:p w14:paraId="6BAF96F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17.1、参选人应在参选人须知前附表中约定的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截止时间前将参选文件提交至指定地点。逾期送达的或者未按要求送达指定地点的参选文件，采购单位不予受理。</w:t>
      </w:r>
    </w:p>
    <w:p w14:paraId="2FD58DBD">
      <w:pPr>
        <w:widowControl/>
        <w:spacing w:line="500" w:lineRule="exact"/>
        <w:ind w:firstLine="420" w:firstLineChars="200"/>
        <w:jc w:val="left"/>
        <w:rPr>
          <w:rFonts w:ascii="宋体" w:hAnsi="宋体" w:eastAsia="宋体" w:cs="Times New Roman"/>
          <w:b/>
          <w:color w:val="auto"/>
          <w:szCs w:val="21"/>
          <w:highlight w:val="none"/>
        </w:rPr>
      </w:pPr>
      <w:r>
        <w:rPr>
          <w:rFonts w:hint="eastAsia" w:ascii="宋体" w:hAnsi="宋体" w:eastAsia="宋体" w:cs="Times New Roman"/>
          <w:color w:val="auto"/>
          <w:szCs w:val="21"/>
          <w:highlight w:val="none"/>
        </w:rPr>
        <w:t>17.2、采购人有权按本须知的约定，通过修改比选文件相关条款以延长</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截止时间。在此情况下，采购人和参选人受</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截止时间制约的所有权利和义务均应延长至新的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w:t>
      </w:r>
    </w:p>
    <w:p w14:paraId="392E6AAE">
      <w:pPr>
        <w:widowControl/>
        <w:spacing w:line="50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18、参选文件的修改与撤回</w:t>
      </w:r>
    </w:p>
    <w:p w14:paraId="34D1B547">
      <w:pPr>
        <w:widowControl/>
        <w:spacing w:line="500" w:lineRule="exact"/>
        <w:ind w:firstLine="420" w:firstLineChars="200"/>
        <w:jc w:val="left"/>
        <w:rPr>
          <w:rFonts w:ascii="宋体" w:hAnsi="宋体" w:eastAsia="宋体" w:cs="Times New Roman"/>
          <w:color w:val="auto"/>
          <w:szCs w:val="21"/>
          <w:highlight w:val="none"/>
        </w:rPr>
      </w:pPr>
      <w:bookmarkStart w:id="35" w:name="_Toc479622047"/>
      <w:bookmarkStart w:id="36" w:name="_Toc23598"/>
      <w:r>
        <w:rPr>
          <w:rFonts w:hint="eastAsia" w:ascii="宋体" w:hAnsi="宋体" w:eastAsia="宋体" w:cs="Times New Roman"/>
          <w:color w:val="auto"/>
          <w:szCs w:val="21"/>
          <w:highlight w:val="none"/>
        </w:rPr>
        <w:t>18.1、参选人提交参选文件以后，在约定的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截止时间之前，可以以书面形式补充修改或撤回已提交的参选文件，并以书面形式通知采购人。补充、修改的内容为参选文件的组成部分。</w:t>
      </w:r>
    </w:p>
    <w:p w14:paraId="2E069A7D">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6898C4A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18.3、在</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截止时间之后，参选人不得对其参选文件做任何修改。</w:t>
      </w:r>
    </w:p>
    <w:p w14:paraId="673E9176">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19、在规定的投标有效期内，参选人不得撤回其参选文件。</w:t>
      </w:r>
    </w:p>
    <w:p w14:paraId="0975E92F">
      <w:pPr>
        <w:widowControl/>
        <w:spacing w:line="500" w:lineRule="exact"/>
        <w:ind w:firstLine="420" w:firstLineChars="200"/>
        <w:jc w:val="left"/>
        <w:rPr>
          <w:rFonts w:ascii="宋体" w:hAnsi="宋体" w:eastAsia="宋体" w:cs="Times New Roman"/>
          <w:color w:val="auto"/>
          <w:szCs w:val="21"/>
          <w:highlight w:val="none"/>
        </w:rPr>
      </w:pPr>
    </w:p>
    <w:p w14:paraId="65E1DFFE">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37" w:name="_Toc4481595"/>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四</w:t>
      </w:r>
      <w:r>
        <w:rPr>
          <w:rFonts w:hint="eastAsia" w:ascii="Arial" w:hAnsi="Arial" w:eastAsia="宋体" w:cs="Times New Roman"/>
          <w:b/>
          <w:color w:val="auto"/>
          <w:kern w:val="0"/>
          <w:sz w:val="32"/>
          <w:szCs w:val="20"/>
          <w:highlight w:val="none"/>
        </w:rPr>
        <w:t>）开标</w:t>
      </w:r>
      <w:bookmarkEnd w:id="35"/>
      <w:bookmarkEnd w:id="36"/>
      <w:bookmarkEnd w:id="37"/>
    </w:p>
    <w:p w14:paraId="0B9D1232">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20、开标时间和地点：</w:t>
      </w:r>
      <w:r>
        <w:rPr>
          <w:rFonts w:hint="eastAsia" w:ascii="宋体" w:hAnsi="宋体" w:eastAsia="宋体" w:cs="Times New Roman"/>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F4324E5">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21、开标程序</w:t>
      </w:r>
    </w:p>
    <w:p w14:paraId="745B820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0BB470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767F298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6D73A45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s="Times New Roman"/>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6F2D95B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2AF2789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7A852D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s="Times New Roman"/>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F39EFC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C061F19">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69E0DD9A">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s="Times New Roman"/>
          <w:color w:val="auto"/>
          <w:szCs w:val="21"/>
          <w:highlight w:val="none"/>
        </w:rPr>
        <w:t>人必须对其参选文件中所有资料的真实性负责。若发现参选人有弄虚作假行为的，投标无效，由相关管理部门按照比选文件相应条款对其做相应处罚。</w:t>
      </w:r>
    </w:p>
    <w:p w14:paraId="42743F2B">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22、参选文件的有效性</w:t>
      </w:r>
    </w:p>
    <w:p w14:paraId="136074F3">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 xml:space="preserve">22.1、参选文件有下列情形之一的，将不予受理： </w:t>
      </w:r>
    </w:p>
    <w:p w14:paraId="162F4863">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（1）逾期送达的或者未送达至指定地点的； </w:t>
      </w:r>
    </w:p>
    <w:p w14:paraId="24540874">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（2）未按比选文件要求包装、密封的。</w:t>
      </w:r>
    </w:p>
    <w:p w14:paraId="17AB587F">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22.2、开标过程中发现有下列情况的，由评标委员会评审后，认定为投标无效：</w:t>
      </w:r>
    </w:p>
    <w:p w14:paraId="387886D1">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22.2.1、参选人未按要求参加开标会、未按要求出示材料供现场查验或经查验不合格的、参选文件份数少于比选文件要求；</w:t>
      </w:r>
    </w:p>
    <w:p w14:paraId="4B8D852F">
      <w:pPr>
        <w:widowControl/>
        <w:spacing w:line="500" w:lineRule="exact"/>
        <w:ind w:firstLine="420" w:firstLineChars="200"/>
        <w:jc w:val="left"/>
        <w:rPr>
          <w:rFonts w:ascii="宋体" w:hAnsi="宋体" w:eastAsia="宋体" w:cs="Times New Roman"/>
          <w:color w:val="auto"/>
          <w:sz w:val="21"/>
          <w:szCs w:val="21"/>
          <w:highlight w:val="none"/>
        </w:rPr>
      </w:pPr>
      <w:r>
        <w:rPr>
          <w:rFonts w:hint="eastAsia" w:ascii="宋体" w:hAnsi="宋体" w:eastAsia="宋体" w:cs="Times New Roman"/>
          <w:color w:val="auto"/>
          <w:szCs w:val="21"/>
          <w:highlight w:val="none"/>
        </w:rPr>
        <w:t>22.2.2、未按约定格式提供、填写参选文件封面、</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、报价表、</w:t>
      </w:r>
      <w:r>
        <w:rPr>
          <w:rFonts w:hint="eastAsia" w:ascii="宋体" w:hAnsi="宋体" w:eastAsia="宋体" w:cs="Times New Roman"/>
          <w:color w:val="auto"/>
          <w:szCs w:val="21"/>
          <w:highlight w:val="none"/>
          <w:lang w:eastAsia="zh-CN"/>
        </w:rPr>
        <w:t>项目</w:t>
      </w:r>
      <w:r>
        <w:rPr>
          <w:rFonts w:hint="eastAsia" w:ascii="宋体" w:hAnsi="宋体" w:eastAsia="宋体" w:cs="Times New Roman"/>
          <w:color w:val="auto"/>
          <w:szCs w:val="21"/>
          <w:highlight w:val="none"/>
        </w:rPr>
        <w:t>内容及质量要求或参</w:t>
      </w:r>
      <w:r>
        <w:rPr>
          <w:rFonts w:hint="eastAsia" w:ascii="宋体" w:hAnsi="宋体" w:eastAsia="宋体" w:cs="Times New Roman"/>
          <w:color w:val="auto"/>
          <w:sz w:val="21"/>
          <w:szCs w:val="21"/>
          <w:highlight w:val="none"/>
        </w:rPr>
        <w:t>选文件封面、</w:t>
      </w:r>
      <w:r>
        <w:rPr>
          <w:rFonts w:hint="eastAsia" w:ascii="宋体" w:hAnsi="宋体" w:eastAsia="宋体" w:cs="Times New Roman"/>
          <w:color w:val="auto"/>
          <w:sz w:val="21"/>
          <w:szCs w:val="21"/>
          <w:highlight w:val="none"/>
          <w:lang w:eastAsia="zh-CN"/>
        </w:rPr>
        <w:t>参选函</w:t>
      </w:r>
      <w:r>
        <w:rPr>
          <w:rFonts w:hint="eastAsia" w:ascii="宋体" w:hAnsi="宋体" w:eastAsia="宋体" w:cs="Times New Roman"/>
          <w:color w:val="auto"/>
          <w:sz w:val="21"/>
          <w:szCs w:val="21"/>
          <w:highlight w:val="none"/>
        </w:rPr>
        <w:t>、报价表、</w:t>
      </w:r>
      <w:r>
        <w:rPr>
          <w:rFonts w:hint="eastAsia" w:ascii="宋体" w:hAnsi="宋体" w:eastAsia="宋体" w:cs="Times New Roman"/>
          <w:color w:val="auto"/>
          <w:sz w:val="21"/>
          <w:szCs w:val="21"/>
          <w:highlight w:val="none"/>
          <w:lang w:eastAsia="zh-CN"/>
        </w:rPr>
        <w:t>项目</w:t>
      </w:r>
      <w:r>
        <w:rPr>
          <w:rFonts w:hint="eastAsia" w:ascii="宋体" w:hAnsi="宋体" w:eastAsia="宋体" w:cs="Times New Roman"/>
          <w:color w:val="auto"/>
          <w:sz w:val="21"/>
          <w:szCs w:val="21"/>
          <w:highlight w:val="none"/>
        </w:rPr>
        <w:t>内容及质量要求未加盖参选人公章并经法定代表人或个体工商户经营者或授权委托人签字或加盖印章；</w:t>
      </w:r>
    </w:p>
    <w:p w14:paraId="04837FC7">
      <w:pPr>
        <w:widowControl/>
        <w:spacing w:line="500" w:lineRule="exact"/>
        <w:ind w:firstLine="420" w:firstLineChars="200"/>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22.2.3、参选报价高于</w:t>
      </w:r>
      <w:r>
        <w:rPr>
          <w:rFonts w:hint="eastAsia" w:ascii="宋体" w:hAnsi="宋体" w:cs="Times New Roman"/>
          <w:color w:val="auto"/>
          <w:sz w:val="21"/>
          <w:szCs w:val="21"/>
          <w:highlight w:val="none"/>
          <w:lang w:eastAsia="zh-CN"/>
        </w:rPr>
        <w:t>最高投标费率</w:t>
      </w:r>
      <w:r>
        <w:rPr>
          <w:rFonts w:hint="eastAsia" w:ascii="宋体" w:hAnsi="宋体" w:eastAsia="宋体" w:cs="Times New Roman"/>
          <w:color w:val="auto"/>
          <w:sz w:val="21"/>
          <w:szCs w:val="21"/>
          <w:highlight w:val="none"/>
        </w:rPr>
        <w:t>的；</w:t>
      </w:r>
    </w:p>
    <w:p w14:paraId="07B3E632">
      <w:pPr>
        <w:widowControl/>
        <w:spacing w:line="500" w:lineRule="exact"/>
        <w:ind w:firstLine="420" w:firstLineChars="200"/>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22.2.4、法律法规及比选文件规定的其他情形。</w:t>
      </w:r>
    </w:p>
    <w:p w14:paraId="43A4E229">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 w:val="21"/>
          <w:szCs w:val="21"/>
          <w:highlight w:val="none"/>
        </w:rPr>
        <w:t>22.3、参选人存在下列情形之一，经评标委员会评审后，</w:t>
      </w:r>
      <w:r>
        <w:rPr>
          <w:rFonts w:hint="eastAsia" w:ascii="宋体" w:hAnsi="宋体" w:eastAsia="宋体" w:cs="Times New Roman"/>
          <w:b/>
          <w:bCs/>
          <w:color w:val="auto"/>
          <w:szCs w:val="21"/>
          <w:highlight w:val="none"/>
        </w:rPr>
        <w:t>为参选无效：</w:t>
      </w:r>
    </w:p>
    <w:p w14:paraId="02ECEA7D">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(1)被责令停业且处于有效期内的；</w:t>
      </w:r>
    </w:p>
    <w:p w14:paraId="6E849DF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(2)被安庆市行政区域内公共资源交易监管部门限制参选资格且处于有效期内；</w:t>
      </w:r>
    </w:p>
    <w:p w14:paraId="2418AFF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(3)财产被接管或冻结可能影响本项目正常实施的；</w:t>
      </w:r>
    </w:p>
    <w:p w14:paraId="57C85B49">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(4)法律法规规定及比选文件约定的其他情形。</w:t>
      </w:r>
    </w:p>
    <w:p w14:paraId="3C6124F0">
      <w:pPr>
        <w:rPr>
          <w:rFonts w:hint="eastAsia" w:ascii="宋体" w:hAnsi="宋体" w:eastAsia="宋体" w:cs="Times New Roman"/>
          <w:color w:val="auto"/>
          <w:szCs w:val="21"/>
          <w:highlight w:val="none"/>
        </w:rPr>
      </w:pPr>
    </w:p>
    <w:p w14:paraId="3D011EAA">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五</w:t>
      </w:r>
      <w:r>
        <w:rPr>
          <w:rFonts w:hint="eastAsia" w:ascii="Arial" w:hAnsi="Arial" w:eastAsia="宋体" w:cs="Times New Roman"/>
          <w:b/>
          <w:color w:val="auto"/>
          <w:kern w:val="0"/>
          <w:sz w:val="32"/>
          <w:szCs w:val="20"/>
          <w:highlight w:val="none"/>
        </w:rPr>
        <w:t>）评标</w:t>
      </w:r>
    </w:p>
    <w:p w14:paraId="6C85EDE3">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23、评标委员会</w:t>
      </w:r>
      <w:r>
        <w:rPr>
          <w:rFonts w:hint="eastAsia" w:ascii="宋体" w:hAnsi="宋体" w:eastAsia="宋体" w:cs="Times New Roman"/>
          <w:color w:val="auto"/>
          <w:szCs w:val="21"/>
          <w:highlight w:val="none"/>
        </w:rPr>
        <w:t>（以下简称“评委会”）：</w:t>
      </w:r>
      <w:r>
        <w:rPr>
          <w:rFonts w:hint="eastAsia" w:ascii="宋体" w:hAnsi="宋体" w:eastAsia="宋体" w:cs="宋体"/>
          <w:b w:val="0"/>
          <w:bCs w:val="0"/>
          <w:color w:val="auto"/>
          <w:sz w:val="21"/>
          <w:szCs w:val="21"/>
          <w:highlight w:val="none"/>
          <w:lang w:val="en-US" w:eastAsia="zh-CN"/>
        </w:rPr>
        <w:t>评委会依法组建。采购人代表不得担任评委会组长。评标由评委会进行，评委应坚持公正、公平、诚实守信、实事求是、独立评标的原则。</w:t>
      </w:r>
    </w:p>
    <w:p w14:paraId="3643590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cs="Times New Roman"/>
          <w:b/>
          <w:color w:val="auto"/>
          <w:szCs w:val="21"/>
          <w:highlight w:val="none"/>
          <w:lang w:val="en-US" w:eastAsia="zh-CN"/>
        </w:rPr>
      </w:pPr>
      <w:r>
        <w:rPr>
          <w:rFonts w:hint="eastAsia" w:ascii="宋体" w:hAnsi="宋体" w:eastAsia="宋体" w:cs="Times New Roman"/>
          <w:b/>
          <w:color w:val="auto"/>
          <w:szCs w:val="21"/>
          <w:highlight w:val="none"/>
        </w:rPr>
        <w:t>24、评标方法：</w:t>
      </w:r>
      <w:r>
        <w:rPr>
          <w:rFonts w:hint="eastAsia" w:ascii="宋体" w:hAnsi="宋体" w:cs="Times New Roman"/>
          <w:b/>
          <w:color w:val="auto"/>
          <w:szCs w:val="21"/>
          <w:highlight w:val="none"/>
          <w:lang w:val="en-US" w:eastAsia="zh-CN"/>
        </w:rPr>
        <w:t>综合评分法</w:t>
      </w:r>
      <w:r>
        <w:rPr>
          <w:rFonts w:hint="eastAsia" w:ascii="宋体" w:hAnsi="宋体" w:eastAsia="宋体" w:cs="宋体"/>
          <w:b/>
          <w:bCs/>
          <w:color w:val="auto"/>
          <w:szCs w:val="21"/>
          <w:highlight w:val="none"/>
        </w:rPr>
        <w:t>（100分）</w:t>
      </w:r>
    </w:p>
    <w:p w14:paraId="30B08B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Times New Roman"/>
          <w:b/>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各评委成员按下列评分项目进行评判，评选委员会各成员应当独立对每个有效参选人的投标情况进行评价、打分，然后汇总每个参选人每项评分因素的得分。各参选人的最终得分为所有评委评分的平均值（平均值计算精确至小数点后二位，小数点后第三位四舍五入）</w:t>
      </w:r>
      <w:r>
        <w:rPr>
          <w:rFonts w:hint="eastAsia" w:ascii="宋体" w:hAnsi="宋体" w:eastAsia="宋体" w:cs="宋体"/>
          <w:b w:val="0"/>
          <w:bCs w:val="0"/>
          <w:color w:val="auto"/>
          <w:sz w:val="21"/>
          <w:szCs w:val="21"/>
          <w:highlight w:val="none"/>
          <w:lang w:val="zh-CN" w:eastAsia="zh-CN"/>
        </w:rPr>
        <w:t>。</w:t>
      </w:r>
    </w:p>
    <w:tbl>
      <w:tblPr>
        <w:tblStyle w:val="27"/>
        <w:tblpPr w:leftFromText="180" w:rightFromText="180" w:vertAnchor="text" w:horzAnchor="page" w:tblpX="1494" w:tblpY="396"/>
        <w:tblOverlap w:val="never"/>
        <w:tblW w:w="9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1"/>
        <w:gridCol w:w="1081"/>
        <w:gridCol w:w="912"/>
        <w:gridCol w:w="6294"/>
      </w:tblGrid>
      <w:tr w14:paraId="7870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E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C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评分因素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3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6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评审细则</w:t>
            </w:r>
          </w:p>
        </w:tc>
      </w:tr>
      <w:tr w14:paraId="3EEE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B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6A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投标人实力</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9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C5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自202</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年1月1日至投标截止时间（以合同签订时间为准），</w:t>
            </w:r>
            <w:r>
              <w:rPr>
                <w:rFonts w:hint="eastAsia" w:ascii="宋体" w:hAnsi="宋体" w:cs="宋体"/>
                <w:i w:val="0"/>
                <w:iCs w:val="0"/>
                <w:color w:val="auto"/>
                <w:kern w:val="0"/>
                <w:sz w:val="21"/>
                <w:szCs w:val="21"/>
                <w:highlight w:val="none"/>
                <w:u w:val="none"/>
                <w:lang w:val="en-US" w:eastAsia="zh-CN" w:bidi="ar"/>
              </w:rPr>
              <w:t>投标人</w:t>
            </w:r>
            <w:r>
              <w:rPr>
                <w:rFonts w:hint="eastAsia" w:ascii="宋体" w:hAnsi="宋体" w:eastAsia="宋体" w:cs="宋体"/>
                <w:i w:val="0"/>
                <w:iCs w:val="0"/>
                <w:color w:val="auto"/>
                <w:kern w:val="0"/>
                <w:sz w:val="21"/>
                <w:szCs w:val="21"/>
                <w:highlight w:val="none"/>
                <w:u w:val="none"/>
                <w:lang w:val="en-US" w:eastAsia="zh-CN" w:bidi="ar"/>
              </w:rPr>
              <w:t>具有车辆</w:t>
            </w:r>
            <w:r>
              <w:rPr>
                <w:rFonts w:hint="eastAsia" w:ascii="宋体" w:hAnsi="宋体" w:cs="宋体"/>
                <w:i w:val="0"/>
                <w:iCs w:val="0"/>
                <w:color w:val="auto"/>
                <w:kern w:val="0"/>
                <w:sz w:val="21"/>
                <w:szCs w:val="21"/>
                <w:highlight w:val="none"/>
                <w:u w:val="none"/>
                <w:lang w:val="en-US" w:eastAsia="zh-CN" w:bidi="ar"/>
              </w:rPr>
              <w:t>轮胎</w:t>
            </w:r>
            <w:r>
              <w:rPr>
                <w:rFonts w:hint="eastAsia" w:ascii="宋体" w:hAnsi="宋体" w:eastAsia="宋体" w:cs="宋体"/>
                <w:i w:val="0"/>
                <w:iCs w:val="0"/>
                <w:color w:val="auto"/>
                <w:kern w:val="0"/>
                <w:sz w:val="21"/>
                <w:szCs w:val="21"/>
                <w:highlight w:val="none"/>
                <w:u w:val="none"/>
                <w:lang w:val="en-US" w:eastAsia="zh-CN" w:bidi="ar"/>
              </w:rPr>
              <w:t>维</w:t>
            </w:r>
            <w:r>
              <w:rPr>
                <w:rFonts w:hint="eastAsia" w:ascii="宋体" w:hAnsi="宋体" w:cs="宋体"/>
                <w:i w:val="0"/>
                <w:iCs w:val="0"/>
                <w:color w:val="auto"/>
                <w:kern w:val="0"/>
                <w:sz w:val="21"/>
                <w:szCs w:val="21"/>
                <w:highlight w:val="none"/>
                <w:u w:val="none"/>
                <w:lang w:val="en-US" w:eastAsia="zh-CN" w:bidi="ar"/>
              </w:rPr>
              <w:t>修</w:t>
            </w:r>
            <w:r>
              <w:rPr>
                <w:rFonts w:hint="eastAsia" w:ascii="宋体" w:hAnsi="宋体" w:eastAsia="宋体" w:cs="宋体"/>
                <w:i w:val="0"/>
                <w:iCs w:val="0"/>
                <w:color w:val="auto"/>
                <w:kern w:val="0"/>
                <w:sz w:val="21"/>
                <w:szCs w:val="21"/>
                <w:highlight w:val="none"/>
                <w:u w:val="none"/>
                <w:lang w:val="en-US" w:eastAsia="zh-CN" w:bidi="ar"/>
              </w:rPr>
              <w:t>服务项目</w:t>
            </w:r>
            <w:r>
              <w:rPr>
                <w:rFonts w:hint="eastAsia" w:ascii="宋体" w:hAnsi="宋体" w:cs="宋体"/>
                <w:i w:val="0"/>
                <w:iCs w:val="0"/>
                <w:color w:val="auto"/>
                <w:kern w:val="0"/>
                <w:sz w:val="21"/>
                <w:szCs w:val="21"/>
                <w:highlight w:val="none"/>
                <w:u w:val="none"/>
                <w:lang w:val="en-US" w:eastAsia="zh-CN" w:bidi="ar"/>
              </w:rPr>
              <w:t>合作</w:t>
            </w:r>
            <w:r>
              <w:rPr>
                <w:rFonts w:hint="eastAsia" w:ascii="宋体" w:hAnsi="宋体" w:eastAsia="宋体" w:cs="宋体"/>
                <w:i w:val="0"/>
                <w:iCs w:val="0"/>
                <w:color w:val="auto"/>
                <w:kern w:val="0"/>
                <w:sz w:val="21"/>
                <w:szCs w:val="21"/>
                <w:highlight w:val="none"/>
                <w:u w:val="none"/>
                <w:lang w:val="en-US" w:eastAsia="zh-CN" w:bidi="ar"/>
              </w:rPr>
              <w:t>业绩</w:t>
            </w:r>
            <w:r>
              <w:rPr>
                <w:rFonts w:hint="eastAsia" w:ascii="宋体" w:hAnsi="宋体" w:cs="宋体"/>
                <w:i w:val="0"/>
                <w:iCs w:val="0"/>
                <w:color w:val="auto"/>
                <w:kern w:val="0"/>
                <w:sz w:val="21"/>
                <w:szCs w:val="21"/>
                <w:highlight w:val="none"/>
                <w:u w:val="none"/>
                <w:lang w:val="en-US" w:eastAsia="zh-CN" w:bidi="ar"/>
              </w:rPr>
              <w:t>的</w:t>
            </w:r>
            <w:r>
              <w:rPr>
                <w:rFonts w:hint="eastAsia" w:ascii="宋体" w:hAnsi="宋体" w:eastAsia="宋体" w:cs="宋体"/>
                <w:i w:val="0"/>
                <w:iCs w:val="0"/>
                <w:color w:val="auto"/>
                <w:kern w:val="0"/>
                <w:sz w:val="21"/>
                <w:szCs w:val="21"/>
                <w:highlight w:val="none"/>
                <w:u w:val="none"/>
                <w:lang w:val="en-US" w:eastAsia="zh-CN" w:bidi="ar"/>
              </w:rPr>
              <w:t>，每提供一个业绩得</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分，本项满分</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Style w:val="79"/>
                <w:rFonts w:hint="eastAsia" w:ascii="宋体" w:hAnsi="宋体" w:eastAsia="宋体" w:cs="宋体"/>
                <w:color w:val="auto"/>
                <w:sz w:val="21"/>
                <w:szCs w:val="21"/>
                <w:highlight w:val="none"/>
                <w:lang w:val="en-US" w:eastAsia="zh-CN" w:bidi="ar"/>
              </w:rPr>
              <w:t>注:投标文件中须提供业绩合同扫描件并加盖公章。如以上材料中无法体现业绩内容、合同签订时间等评审要素，须另附业主单位加盖公章的证明材料扫描件，否则不得分。</w:t>
            </w:r>
          </w:p>
        </w:tc>
      </w:tr>
      <w:tr w14:paraId="208E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2"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A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F6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2C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6F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投标人具有</w:t>
            </w:r>
            <w:r>
              <w:rPr>
                <w:rFonts w:hint="eastAsia" w:ascii="宋体" w:hAnsi="宋体" w:cs="宋体"/>
                <w:i w:val="0"/>
                <w:iCs w:val="0"/>
                <w:color w:val="auto"/>
                <w:kern w:val="0"/>
                <w:sz w:val="21"/>
                <w:szCs w:val="21"/>
                <w:highlight w:val="none"/>
                <w:u w:val="none"/>
                <w:lang w:val="en-US" w:eastAsia="zh-CN" w:bidi="ar"/>
              </w:rPr>
              <w:t>本年度本地区轮胎厂家授权的</w:t>
            </w:r>
            <w:r>
              <w:rPr>
                <w:rFonts w:hint="eastAsia" w:ascii="宋体" w:hAnsi="宋体" w:eastAsia="宋体" w:cs="宋体"/>
                <w:i w:val="0"/>
                <w:iCs w:val="0"/>
                <w:color w:val="auto"/>
                <w:kern w:val="0"/>
                <w:sz w:val="21"/>
                <w:szCs w:val="21"/>
                <w:highlight w:val="none"/>
                <w:u w:val="none"/>
                <w:lang w:val="en-US" w:eastAsia="zh-CN" w:bidi="ar"/>
              </w:rPr>
              <w:t>商用轮胎授权证书，每提供一个得</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分，本项满分</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注：投标文件中须提供上述授权证书扫描件或影印件。</w:t>
            </w:r>
          </w:p>
        </w:tc>
      </w:tr>
      <w:tr w14:paraId="0D21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2"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C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3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设施设备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78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12</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F305">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气动千斤顶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投标人</w:t>
            </w:r>
            <w:r>
              <w:rPr>
                <w:rFonts w:hint="eastAsia" w:ascii="宋体" w:hAnsi="宋体" w:eastAsia="宋体" w:cs="宋体"/>
                <w:i w:val="0"/>
                <w:iCs w:val="0"/>
                <w:color w:val="auto"/>
                <w:kern w:val="0"/>
                <w:sz w:val="21"/>
                <w:szCs w:val="21"/>
                <w:highlight w:val="none"/>
                <w:u w:val="none"/>
                <w:lang w:val="en-US" w:eastAsia="zh-CN" w:bidi="ar"/>
              </w:rPr>
              <w:t>为本项目配备</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台大型车辆</w:t>
            </w:r>
            <w:r>
              <w:rPr>
                <w:rFonts w:hint="eastAsia" w:ascii="宋体" w:hAnsi="宋体" w:cs="宋体"/>
                <w:i w:val="0"/>
                <w:iCs w:val="0"/>
                <w:color w:val="auto"/>
                <w:kern w:val="0"/>
                <w:sz w:val="21"/>
                <w:szCs w:val="21"/>
                <w:highlight w:val="none"/>
                <w:u w:val="none"/>
                <w:lang w:val="en-US" w:eastAsia="zh-CN" w:bidi="ar"/>
              </w:rPr>
              <w:t>气动千斤顶</w:t>
            </w:r>
            <w:r>
              <w:rPr>
                <w:rFonts w:hint="eastAsia" w:ascii="宋体" w:hAnsi="宋体" w:eastAsia="宋体" w:cs="宋体"/>
                <w:i w:val="0"/>
                <w:iCs w:val="0"/>
                <w:color w:val="auto"/>
                <w:kern w:val="0"/>
                <w:sz w:val="21"/>
                <w:szCs w:val="21"/>
                <w:highlight w:val="none"/>
                <w:u w:val="none"/>
                <w:lang w:val="en-US" w:eastAsia="zh-CN" w:bidi="ar"/>
              </w:rPr>
              <w:t>，得</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分，每增加</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台大型车辆</w:t>
            </w:r>
            <w:r>
              <w:rPr>
                <w:rFonts w:hint="eastAsia" w:ascii="宋体" w:hAnsi="宋体" w:cs="宋体"/>
                <w:i w:val="0"/>
                <w:iCs w:val="0"/>
                <w:color w:val="auto"/>
                <w:kern w:val="0"/>
                <w:sz w:val="21"/>
                <w:szCs w:val="21"/>
                <w:highlight w:val="none"/>
                <w:u w:val="none"/>
                <w:lang w:val="en-US" w:eastAsia="zh-CN" w:bidi="ar"/>
              </w:rPr>
              <w:t>气动千斤顶</w:t>
            </w:r>
            <w:r>
              <w:rPr>
                <w:rFonts w:hint="eastAsia" w:ascii="宋体" w:hAnsi="宋体" w:eastAsia="宋体" w:cs="宋体"/>
                <w:i w:val="0"/>
                <w:iCs w:val="0"/>
                <w:color w:val="auto"/>
                <w:kern w:val="0"/>
                <w:sz w:val="21"/>
                <w:szCs w:val="21"/>
                <w:highlight w:val="none"/>
                <w:u w:val="none"/>
                <w:lang w:val="en-US" w:eastAsia="zh-CN" w:bidi="ar"/>
              </w:rPr>
              <w:t>，得</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分，本项最高得分为</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p>
          <w:p w14:paraId="4E71E954">
            <w:pPr>
              <w:keepNext w:val="0"/>
              <w:keepLines w:val="0"/>
              <w:widowControl/>
              <w:numPr>
                <w:ilvl w:val="0"/>
                <w:numId w:val="0"/>
              </w:numPr>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流动补胎</w:t>
            </w:r>
            <w:r>
              <w:rPr>
                <w:rFonts w:hint="eastAsia" w:ascii="宋体" w:hAnsi="宋体" w:cs="宋体"/>
                <w:i w:val="0"/>
                <w:iCs w:val="0"/>
                <w:color w:val="auto"/>
                <w:kern w:val="0"/>
                <w:sz w:val="21"/>
                <w:szCs w:val="21"/>
                <w:highlight w:val="none"/>
                <w:u w:val="none"/>
                <w:lang w:val="en-US" w:eastAsia="zh-CN" w:bidi="ar"/>
              </w:rPr>
              <w:t>车</w:t>
            </w:r>
          </w:p>
          <w:p w14:paraId="37D39B7F">
            <w:pPr>
              <w:keepNext w:val="0"/>
              <w:keepLines w:val="0"/>
              <w:widowControl/>
              <w:numPr>
                <w:ilvl w:val="0"/>
                <w:numId w:val="0"/>
              </w:numPr>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投标人</w:t>
            </w:r>
            <w:r>
              <w:rPr>
                <w:rFonts w:hint="eastAsia" w:ascii="宋体" w:hAnsi="宋体" w:eastAsia="宋体" w:cs="宋体"/>
                <w:i w:val="0"/>
                <w:iCs w:val="0"/>
                <w:color w:val="auto"/>
                <w:kern w:val="0"/>
                <w:sz w:val="21"/>
                <w:szCs w:val="21"/>
                <w:highlight w:val="none"/>
                <w:u w:val="none"/>
                <w:lang w:val="en-US" w:eastAsia="zh-CN" w:bidi="ar"/>
              </w:rPr>
              <w:t>为本项目配备</w:t>
            </w:r>
            <w:r>
              <w:rPr>
                <w:rFonts w:hint="eastAsia" w:ascii="宋体" w:hAnsi="宋体" w:cs="宋体"/>
                <w:i w:val="0"/>
                <w:iCs w:val="0"/>
                <w:color w:val="auto"/>
                <w:kern w:val="0"/>
                <w:sz w:val="21"/>
                <w:szCs w:val="21"/>
                <w:highlight w:val="none"/>
                <w:u w:val="none"/>
                <w:lang w:val="en-US" w:eastAsia="zh-CN" w:bidi="ar"/>
              </w:rPr>
              <w:t>3台流动补胎车</w:t>
            </w:r>
            <w:r>
              <w:rPr>
                <w:rFonts w:hint="eastAsia" w:ascii="宋体" w:hAnsi="宋体" w:eastAsia="宋体" w:cs="宋体"/>
                <w:i w:val="0"/>
                <w:iCs w:val="0"/>
                <w:color w:val="auto"/>
                <w:kern w:val="0"/>
                <w:sz w:val="21"/>
                <w:szCs w:val="21"/>
                <w:highlight w:val="none"/>
                <w:u w:val="none"/>
                <w:lang w:val="en-US" w:eastAsia="zh-CN" w:bidi="ar"/>
              </w:rPr>
              <w:t>，得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分；每增加1</w:t>
            </w:r>
            <w:r>
              <w:rPr>
                <w:rFonts w:hint="eastAsia" w:ascii="宋体" w:hAnsi="宋体" w:cs="宋体"/>
                <w:i w:val="0"/>
                <w:iCs w:val="0"/>
                <w:color w:val="auto"/>
                <w:kern w:val="0"/>
                <w:sz w:val="21"/>
                <w:szCs w:val="21"/>
                <w:highlight w:val="none"/>
                <w:u w:val="none"/>
                <w:lang w:val="en-US" w:eastAsia="zh-CN" w:bidi="ar"/>
              </w:rPr>
              <w:t>台</w:t>
            </w:r>
            <w:r>
              <w:rPr>
                <w:rFonts w:hint="eastAsia" w:ascii="宋体" w:hAnsi="宋体" w:eastAsia="宋体" w:cs="宋体"/>
                <w:i w:val="0"/>
                <w:iCs w:val="0"/>
                <w:color w:val="auto"/>
                <w:kern w:val="0"/>
                <w:sz w:val="21"/>
                <w:szCs w:val="21"/>
                <w:highlight w:val="none"/>
                <w:u w:val="none"/>
                <w:lang w:val="en-US" w:eastAsia="zh-CN" w:bidi="ar"/>
              </w:rPr>
              <w:t>，得1分，本项最高得分为</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其他设备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投标人</w:t>
            </w:r>
            <w:r>
              <w:rPr>
                <w:rFonts w:hint="eastAsia" w:ascii="宋体" w:hAnsi="宋体" w:eastAsia="宋体" w:cs="宋体"/>
                <w:i w:val="0"/>
                <w:iCs w:val="0"/>
                <w:color w:val="auto"/>
                <w:kern w:val="0"/>
                <w:sz w:val="21"/>
                <w:szCs w:val="21"/>
                <w:highlight w:val="none"/>
                <w:u w:val="none"/>
                <w:lang w:val="en-US" w:eastAsia="zh-CN" w:bidi="ar"/>
              </w:rPr>
              <w:t>为本项目配备大型</w:t>
            </w:r>
            <w:r>
              <w:rPr>
                <w:rFonts w:hint="eastAsia" w:ascii="宋体" w:hAnsi="宋体" w:cs="宋体"/>
                <w:i w:val="0"/>
                <w:iCs w:val="0"/>
                <w:color w:val="auto"/>
                <w:kern w:val="0"/>
                <w:sz w:val="21"/>
                <w:szCs w:val="21"/>
                <w:highlight w:val="none"/>
                <w:u w:val="none"/>
                <w:lang w:val="en-US" w:eastAsia="zh-CN" w:bidi="ar"/>
              </w:rPr>
              <w:t>车辆</w:t>
            </w:r>
            <w:r>
              <w:rPr>
                <w:rFonts w:hint="eastAsia" w:ascii="宋体" w:hAnsi="宋体" w:eastAsia="宋体" w:cs="宋体"/>
                <w:i w:val="0"/>
                <w:iCs w:val="0"/>
                <w:color w:val="auto"/>
                <w:kern w:val="0"/>
                <w:sz w:val="21"/>
                <w:szCs w:val="21"/>
                <w:highlight w:val="none"/>
                <w:u w:val="none"/>
                <w:lang w:val="en-US" w:eastAsia="zh-CN" w:bidi="ar"/>
              </w:rPr>
              <w:t>轮胎拆装机</w:t>
            </w:r>
            <w:r>
              <w:rPr>
                <w:rFonts w:hint="eastAsia" w:ascii="宋体" w:hAnsi="宋体" w:cs="宋体"/>
                <w:i w:val="0"/>
                <w:iCs w:val="0"/>
                <w:color w:val="auto"/>
                <w:kern w:val="0"/>
                <w:sz w:val="21"/>
                <w:szCs w:val="21"/>
                <w:highlight w:val="none"/>
                <w:u w:val="none"/>
                <w:lang w:val="en-US" w:eastAsia="zh-CN" w:bidi="ar"/>
              </w:rPr>
              <w:t>得1分；</w:t>
            </w:r>
            <w:r>
              <w:rPr>
                <w:rFonts w:hint="eastAsia" w:ascii="宋体" w:hAnsi="宋体" w:eastAsia="宋体" w:cs="宋体"/>
                <w:i w:val="0"/>
                <w:iCs w:val="0"/>
                <w:color w:val="auto"/>
                <w:kern w:val="0"/>
                <w:sz w:val="21"/>
                <w:szCs w:val="21"/>
                <w:highlight w:val="none"/>
                <w:u w:val="none"/>
                <w:lang w:val="en-US" w:eastAsia="zh-CN" w:bidi="ar"/>
              </w:rPr>
              <w:t>大型</w:t>
            </w:r>
            <w:r>
              <w:rPr>
                <w:rFonts w:hint="eastAsia" w:ascii="宋体" w:hAnsi="宋体" w:cs="宋体"/>
                <w:i w:val="0"/>
                <w:iCs w:val="0"/>
                <w:color w:val="auto"/>
                <w:kern w:val="0"/>
                <w:sz w:val="21"/>
                <w:szCs w:val="21"/>
                <w:highlight w:val="none"/>
                <w:u w:val="none"/>
                <w:lang w:val="en-US" w:eastAsia="zh-CN" w:bidi="ar"/>
              </w:rPr>
              <w:t>车辆</w:t>
            </w:r>
            <w:r>
              <w:rPr>
                <w:rFonts w:hint="eastAsia" w:ascii="宋体" w:hAnsi="宋体" w:eastAsia="宋体" w:cs="宋体"/>
                <w:i w:val="0"/>
                <w:iCs w:val="0"/>
                <w:color w:val="auto"/>
                <w:kern w:val="0"/>
                <w:sz w:val="21"/>
                <w:szCs w:val="21"/>
                <w:highlight w:val="none"/>
                <w:u w:val="none"/>
                <w:lang w:val="en-US" w:eastAsia="zh-CN" w:bidi="ar"/>
              </w:rPr>
              <w:t>风炮得1分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大型</w:t>
            </w:r>
            <w:r>
              <w:rPr>
                <w:rFonts w:hint="eastAsia" w:ascii="宋体" w:hAnsi="宋体" w:cs="宋体"/>
                <w:i w:val="0"/>
                <w:iCs w:val="0"/>
                <w:color w:val="auto"/>
                <w:kern w:val="0"/>
                <w:sz w:val="21"/>
                <w:szCs w:val="21"/>
                <w:highlight w:val="none"/>
                <w:u w:val="none"/>
                <w:lang w:val="en-US" w:eastAsia="zh-CN" w:bidi="ar"/>
              </w:rPr>
              <w:t>车辆</w:t>
            </w:r>
            <w:r>
              <w:rPr>
                <w:rFonts w:hint="eastAsia" w:ascii="宋体" w:hAnsi="宋体" w:eastAsia="宋体" w:cs="宋体"/>
                <w:i w:val="0"/>
                <w:iCs w:val="0"/>
                <w:color w:val="auto"/>
                <w:kern w:val="0"/>
                <w:sz w:val="21"/>
                <w:szCs w:val="21"/>
                <w:highlight w:val="none"/>
                <w:u w:val="none"/>
                <w:lang w:val="en-US" w:eastAsia="zh-CN" w:bidi="ar"/>
              </w:rPr>
              <w:t>轮胎平衡机得1分</w:t>
            </w:r>
            <w:r>
              <w:rPr>
                <w:rFonts w:hint="eastAsia" w:ascii="宋体" w:hAnsi="宋体" w:cs="宋体"/>
                <w:i w:val="0"/>
                <w:iCs w:val="0"/>
                <w:color w:val="auto"/>
                <w:kern w:val="0"/>
                <w:sz w:val="21"/>
                <w:szCs w:val="21"/>
                <w:highlight w:val="none"/>
                <w:u w:val="none"/>
                <w:lang w:val="en-US" w:eastAsia="zh-CN" w:bidi="ar"/>
              </w:rPr>
              <w:t>；大型空压机得1分。</w:t>
            </w:r>
            <w:r>
              <w:rPr>
                <w:rFonts w:hint="eastAsia" w:ascii="宋体" w:hAnsi="宋体" w:eastAsia="宋体" w:cs="宋体"/>
                <w:i w:val="0"/>
                <w:iCs w:val="0"/>
                <w:color w:val="auto"/>
                <w:kern w:val="0"/>
                <w:sz w:val="21"/>
                <w:szCs w:val="21"/>
                <w:highlight w:val="none"/>
                <w:u w:val="none"/>
                <w:lang w:val="en-US" w:eastAsia="zh-CN" w:bidi="ar"/>
              </w:rPr>
              <w:t>本项最高得分为</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Style w:val="79"/>
                <w:rFonts w:hint="eastAsia" w:ascii="宋体" w:hAnsi="宋体" w:eastAsia="宋体" w:cs="宋体"/>
                <w:b w:val="0"/>
                <w:bCs w:val="0"/>
                <w:color w:val="auto"/>
                <w:sz w:val="21"/>
                <w:szCs w:val="21"/>
                <w:highlight w:val="none"/>
                <w:lang w:val="en-US" w:eastAsia="zh-CN" w:bidi="ar"/>
              </w:rPr>
              <w:t>注：投标文件中须提供以下证明材料：①投标文件中提供现场实物照片</w:t>
            </w:r>
            <w:r>
              <w:rPr>
                <w:rStyle w:val="79"/>
                <w:rFonts w:hint="eastAsia" w:ascii="宋体" w:hAnsi="宋体" w:cs="宋体"/>
                <w:b w:val="0"/>
                <w:bCs w:val="0"/>
                <w:color w:val="auto"/>
                <w:sz w:val="21"/>
                <w:szCs w:val="21"/>
                <w:highlight w:val="none"/>
                <w:lang w:val="en-US" w:eastAsia="zh-CN" w:bidi="ar"/>
              </w:rPr>
              <w:t>(彩色打印)</w:t>
            </w:r>
            <w:r>
              <w:rPr>
                <w:rStyle w:val="79"/>
                <w:rFonts w:hint="eastAsia" w:ascii="宋体" w:hAnsi="宋体" w:eastAsia="宋体" w:cs="宋体"/>
                <w:b w:val="0"/>
                <w:bCs w:val="0"/>
                <w:color w:val="auto"/>
                <w:sz w:val="21"/>
                <w:szCs w:val="21"/>
                <w:highlight w:val="none"/>
                <w:lang w:val="en-US" w:eastAsia="zh-CN" w:bidi="ar"/>
              </w:rPr>
              <w:t>；②</w:t>
            </w:r>
            <w:r>
              <w:rPr>
                <w:rStyle w:val="79"/>
                <w:rFonts w:hint="eastAsia" w:ascii="宋体" w:hAnsi="宋体" w:cs="宋体"/>
                <w:b w:val="0"/>
                <w:bCs w:val="0"/>
                <w:color w:val="auto"/>
                <w:sz w:val="21"/>
                <w:szCs w:val="21"/>
                <w:highlight w:val="none"/>
                <w:lang w:val="en-US" w:eastAsia="zh-CN" w:bidi="ar"/>
              </w:rPr>
              <w:t>流动补胎车辆所有人为个人时，则必须为本单位职工。</w:t>
            </w:r>
          </w:p>
        </w:tc>
      </w:tr>
      <w:tr w14:paraId="71DA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2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7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场地规模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15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12</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9A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投标人须具有专业的生产经营场地，根据实际面积进行评审。</w:t>
            </w:r>
          </w:p>
          <w:p w14:paraId="5EBEBF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①</w:t>
            </w:r>
            <w:r>
              <w:rPr>
                <w:rFonts w:hint="eastAsia" w:ascii="宋体" w:hAnsi="宋体" w:cs="宋体"/>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00平方米（含）及以上的，得</w:t>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②</w:t>
            </w:r>
            <w:r>
              <w:rPr>
                <w:rFonts w:hint="eastAsia" w:ascii="宋体" w:hAnsi="宋体" w:cs="宋体"/>
                <w:i w:val="0"/>
                <w:iCs w:val="0"/>
                <w:color w:val="auto"/>
                <w:kern w:val="0"/>
                <w:sz w:val="21"/>
                <w:szCs w:val="21"/>
                <w:highlight w:val="none"/>
                <w:u w:val="none"/>
                <w:lang w:val="en-US" w:eastAsia="zh-CN" w:bidi="ar"/>
              </w:rPr>
              <w:t>3000</w:t>
            </w:r>
            <w:r>
              <w:rPr>
                <w:rFonts w:hint="eastAsia" w:ascii="宋体" w:hAnsi="宋体" w:eastAsia="宋体" w:cs="宋体"/>
                <w:i w:val="0"/>
                <w:iCs w:val="0"/>
                <w:color w:val="auto"/>
                <w:kern w:val="0"/>
                <w:sz w:val="21"/>
                <w:szCs w:val="21"/>
                <w:highlight w:val="none"/>
                <w:u w:val="none"/>
                <w:lang w:val="en-US" w:eastAsia="zh-CN" w:bidi="ar"/>
              </w:rPr>
              <w:t>（含）-</w:t>
            </w:r>
            <w:r>
              <w:rPr>
                <w:rFonts w:hint="eastAsia" w:ascii="宋体" w:hAnsi="宋体" w:cs="宋体"/>
                <w:i w:val="0"/>
                <w:iCs w:val="0"/>
                <w:color w:val="auto"/>
                <w:kern w:val="0"/>
                <w:sz w:val="21"/>
                <w:szCs w:val="21"/>
                <w:highlight w:val="none"/>
                <w:u w:val="none"/>
                <w:lang w:val="en-US" w:eastAsia="zh-CN" w:bidi="ar"/>
              </w:rPr>
              <w:t>2000</w:t>
            </w:r>
            <w:r>
              <w:rPr>
                <w:rFonts w:hint="eastAsia" w:ascii="宋体" w:hAnsi="宋体" w:eastAsia="宋体" w:cs="宋体"/>
                <w:i w:val="0"/>
                <w:iCs w:val="0"/>
                <w:color w:val="auto"/>
                <w:kern w:val="0"/>
                <w:sz w:val="21"/>
                <w:szCs w:val="21"/>
                <w:highlight w:val="none"/>
                <w:u w:val="none"/>
                <w:lang w:val="en-US" w:eastAsia="zh-CN" w:bidi="ar"/>
              </w:rPr>
              <w:t>（不含）平方米的，得</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③</w:t>
            </w:r>
            <w:r>
              <w:rPr>
                <w:rFonts w:hint="eastAsia" w:ascii="宋体" w:hAnsi="宋体" w:cs="宋体"/>
                <w:i w:val="0"/>
                <w:iCs w:val="0"/>
                <w:color w:val="auto"/>
                <w:kern w:val="0"/>
                <w:sz w:val="21"/>
                <w:szCs w:val="21"/>
                <w:highlight w:val="none"/>
                <w:u w:val="none"/>
                <w:lang w:val="en-US" w:eastAsia="zh-CN" w:bidi="ar"/>
              </w:rPr>
              <w:t>2000</w:t>
            </w:r>
            <w:r>
              <w:rPr>
                <w:rFonts w:hint="eastAsia" w:ascii="宋体" w:hAnsi="宋体" w:eastAsia="宋体" w:cs="宋体"/>
                <w:i w:val="0"/>
                <w:iCs w:val="0"/>
                <w:color w:val="auto"/>
                <w:kern w:val="0"/>
                <w:sz w:val="21"/>
                <w:szCs w:val="21"/>
                <w:highlight w:val="none"/>
                <w:u w:val="none"/>
                <w:lang w:val="en-US" w:eastAsia="zh-CN" w:bidi="ar"/>
              </w:rPr>
              <w:t>（含）-</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0（不含）平方米的，得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④</w:t>
            </w:r>
            <w:r>
              <w:rPr>
                <w:rFonts w:hint="eastAsia" w:ascii="宋体" w:hAnsi="宋体" w:cs="宋体"/>
                <w:i w:val="0"/>
                <w:iCs w:val="0"/>
                <w:color w:val="auto"/>
                <w:kern w:val="0"/>
                <w:sz w:val="21"/>
                <w:szCs w:val="21"/>
                <w:highlight w:val="none"/>
                <w:u w:val="none"/>
                <w:lang w:val="en-US" w:eastAsia="zh-CN" w:bidi="ar"/>
              </w:rPr>
              <w:t>1000</w:t>
            </w:r>
            <w:r>
              <w:rPr>
                <w:rFonts w:hint="eastAsia" w:ascii="宋体" w:hAnsi="宋体" w:eastAsia="宋体" w:cs="宋体"/>
                <w:i w:val="0"/>
                <w:iCs w:val="0"/>
                <w:color w:val="auto"/>
                <w:kern w:val="0"/>
                <w:sz w:val="21"/>
                <w:szCs w:val="21"/>
                <w:highlight w:val="none"/>
                <w:u w:val="none"/>
                <w:lang w:val="en-US" w:eastAsia="zh-CN" w:bidi="ar"/>
              </w:rPr>
              <w:t>（不含）平方米以下的不得分。</w:t>
            </w:r>
          </w:p>
          <w:p w14:paraId="06311A69">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注:投标文件须提供能够体现生产经营</w:t>
            </w:r>
            <w:r>
              <w:rPr>
                <w:rFonts w:hint="eastAsia" w:ascii="宋体" w:hAnsi="宋体" w:cs="宋体"/>
                <w:b w:val="0"/>
                <w:bCs w:val="0"/>
                <w:i w:val="0"/>
                <w:iCs w:val="0"/>
                <w:color w:val="auto"/>
                <w:kern w:val="0"/>
                <w:sz w:val="21"/>
                <w:szCs w:val="21"/>
                <w:highlight w:val="none"/>
                <w:u w:val="none"/>
                <w:lang w:val="en-US" w:eastAsia="zh-CN" w:bidi="ar"/>
              </w:rPr>
              <w:t>场地</w:t>
            </w:r>
            <w:r>
              <w:rPr>
                <w:rFonts w:hint="eastAsia" w:ascii="宋体" w:hAnsi="宋体" w:eastAsia="宋体" w:cs="宋体"/>
                <w:b w:val="0"/>
                <w:bCs w:val="0"/>
                <w:i w:val="0"/>
                <w:iCs w:val="0"/>
                <w:color w:val="auto"/>
                <w:kern w:val="0"/>
                <w:sz w:val="21"/>
                <w:szCs w:val="21"/>
                <w:highlight w:val="none"/>
                <w:u w:val="none"/>
                <w:lang w:val="en-US" w:eastAsia="zh-CN" w:bidi="ar"/>
              </w:rPr>
              <w:t>面积的不动产产权证书（自有）或租赁合同扫描件或复印件；（证明材料中无法体现面积的不得分）。</w:t>
            </w:r>
          </w:p>
        </w:tc>
      </w:tr>
      <w:tr w14:paraId="4FF9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8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C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人员配备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48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12</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56C9">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拟派本项目</w:t>
            </w:r>
            <w:r>
              <w:rPr>
                <w:rFonts w:hint="eastAsia" w:ascii="宋体" w:hAnsi="宋体" w:cs="宋体"/>
                <w:i w:val="0"/>
                <w:iCs w:val="0"/>
                <w:color w:val="auto"/>
                <w:kern w:val="0"/>
                <w:sz w:val="21"/>
                <w:szCs w:val="21"/>
                <w:highlight w:val="none"/>
                <w:u w:val="none"/>
                <w:lang w:val="en-US" w:eastAsia="zh-CN" w:bidi="ar"/>
              </w:rPr>
              <w:t>专业工作人</w:t>
            </w:r>
            <w:r>
              <w:rPr>
                <w:rFonts w:hint="eastAsia" w:ascii="宋体" w:hAnsi="宋体" w:eastAsia="宋体" w:cs="宋体"/>
                <w:color w:val="auto"/>
                <w:spacing w:val="4"/>
                <w:highlight w:val="none"/>
              </w:rPr>
              <w:t>员</w:t>
            </w:r>
            <w:r>
              <w:rPr>
                <w:rFonts w:hint="eastAsia" w:ascii="宋体" w:hAnsi="宋体" w:eastAsia="宋体" w:cs="宋体"/>
                <w:i w:val="0"/>
                <w:iCs w:val="0"/>
                <w:color w:val="auto"/>
                <w:kern w:val="0"/>
                <w:sz w:val="21"/>
                <w:szCs w:val="21"/>
                <w:highlight w:val="none"/>
                <w:u w:val="none"/>
                <w:lang w:val="en-US" w:eastAsia="zh-CN" w:bidi="ar"/>
              </w:rPr>
              <w:t>达到</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人的得</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分，每增加</w:t>
            </w:r>
            <w:r>
              <w:rPr>
                <w:rFonts w:hint="eastAsia" w:ascii="宋体" w:hAnsi="宋体" w:cs="宋体"/>
                <w:i w:val="0"/>
                <w:iCs w:val="0"/>
                <w:color w:val="auto"/>
                <w:kern w:val="0"/>
                <w:sz w:val="21"/>
                <w:szCs w:val="21"/>
                <w:highlight w:val="none"/>
                <w:u w:val="none"/>
                <w:lang w:val="en-US" w:eastAsia="zh-CN" w:bidi="ar"/>
              </w:rPr>
              <w:t>2人</w:t>
            </w:r>
            <w:r>
              <w:rPr>
                <w:rFonts w:hint="eastAsia" w:ascii="宋体" w:hAnsi="宋体" w:eastAsia="宋体" w:cs="宋体"/>
                <w:i w:val="0"/>
                <w:iCs w:val="0"/>
                <w:color w:val="auto"/>
                <w:kern w:val="0"/>
                <w:sz w:val="21"/>
                <w:szCs w:val="21"/>
                <w:highlight w:val="none"/>
                <w:u w:val="none"/>
                <w:lang w:val="en-US" w:eastAsia="zh-CN" w:bidi="ar"/>
              </w:rPr>
              <w:t>，得</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分，本项最高得分为</w:t>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注：投标文件中提供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①人员名单（格式自拟，至少包含人员姓名、岗位）；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②拟派人员的身份证扫描件或复印件；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③自2025年1月1日至投标截止时间前任意1个月的社保缴费证明材料。</w:t>
            </w:r>
          </w:p>
        </w:tc>
      </w:tr>
      <w:tr w14:paraId="63EC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5"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5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8F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本地化服务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5A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12</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D728">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为了</w:t>
            </w:r>
            <w:r>
              <w:rPr>
                <w:rFonts w:hint="eastAsia" w:ascii="宋体" w:hAnsi="宋体" w:cs="宋体"/>
                <w:i w:val="0"/>
                <w:iCs w:val="0"/>
                <w:color w:val="auto"/>
                <w:kern w:val="0"/>
                <w:sz w:val="21"/>
                <w:szCs w:val="21"/>
                <w:highlight w:val="none"/>
                <w:u w:val="none"/>
                <w:lang w:val="en-US" w:eastAsia="zh-CN" w:bidi="ar"/>
              </w:rPr>
              <w:t>保障业主单位车辆正常运营</w:t>
            </w:r>
            <w:r>
              <w:rPr>
                <w:rFonts w:hint="eastAsia" w:ascii="宋体" w:hAnsi="宋体" w:eastAsia="宋体" w:cs="宋体"/>
                <w:i w:val="0"/>
                <w:iCs w:val="0"/>
                <w:color w:val="auto"/>
                <w:kern w:val="0"/>
                <w:sz w:val="21"/>
                <w:szCs w:val="21"/>
                <w:highlight w:val="none"/>
                <w:u w:val="none"/>
                <w:lang w:val="en-US" w:eastAsia="zh-CN" w:bidi="ar"/>
              </w:rPr>
              <w:t>，投标人提供</w:t>
            </w:r>
            <w:r>
              <w:rPr>
                <w:rFonts w:hint="eastAsia" w:ascii="宋体" w:hAnsi="宋体" w:cs="宋体"/>
                <w:i w:val="0"/>
                <w:iCs w:val="0"/>
                <w:color w:val="auto"/>
                <w:kern w:val="0"/>
                <w:sz w:val="21"/>
                <w:szCs w:val="21"/>
                <w:highlight w:val="none"/>
                <w:u w:val="none"/>
                <w:lang w:val="en-US" w:eastAsia="zh-CN" w:bidi="ar"/>
              </w:rPr>
              <w:t>承诺</w:t>
            </w:r>
            <w:r>
              <w:rPr>
                <w:rFonts w:hint="eastAsia" w:ascii="宋体" w:hAnsi="宋体" w:eastAsia="宋体" w:cs="宋体"/>
                <w:i w:val="0"/>
                <w:iCs w:val="0"/>
                <w:color w:val="auto"/>
                <w:kern w:val="0"/>
                <w:sz w:val="21"/>
                <w:szCs w:val="21"/>
                <w:highlight w:val="none"/>
                <w:u w:val="none"/>
                <w:lang w:val="en-US" w:eastAsia="zh-CN" w:bidi="ar"/>
              </w:rPr>
              <w:t>服务</w:t>
            </w:r>
            <w:r>
              <w:rPr>
                <w:rFonts w:hint="eastAsia" w:ascii="宋体" w:hAnsi="宋体" w:cs="宋体"/>
                <w:i w:val="0"/>
                <w:iCs w:val="0"/>
                <w:color w:val="auto"/>
                <w:kern w:val="0"/>
                <w:sz w:val="21"/>
                <w:szCs w:val="21"/>
                <w:highlight w:val="none"/>
                <w:u w:val="none"/>
                <w:lang w:val="en-US" w:eastAsia="zh-CN" w:bidi="ar"/>
              </w:rPr>
              <w:t>响应时间不得高于90min</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响应时间</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30min</w:t>
            </w:r>
            <w:r>
              <w:rPr>
                <w:rFonts w:hint="eastAsia" w:ascii="宋体" w:hAnsi="宋体" w:eastAsia="宋体" w:cs="宋体"/>
                <w:i w:val="0"/>
                <w:iCs w:val="0"/>
                <w:color w:val="auto"/>
                <w:kern w:val="0"/>
                <w:sz w:val="21"/>
                <w:szCs w:val="21"/>
                <w:highlight w:val="none"/>
                <w:u w:val="none"/>
                <w:lang w:val="en-US" w:eastAsia="zh-CN" w:bidi="ar"/>
              </w:rPr>
              <w:t>的，得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响应时间</w:t>
            </w:r>
            <w:r>
              <w:rPr>
                <w:rFonts w:hint="eastAsia" w:ascii="宋体" w:hAnsi="宋体" w:eastAsia="宋体" w:cs="宋体"/>
                <w:i w:val="0"/>
                <w:iCs w:val="0"/>
                <w:color w:val="auto"/>
                <w:kern w:val="0"/>
                <w:sz w:val="21"/>
                <w:szCs w:val="21"/>
                <w:highlight w:val="none"/>
                <w:u w:val="none"/>
                <w:lang w:val="en-US" w:eastAsia="zh-CN" w:bidi="ar"/>
              </w:rPr>
              <w:t>&gt;</w:t>
            </w:r>
            <w:r>
              <w:rPr>
                <w:rFonts w:hint="eastAsia" w:ascii="宋体" w:hAnsi="宋体" w:cs="宋体"/>
                <w:i w:val="0"/>
                <w:iCs w:val="0"/>
                <w:color w:val="auto"/>
                <w:kern w:val="0"/>
                <w:sz w:val="21"/>
                <w:szCs w:val="21"/>
                <w:highlight w:val="none"/>
                <w:u w:val="none"/>
                <w:lang w:val="en-US" w:eastAsia="zh-CN" w:bidi="ar"/>
              </w:rPr>
              <w:t>30min</w:t>
            </w:r>
            <w:r>
              <w:rPr>
                <w:rFonts w:hint="eastAsia" w:ascii="宋体" w:hAnsi="宋体" w:eastAsia="宋体" w:cs="宋体"/>
                <w:i w:val="0"/>
                <w:iCs w:val="0"/>
                <w:color w:val="auto"/>
                <w:kern w:val="0"/>
                <w:sz w:val="21"/>
                <w:szCs w:val="21"/>
                <w:highlight w:val="none"/>
                <w:u w:val="none"/>
                <w:lang w:val="en-US" w:eastAsia="zh-CN" w:bidi="ar"/>
              </w:rPr>
              <w:t>且≤</w:t>
            </w:r>
            <w:r>
              <w:rPr>
                <w:rFonts w:hint="eastAsia" w:ascii="宋体" w:hAnsi="宋体" w:cs="宋体"/>
                <w:i w:val="0"/>
                <w:iCs w:val="0"/>
                <w:color w:val="auto"/>
                <w:kern w:val="0"/>
                <w:sz w:val="21"/>
                <w:szCs w:val="21"/>
                <w:highlight w:val="none"/>
                <w:u w:val="none"/>
                <w:lang w:val="en-US" w:eastAsia="zh-CN" w:bidi="ar"/>
              </w:rPr>
              <w:t>60min</w:t>
            </w:r>
            <w:r>
              <w:rPr>
                <w:rFonts w:hint="eastAsia" w:ascii="宋体" w:hAnsi="宋体" w:eastAsia="宋体" w:cs="宋体"/>
                <w:i w:val="0"/>
                <w:iCs w:val="0"/>
                <w:color w:val="auto"/>
                <w:kern w:val="0"/>
                <w:sz w:val="21"/>
                <w:szCs w:val="21"/>
                <w:highlight w:val="none"/>
                <w:u w:val="none"/>
                <w:lang w:val="en-US" w:eastAsia="zh-CN" w:bidi="ar"/>
              </w:rPr>
              <w:t>的，得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p>
          <w:p w14:paraId="6AB5CD2D">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（3）</w:t>
            </w:r>
            <w:r>
              <w:rPr>
                <w:rFonts w:hint="eastAsia" w:ascii="宋体" w:hAnsi="宋体" w:cs="宋体"/>
                <w:i w:val="0"/>
                <w:iCs w:val="0"/>
                <w:color w:val="auto"/>
                <w:kern w:val="0"/>
                <w:sz w:val="21"/>
                <w:szCs w:val="21"/>
                <w:highlight w:val="none"/>
                <w:u w:val="none"/>
                <w:lang w:val="en-US" w:eastAsia="zh-CN" w:bidi="ar"/>
              </w:rPr>
              <w:t>响应时间</w:t>
            </w:r>
            <w:r>
              <w:rPr>
                <w:rFonts w:hint="eastAsia" w:ascii="宋体" w:hAnsi="宋体" w:eastAsia="宋体" w:cs="宋体"/>
                <w:i w:val="0"/>
                <w:iCs w:val="0"/>
                <w:color w:val="auto"/>
                <w:kern w:val="0"/>
                <w:sz w:val="21"/>
                <w:szCs w:val="21"/>
                <w:highlight w:val="none"/>
                <w:u w:val="none"/>
                <w:lang w:val="en-US" w:eastAsia="zh-CN" w:bidi="ar"/>
              </w:rPr>
              <w:t>&gt;</w:t>
            </w:r>
            <w:r>
              <w:rPr>
                <w:rFonts w:hint="eastAsia" w:ascii="宋体" w:hAnsi="宋体" w:cs="宋体"/>
                <w:i w:val="0"/>
                <w:iCs w:val="0"/>
                <w:color w:val="auto"/>
                <w:kern w:val="0"/>
                <w:sz w:val="21"/>
                <w:szCs w:val="21"/>
                <w:highlight w:val="none"/>
                <w:u w:val="none"/>
                <w:lang w:val="en-US" w:eastAsia="zh-CN" w:bidi="ar"/>
              </w:rPr>
              <w:t>60min</w:t>
            </w:r>
            <w:r>
              <w:rPr>
                <w:rFonts w:hint="eastAsia" w:ascii="宋体" w:hAnsi="宋体" w:eastAsia="宋体" w:cs="宋体"/>
                <w:i w:val="0"/>
                <w:iCs w:val="0"/>
                <w:color w:val="auto"/>
                <w:kern w:val="0"/>
                <w:sz w:val="21"/>
                <w:szCs w:val="21"/>
                <w:highlight w:val="none"/>
                <w:u w:val="none"/>
                <w:lang w:val="en-US" w:eastAsia="zh-CN" w:bidi="ar"/>
              </w:rPr>
              <w:t>且≤</w:t>
            </w:r>
            <w:r>
              <w:rPr>
                <w:rFonts w:hint="eastAsia" w:ascii="宋体" w:hAnsi="宋体" w:cs="宋体"/>
                <w:i w:val="0"/>
                <w:iCs w:val="0"/>
                <w:color w:val="auto"/>
                <w:kern w:val="0"/>
                <w:sz w:val="21"/>
                <w:szCs w:val="21"/>
                <w:highlight w:val="none"/>
                <w:u w:val="none"/>
                <w:lang w:val="en-US" w:eastAsia="zh-CN" w:bidi="ar"/>
              </w:rPr>
              <w:t>90min</w:t>
            </w:r>
            <w:r>
              <w:rPr>
                <w:rFonts w:hint="eastAsia" w:ascii="宋体" w:hAnsi="宋体" w:eastAsia="宋体" w:cs="宋体"/>
                <w:i w:val="0"/>
                <w:iCs w:val="0"/>
                <w:color w:val="auto"/>
                <w:kern w:val="0"/>
                <w:sz w:val="21"/>
                <w:szCs w:val="21"/>
                <w:highlight w:val="none"/>
                <w:u w:val="none"/>
                <w:lang w:val="en-US" w:eastAsia="zh-CN" w:bidi="ar"/>
              </w:rPr>
              <w:t>的，得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响应时间</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90min</w:t>
            </w:r>
            <w:r>
              <w:rPr>
                <w:rFonts w:hint="eastAsia" w:ascii="宋体" w:hAnsi="宋体" w:eastAsia="宋体" w:cs="宋体"/>
                <w:i w:val="0"/>
                <w:iCs w:val="0"/>
                <w:color w:val="auto"/>
                <w:kern w:val="0"/>
                <w:sz w:val="21"/>
                <w:szCs w:val="21"/>
                <w:highlight w:val="none"/>
                <w:u w:val="none"/>
                <w:lang w:val="en-US" w:eastAsia="zh-CN" w:bidi="ar"/>
              </w:rPr>
              <w:t>的，得0分。</w:t>
            </w:r>
          </w:p>
          <w:p w14:paraId="68B66505">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注：响应时间指的是业主单位电话报修的时间到抵达现场的时间。</w:t>
            </w:r>
          </w:p>
          <w:p w14:paraId="4AFB4701">
            <w:pPr>
              <w:keepNext w:val="0"/>
              <w:keepLines w:val="0"/>
              <w:widowControl/>
              <w:numPr>
                <w:ilvl w:val="0"/>
                <w:numId w:val="0"/>
              </w:numPr>
              <w:suppressLineNumbers w:val="0"/>
              <w:spacing w:before="0" w:beforeAutospacing="0" w:after="0" w:afterAutospacing="0"/>
              <w:ind w:left="0" w:right="0" w:firstLine="420" w:firstLineChars="20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需提供相关承诺，不提供的不得分。</w:t>
            </w:r>
          </w:p>
          <w:p w14:paraId="03E8FBA7">
            <w:pPr>
              <w:keepNext w:val="0"/>
              <w:keepLines w:val="0"/>
              <w:widowControl/>
              <w:numPr>
                <w:ilvl w:val="0"/>
                <w:numId w:val="0"/>
              </w:numPr>
              <w:suppressLineNumbers w:val="0"/>
              <w:spacing w:before="0" w:beforeAutospacing="0" w:after="0" w:afterAutospacing="0"/>
              <w:ind w:left="0" w:right="0" w:firstLine="420" w:firstLineChars="200"/>
              <w:jc w:val="left"/>
              <w:textAlignment w:val="center"/>
              <w:rPr>
                <w:rFonts w:hint="eastAsia" w:ascii="宋体" w:hAnsi="宋体" w:cs="宋体"/>
                <w:i w:val="0"/>
                <w:iCs w:val="0"/>
                <w:color w:val="auto"/>
                <w:kern w:val="0"/>
                <w:sz w:val="21"/>
                <w:szCs w:val="21"/>
                <w:highlight w:val="none"/>
                <w:u w:val="none"/>
                <w:lang w:val="en-US" w:eastAsia="zh-CN" w:bidi="ar"/>
              </w:rPr>
            </w:pPr>
          </w:p>
          <w:p w14:paraId="6EF0B156">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为</w:t>
            </w:r>
            <w:r>
              <w:rPr>
                <w:rFonts w:hint="eastAsia" w:ascii="宋体" w:hAnsi="宋体" w:cs="宋体"/>
                <w:i w:val="0"/>
                <w:iCs w:val="0"/>
                <w:color w:val="auto"/>
                <w:kern w:val="0"/>
                <w:sz w:val="21"/>
                <w:szCs w:val="21"/>
                <w:highlight w:val="none"/>
                <w:u w:val="none"/>
                <w:lang w:val="en-US" w:eastAsia="zh-CN" w:bidi="ar"/>
              </w:rPr>
              <w:t xml:space="preserve">保障业主单位车辆的正常运营，投标人的店铺（或合作单位）不少于三个，地点应覆盖业主单位的线路（东至体育中心、西至皖河农场、南至狮子山公交枢纽、北至五阳花园酒店、中至火车站公交枢纽）。 </w:t>
            </w:r>
          </w:p>
          <w:p w14:paraId="2F234D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覆盖范围</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5km</w:t>
            </w:r>
            <w:r>
              <w:rPr>
                <w:rFonts w:hint="eastAsia" w:ascii="宋体" w:hAnsi="宋体" w:eastAsia="宋体" w:cs="宋体"/>
                <w:i w:val="0"/>
                <w:iCs w:val="0"/>
                <w:color w:val="auto"/>
                <w:kern w:val="0"/>
                <w:sz w:val="21"/>
                <w:szCs w:val="21"/>
                <w:highlight w:val="none"/>
                <w:u w:val="none"/>
                <w:lang w:val="en-US" w:eastAsia="zh-CN" w:bidi="ar"/>
              </w:rPr>
              <w:t>的，</w:t>
            </w:r>
            <w:r>
              <w:rPr>
                <w:rFonts w:hint="eastAsia" w:ascii="宋体" w:hAnsi="宋体" w:cs="宋体"/>
                <w:i w:val="0"/>
                <w:iCs w:val="0"/>
                <w:color w:val="auto"/>
                <w:kern w:val="0"/>
                <w:sz w:val="21"/>
                <w:szCs w:val="21"/>
                <w:highlight w:val="none"/>
                <w:u w:val="none"/>
                <w:lang w:val="en-US" w:eastAsia="zh-CN" w:bidi="ar"/>
              </w:rPr>
              <w:t>一个点得2分，</w:t>
            </w:r>
            <w:r>
              <w:rPr>
                <w:rFonts w:hint="eastAsia" w:ascii="宋体" w:hAnsi="宋体" w:eastAsia="宋体" w:cs="宋体"/>
                <w:i w:val="0"/>
                <w:iCs w:val="0"/>
                <w:color w:val="auto"/>
                <w:kern w:val="0"/>
                <w:sz w:val="21"/>
                <w:szCs w:val="21"/>
                <w:highlight w:val="none"/>
                <w:u w:val="none"/>
                <w:lang w:val="en-US" w:eastAsia="zh-CN" w:bidi="ar"/>
              </w:rPr>
              <w:t>本项最高得分为</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覆盖范围</w:t>
            </w:r>
            <w:r>
              <w:rPr>
                <w:rFonts w:hint="eastAsia" w:ascii="宋体" w:hAnsi="宋体" w:eastAsia="宋体" w:cs="宋体"/>
                <w:i w:val="0"/>
                <w:iCs w:val="0"/>
                <w:color w:val="auto"/>
                <w:kern w:val="0"/>
                <w:sz w:val="21"/>
                <w:szCs w:val="21"/>
                <w:highlight w:val="none"/>
                <w:u w:val="none"/>
                <w:lang w:val="en-US" w:eastAsia="zh-CN" w:bidi="ar"/>
              </w:rPr>
              <w:t>&gt;</w:t>
            </w:r>
            <w:r>
              <w:rPr>
                <w:rFonts w:hint="eastAsia" w:ascii="宋体" w:hAnsi="宋体" w:cs="宋体"/>
                <w:i w:val="0"/>
                <w:iCs w:val="0"/>
                <w:color w:val="auto"/>
                <w:kern w:val="0"/>
                <w:sz w:val="21"/>
                <w:szCs w:val="21"/>
                <w:highlight w:val="none"/>
                <w:u w:val="none"/>
                <w:lang w:val="en-US" w:eastAsia="zh-CN" w:bidi="ar"/>
              </w:rPr>
              <w:t>5km</w:t>
            </w:r>
            <w:r>
              <w:rPr>
                <w:rFonts w:hint="eastAsia" w:ascii="宋体" w:hAnsi="宋体" w:eastAsia="宋体" w:cs="宋体"/>
                <w:i w:val="0"/>
                <w:iCs w:val="0"/>
                <w:color w:val="auto"/>
                <w:kern w:val="0"/>
                <w:sz w:val="21"/>
                <w:szCs w:val="21"/>
                <w:highlight w:val="none"/>
                <w:u w:val="none"/>
                <w:lang w:val="en-US" w:eastAsia="zh-CN" w:bidi="ar"/>
              </w:rPr>
              <w:t>且≤</w:t>
            </w:r>
            <w:r>
              <w:rPr>
                <w:rFonts w:hint="eastAsia" w:ascii="宋体" w:hAnsi="宋体" w:cs="宋体"/>
                <w:i w:val="0"/>
                <w:iCs w:val="0"/>
                <w:color w:val="auto"/>
                <w:kern w:val="0"/>
                <w:sz w:val="21"/>
                <w:szCs w:val="21"/>
                <w:highlight w:val="none"/>
                <w:u w:val="none"/>
                <w:lang w:val="en-US" w:eastAsia="zh-CN" w:bidi="ar"/>
              </w:rPr>
              <w:t>10km</w:t>
            </w:r>
            <w:r>
              <w:rPr>
                <w:rFonts w:hint="eastAsia" w:ascii="宋体" w:hAnsi="宋体" w:eastAsia="宋体" w:cs="宋体"/>
                <w:i w:val="0"/>
                <w:iCs w:val="0"/>
                <w:color w:val="auto"/>
                <w:kern w:val="0"/>
                <w:sz w:val="21"/>
                <w:szCs w:val="21"/>
                <w:highlight w:val="none"/>
                <w:u w:val="none"/>
                <w:lang w:val="en-US" w:eastAsia="zh-CN" w:bidi="ar"/>
              </w:rPr>
              <w:t>的，</w:t>
            </w:r>
            <w:r>
              <w:rPr>
                <w:rFonts w:hint="eastAsia" w:ascii="宋体" w:hAnsi="宋体" w:cs="宋体"/>
                <w:i w:val="0"/>
                <w:iCs w:val="0"/>
                <w:color w:val="auto"/>
                <w:kern w:val="0"/>
                <w:sz w:val="21"/>
                <w:szCs w:val="21"/>
                <w:highlight w:val="none"/>
                <w:u w:val="none"/>
                <w:lang w:val="en-US" w:eastAsia="zh-CN" w:bidi="ar"/>
              </w:rPr>
              <w:t>一个点得1分，</w:t>
            </w:r>
            <w:r>
              <w:rPr>
                <w:rFonts w:hint="eastAsia" w:ascii="宋体" w:hAnsi="宋体" w:eastAsia="宋体" w:cs="宋体"/>
                <w:i w:val="0"/>
                <w:iCs w:val="0"/>
                <w:color w:val="auto"/>
                <w:kern w:val="0"/>
                <w:sz w:val="21"/>
                <w:szCs w:val="21"/>
                <w:highlight w:val="none"/>
                <w:u w:val="none"/>
                <w:lang w:val="en-US" w:eastAsia="zh-CN" w:bidi="ar"/>
              </w:rPr>
              <w:t>本项最高得分为</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覆盖范围</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10km</w:t>
            </w:r>
            <w:r>
              <w:rPr>
                <w:rFonts w:hint="eastAsia" w:ascii="宋体" w:hAnsi="宋体" w:eastAsia="宋体" w:cs="宋体"/>
                <w:i w:val="0"/>
                <w:iCs w:val="0"/>
                <w:color w:val="auto"/>
                <w:kern w:val="0"/>
                <w:sz w:val="21"/>
                <w:szCs w:val="21"/>
                <w:highlight w:val="none"/>
                <w:u w:val="none"/>
                <w:lang w:val="en-US" w:eastAsia="zh-CN" w:bidi="ar"/>
              </w:rPr>
              <w:t>的，得0分。</w:t>
            </w:r>
          </w:p>
          <w:p w14:paraId="6B8D4AD8">
            <w:pPr>
              <w:keepNext w:val="0"/>
              <w:keepLines w:val="0"/>
              <w:widowControl/>
              <w:numPr>
                <w:ilvl w:val="0"/>
                <w:numId w:val="0"/>
              </w:numPr>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注：需提供相关承诺及合作单位合同，不提供的不得分。</w:t>
            </w:r>
          </w:p>
        </w:tc>
      </w:tr>
      <w:tr w14:paraId="442A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3"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C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A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规章制度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B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6</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4E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Style w:val="80"/>
                <w:rFonts w:hint="eastAsia" w:ascii="宋体" w:hAnsi="宋体" w:eastAsia="宋体" w:cs="宋体"/>
                <w:color w:val="auto"/>
                <w:sz w:val="21"/>
                <w:szCs w:val="21"/>
                <w:highlight w:val="none"/>
                <w:lang w:val="en-US" w:eastAsia="zh-CN" w:bidi="ar"/>
              </w:rPr>
              <w:t>投标人具有相应齐全的车辆维保规章制度，内容包括但不限于</w:t>
            </w:r>
            <w:r>
              <w:rPr>
                <w:rStyle w:val="81"/>
                <w:rFonts w:hint="eastAsia" w:ascii="宋体" w:hAnsi="宋体" w:eastAsia="宋体" w:cs="宋体"/>
                <w:color w:val="auto"/>
                <w:sz w:val="21"/>
                <w:szCs w:val="21"/>
                <w:highlight w:val="none"/>
                <w:lang w:val="en-US" w:eastAsia="zh-CN" w:bidi="ar"/>
              </w:rPr>
              <w:t>《安全生产管理制度》</w:t>
            </w:r>
            <w:r>
              <w:rPr>
                <w:rStyle w:val="80"/>
                <w:rFonts w:hint="eastAsia" w:ascii="宋体" w:hAnsi="宋体" w:eastAsia="宋体" w:cs="宋体"/>
                <w:color w:val="auto"/>
                <w:sz w:val="21"/>
                <w:szCs w:val="21"/>
                <w:highlight w:val="none"/>
                <w:lang w:val="en-US" w:eastAsia="zh-CN" w:bidi="ar"/>
              </w:rPr>
              <w:t>、《材料管理制度》、</w:t>
            </w:r>
            <w:r>
              <w:rPr>
                <w:rStyle w:val="81"/>
                <w:rFonts w:hint="eastAsia" w:ascii="宋体" w:hAnsi="宋体" w:eastAsia="宋体" w:cs="宋体"/>
                <w:color w:val="auto"/>
                <w:sz w:val="21"/>
                <w:szCs w:val="21"/>
                <w:highlight w:val="none"/>
                <w:lang w:val="en-US" w:eastAsia="zh-CN" w:bidi="ar"/>
              </w:rPr>
              <w:t xml:space="preserve">《质量管理制度》 </w:t>
            </w:r>
            <w:r>
              <w:rPr>
                <w:rStyle w:val="80"/>
                <w:rFonts w:hint="eastAsia" w:ascii="宋体" w:hAnsi="宋体" w:eastAsia="宋体" w:cs="宋体"/>
                <w:color w:val="auto"/>
                <w:sz w:val="21"/>
                <w:szCs w:val="21"/>
                <w:highlight w:val="none"/>
                <w:lang w:val="en-US" w:eastAsia="zh-CN" w:bidi="ar"/>
              </w:rPr>
              <w:t>、</w:t>
            </w:r>
            <w:r>
              <w:rPr>
                <w:rStyle w:val="81"/>
                <w:rFonts w:hint="eastAsia" w:ascii="宋体" w:hAnsi="宋体" w:eastAsia="宋体" w:cs="宋体"/>
                <w:color w:val="auto"/>
                <w:sz w:val="21"/>
                <w:szCs w:val="21"/>
                <w:highlight w:val="none"/>
                <w:lang w:val="en-US" w:eastAsia="zh-CN" w:bidi="ar"/>
              </w:rPr>
              <w:t>《环保管理制度》</w:t>
            </w:r>
            <w:r>
              <w:rPr>
                <w:rStyle w:val="80"/>
                <w:rFonts w:hint="eastAsia" w:ascii="宋体" w:hAnsi="宋体" w:eastAsia="宋体" w:cs="宋体"/>
                <w:color w:val="auto"/>
                <w:sz w:val="21"/>
                <w:szCs w:val="21"/>
                <w:highlight w:val="none"/>
                <w:lang w:val="en-US" w:eastAsia="zh-CN" w:bidi="ar"/>
              </w:rPr>
              <w:t>等，由评标委员会综合评审：</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（1）制度完善、内容完整详实，表达清晰，完全满足要求的，得</w:t>
            </w:r>
            <w:r>
              <w:rPr>
                <w:rStyle w:val="80"/>
                <w:rFonts w:hint="eastAsia" w:ascii="宋体" w:hAnsi="宋体" w:cs="宋体"/>
                <w:color w:val="auto"/>
                <w:sz w:val="21"/>
                <w:szCs w:val="21"/>
                <w:highlight w:val="none"/>
                <w:lang w:val="en-US" w:eastAsia="zh-CN" w:bidi="ar"/>
              </w:rPr>
              <w:t>4</w:t>
            </w:r>
            <w:r>
              <w:rPr>
                <w:rStyle w:val="80"/>
                <w:rFonts w:hint="eastAsia" w:ascii="宋体" w:hAnsi="宋体" w:eastAsia="宋体" w:cs="宋体"/>
                <w:color w:val="auto"/>
                <w:sz w:val="21"/>
                <w:szCs w:val="21"/>
                <w:highlight w:val="none"/>
                <w:lang w:val="en-US" w:eastAsia="zh-CN" w:bidi="ar"/>
              </w:rPr>
              <w:t>（不含）-</w:t>
            </w:r>
            <w:r>
              <w:rPr>
                <w:rStyle w:val="80"/>
                <w:rFonts w:hint="eastAsia" w:ascii="宋体" w:hAnsi="宋体" w:cs="宋体"/>
                <w:color w:val="auto"/>
                <w:sz w:val="21"/>
                <w:szCs w:val="21"/>
                <w:highlight w:val="none"/>
                <w:lang w:val="en-US" w:eastAsia="zh-CN" w:bidi="ar"/>
              </w:rPr>
              <w:t>6</w:t>
            </w:r>
            <w:r>
              <w:rPr>
                <w:rStyle w:val="80"/>
                <w:rFonts w:hint="eastAsia" w:ascii="宋体" w:hAnsi="宋体" w:eastAsia="宋体" w:cs="宋体"/>
                <w:color w:val="auto"/>
                <w:sz w:val="21"/>
                <w:szCs w:val="21"/>
                <w:highlight w:val="none"/>
                <w:lang w:val="en-US" w:eastAsia="zh-CN" w:bidi="ar"/>
              </w:rPr>
              <w:t>分；</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（2）制度较完善、内容表述较为准确，能够满足要求的，得</w:t>
            </w:r>
            <w:r>
              <w:rPr>
                <w:rStyle w:val="80"/>
                <w:rFonts w:hint="eastAsia" w:ascii="宋体" w:hAnsi="宋体" w:cs="宋体"/>
                <w:color w:val="auto"/>
                <w:sz w:val="21"/>
                <w:szCs w:val="21"/>
                <w:highlight w:val="none"/>
                <w:lang w:val="en-US" w:eastAsia="zh-CN" w:bidi="ar"/>
              </w:rPr>
              <w:t>2</w:t>
            </w:r>
            <w:r>
              <w:rPr>
                <w:rStyle w:val="80"/>
                <w:rFonts w:hint="eastAsia" w:ascii="宋体" w:hAnsi="宋体" w:eastAsia="宋体" w:cs="宋体"/>
                <w:color w:val="auto"/>
                <w:sz w:val="21"/>
                <w:szCs w:val="21"/>
                <w:highlight w:val="none"/>
                <w:lang w:val="en-US" w:eastAsia="zh-CN" w:bidi="ar"/>
              </w:rPr>
              <w:t>（不含）-</w:t>
            </w:r>
            <w:r>
              <w:rPr>
                <w:rStyle w:val="80"/>
                <w:rFonts w:hint="eastAsia" w:ascii="宋体" w:hAnsi="宋体" w:cs="宋体"/>
                <w:color w:val="auto"/>
                <w:sz w:val="21"/>
                <w:szCs w:val="21"/>
                <w:highlight w:val="none"/>
                <w:lang w:val="en-US" w:eastAsia="zh-CN" w:bidi="ar"/>
              </w:rPr>
              <w:t>4</w:t>
            </w:r>
            <w:r>
              <w:rPr>
                <w:rStyle w:val="80"/>
                <w:rFonts w:hint="eastAsia" w:ascii="宋体" w:hAnsi="宋体" w:eastAsia="宋体" w:cs="宋体"/>
                <w:color w:val="auto"/>
                <w:sz w:val="21"/>
                <w:szCs w:val="21"/>
                <w:highlight w:val="none"/>
                <w:lang w:val="en-US" w:eastAsia="zh-CN" w:bidi="ar"/>
              </w:rPr>
              <w:t>分；</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（3）制度内容有待完善、保障项目实施能力有待提高的，得</w:t>
            </w:r>
            <w:r>
              <w:rPr>
                <w:rStyle w:val="80"/>
                <w:rFonts w:hint="eastAsia" w:ascii="宋体" w:hAnsi="宋体" w:cs="宋体"/>
                <w:color w:val="auto"/>
                <w:sz w:val="21"/>
                <w:szCs w:val="21"/>
                <w:highlight w:val="none"/>
                <w:lang w:val="en-US" w:eastAsia="zh-CN" w:bidi="ar"/>
              </w:rPr>
              <w:t>0</w:t>
            </w:r>
            <w:r>
              <w:rPr>
                <w:rStyle w:val="80"/>
                <w:rFonts w:hint="eastAsia" w:ascii="宋体" w:hAnsi="宋体" w:eastAsia="宋体" w:cs="宋体"/>
                <w:color w:val="auto"/>
                <w:sz w:val="21"/>
                <w:szCs w:val="21"/>
                <w:highlight w:val="none"/>
                <w:lang w:val="en-US" w:eastAsia="zh-CN" w:bidi="ar"/>
              </w:rPr>
              <w:t>（不含）-2分；</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（4）差或未提供的不得分。</w:t>
            </w:r>
          </w:p>
        </w:tc>
      </w:tr>
      <w:tr w14:paraId="3B74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8"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7C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9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服务方案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CB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C4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评标委员会对投标人提供的项目实施方案（包括但不限于项目组人员分工、责任划定、服务时效保障、服务质量保障等）进行综合评分：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（1）方案周密、完善，内容详实，可行性高的，得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（不含）-</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（2）方案较完善，内容较详实，满足项目要求，可行性较高的，得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（不含）-</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（3）方案内容略为详实，基本满足项目要求，可行性有待提高的，得0（不含）-</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（4）差或未提供的不得分。</w:t>
            </w:r>
          </w:p>
        </w:tc>
      </w:tr>
      <w:tr w14:paraId="62C8A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3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5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应急及售后服务方案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43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AF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评标委员会对投标人提供应急及售后服务方案（包括但不限于各种安全突发事件的应急维修服务、材料质保期、车辆维修档案的建立、车辆完工后的使用情况回访、不定期给予技术培训及指导等）进行综合评审：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（1）方案详细完善、可行性强，满足或优于项目要求得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（不含）-</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（2）方案较详细、可行性较强的，满足项目要求得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（不含）-</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（3）方案相对简单、可行性不够高，基本满足项目要求得 0（不含）-</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（4）差或未提供不得分。</w:t>
            </w:r>
          </w:p>
        </w:tc>
      </w:tr>
      <w:tr w14:paraId="39A8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4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96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报价得分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C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3C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1.以经符合性评审合格</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满足招标文件要求且投标价格最低的投标报价为评标基准价，其价格分为满分。</w:t>
            </w:r>
          </w:p>
          <w:p w14:paraId="384356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i w:val="0"/>
                <w:iCs w:val="0"/>
                <w:color w:val="auto"/>
                <w:kern w:val="0"/>
                <w:sz w:val="21"/>
                <w:szCs w:val="21"/>
                <w:highlight w:val="none"/>
                <w:u w:val="none"/>
                <w:lang w:val="en-US" w:eastAsia="zh-CN" w:bidi="ar"/>
              </w:rPr>
              <w:t>2.其他投标人的价格分统一按照下列公式计算:投标报价得分=(评标基准价/投标费率)</w:t>
            </w:r>
            <w:r>
              <w:rPr>
                <w:rFonts w:hint="eastAsia" w:ascii="宋体" w:hAnsi="宋体" w:cs="宋体"/>
                <w:i w:val="0"/>
                <w:iCs w:val="0"/>
                <w:color w:val="auto"/>
                <w:kern w:val="0"/>
                <w:sz w:val="21"/>
                <w:szCs w:val="21"/>
                <w:highlight w:val="none"/>
                <w:u w:val="none"/>
                <w:lang w:val="en-US" w:eastAsia="zh-CN" w:bidi="ar"/>
              </w:rPr>
              <w:t>*2</w:t>
            </w:r>
            <w:r>
              <w:rPr>
                <w:rFonts w:hint="default" w:ascii="宋体" w:hAnsi="宋体" w:eastAsia="宋体" w:cs="宋体"/>
                <w:i w:val="0"/>
                <w:iCs w:val="0"/>
                <w:color w:val="auto"/>
                <w:kern w:val="0"/>
                <w:sz w:val="21"/>
                <w:szCs w:val="21"/>
                <w:highlight w:val="none"/>
                <w:u w:val="none"/>
                <w:lang w:val="en-US" w:eastAsia="zh-CN" w:bidi="ar"/>
              </w:rPr>
              <w:t>0</w:t>
            </w:r>
            <w:r>
              <w:rPr>
                <w:rFonts w:hint="eastAsia" w:ascii="宋体" w:hAnsi="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100%(保留两位小数，第三位四舍五入)</w:t>
            </w:r>
          </w:p>
        </w:tc>
      </w:tr>
    </w:tbl>
    <w:p w14:paraId="16476AAF">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p w14:paraId="0C8FF286">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（1）以上评分汇总分精确至小数点后二位、小数点后第三位四舍五入。</w:t>
      </w:r>
    </w:p>
    <w:p w14:paraId="119E75BC">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Times New Roman"/>
          <w:b/>
          <w:bCs/>
          <w:color w:val="auto"/>
          <w:szCs w:val="21"/>
          <w:highlight w:val="none"/>
        </w:rPr>
      </w:pPr>
      <w:r>
        <w:rPr>
          <w:rFonts w:hint="eastAsia" w:ascii="宋体" w:hAnsi="宋体" w:eastAsia="宋体" w:cs="宋体"/>
          <w:b w:val="0"/>
          <w:bCs w:val="0"/>
          <w:color w:val="auto"/>
          <w:sz w:val="21"/>
          <w:szCs w:val="21"/>
          <w:highlight w:val="none"/>
          <w:lang w:val="en-US" w:eastAsia="zh-CN"/>
        </w:rPr>
        <w:t>（2）参选人提供的证明材料要能清晰反映评分的实质内容，如因材料模糊不清，导致评标委员会无法辨认的，评标委员会可以不予认可该材料，一切后果由参选人自行承担。</w:t>
      </w:r>
    </w:p>
    <w:p w14:paraId="267C052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Times New Roman"/>
          <w:b/>
          <w:bCs/>
          <w:color w:val="auto"/>
          <w:szCs w:val="21"/>
          <w:highlight w:val="none"/>
        </w:rPr>
        <w:t>25、评标程序</w:t>
      </w:r>
      <w:r>
        <w:rPr>
          <w:rFonts w:hint="eastAsia" w:ascii="宋体" w:hAnsi="宋体" w:eastAsia="宋体" w:cs="Times New Roman"/>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51A0AA20">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25.1、参选文件符合性审查，包括但不限于以下内容：</w:t>
      </w:r>
    </w:p>
    <w:p w14:paraId="12DE6B0B">
      <w:pPr>
        <w:spacing w:line="500" w:lineRule="exact"/>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1）参选人资格是否符合比选文件要求；</w:t>
      </w:r>
    </w:p>
    <w:p w14:paraId="77DA439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335EB7D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97687A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2385023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2891DE2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7602865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D47DDD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3DFFB4FA">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25.2、</w:t>
      </w:r>
      <w:r>
        <w:rPr>
          <w:rFonts w:hint="eastAsia" w:ascii="宋体" w:hAnsi="宋体" w:eastAsia="宋体" w:cs="宋体"/>
          <w:b w:val="0"/>
          <w:bCs w:val="0"/>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53975D7A">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25.3、报价评审：</w:t>
      </w:r>
      <w:r>
        <w:rPr>
          <w:rFonts w:hint="eastAsia" w:ascii="宋体" w:hAnsi="宋体" w:eastAsia="宋体" w:cs="Times New Roman"/>
          <w:b/>
          <w:bCs/>
          <w:color w:val="auto"/>
          <w:szCs w:val="21"/>
          <w:highlight w:val="none"/>
        </w:rPr>
        <w:t>参选人报价不得高于</w:t>
      </w:r>
      <w:r>
        <w:rPr>
          <w:rFonts w:hint="eastAsia" w:ascii="宋体" w:hAnsi="宋体" w:cs="Times New Roman"/>
          <w:b/>
          <w:bCs/>
          <w:color w:val="auto"/>
          <w:szCs w:val="21"/>
          <w:highlight w:val="none"/>
          <w:lang w:eastAsia="zh-CN"/>
        </w:rPr>
        <w:t>最高投标费率</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否则为无效报价，即报价评审不通过</w:t>
      </w:r>
      <w:r>
        <w:rPr>
          <w:rFonts w:hint="eastAsia" w:ascii="宋体" w:hAnsi="宋体" w:eastAsia="宋体" w:cs="Times New Roman"/>
          <w:color w:val="auto"/>
          <w:szCs w:val="21"/>
          <w:highlight w:val="none"/>
        </w:rPr>
        <w:t>。</w:t>
      </w:r>
    </w:p>
    <w:p w14:paraId="122E36D4">
      <w:pPr>
        <w:widowControl/>
        <w:spacing w:line="48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25.4、报价中包含单价与总价的，应审核总价金额与按单价汇总金额是否一致。</w:t>
      </w:r>
    </w:p>
    <w:p w14:paraId="13705D97">
      <w:pPr>
        <w:widowControl/>
        <w:spacing w:line="48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37960804">
      <w:pPr>
        <w:widowControl/>
        <w:spacing w:line="500" w:lineRule="exact"/>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25.6、失信核查</w:t>
      </w:r>
    </w:p>
    <w:p w14:paraId="56DAD5FD">
      <w:pPr>
        <w:widowControl/>
        <w:spacing w:line="500" w:lineRule="exact"/>
        <w:ind w:firstLine="420"/>
        <w:jc w:val="both"/>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评标委员会对推荐为中标候选人的参选人是否被列入“信用中国、中国政府采购网”政府采购严重违法失信名单进行网上核查（网址：</w:t>
      </w:r>
      <w:r>
        <w:rPr>
          <w:rFonts w:ascii="Times New Roman" w:hAnsi="Times New Roman" w:eastAsia="宋体" w:cs="Times New Roman"/>
          <w:color w:val="auto"/>
          <w:szCs w:val="20"/>
          <w:highlight w:val="none"/>
        </w:rPr>
        <w:fldChar w:fldCharType="begin"/>
      </w:r>
      <w:r>
        <w:rPr>
          <w:rFonts w:ascii="Times New Roman" w:hAnsi="Times New Roman" w:eastAsia="宋体" w:cs="Times New Roman"/>
          <w:color w:val="auto"/>
          <w:szCs w:val="20"/>
          <w:highlight w:val="none"/>
        </w:rPr>
        <w:instrText xml:space="preserve"> HYPERLINK "http://www.creditchina.gov.cn/" </w:instrText>
      </w:r>
      <w:r>
        <w:rPr>
          <w:rFonts w:ascii="Times New Roman" w:hAnsi="Times New Roman" w:eastAsia="宋体" w:cs="Times New Roman"/>
          <w:color w:val="auto"/>
          <w:szCs w:val="20"/>
          <w:highlight w:val="none"/>
        </w:rPr>
        <w:fldChar w:fldCharType="separate"/>
      </w:r>
      <w:r>
        <w:rPr>
          <w:rStyle w:val="33"/>
          <w:rFonts w:hint="eastAsia" w:ascii="宋体" w:hAnsi="宋体" w:eastAsia="宋体" w:cs="Times New Roman"/>
          <w:color w:val="auto"/>
          <w:szCs w:val="21"/>
          <w:highlight w:val="none"/>
        </w:rPr>
        <w:t>http://www.creditchina.gov.cn/</w:t>
      </w:r>
      <w:r>
        <w:rPr>
          <w:rStyle w:val="33"/>
          <w:rFonts w:hint="eastAsia" w:ascii="宋体" w:hAnsi="宋体" w:eastAsia="宋体" w:cs="Times New Roman"/>
          <w:color w:val="auto"/>
          <w:szCs w:val="21"/>
          <w:highlight w:val="none"/>
        </w:rPr>
        <w:fldChar w:fldCharType="end"/>
      </w:r>
      <w:r>
        <w:rPr>
          <w:rFonts w:hint="eastAsia" w:ascii="宋体" w:hAnsi="宋体" w:eastAsia="宋体" w:cs="Times New Roman"/>
          <w:color w:val="auto"/>
          <w:szCs w:val="21"/>
          <w:highlight w:val="none"/>
        </w:rPr>
        <w:t>、</w:t>
      </w:r>
      <w:r>
        <w:rPr>
          <w:rFonts w:ascii="Times New Roman" w:hAnsi="Times New Roman" w:eastAsia="宋体" w:cs="Times New Roman"/>
          <w:color w:val="auto"/>
          <w:szCs w:val="20"/>
          <w:highlight w:val="none"/>
        </w:rPr>
        <w:fldChar w:fldCharType="begin"/>
      </w:r>
      <w:r>
        <w:rPr>
          <w:rFonts w:ascii="Times New Roman" w:hAnsi="Times New Roman" w:eastAsia="宋体" w:cs="Times New Roman"/>
          <w:color w:val="auto"/>
          <w:szCs w:val="20"/>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ascii="Times New Roman" w:hAnsi="Times New Roman" w:eastAsia="宋体" w:cs="Times New Roman"/>
          <w:color w:val="auto"/>
          <w:szCs w:val="20"/>
          <w:highlight w:val="none"/>
        </w:rPr>
        <w:fldChar w:fldCharType="separate"/>
      </w:r>
      <w:r>
        <w:rPr>
          <w:rStyle w:val="33"/>
          <w:rFonts w:hint="eastAsia" w:ascii="宋体" w:hAnsi="Times New Roman" w:eastAsia="宋体" w:cs="Times New Roman"/>
          <w:color w:val="auto"/>
          <w:szCs w:val="21"/>
          <w:highlight w:val="none"/>
        </w:rPr>
        <w:t>http://www.ccgp.gov.cn/）</w:t>
      </w:r>
      <w:r>
        <w:rPr>
          <w:rStyle w:val="33"/>
          <w:rFonts w:hint="eastAsia" w:ascii="宋体" w:hAnsi="Times New Roman" w:eastAsia="宋体" w:cs="Times New Roman"/>
          <w:color w:val="auto"/>
          <w:szCs w:val="21"/>
          <w:highlight w:val="none"/>
          <w:u w:val="none"/>
        </w:rPr>
        <w:t>，若核查存在</w:t>
      </w:r>
      <w:r>
        <w:rPr>
          <w:rStyle w:val="33"/>
          <w:rFonts w:hint="eastAsia" w:ascii="宋体" w:hAnsi="宋体" w:eastAsia="宋体" w:cs="Times New Roman"/>
          <w:color w:val="auto"/>
          <w:szCs w:val="21"/>
          <w:highlight w:val="none"/>
          <w:u w:val="none"/>
        </w:rPr>
        <w:t>政府采购严重违法</w:t>
      </w:r>
      <w:r>
        <w:rPr>
          <w:rStyle w:val="33"/>
          <w:rFonts w:hint="eastAsia" w:ascii="宋体" w:hAnsi="Times New Roman" w:eastAsia="宋体" w:cs="Times New Roman"/>
          <w:color w:val="auto"/>
          <w:szCs w:val="21"/>
          <w:highlight w:val="none"/>
          <w:u w:val="none"/>
        </w:rPr>
        <w:t>失信名单记录的参选人，评标委员会不得将其推荐为中标候选人，依序递补，并再次对递补的参选人进行核查。</w:t>
      </w:r>
      <w:r>
        <w:rPr>
          <w:rStyle w:val="33"/>
          <w:rFonts w:hint="eastAsia" w:ascii="宋体" w:hAnsi="Times New Roman" w:eastAsia="宋体" w:cs="Times New Roman"/>
          <w:color w:val="auto"/>
          <w:szCs w:val="21"/>
          <w:highlight w:val="none"/>
          <w:u w:val="none"/>
        </w:rPr>
        <w:fldChar w:fldCharType="end"/>
      </w:r>
    </w:p>
    <w:p w14:paraId="53C0E4C4">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s="Times New Roman"/>
          <w:color w:val="auto"/>
          <w:szCs w:val="21"/>
          <w:highlight w:val="none"/>
        </w:rPr>
        <w:t>则由采购人采取现场随机抽取的方式确定中标候选人排序。</w:t>
      </w:r>
    </w:p>
    <w:p w14:paraId="1CBE910B">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26、开标评标异常情况处理</w:t>
      </w:r>
    </w:p>
    <w:p w14:paraId="1FAE803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26.1、在招标采购中，出现下列情况之一的，应予废标，采购单位重新组织采购：</w:t>
      </w:r>
    </w:p>
    <w:p w14:paraId="31D0B20B">
      <w:pPr>
        <w:widowControl/>
        <w:spacing w:line="500" w:lineRule="exact"/>
        <w:ind w:firstLine="422" w:firstLineChars="200"/>
        <w:jc w:val="left"/>
        <w:rPr>
          <w:rFonts w:hint="eastAsia" w:ascii="宋体" w:hAnsi="宋体" w:cs="Times New Roman"/>
          <w:b/>
          <w:bCs/>
          <w:color w:val="auto"/>
          <w:szCs w:val="21"/>
          <w:highlight w:val="none"/>
          <w:lang w:eastAsia="zh-CN"/>
        </w:rPr>
      </w:pPr>
      <w:r>
        <w:rPr>
          <w:rFonts w:hint="eastAsia" w:ascii="宋体" w:hAnsi="宋体" w:eastAsia="宋体" w:cs="Times New Roman"/>
          <w:b/>
          <w:bCs/>
          <w:color w:val="auto"/>
          <w:szCs w:val="21"/>
          <w:highlight w:val="none"/>
        </w:rPr>
        <w:t>(1)提交参选文件的参选人不足</w:t>
      </w:r>
      <w:r>
        <w:rPr>
          <w:rFonts w:hint="eastAsia" w:ascii="宋体" w:hAnsi="宋体" w:eastAsia="宋体" w:cs="Times New Roman"/>
          <w:b/>
          <w:bCs/>
          <w:color w:val="auto"/>
          <w:szCs w:val="21"/>
          <w:highlight w:val="none"/>
          <w:lang w:val="en-US" w:eastAsia="zh-CN"/>
        </w:rPr>
        <w:t>3</w:t>
      </w:r>
      <w:r>
        <w:rPr>
          <w:rFonts w:hint="eastAsia" w:ascii="宋体" w:hAnsi="宋体" w:eastAsia="宋体" w:cs="Times New Roman"/>
          <w:b/>
          <w:bCs/>
          <w:color w:val="auto"/>
          <w:szCs w:val="21"/>
          <w:highlight w:val="none"/>
        </w:rPr>
        <w:t>家的</w:t>
      </w:r>
      <w:r>
        <w:rPr>
          <w:rFonts w:hint="eastAsia" w:ascii="宋体" w:hAnsi="宋体" w:cs="Times New Roman"/>
          <w:b/>
          <w:bCs/>
          <w:color w:val="auto"/>
          <w:szCs w:val="21"/>
          <w:highlight w:val="none"/>
          <w:lang w:eastAsia="zh-CN"/>
        </w:rPr>
        <w:t>；</w:t>
      </w:r>
    </w:p>
    <w:p w14:paraId="664EC299">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)出现影响采购公正的违法、违规行为的；</w:t>
      </w:r>
    </w:p>
    <w:p w14:paraId="5BB4F37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)参选人的报价均高于</w:t>
      </w:r>
      <w:r>
        <w:rPr>
          <w:rFonts w:hint="eastAsia" w:ascii="宋体" w:hAnsi="宋体" w:cs="Times New Roman"/>
          <w:color w:val="auto"/>
          <w:szCs w:val="21"/>
          <w:highlight w:val="none"/>
          <w:lang w:eastAsia="zh-CN"/>
        </w:rPr>
        <w:t>最高投标费率</w:t>
      </w:r>
      <w:r>
        <w:rPr>
          <w:rFonts w:hint="eastAsia" w:ascii="宋体" w:hAnsi="宋体" w:eastAsia="宋体" w:cs="Times New Roman"/>
          <w:color w:val="auto"/>
          <w:szCs w:val="21"/>
          <w:highlight w:val="none"/>
        </w:rPr>
        <w:t>的；</w:t>
      </w:r>
    </w:p>
    <w:p w14:paraId="6ACA7F33">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)因重大变故，采购任务取消的。</w:t>
      </w:r>
    </w:p>
    <w:p w14:paraId="02900A94">
      <w:pPr>
        <w:widowControl/>
        <w:spacing w:line="500" w:lineRule="exact"/>
        <w:ind w:firstLine="405"/>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27、评标过程的保密性</w:t>
      </w:r>
    </w:p>
    <w:p w14:paraId="1330344F">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27.1、</w:t>
      </w:r>
      <w:bookmarkStart w:id="38" w:name="_Toc417655921"/>
      <w:bookmarkStart w:id="39" w:name="_Toc418517858"/>
      <w:bookmarkStart w:id="40" w:name="_Toc15032"/>
      <w:r>
        <w:rPr>
          <w:rFonts w:hint="eastAsia" w:ascii="宋体" w:hAnsi="宋体" w:eastAsia="宋体" w:cs="Times New Roman"/>
          <w:color w:val="auto"/>
          <w:szCs w:val="21"/>
          <w:highlight w:val="none"/>
        </w:rPr>
        <w:t>开标后，直到授予中标人合同止，凡是与参选文件审查、澄清、评价、比较以及授标建议等评审方面的情况，均不得向参选人或其他无关的人员透露。</w:t>
      </w:r>
    </w:p>
    <w:p w14:paraId="4CD2613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27.2、在评标过程中，参选人如向评委会成员施加任何影响，都将会导致其参选文件被拒绝。</w:t>
      </w:r>
    </w:p>
    <w:p w14:paraId="59659941">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16FE7D2A">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27.4、中标通知书</w:t>
      </w:r>
      <w:bookmarkEnd w:id="38"/>
      <w:bookmarkEnd w:id="39"/>
      <w:bookmarkEnd w:id="40"/>
    </w:p>
    <w:p w14:paraId="51730B34">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szCs w:val="20"/>
          <w:highlight w:val="none"/>
        </w:rPr>
        <w:t>中标候选人确定后，采购单位将在安庆市交通控股集团有限公司集采平台（http：//jc.zh0556.com/）上公示，参选人如有异议，必须在公示期内向有关部门提出。</w:t>
      </w:r>
    </w:p>
    <w:p w14:paraId="53E2A0EF">
      <w:pPr>
        <w:spacing w:line="360" w:lineRule="auto"/>
        <w:ind w:firstLine="420" w:firstLineChars="200"/>
        <w:rPr>
          <w:rFonts w:ascii="Times New Roman" w:hAnsi="宋体" w:eastAsia="宋体" w:cs="宋体"/>
          <w:b/>
          <w:color w:val="auto"/>
          <w:szCs w:val="24"/>
          <w:highlight w:val="none"/>
        </w:rPr>
      </w:pPr>
      <w:bookmarkStart w:id="41" w:name="_Toc457998294"/>
      <w:bookmarkStart w:id="42" w:name="_Toc10987"/>
      <w:bookmarkStart w:id="43" w:name="_Toc31095"/>
      <w:bookmarkStart w:id="44" w:name="_Toc10586"/>
      <w:bookmarkStart w:id="45" w:name="_Toc456882340"/>
      <w:bookmarkStart w:id="46" w:name="_Toc19876"/>
      <w:bookmarkStart w:id="47" w:name="_Toc433721697"/>
      <w:bookmarkStart w:id="48" w:name="_Toc478821422"/>
      <w:r>
        <w:rPr>
          <w:rFonts w:ascii="Times New Roman" w:hAnsi="宋体" w:eastAsia="宋体" w:cs="宋体"/>
          <w:color w:val="auto"/>
          <w:szCs w:val="24"/>
          <w:highlight w:val="none"/>
        </w:rPr>
        <w:t>公示期满无异议，且未发现中标人在</w:t>
      </w:r>
      <w:r>
        <w:rPr>
          <w:rFonts w:hint="eastAsia" w:ascii="Times New Roman" w:hAnsi="宋体" w:eastAsia="宋体" w:cs="宋体"/>
          <w:color w:val="auto"/>
          <w:szCs w:val="24"/>
          <w:highlight w:val="none"/>
        </w:rPr>
        <w:t>比选</w:t>
      </w:r>
      <w:r>
        <w:rPr>
          <w:rFonts w:ascii="Times New Roman" w:hAnsi="宋体" w:eastAsia="宋体" w:cs="宋体"/>
          <w:color w:val="auto"/>
          <w:szCs w:val="24"/>
          <w:highlight w:val="none"/>
        </w:rPr>
        <w:t>活动中有违法行为的，</w:t>
      </w:r>
      <w:r>
        <w:rPr>
          <w:rFonts w:hint="eastAsia" w:ascii="Times New Roman" w:hAnsi="宋体" w:eastAsia="宋体" w:cs="宋体"/>
          <w:color w:val="auto"/>
          <w:szCs w:val="24"/>
          <w:highlight w:val="none"/>
        </w:rPr>
        <w:t>采购人</w:t>
      </w:r>
      <w:r>
        <w:rPr>
          <w:rFonts w:ascii="Times New Roman" w:hAnsi="宋体" w:eastAsia="宋体" w:cs="宋体"/>
          <w:color w:val="auto"/>
          <w:szCs w:val="24"/>
          <w:highlight w:val="none"/>
        </w:rPr>
        <w:t>将向中标人发出中标通知书。</w:t>
      </w:r>
      <w:bookmarkEnd w:id="41"/>
      <w:bookmarkEnd w:id="42"/>
      <w:bookmarkEnd w:id="43"/>
      <w:bookmarkEnd w:id="44"/>
      <w:bookmarkEnd w:id="45"/>
      <w:bookmarkEnd w:id="46"/>
      <w:bookmarkEnd w:id="47"/>
      <w:bookmarkEnd w:id="48"/>
    </w:p>
    <w:p w14:paraId="1CE8165A">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49" w:name="_Toc4481597"/>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六</w:t>
      </w:r>
      <w:r>
        <w:rPr>
          <w:rFonts w:hint="eastAsia" w:ascii="Arial" w:hAnsi="Arial" w:eastAsia="宋体" w:cs="Times New Roman"/>
          <w:b/>
          <w:color w:val="auto"/>
          <w:kern w:val="0"/>
          <w:sz w:val="32"/>
          <w:szCs w:val="20"/>
          <w:highlight w:val="none"/>
        </w:rPr>
        <w:t>）合同授予</w:t>
      </w:r>
      <w:bookmarkEnd w:id="49"/>
    </w:p>
    <w:p w14:paraId="266590D4">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28.1、</w:t>
      </w:r>
      <w:bookmarkStart w:id="50" w:name="_Toc418517860"/>
      <w:bookmarkStart w:id="51" w:name="_Toc21358"/>
      <w:bookmarkStart w:id="52" w:name="_Toc417655923"/>
      <w:r>
        <w:rPr>
          <w:rFonts w:hint="eastAsia" w:ascii="宋体" w:hAnsi="宋体" w:eastAsia="宋体" w:cs="Times New Roman"/>
          <w:color w:val="auto"/>
          <w:szCs w:val="21"/>
          <w:highlight w:val="none"/>
        </w:rPr>
        <w:t>签订合同</w:t>
      </w:r>
      <w:bookmarkEnd w:id="50"/>
      <w:bookmarkEnd w:id="51"/>
      <w:bookmarkEnd w:id="52"/>
    </w:p>
    <w:p w14:paraId="056B6447">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28.1.1、中标人的中标价即为合同价款。</w:t>
      </w:r>
    </w:p>
    <w:p w14:paraId="1CD35430">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28.1.2、中标人应在中标通知书发出之日起30日内，根据比选文件和中标人的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文件签订书面合同。中标人无正当理由拒签合同,在签订合同时向</w:t>
      </w:r>
      <w:r>
        <w:rPr>
          <w:rFonts w:hint="eastAsia" w:ascii="宋体" w:hAnsi="宋体" w:cs="Times New Roman"/>
          <w:color w:val="auto"/>
          <w:szCs w:val="21"/>
          <w:highlight w:val="none"/>
          <w:lang w:eastAsia="zh-CN"/>
        </w:rPr>
        <w:t>采购人</w:t>
      </w:r>
      <w:r>
        <w:rPr>
          <w:rFonts w:hint="eastAsia" w:ascii="宋体" w:hAnsi="宋体" w:eastAsia="宋体" w:cs="Times New Roman"/>
          <w:color w:val="auto"/>
          <w:szCs w:val="21"/>
          <w:highlight w:val="none"/>
        </w:rPr>
        <w:t>提出附加条件,或不按照招标文件要求提交履约保证金的，采购人有权取消其中标资格。</w:t>
      </w:r>
    </w:p>
    <w:p w14:paraId="71930969">
      <w:pPr>
        <w:widowControl/>
        <w:spacing w:line="500" w:lineRule="exact"/>
        <w:ind w:firstLine="420" w:firstLineChars="200"/>
        <w:jc w:val="left"/>
        <w:rPr>
          <w:rFonts w:ascii="Times New Roman" w:hAnsi="宋体" w:eastAsia="宋体" w:cs="Times New Roman"/>
          <w:b/>
          <w:color w:val="auto"/>
          <w:szCs w:val="21"/>
          <w:highlight w:val="none"/>
        </w:rPr>
      </w:pPr>
      <w:r>
        <w:rPr>
          <w:rFonts w:hint="eastAsia" w:ascii="宋体" w:hAnsi="宋体" w:eastAsia="宋体" w:cs="Times New Roman"/>
          <w:color w:val="auto"/>
          <w:szCs w:val="21"/>
          <w:highlight w:val="none"/>
        </w:rPr>
        <w:t>28.1.3、中标人（中标候选人）被取消中标资格的，采购人可以按照评标委员会提出的中标候选人名单排序依次确定其他中标候选人为中标人，或重新组织采购。</w:t>
      </w:r>
      <w:r>
        <w:rPr>
          <w:rFonts w:ascii="Times New Roman" w:hAnsi="宋体" w:eastAsia="宋体" w:cs="Times New Roman"/>
          <w:b/>
          <w:color w:val="auto"/>
          <w:szCs w:val="21"/>
          <w:highlight w:val="none"/>
        </w:rPr>
        <w:br w:type="page"/>
      </w:r>
    </w:p>
    <w:bookmarkEnd w:id="25"/>
    <w:bookmarkEnd w:id="26"/>
    <w:p w14:paraId="0D04989A">
      <w:pPr>
        <w:pStyle w:val="2"/>
        <w:numPr>
          <w:ilvl w:val="0"/>
          <w:numId w:val="0"/>
        </w:numPr>
        <w:ind w:left="1275" w:leftChars="0" w:hanging="1275" w:firstLineChars="0"/>
        <w:rPr>
          <w:color w:val="auto"/>
          <w:highlight w:val="none"/>
        </w:rPr>
      </w:pPr>
      <w:r>
        <w:rPr>
          <w:rFonts w:hint="default" w:ascii="Times New Roman" w:hAnsi="Times New Roman" w:eastAsia="宋体" w:cs="Times New Roman"/>
          <w:b/>
          <w:bCs/>
          <w:color w:val="auto"/>
          <w:kern w:val="44"/>
          <w:sz w:val="32"/>
          <w:szCs w:val="44"/>
          <w:highlight w:val="none"/>
          <w:lang w:val="en-US" w:eastAsia="zh-CN" w:bidi="ar-SA"/>
        </w:rPr>
        <w:t>第三章</w:t>
      </w:r>
      <w:r>
        <w:rPr>
          <w:rFonts w:hint="eastAsia"/>
          <w:color w:val="auto"/>
          <w:highlight w:val="none"/>
          <w:lang w:eastAsia="zh-CN"/>
        </w:rPr>
        <w:t>服务需求及技术要求</w:t>
      </w:r>
    </w:p>
    <w:p w14:paraId="6379D2E5">
      <w:pPr>
        <w:spacing w:line="360" w:lineRule="auto"/>
        <w:ind w:firstLine="422" w:firstLineChars="200"/>
        <w:contextualSpacing/>
        <w:rPr>
          <w:rFonts w:hint="eastAsia" w:ascii="宋体" w:hAnsi="宋体" w:cs="宋体"/>
          <w:b/>
          <w:color w:val="auto"/>
          <w:szCs w:val="21"/>
          <w:highlight w:val="none"/>
        </w:rPr>
      </w:pPr>
      <w:bookmarkStart w:id="53" w:name="_Toc26873"/>
      <w:bookmarkStart w:id="54" w:name="_Toc4481600"/>
      <w:r>
        <w:rPr>
          <w:rFonts w:hint="eastAsia" w:ascii="宋体" w:hAnsi="宋体" w:cs="宋体"/>
          <w:b/>
          <w:color w:val="auto"/>
          <w:szCs w:val="21"/>
          <w:highlight w:val="none"/>
        </w:rPr>
        <w:t>一、项目概况</w:t>
      </w:r>
    </w:p>
    <w:p w14:paraId="1976899E">
      <w:pPr>
        <w:spacing w:line="360" w:lineRule="auto"/>
        <w:ind w:firstLine="420" w:firstLineChars="200"/>
        <w:contextualSpacing/>
        <w:rPr>
          <w:rFonts w:hint="eastAsia" w:ascii="宋体" w:hAnsi="宋体" w:eastAsia="宋体" w:cs="宋体"/>
          <w:color w:val="auto"/>
          <w:spacing w:val="8"/>
          <w:sz w:val="21"/>
          <w:szCs w:val="21"/>
          <w:highlight w:val="none"/>
        </w:rPr>
      </w:pPr>
      <w:r>
        <w:rPr>
          <w:rFonts w:hint="eastAsia" w:ascii="宋体" w:hAnsi="宋体" w:eastAsia="宋体" w:cs="宋体"/>
          <w:color w:val="auto"/>
          <w:kern w:val="0"/>
          <w:szCs w:val="21"/>
          <w:highlight w:val="none"/>
          <w:lang w:val="en-US" w:eastAsia="zh-CN"/>
        </w:rPr>
        <w:t>本项目为</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lang w:val="en-US" w:eastAsia="zh-CN"/>
        </w:rPr>
        <w:t>个包，维修安凯牌纯电动客车</w:t>
      </w:r>
      <w:r>
        <w:rPr>
          <w:rFonts w:hint="eastAsia" w:ascii="宋体" w:hAnsi="宋体" w:cs="宋体"/>
          <w:color w:val="auto"/>
          <w:kern w:val="0"/>
          <w:szCs w:val="21"/>
          <w:highlight w:val="none"/>
          <w:lang w:val="en-US" w:eastAsia="zh-CN"/>
        </w:rPr>
        <w:t>（安凯牌HFF6109G03EV16）</w:t>
      </w:r>
      <w:r>
        <w:rPr>
          <w:rFonts w:hint="eastAsia" w:ascii="宋体" w:hAnsi="宋体" w:eastAsia="宋体" w:cs="宋体"/>
          <w:color w:val="auto"/>
          <w:kern w:val="0"/>
          <w:szCs w:val="21"/>
          <w:highlight w:val="none"/>
          <w:lang w:val="en-US" w:eastAsia="zh-CN"/>
        </w:rPr>
        <w:t>、福田牌纯电动客车</w:t>
      </w:r>
      <w:r>
        <w:rPr>
          <w:rFonts w:hint="eastAsia" w:ascii="宋体" w:hAnsi="宋体" w:cs="宋体"/>
          <w:color w:val="auto"/>
          <w:kern w:val="0"/>
          <w:szCs w:val="21"/>
          <w:highlight w:val="none"/>
          <w:lang w:val="en-US" w:eastAsia="zh-CN"/>
        </w:rPr>
        <w:t>（福田牌BJ6851EVCA-30）</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万达牌纯电动客车（万达牌WD6117BEVG05）、</w:t>
      </w:r>
      <w:r>
        <w:rPr>
          <w:rFonts w:hint="eastAsia" w:ascii="宋体" w:hAnsi="宋体" w:eastAsia="宋体" w:cs="宋体"/>
          <w:color w:val="auto"/>
          <w:kern w:val="0"/>
          <w:szCs w:val="21"/>
          <w:highlight w:val="none"/>
          <w:lang w:val="en-US" w:eastAsia="zh-CN"/>
        </w:rPr>
        <w:t>安凯牌燃油客车</w:t>
      </w:r>
      <w:r>
        <w:rPr>
          <w:rFonts w:hint="eastAsia" w:ascii="宋体" w:hAnsi="宋体" w:cs="宋体"/>
          <w:color w:val="auto"/>
          <w:kern w:val="0"/>
          <w:szCs w:val="21"/>
          <w:highlight w:val="none"/>
          <w:lang w:val="en-US" w:eastAsia="zh-CN"/>
        </w:rPr>
        <w:t>（安凯牌HFF6100G39D）车辆轮胎</w:t>
      </w:r>
      <w:r>
        <w:rPr>
          <w:rFonts w:hint="eastAsia" w:ascii="宋体" w:hAnsi="宋体" w:eastAsia="宋体" w:cs="宋体"/>
          <w:color w:val="auto"/>
          <w:kern w:val="0"/>
          <w:szCs w:val="21"/>
          <w:highlight w:val="none"/>
          <w:lang w:val="en-US" w:eastAsia="zh-CN"/>
        </w:rPr>
        <w:t>，共计</w:t>
      </w:r>
      <w:r>
        <w:rPr>
          <w:rFonts w:hint="eastAsia" w:ascii="宋体" w:hAnsi="宋体" w:cs="宋体"/>
          <w:color w:val="auto"/>
          <w:kern w:val="0"/>
          <w:szCs w:val="21"/>
          <w:highlight w:val="none"/>
          <w:lang w:val="en-US" w:eastAsia="zh-CN"/>
        </w:rPr>
        <w:t>36</w:t>
      </w:r>
      <w:r>
        <w:rPr>
          <w:rFonts w:hint="eastAsia" w:ascii="宋体" w:hAnsi="宋体" w:eastAsia="宋体" w:cs="宋体"/>
          <w:color w:val="auto"/>
          <w:kern w:val="0"/>
          <w:szCs w:val="21"/>
          <w:highlight w:val="none"/>
          <w:lang w:val="en-US" w:eastAsia="zh-CN"/>
        </w:rPr>
        <w:t>台；</w:t>
      </w:r>
      <w:r>
        <w:rPr>
          <w:rFonts w:hint="eastAsia" w:ascii="宋体" w:hAnsi="宋体" w:eastAsia="宋体" w:cs="宋体"/>
          <w:color w:val="auto"/>
          <w:spacing w:val="10"/>
          <w:sz w:val="21"/>
          <w:szCs w:val="21"/>
          <w:highlight w:val="none"/>
        </w:rPr>
        <w:t>以上车辆数量为暂定数量，服</w:t>
      </w:r>
      <w:r>
        <w:rPr>
          <w:rFonts w:hint="eastAsia" w:ascii="宋体" w:hAnsi="宋体" w:eastAsia="宋体" w:cs="宋体"/>
          <w:color w:val="auto"/>
          <w:spacing w:val="9"/>
          <w:sz w:val="21"/>
          <w:szCs w:val="21"/>
          <w:highlight w:val="none"/>
        </w:rPr>
        <w:t>务期内，如有新购或报</w:t>
      </w:r>
      <w:r>
        <w:rPr>
          <w:rFonts w:hint="eastAsia" w:ascii="宋体" w:hAnsi="宋体" w:eastAsia="宋体" w:cs="宋体"/>
          <w:color w:val="auto"/>
          <w:spacing w:val="8"/>
          <w:sz w:val="21"/>
          <w:szCs w:val="21"/>
          <w:highlight w:val="none"/>
        </w:rPr>
        <w:t>废车辆，根据实有车辆增减。</w:t>
      </w:r>
    </w:p>
    <w:p w14:paraId="2A9BEA68">
      <w:pPr>
        <w:spacing w:line="360" w:lineRule="auto"/>
        <w:ind w:firstLine="452" w:firstLineChars="200"/>
        <w:contextualSpacing/>
        <w:rPr>
          <w:rFonts w:hint="default" w:ascii="宋体" w:hAnsi="宋体" w:eastAsia="宋体" w:cs="宋体"/>
          <w:color w:val="auto"/>
          <w:spacing w:val="8"/>
          <w:sz w:val="21"/>
          <w:szCs w:val="21"/>
          <w:highlight w:val="none"/>
          <w:lang w:val="en-US" w:eastAsia="zh-CN"/>
        </w:rPr>
      </w:pPr>
      <w:r>
        <w:rPr>
          <w:rFonts w:hint="eastAsia" w:ascii="宋体" w:hAnsi="宋体" w:cs="宋体"/>
          <w:color w:val="auto"/>
          <w:spacing w:val="8"/>
          <w:sz w:val="21"/>
          <w:szCs w:val="21"/>
          <w:highlight w:val="none"/>
          <w:lang w:val="en-US" w:eastAsia="zh-CN"/>
        </w:rPr>
        <w:t>项目需求：</w:t>
      </w:r>
    </w:p>
    <w:tbl>
      <w:tblPr>
        <w:tblStyle w:val="28"/>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852"/>
        <w:gridCol w:w="1816"/>
        <w:gridCol w:w="1395"/>
        <w:gridCol w:w="1046"/>
        <w:gridCol w:w="2282"/>
      </w:tblGrid>
      <w:tr w14:paraId="147E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0" w:type="dxa"/>
            <w:shd w:val="clear" w:color="auto" w:fill="auto"/>
            <w:vAlign w:val="center"/>
          </w:tcPr>
          <w:p w14:paraId="37AC7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方正仿宋_GB2312" w:hAnsi="方正仿宋_GB2312" w:eastAsia="方正仿宋_GB2312" w:cs="方正仿宋_GB2312"/>
                <w:color w:val="auto"/>
                <w:sz w:val="28"/>
                <w:szCs w:val="28"/>
                <w:highlight w:val="none"/>
                <w:vertAlign w:val="baseline"/>
                <w:lang w:val="en-US" w:eastAsia="zh-CN"/>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序号</w:t>
            </w:r>
          </w:p>
        </w:tc>
        <w:tc>
          <w:tcPr>
            <w:tcW w:w="3668" w:type="dxa"/>
            <w:gridSpan w:val="2"/>
            <w:shd w:val="clear" w:color="auto" w:fill="auto"/>
            <w:vAlign w:val="center"/>
          </w:tcPr>
          <w:p w14:paraId="6579973E">
            <w:pPr>
              <w:keepNext w:val="0"/>
              <w:keepLines w:val="0"/>
              <w:suppressLineNumbers w:val="0"/>
              <w:spacing w:before="0" w:beforeAutospacing="0" w:after="0" w:afterAutospacing="0"/>
              <w:ind w:left="0" w:right="0"/>
              <w:jc w:val="center"/>
              <w:rPr>
                <w:rFonts w:hint="eastAsia"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轮胎维修服务</w:t>
            </w:r>
          </w:p>
        </w:tc>
        <w:tc>
          <w:tcPr>
            <w:tcW w:w="1395" w:type="dxa"/>
            <w:shd w:val="clear" w:color="auto" w:fill="auto"/>
            <w:vAlign w:val="center"/>
          </w:tcPr>
          <w:p w14:paraId="560D3D89">
            <w:pPr>
              <w:keepNext w:val="0"/>
              <w:keepLines w:val="0"/>
              <w:suppressLineNumbers w:val="0"/>
              <w:spacing w:before="0" w:beforeAutospacing="0" w:after="0" w:afterAutospacing="0"/>
              <w:ind w:left="0" w:right="0"/>
              <w:jc w:val="center"/>
              <w:rPr>
                <w:rFonts w:hint="default"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单价（元）</w:t>
            </w:r>
          </w:p>
        </w:tc>
        <w:tc>
          <w:tcPr>
            <w:tcW w:w="1046" w:type="dxa"/>
            <w:shd w:val="clear" w:color="auto" w:fill="auto"/>
            <w:vAlign w:val="center"/>
          </w:tcPr>
          <w:p w14:paraId="7BB8C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2312" w:hAnsi="方正仿宋_GB2312" w:eastAsia="方正仿宋_GB2312" w:cs="方正仿宋_GB2312"/>
                <w:color w:val="auto"/>
                <w:sz w:val="28"/>
                <w:szCs w:val="28"/>
                <w:highlight w:val="none"/>
                <w:vertAlign w:val="baseline"/>
                <w:lang w:val="en-US" w:eastAsia="zh-CN"/>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计量单位</w:t>
            </w:r>
          </w:p>
        </w:tc>
        <w:tc>
          <w:tcPr>
            <w:tcW w:w="2282" w:type="dxa"/>
            <w:shd w:val="clear" w:color="auto" w:fill="auto"/>
            <w:vAlign w:val="center"/>
          </w:tcPr>
          <w:p w14:paraId="64476A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2312" w:hAnsi="方正仿宋_GB2312" w:eastAsia="方正仿宋_GB2312" w:cs="方正仿宋_GB2312"/>
                <w:color w:val="auto"/>
                <w:sz w:val="28"/>
                <w:szCs w:val="28"/>
                <w:highlight w:val="none"/>
                <w:vertAlign w:val="baseline"/>
                <w:lang w:val="en-US" w:eastAsia="zh-CN"/>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备注</w:t>
            </w:r>
          </w:p>
        </w:tc>
      </w:tr>
      <w:tr w14:paraId="554C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restart"/>
            <w:shd w:val="clear" w:color="auto" w:fill="auto"/>
            <w:vAlign w:val="center"/>
          </w:tcPr>
          <w:p w14:paraId="6D7A2C9D">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1</w:t>
            </w:r>
          </w:p>
        </w:tc>
        <w:tc>
          <w:tcPr>
            <w:tcW w:w="1852" w:type="dxa"/>
            <w:vMerge w:val="restart"/>
            <w:shd w:val="clear" w:color="auto" w:fill="auto"/>
            <w:vAlign w:val="center"/>
          </w:tcPr>
          <w:p w14:paraId="50D16F67">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补胎</w:t>
            </w:r>
          </w:p>
        </w:tc>
        <w:tc>
          <w:tcPr>
            <w:tcW w:w="1816" w:type="dxa"/>
            <w:shd w:val="clear" w:color="auto" w:fill="auto"/>
            <w:vAlign w:val="center"/>
          </w:tcPr>
          <w:p w14:paraId="3F198D32">
            <w:pPr>
              <w:keepNext w:val="0"/>
              <w:keepLines w:val="0"/>
              <w:suppressLineNumbers w:val="0"/>
              <w:spacing w:before="0" w:beforeAutospacing="0" w:after="0" w:afterAutospacing="0"/>
              <w:ind w:left="0" w:right="0"/>
              <w:jc w:val="center"/>
              <w:rPr>
                <w:rFonts w:hint="default"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普通补胎</w:t>
            </w:r>
          </w:p>
        </w:tc>
        <w:tc>
          <w:tcPr>
            <w:tcW w:w="1395" w:type="dxa"/>
            <w:shd w:val="clear" w:color="auto" w:fill="auto"/>
            <w:vAlign w:val="center"/>
          </w:tcPr>
          <w:p w14:paraId="07A973BA">
            <w:pPr>
              <w:keepNext w:val="0"/>
              <w:keepLines w:val="0"/>
              <w:suppressLineNumbers w:val="0"/>
              <w:spacing w:before="0" w:beforeAutospacing="0" w:after="0" w:afterAutospacing="0"/>
              <w:ind w:left="0" w:right="0"/>
              <w:jc w:val="center"/>
              <w:rPr>
                <w:rFonts w:hint="default"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kern w:val="2"/>
                <w:sz w:val="28"/>
                <w:szCs w:val="28"/>
                <w:highlight w:val="none"/>
                <w:vertAlign w:val="baseline"/>
                <w:lang w:val="en-US" w:eastAsia="zh-CN" w:bidi="ar-SA"/>
              </w:rPr>
              <w:t>80</w:t>
            </w:r>
          </w:p>
        </w:tc>
        <w:tc>
          <w:tcPr>
            <w:tcW w:w="1046" w:type="dxa"/>
            <w:shd w:val="clear" w:color="auto" w:fill="auto"/>
            <w:vAlign w:val="center"/>
          </w:tcPr>
          <w:p w14:paraId="33DF513E">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次</w:t>
            </w:r>
          </w:p>
        </w:tc>
        <w:tc>
          <w:tcPr>
            <w:tcW w:w="2282" w:type="dxa"/>
            <w:shd w:val="clear" w:color="auto" w:fill="auto"/>
            <w:vAlign w:val="center"/>
          </w:tcPr>
          <w:p w14:paraId="76A88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HAnsi" w:hAnsiTheme="minorHAnsi" w:eastAsiaTheme="minorEastAsia" w:cstheme="minorBidi"/>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含流动补胎</w:t>
            </w:r>
          </w:p>
        </w:tc>
      </w:tr>
      <w:tr w14:paraId="490D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vAlign w:val="center"/>
          </w:tcPr>
          <w:p w14:paraId="1BC1D5C3">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sz w:val="28"/>
                <w:szCs w:val="28"/>
                <w:highlight w:val="none"/>
                <w:vertAlign w:val="baseline"/>
                <w:lang w:val="en-US" w:eastAsia="zh-CN"/>
              </w:rPr>
            </w:pPr>
          </w:p>
        </w:tc>
        <w:tc>
          <w:tcPr>
            <w:tcW w:w="1852" w:type="dxa"/>
            <w:vMerge w:val="continue"/>
            <w:vAlign w:val="center"/>
          </w:tcPr>
          <w:p w14:paraId="532DA603">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sz w:val="28"/>
                <w:szCs w:val="28"/>
                <w:highlight w:val="none"/>
                <w:vertAlign w:val="baseline"/>
              </w:rPr>
            </w:pPr>
          </w:p>
        </w:tc>
        <w:tc>
          <w:tcPr>
            <w:tcW w:w="1816" w:type="dxa"/>
            <w:vAlign w:val="center"/>
          </w:tcPr>
          <w:p w14:paraId="05C3544E">
            <w:pPr>
              <w:keepNext w:val="0"/>
              <w:keepLines w:val="0"/>
              <w:suppressLineNumbers w:val="0"/>
              <w:spacing w:before="0" w:beforeAutospacing="0" w:after="0" w:afterAutospacing="0"/>
              <w:ind w:left="0" w:right="0"/>
              <w:jc w:val="center"/>
              <w:rPr>
                <w:rFonts w:hint="default" w:ascii="方正仿宋_GB2312" w:hAnsi="方正仿宋_GB2312" w:eastAsia="方正仿宋_GB2312" w:cs="方正仿宋_GB2312"/>
                <w:color w:val="auto"/>
                <w:sz w:val="28"/>
                <w:szCs w:val="28"/>
                <w:highlight w:val="none"/>
                <w:vertAlign w:val="baseline"/>
                <w:lang w:val="en-US" w:eastAsia="zh-CN"/>
              </w:rPr>
            </w:pPr>
            <w:r>
              <w:rPr>
                <w:rFonts w:hint="eastAsia" w:ascii="方正仿宋_GB2312" w:hAnsi="方正仿宋_GB2312" w:eastAsia="方正仿宋_GB2312" w:cs="方正仿宋_GB2312"/>
                <w:color w:val="auto"/>
                <w:sz w:val="28"/>
                <w:szCs w:val="28"/>
                <w:highlight w:val="none"/>
                <w:vertAlign w:val="baseline"/>
                <w:lang w:val="en-US" w:eastAsia="zh-CN"/>
              </w:rPr>
              <w:t>火补</w:t>
            </w:r>
          </w:p>
        </w:tc>
        <w:tc>
          <w:tcPr>
            <w:tcW w:w="1395" w:type="dxa"/>
            <w:vAlign w:val="center"/>
          </w:tcPr>
          <w:p w14:paraId="26B56E60">
            <w:pPr>
              <w:keepNext w:val="0"/>
              <w:keepLines w:val="0"/>
              <w:suppressLineNumbers w:val="0"/>
              <w:spacing w:before="0" w:beforeAutospacing="0" w:after="0" w:afterAutospacing="0"/>
              <w:ind w:left="0" w:right="0"/>
              <w:jc w:val="center"/>
              <w:rPr>
                <w:rFonts w:hint="default" w:ascii="方正仿宋_GB2312" w:hAnsi="方正仿宋_GB2312" w:eastAsia="方正仿宋_GB2312" w:cs="方正仿宋_GB2312"/>
                <w:color w:val="auto"/>
                <w:sz w:val="28"/>
                <w:szCs w:val="28"/>
                <w:highlight w:val="none"/>
                <w:vertAlign w:val="baseline"/>
                <w:lang w:val="en-US" w:eastAsia="zh-CN"/>
              </w:rPr>
            </w:pPr>
            <w:r>
              <w:rPr>
                <w:rFonts w:hint="eastAsia" w:ascii="方正仿宋_GB2312" w:hAnsi="方正仿宋_GB2312" w:eastAsia="方正仿宋_GB2312" w:cs="方正仿宋_GB2312"/>
                <w:color w:val="auto"/>
                <w:sz w:val="28"/>
                <w:szCs w:val="28"/>
                <w:highlight w:val="none"/>
                <w:vertAlign w:val="baseline"/>
                <w:lang w:val="en-US" w:eastAsia="zh-CN"/>
              </w:rPr>
              <w:t>100</w:t>
            </w:r>
          </w:p>
        </w:tc>
        <w:tc>
          <w:tcPr>
            <w:tcW w:w="1046" w:type="dxa"/>
            <w:vAlign w:val="center"/>
          </w:tcPr>
          <w:p w14:paraId="76FC2EDE">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sz w:val="28"/>
                <w:szCs w:val="28"/>
                <w:highlight w:val="none"/>
                <w:vertAlign w:val="baseline"/>
                <w:lang w:val="en-US" w:eastAsia="zh-CN"/>
              </w:rPr>
            </w:pPr>
            <w:r>
              <w:rPr>
                <w:rFonts w:hint="eastAsia" w:ascii="方正仿宋_GB2312" w:hAnsi="方正仿宋_GB2312" w:eastAsia="方正仿宋_GB2312" w:cs="方正仿宋_GB2312"/>
                <w:color w:val="auto"/>
                <w:sz w:val="28"/>
                <w:szCs w:val="28"/>
                <w:highlight w:val="none"/>
                <w:vertAlign w:val="baseline"/>
                <w:lang w:val="en-US" w:eastAsia="zh-CN"/>
              </w:rPr>
              <w:t>次</w:t>
            </w:r>
          </w:p>
        </w:tc>
        <w:tc>
          <w:tcPr>
            <w:tcW w:w="2282" w:type="dxa"/>
            <w:vAlign w:val="center"/>
          </w:tcPr>
          <w:p w14:paraId="49D18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eastAsiaTheme="minorEastAsia"/>
                <w:color w:val="auto"/>
                <w:sz w:val="28"/>
                <w:szCs w:val="28"/>
                <w:highlight w:val="none"/>
                <w:vertAlign w:val="baseline"/>
                <w:lang w:val="en-US" w:eastAsia="zh-CN"/>
              </w:rPr>
            </w:pPr>
          </w:p>
        </w:tc>
      </w:tr>
      <w:tr w14:paraId="27DF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0" w:type="dxa"/>
            <w:shd w:val="clear" w:color="auto" w:fill="auto"/>
            <w:vAlign w:val="center"/>
          </w:tcPr>
          <w:p w14:paraId="0D970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序号</w:t>
            </w:r>
          </w:p>
        </w:tc>
        <w:tc>
          <w:tcPr>
            <w:tcW w:w="1852" w:type="dxa"/>
            <w:shd w:val="clear" w:color="auto" w:fill="auto"/>
            <w:vAlign w:val="center"/>
          </w:tcPr>
          <w:p w14:paraId="7ED48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轮胎品牌</w:t>
            </w:r>
          </w:p>
        </w:tc>
        <w:tc>
          <w:tcPr>
            <w:tcW w:w="1816" w:type="dxa"/>
            <w:shd w:val="clear" w:color="auto" w:fill="auto"/>
            <w:vAlign w:val="center"/>
          </w:tcPr>
          <w:p w14:paraId="62D02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轮胎规格</w:t>
            </w:r>
          </w:p>
        </w:tc>
        <w:tc>
          <w:tcPr>
            <w:tcW w:w="1395" w:type="dxa"/>
            <w:shd w:val="clear" w:color="auto" w:fill="auto"/>
            <w:vAlign w:val="center"/>
          </w:tcPr>
          <w:p w14:paraId="3B27F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单价（元）</w:t>
            </w:r>
          </w:p>
        </w:tc>
        <w:tc>
          <w:tcPr>
            <w:tcW w:w="1046" w:type="dxa"/>
            <w:shd w:val="clear" w:color="auto" w:fill="auto"/>
            <w:vAlign w:val="center"/>
          </w:tcPr>
          <w:p w14:paraId="4D6E7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计量单位</w:t>
            </w:r>
          </w:p>
        </w:tc>
        <w:tc>
          <w:tcPr>
            <w:tcW w:w="2282" w:type="dxa"/>
            <w:shd w:val="clear" w:color="auto" w:fill="auto"/>
            <w:vAlign w:val="center"/>
          </w:tcPr>
          <w:p w14:paraId="79A08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黑体" w:hAnsi="黑体" w:eastAsia="黑体" w:cs="黑体"/>
                <w:i w:val="0"/>
                <w:iCs w:val="0"/>
                <w:caps w:val="0"/>
                <w:color w:val="auto"/>
                <w:spacing w:val="0"/>
                <w:kern w:val="0"/>
                <w:sz w:val="28"/>
                <w:szCs w:val="28"/>
                <w:highlight w:val="none"/>
                <w:shd w:val="clear" w:fill="FFFFFF"/>
                <w:lang w:val="en-US" w:eastAsia="zh-CN" w:bidi="ar"/>
              </w:rPr>
            </w:pPr>
            <w:r>
              <w:rPr>
                <w:rFonts w:hint="eastAsia" w:ascii="黑体" w:hAnsi="黑体" w:eastAsia="黑体" w:cs="黑体"/>
                <w:i w:val="0"/>
                <w:iCs w:val="0"/>
                <w:caps w:val="0"/>
                <w:color w:val="auto"/>
                <w:spacing w:val="0"/>
                <w:kern w:val="0"/>
                <w:sz w:val="28"/>
                <w:szCs w:val="28"/>
                <w:highlight w:val="none"/>
                <w:shd w:val="clear" w:fill="FFFFFF"/>
                <w:lang w:val="en-US" w:eastAsia="zh-CN" w:bidi="ar"/>
              </w:rPr>
              <w:t>备注</w:t>
            </w:r>
          </w:p>
        </w:tc>
      </w:tr>
      <w:tr w14:paraId="51CE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shd w:val="clear" w:color="auto" w:fill="auto"/>
            <w:vAlign w:val="center"/>
          </w:tcPr>
          <w:p w14:paraId="4F6B56A8">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1</w:t>
            </w:r>
          </w:p>
        </w:tc>
        <w:tc>
          <w:tcPr>
            <w:tcW w:w="1852" w:type="dxa"/>
            <w:shd w:val="clear" w:color="auto" w:fill="auto"/>
            <w:vAlign w:val="center"/>
          </w:tcPr>
          <w:p w14:paraId="7B3E84E2">
            <w:pPr>
              <w:keepNext w:val="0"/>
              <w:keepLines w:val="0"/>
              <w:suppressLineNumbers w:val="0"/>
              <w:spacing w:before="0" w:beforeAutospacing="0" w:after="0" w:afterAutospacing="0"/>
              <w:ind w:left="0" w:right="0"/>
              <w:jc w:val="center"/>
              <w:rPr>
                <w:rFonts w:hint="default"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kern w:val="2"/>
                <w:sz w:val="28"/>
                <w:szCs w:val="28"/>
                <w:highlight w:val="none"/>
                <w:vertAlign w:val="baseline"/>
                <w:lang w:val="en-US" w:eastAsia="zh-CN" w:bidi="ar-SA"/>
              </w:rPr>
              <w:t>佳通</w:t>
            </w:r>
          </w:p>
        </w:tc>
        <w:tc>
          <w:tcPr>
            <w:tcW w:w="1816" w:type="dxa"/>
            <w:shd w:val="clear" w:color="auto" w:fill="auto"/>
            <w:vAlign w:val="center"/>
          </w:tcPr>
          <w:p w14:paraId="44188D87">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lang w:val="en-US" w:eastAsia="zh-CN"/>
              </w:rPr>
              <w:t>265/70R19.5</w:t>
            </w:r>
          </w:p>
        </w:tc>
        <w:tc>
          <w:tcPr>
            <w:tcW w:w="1395" w:type="dxa"/>
            <w:shd w:val="clear" w:color="auto" w:fill="auto"/>
            <w:vAlign w:val="center"/>
          </w:tcPr>
          <w:p w14:paraId="630BFF0A">
            <w:pPr>
              <w:keepNext w:val="0"/>
              <w:keepLines w:val="0"/>
              <w:suppressLineNumbers w:val="0"/>
              <w:spacing w:before="0" w:beforeAutospacing="0" w:after="0" w:afterAutospacing="0"/>
              <w:ind w:left="0" w:right="0"/>
              <w:jc w:val="center"/>
              <w:rPr>
                <w:rFonts w:hint="default"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kern w:val="2"/>
                <w:sz w:val="28"/>
                <w:szCs w:val="28"/>
                <w:highlight w:val="none"/>
                <w:vertAlign w:val="baseline"/>
                <w:lang w:val="en-US" w:eastAsia="zh-CN" w:bidi="ar-SA"/>
              </w:rPr>
              <w:t>1248</w:t>
            </w:r>
          </w:p>
        </w:tc>
        <w:tc>
          <w:tcPr>
            <w:tcW w:w="1046" w:type="dxa"/>
            <w:shd w:val="clear" w:color="auto" w:fill="auto"/>
            <w:vAlign w:val="center"/>
          </w:tcPr>
          <w:p w14:paraId="221F09F0">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条</w:t>
            </w:r>
          </w:p>
        </w:tc>
        <w:tc>
          <w:tcPr>
            <w:tcW w:w="2282" w:type="dxa"/>
            <w:shd w:val="clear" w:color="auto" w:fill="auto"/>
            <w:vAlign w:val="center"/>
          </w:tcPr>
          <w:p w14:paraId="3EA012D4">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8"/>
                <w:szCs w:val="28"/>
                <w:highlight w:val="none"/>
                <w:vertAlign w:val="baseline"/>
                <w:lang w:val="en-US" w:eastAsia="zh-CN" w:bidi="ar-SA"/>
              </w:rPr>
            </w:pPr>
          </w:p>
        </w:tc>
      </w:tr>
      <w:tr w14:paraId="3B4D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shd w:val="clear" w:color="auto" w:fill="auto"/>
            <w:vAlign w:val="center"/>
          </w:tcPr>
          <w:p w14:paraId="771105FD">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2</w:t>
            </w:r>
          </w:p>
        </w:tc>
        <w:tc>
          <w:tcPr>
            <w:tcW w:w="1852" w:type="dxa"/>
            <w:shd w:val="clear" w:color="auto" w:fill="auto"/>
            <w:vAlign w:val="center"/>
          </w:tcPr>
          <w:p w14:paraId="7DA000BF">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kern w:val="2"/>
                <w:sz w:val="28"/>
                <w:szCs w:val="28"/>
                <w:highlight w:val="none"/>
                <w:vertAlign w:val="baseline"/>
                <w:lang w:val="en-US" w:eastAsia="zh-CN" w:bidi="ar-SA"/>
              </w:rPr>
              <w:t>佳通</w:t>
            </w:r>
          </w:p>
        </w:tc>
        <w:tc>
          <w:tcPr>
            <w:tcW w:w="1816" w:type="dxa"/>
            <w:shd w:val="clear" w:color="auto" w:fill="auto"/>
            <w:vAlign w:val="center"/>
          </w:tcPr>
          <w:p w14:paraId="0D7D4505">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11R22.5</w:t>
            </w:r>
          </w:p>
        </w:tc>
        <w:tc>
          <w:tcPr>
            <w:tcW w:w="1395" w:type="dxa"/>
            <w:shd w:val="clear" w:color="auto" w:fill="auto"/>
            <w:vAlign w:val="center"/>
          </w:tcPr>
          <w:p w14:paraId="1FA841D1">
            <w:pPr>
              <w:keepNext w:val="0"/>
              <w:keepLines w:val="0"/>
              <w:suppressLineNumbers w:val="0"/>
              <w:spacing w:before="0" w:beforeAutospacing="0" w:after="0" w:afterAutospacing="0"/>
              <w:ind w:left="0" w:right="0"/>
              <w:jc w:val="center"/>
              <w:rPr>
                <w:rFonts w:hint="default"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kern w:val="2"/>
                <w:sz w:val="28"/>
                <w:szCs w:val="28"/>
                <w:highlight w:val="none"/>
                <w:vertAlign w:val="baseline"/>
                <w:lang w:val="en-US" w:eastAsia="zh-CN" w:bidi="ar-SA"/>
              </w:rPr>
              <w:t>1503</w:t>
            </w:r>
          </w:p>
        </w:tc>
        <w:tc>
          <w:tcPr>
            <w:tcW w:w="1046" w:type="dxa"/>
            <w:shd w:val="clear" w:color="auto" w:fill="auto"/>
            <w:vAlign w:val="center"/>
          </w:tcPr>
          <w:p w14:paraId="36C1FD98">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条</w:t>
            </w:r>
          </w:p>
        </w:tc>
        <w:tc>
          <w:tcPr>
            <w:tcW w:w="2282" w:type="dxa"/>
            <w:shd w:val="clear" w:color="auto" w:fill="auto"/>
            <w:vAlign w:val="center"/>
          </w:tcPr>
          <w:p w14:paraId="7FA832F2">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8"/>
                <w:szCs w:val="28"/>
                <w:highlight w:val="none"/>
                <w:vertAlign w:val="baseline"/>
                <w:lang w:val="en-US" w:eastAsia="zh-CN" w:bidi="ar-SA"/>
              </w:rPr>
            </w:pPr>
          </w:p>
        </w:tc>
      </w:tr>
      <w:tr w14:paraId="38DF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shd w:val="clear" w:color="auto" w:fill="auto"/>
            <w:vAlign w:val="center"/>
          </w:tcPr>
          <w:p w14:paraId="1118DF87">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3</w:t>
            </w:r>
          </w:p>
        </w:tc>
        <w:tc>
          <w:tcPr>
            <w:tcW w:w="1852" w:type="dxa"/>
            <w:shd w:val="clear" w:color="auto" w:fill="auto"/>
            <w:vAlign w:val="center"/>
          </w:tcPr>
          <w:p w14:paraId="1C7ACB96">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kern w:val="2"/>
                <w:sz w:val="28"/>
                <w:szCs w:val="28"/>
                <w:highlight w:val="none"/>
                <w:vertAlign w:val="baseline"/>
                <w:lang w:val="en-US" w:eastAsia="zh-CN" w:bidi="ar-SA"/>
              </w:rPr>
              <w:t>佳通</w:t>
            </w:r>
          </w:p>
        </w:tc>
        <w:tc>
          <w:tcPr>
            <w:tcW w:w="1816" w:type="dxa"/>
            <w:shd w:val="clear" w:color="auto" w:fill="auto"/>
            <w:vAlign w:val="center"/>
          </w:tcPr>
          <w:p w14:paraId="74A14177">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275/70R22.5</w:t>
            </w:r>
          </w:p>
        </w:tc>
        <w:tc>
          <w:tcPr>
            <w:tcW w:w="1395" w:type="dxa"/>
            <w:shd w:val="clear" w:color="auto" w:fill="auto"/>
            <w:vAlign w:val="center"/>
          </w:tcPr>
          <w:p w14:paraId="329E6CCB">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kern w:val="2"/>
                <w:sz w:val="28"/>
                <w:szCs w:val="28"/>
                <w:highlight w:val="none"/>
                <w:vertAlign w:val="baseline"/>
                <w:lang w:val="en-US" w:eastAsia="zh-CN" w:bidi="ar-SA"/>
              </w:rPr>
              <w:t>1648</w:t>
            </w:r>
          </w:p>
        </w:tc>
        <w:tc>
          <w:tcPr>
            <w:tcW w:w="1046" w:type="dxa"/>
            <w:shd w:val="clear" w:color="auto" w:fill="auto"/>
            <w:vAlign w:val="center"/>
          </w:tcPr>
          <w:p w14:paraId="014D3E45">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highlight w:val="none"/>
                <w:vertAlign w:val="baseline"/>
                <w:lang w:val="en-US" w:eastAsia="zh-CN" w:bidi="ar-SA"/>
              </w:rPr>
            </w:pPr>
            <w:r>
              <w:rPr>
                <w:rFonts w:hint="eastAsia" w:ascii="方正仿宋_GB2312" w:hAnsi="方正仿宋_GB2312" w:eastAsia="方正仿宋_GB2312" w:cs="方正仿宋_GB2312"/>
                <w:color w:val="auto"/>
                <w:sz w:val="28"/>
                <w:szCs w:val="28"/>
                <w:highlight w:val="none"/>
                <w:vertAlign w:val="baseline"/>
                <w:lang w:val="en-US" w:eastAsia="zh-CN"/>
              </w:rPr>
              <w:t>条</w:t>
            </w:r>
          </w:p>
        </w:tc>
        <w:tc>
          <w:tcPr>
            <w:tcW w:w="2282" w:type="dxa"/>
            <w:shd w:val="clear" w:color="auto" w:fill="auto"/>
            <w:vAlign w:val="center"/>
          </w:tcPr>
          <w:p w14:paraId="32A93B7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8"/>
                <w:szCs w:val="28"/>
                <w:highlight w:val="none"/>
                <w:vertAlign w:val="baseline"/>
                <w:lang w:val="en-US" w:eastAsia="zh-CN" w:bidi="ar-SA"/>
              </w:rPr>
            </w:pPr>
          </w:p>
        </w:tc>
      </w:tr>
    </w:tbl>
    <w:p w14:paraId="069FC5F0">
      <w:pPr>
        <w:spacing w:line="360" w:lineRule="auto"/>
        <w:ind w:firstLine="452" w:firstLineChars="200"/>
        <w:contextualSpacing/>
        <w:rPr>
          <w:rFonts w:hint="eastAsia" w:ascii="宋体" w:hAnsi="宋体" w:eastAsia="宋体" w:cs="宋体"/>
          <w:color w:val="auto"/>
          <w:spacing w:val="8"/>
          <w:sz w:val="21"/>
          <w:szCs w:val="21"/>
          <w:highlight w:val="none"/>
        </w:rPr>
      </w:pPr>
    </w:p>
    <w:p w14:paraId="451E0DA1">
      <w:pPr>
        <w:spacing w:line="360" w:lineRule="auto"/>
        <w:ind w:firstLine="422" w:firstLineChars="200"/>
        <w:contextualSpacing/>
        <w:rPr>
          <w:rFonts w:hint="eastAsia" w:ascii="宋体" w:hAnsi="宋体" w:cs="宋体"/>
          <w:b/>
          <w:color w:val="auto"/>
          <w:szCs w:val="21"/>
          <w:highlight w:val="none"/>
        </w:rPr>
      </w:pPr>
      <w:r>
        <w:rPr>
          <w:rFonts w:hint="eastAsia" w:ascii="宋体" w:hAnsi="宋体" w:cs="宋体"/>
          <w:b/>
          <w:color w:val="auto"/>
          <w:szCs w:val="21"/>
          <w:highlight w:val="none"/>
        </w:rPr>
        <w:t>二、项目服务要求</w:t>
      </w:r>
    </w:p>
    <w:p w14:paraId="471AAAAF">
      <w:pPr>
        <w:pStyle w:val="9"/>
        <w:keepNext w:val="0"/>
        <w:keepLines w:val="0"/>
        <w:pageBreakBefore w:val="0"/>
        <w:widowControl w:val="0"/>
        <w:kinsoku/>
        <w:wordWrap/>
        <w:overflowPunct/>
        <w:topLinePunct w:val="0"/>
        <w:autoSpaceDE/>
        <w:autoSpaceDN/>
        <w:bidi w:val="0"/>
        <w:adjustRightInd/>
        <w:snapToGrid/>
        <w:spacing w:after="0" w:line="480" w:lineRule="exact"/>
        <w:ind w:left="0" w:right="0" w:firstLine="466" w:firstLineChars="200"/>
        <w:textAlignment w:val="auto"/>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1</w:t>
      </w:r>
      <w:r>
        <w:rPr>
          <w:rFonts w:hint="eastAsia" w:ascii="宋体" w:hAnsi="宋体" w:cs="宋体"/>
          <w:b/>
          <w:bCs/>
          <w:color w:val="auto"/>
          <w:spacing w:val="-4"/>
          <w:sz w:val="24"/>
          <w:szCs w:val="24"/>
          <w:highlight w:val="none"/>
          <w:lang w:val="en-US" w:eastAsia="zh-CN"/>
        </w:rPr>
        <w:t>.</w:t>
      </w:r>
      <w:r>
        <w:rPr>
          <w:rFonts w:hint="eastAsia" w:ascii="宋体" w:hAnsi="宋体" w:eastAsia="宋体" w:cs="宋体"/>
          <w:b/>
          <w:bCs/>
          <w:color w:val="auto"/>
          <w:spacing w:val="-4"/>
          <w:sz w:val="24"/>
          <w:szCs w:val="24"/>
          <w:highlight w:val="none"/>
        </w:rPr>
        <w:t>服务要求</w:t>
      </w:r>
    </w:p>
    <w:p w14:paraId="42B5767D">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eastAsia="宋体" w:cs="宋体"/>
          <w:color w:val="auto"/>
          <w:spacing w:val="10"/>
          <w:kern w:val="2"/>
          <w:sz w:val="21"/>
          <w:szCs w:val="21"/>
          <w:highlight w:val="none"/>
          <w:lang w:val="en-US" w:eastAsia="zh-CN" w:bidi="ar-SA"/>
        </w:rPr>
        <w:t>1.</w:t>
      </w:r>
      <w:r>
        <w:rPr>
          <w:rFonts w:hint="eastAsia" w:ascii="宋体" w:hAnsi="宋体" w:cs="宋体"/>
          <w:color w:val="auto"/>
          <w:spacing w:val="10"/>
          <w:kern w:val="2"/>
          <w:sz w:val="21"/>
          <w:szCs w:val="21"/>
          <w:highlight w:val="none"/>
          <w:lang w:val="en-US" w:eastAsia="zh-CN" w:bidi="ar-SA"/>
        </w:rPr>
        <w:t>1</w:t>
      </w:r>
      <w:r>
        <w:rPr>
          <w:rFonts w:hint="eastAsia" w:ascii="宋体" w:hAnsi="宋体" w:eastAsia="宋体" w:cs="宋体"/>
          <w:color w:val="auto"/>
          <w:spacing w:val="10"/>
          <w:kern w:val="2"/>
          <w:sz w:val="21"/>
          <w:szCs w:val="21"/>
          <w:highlight w:val="none"/>
          <w:lang w:val="en-US" w:eastAsia="zh-CN" w:bidi="ar-SA"/>
        </w:rPr>
        <w:t>投标人在接到业主单位修补轮胎通知后应立即义务派出维修车辆尽快检修，保障运营。投标人不得以恶劣天气、节假日、凌晨、深夜、无车和联系人关机及任何其他特殊原因为理由延误业主车辆抢修，如发生类似情况，业主单位因此另行安排备修单位抢修、维修、拖车等相关费用由投标人承担且无需投标人认可。</w:t>
      </w:r>
    </w:p>
    <w:p w14:paraId="372CB7C9">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eastAsia="宋体" w:cs="宋体"/>
          <w:color w:val="auto"/>
          <w:spacing w:val="10"/>
          <w:kern w:val="2"/>
          <w:sz w:val="21"/>
          <w:szCs w:val="21"/>
          <w:highlight w:val="none"/>
          <w:lang w:val="en-US" w:eastAsia="zh-CN" w:bidi="ar-SA"/>
        </w:rPr>
        <w:t>1.2投标人在道路抢修、厂区修换胎过程中应遵守安全操作规程，如因在道路抢修（设置反光锥、三角木）、厂区修换胎等过程中发生安全责任事故，由投标人自行承担，并承担由此造成的相关连带责任。</w:t>
      </w:r>
    </w:p>
    <w:p w14:paraId="730AD118">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default" w:ascii="宋体" w:hAnsi="宋体" w:eastAsia="宋体" w:cs="宋体"/>
          <w:color w:val="auto"/>
          <w:spacing w:val="10"/>
          <w:kern w:val="2"/>
          <w:sz w:val="21"/>
          <w:szCs w:val="21"/>
          <w:highlight w:val="none"/>
          <w:lang w:val="en-US" w:eastAsia="zh-CN" w:bidi="ar-SA"/>
        </w:rPr>
      </w:pPr>
      <w:r>
        <w:rPr>
          <w:rFonts w:hint="eastAsia" w:ascii="宋体" w:hAnsi="宋体" w:eastAsia="宋体" w:cs="宋体"/>
          <w:color w:val="auto"/>
          <w:spacing w:val="10"/>
          <w:kern w:val="2"/>
          <w:sz w:val="21"/>
          <w:szCs w:val="21"/>
          <w:highlight w:val="none"/>
          <w:lang w:val="en-US" w:eastAsia="zh-CN" w:bidi="ar-SA"/>
        </w:rPr>
        <w:t>1.3投标人</w:t>
      </w:r>
      <w:r>
        <w:rPr>
          <w:rFonts w:hint="eastAsia" w:ascii="宋体" w:hAnsi="宋体" w:cs="宋体"/>
          <w:color w:val="auto"/>
          <w:spacing w:val="10"/>
          <w:kern w:val="2"/>
          <w:sz w:val="21"/>
          <w:szCs w:val="21"/>
          <w:highlight w:val="none"/>
          <w:lang w:val="en-US" w:eastAsia="zh-CN" w:bidi="ar-SA"/>
        </w:rPr>
        <w:t>需为招标人免费提供</w:t>
      </w:r>
      <w:r>
        <w:rPr>
          <w:rFonts w:hint="eastAsia" w:ascii="宋体" w:hAnsi="宋体" w:eastAsia="宋体" w:cs="宋体"/>
          <w:color w:val="auto"/>
          <w:spacing w:val="10"/>
          <w:kern w:val="2"/>
          <w:sz w:val="21"/>
          <w:szCs w:val="21"/>
          <w:highlight w:val="none"/>
          <w:lang w:val="en-US" w:eastAsia="zh-CN" w:bidi="ar-SA"/>
        </w:rPr>
        <w:t>安装轮胎、轮胎</w:t>
      </w:r>
      <w:r>
        <w:rPr>
          <w:rFonts w:hint="eastAsia" w:ascii="宋体" w:hAnsi="宋体" w:cs="宋体"/>
          <w:color w:val="auto"/>
          <w:spacing w:val="10"/>
          <w:kern w:val="2"/>
          <w:sz w:val="21"/>
          <w:szCs w:val="21"/>
          <w:highlight w:val="none"/>
          <w:lang w:val="en-US" w:eastAsia="zh-CN" w:bidi="ar-SA"/>
        </w:rPr>
        <w:t>换位</w:t>
      </w:r>
      <w:r>
        <w:rPr>
          <w:rFonts w:hint="eastAsia" w:ascii="宋体" w:hAnsi="宋体" w:eastAsia="宋体" w:cs="宋体"/>
          <w:color w:val="auto"/>
          <w:spacing w:val="10"/>
          <w:kern w:val="2"/>
          <w:sz w:val="21"/>
          <w:szCs w:val="21"/>
          <w:highlight w:val="none"/>
          <w:lang w:val="en-US" w:eastAsia="zh-CN" w:bidi="ar-SA"/>
        </w:rPr>
        <w:t>及轮胎动平衡</w:t>
      </w:r>
      <w:r>
        <w:rPr>
          <w:rFonts w:hint="eastAsia" w:ascii="宋体" w:hAnsi="宋体" w:cs="宋体"/>
          <w:color w:val="auto"/>
          <w:spacing w:val="10"/>
          <w:kern w:val="2"/>
          <w:sz w:val="21"/>
          <w:szCs w:val="21"/>
          <w:highlight w:val="none"/>
          <w:lang w:val="en-US" w:eastAsia="zh-CN" w:bidi="ar-SA"/>
        </w:rPr>
        <w:t>服务</w:t>
      </w:r>
      <w:r>
        <w:rPr>
          <w:rFonts w:hint="eastAsia" w:ascii="宋体" w:hAnsi="宋体" w:eastAsia="宋体" w:cs="宋体"/>
          <w:color w:val="auto"/>
          <w:spacing w:val="10"/>
          <w:kern w:val="2"/>
          <w:sz w:val="21"/>
          <w:szCs w:val="21"/>
          <w:highlight w:val="none"/>
          <w:lang w:val="en-US" w:eastAsia="zh-CN" w:bidi="ar-SA"/>
        </w:rPr>
        <w:t>。</w:t>
      </w:r>
    </w:p>
    <w:p w14:paraId="2A60D132">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eastAsia="宋体" w:cs="宋体"/>
          <w:color w:val="auto"/>
          <w:spacing w:val="10"/>
          <w:kern w:val="2"/>
          <w:sz w:val="21"/>
          <w:szCs w:val="21"/>
          <w:highlight w:val="none"/>
          <w:lang w:val="en-US" w:eastAsia="zh-CN" w:bidi="ar-SA"/>
        </w:rPr>
        <w:t>1.4如投标人轮胎出现质量问题，业主单位及时通知投标人，在业主单位监管下由投标人带回生产厂家，进行检测后进行三包理赔。</w:t>
      </w:r>
    </w:p>
    <w:p w14:paraId="0E634C5A">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eastAsia="宋体" w:cs="宋体"/>
          <w:color w:val="auto"/>
          <w:spacing w:val="10"/>
          <w:kern w:val="2"/>
          <w:sz w:val="21"/>
          <w:szCs w:val="21"/>
          <w:highlight w:val="none"/>
          <w:lang w:val="en-US" w:eastAsia="zh-CN" w:bidi="ar-SA"/>
        </w:rPr>
        <w:t>1.5投标人有义务免费对业主单位车辆轮胎进行定期（每年</w:t>
      </w:r>
      <w:r>
        <w:rPr>
          <w:rFonts w:hint="eastAsia" w:ascii="宋体" w:hAnsi="宋体" w:cs="宋体"/>
          <w:color w:val="auto"/>
          <w:spacing w:val="10"/>
          <w:kern w:val="2"/>
          <w:sz w:val="21"/>
          <w:szCs w:val="21"/>
          <w:highlight w:val="none"/>
          <w:lang w:val="en-US" w:eastAsia="zh-CN" w:bidi="ar-SA"/>
        </w:rPr>
        <w:t>不少于2次）</w:t>
      </w:r>
      <w:r>
        <w:rPr>
          <w:rFonts w:hint="eastAsia" w:ascii="宋体" w:hAnsi="宋体" w:eastAsia="宋体" w:cs="宋体"/>
          <w:color w:val="auto"/>
          <w:spacing w:val="10"/>
          <w:kern w:val="2"/>
          <w:sz w:val="21"/>
          <w:szCs w:val="21"/>
          <w:highlight w:val="none"/>
          <w:lang w:val="en-US" w:eastAsia="zh-CN" w:bidi="ar-SA"/>
        </w:rPr>
        <w:t>检查，如发现问题及时汇报给业主单位。</w:t>
      </w:r>
    </w:p>
    <w:p w14:paraId="44B0B8A5">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cs="宋体"/>
          <w:color w:val="auto"/>
          <w:spacing w:val="10"/>
          <w:kern w:val="2"/>
          <w:sz w:val="21"/>
          <w:szCs w:val="21"/>
          <w:highlight w:val="none"/>
          <w:lang w:val="en-US" w:eastAsia="zh-CN" w:bidi="ar-SA"/>
        </w:rPr>
        <w:t>1.6</w:t>
      </w:r>
      <w:r>
        <w:rPr>
          <w:rFonts w:hint="eastAsia" w:ascii="宋体" w:hAnsi="宋体" w:eastAsia="宋体" w:cs="宋体"/>
          <w:color w:val="auto"/>
          <w:spacing w:val="10"/>
          <w:kern w:val="2"/>
          <w:sz w:val="21"/>
          <w:szCs w:val="21"/>
          <w:highlight w:val="none"/>
          <w:lang w:val="en-US" w:eastAsia="zh-CN" w:bidi="ar-SA"/>
        </w:rPr>
        <w:t>投标人有义务免费对业主单位车辆轮胎的正确使用方式进行指导、培训，提高业主单位车辆轮胎使用的安全性和经济效益。</w:t>
      </w:r>
    </w:p>
    <w:p w14:paraId="01956505">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default" w:ascii="宋体" w:hAnsi="宋体" w:eastAsia="宋体" w:cs="宋体"/>
          <w:color w:val="auto"/>
          <w:spacing w:val="10"/>
          <w:kern w:val="2"/>
          <w:sz w:val="21"/>
          <w:szCs w:val="21"/>
          <w:highlight w:val="none"/>
          <w:lang w:val="en-US" w:eastAsia="zh-CN" w:bidi="ar-SA"/>
        </w:rPr>
      </w:pPr>
      <w:r>
        <w:rPr>
          <w:rFonts w:hint="eastAsia" w:ascii="宋体" w:hAnsi="宋体" w:cs="宋体"/>
          <w:color w:val="auto"/>
          <w:spacing w:val="10"/>
          <w:kern w:val="2"/>
          <w:sz w:val="21"/>
          <w:szCs w:val="21"/>
          <w:highlight w:val="none"/>
          <w:lang w:val="en-US" w:eastAsia="zh-CN" w:bidi="ar-SA"/>
        </w:rPr>
        <w:t>1.7</w:t>
      </w:r>
      <w:r>
        <w:rPr>
          <w:rFonts w:hint="eastAsia" w:ascii="宋体" w:hAnsi="宋体" w:eastAsia="宋体" w:cs="宋体"/>
          <w:color w:val="auto"/>
          <w:spacing w:val="10"/>
          <w:kern w:val="2"/>
          <w:sz w:val="21"/>
          <w:szCs w:val="21"/>
          <w:highlight w:val="none"/>
          <w:lang w:val="en-US" w:eastAsia="zh-CN" w:bidi="ar-SA"/>
        </w:rPr>
        <w:t>新轮胎更换程序及旧胎处理方式</w:t>
      </w:r>
    </w:p>
    <w:p w14:paraId="3CFDB9BE">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default" w:ascii="宋体" w:hAnsi="宋体" w:eastAsia="宋体" w:cs="宋体"/>
          <w:color w:val="auto"/>
          <w:spacing w:val="10"/>
          <w:kern w:val="2"/>
          <w:sz w:val="21"/>
          <w:szCs w:val="21"/>
          <w:highlight w:val="none"/>
          <w:lang w:val="en-US" w:eastAsia="zh-CN" w:bidi="ar-SA"/>
        </w:rPr>
      </w:pPr>
      <w:r>
        <w:rPr>
          <w:rFonts w:hint="eastAsia" w:ascii="宋体" w:hAnsi="宋体" w:cs="宋体"/>
          <w:color w:val="auto"/>
          <w:spacing w:val="10"/>
          <w:kern w:val="2"/>
          <w:sz w:val="21"/>
          <w:szCs w:val="21"/>
          <w:highlight w:val="none"/>
          <w:lang w:val="en-US" w:eastAsia="zh-CN" w:bidi="ar-SA"/>
        </w:rPr>
        <w:t>1.7.1</w:t>
      </w:r>
      <w:r>
        <w:rPr>
          <w:rFonts w:hint="eastAsia" w:ascii="宋体" w:hAnsi="宋体" w:eastAsia="宋体" w:cs="宋体"/>
          <w:color w:val="auto"/>
          <w:spacing w:val="10"/>
          <w:kern w:val="2"/>
          <w:sz w:val="21"/>
          <w:szCs w:val="21"/>
          <w:highlight w:val="none"/>
          <w:lang w:val="en-US" w:eastAsia="zh-CN" w:bidi="ar-SA"/>
        </w:rPr>
        <w:t>投标人需严格执行业主的《公交车轮胎管理规定》。业主车辆如更换新轮胎，需给业主单位管理人员现场查看，经鉴定需要更换新轮胎时，由业主单位管理人员通知投标人进行更换，投标人在未征得业主单位管理人员同意的情况下，严禁擅自为业主车辆更换新胎。投标人需为业主车辆制作《新胎领用登记记录表》，详细填写新胎领用日期、线路、车号、只数、品牌、轮胎编号，领用人签字确认。</w:t>
      </w:r>
    </w:p>
    <w:p w14:paraId="00E20249">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cs="宋体"/>
          <w:color w:val="auto"/>
          <w:spacing w:val="10"/>
          <w:kern w:val="2"/>
          <w:sz w:val="21"/>
          <w:szCs w:val="21"/>
          <w:highlight w:val="none"/>
          <w:lang w:val="en-US" w:eastAsia="zh-CN" w:bidi="ar-SA"/>
        </w:rPr>
        <w:t>1.7.2</w:t>
      </w:r>
      <w:r>
        <w:rPr>
          <w:rFonts w:hint="eastAsia" w:ascii="宋体" w:hAnsi="宋体" w:eastAsia="宋体" w:cs="宋体"/>
          <w:color w:val="auto"/>
          <w:spacing w:val="10"/>
          <w:kern w:val="2"/>
          <w:sz w:val="21"/>
          <w:szCs w:val="21"/>
          <w:highlight w:val="none"/>
          <w:lang w:val="en-US" w:eastAsia="zh-CN" w:bidi="ar-SA"/>
        </w:rPr>
        <w:t>投标人需为业主单位更换下来的旧轮胎进行登记保存，业主单位管理人员定期进行校对，达到一定数量时，投标人需协助业主单位进行集中处理。</w:t>
      </w:r>
    </w:p>
    <w:p w14:paraId="78A82355">
      <w:pPr>
        <w:pStyle w:val="9"/>
        <w:keepNext w:val="0"/>
        <w:keepLines w:val="0"/>
        <w:pageBreakBefore w:val="0"/>
        <w:widowControl w:val="0"/>
        <w:kinsoku/>
        <w:wordWrap/>
        <w:overflowPunct/>
        <w:topLinePunct w:val="0"/>
        <w:autoSpaceDE/>
        <w:autoSpaceDN/>
        <w:bidi w:val="0"/>
        <w:adjustRightInd/>
        <w:snapToGrid/>
        <w:spacing w:after="0" w:line="480" w:lineRule="exact"/>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2.技术要求</w:t>
      </w:r>
    </w:p>
    <w:p w14:paraId="58009281">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default" w:ascii="宋体" w:hAnsi="宋体" w:eastAsia="宋体" w:cs="宋体"/>
          <w:color w:val="auto"/>
          <w:spacing w:val="10"/>
          <w:kern w:val="2"/>
          <w:sz w:val="21"/>
          <w:szCs w:val="21"/>
          <w:highlight w:val="none"/>
          <w:lang w:val="en-US" w:eastAsia="zh-CN" w:bidi="ar-SA"/>
        </w:rPr>
      </w:pPr>
      <w:r>
        <w:rPr>
          <w:rFonts w:hint="eastAsia" w:ascii="宋体" w:hAnsi="宋体" w:cs="宋体"/>
          <w:color w:val="auto"/>
          <w:spacing w:val="10"/>
          <w:kern w:val="2"/>
          <w:sz w:val="21"/>
          <w:szCs w:val="21"/>
          <w:highlight w:val="none"/>
          <w:lang w:val="en-US" w:eastAsia="zh-CN" w:bidi="ar-SA"/>
        </w:rPr>
        <w:t>1.</w:t>
      </w:r>
      <w:r>
        <w:rPr>
          <w:rFonts w:hint="eastAsia" w:ascii="宋体" w:hAnsi="宋体" w:eastAsia="宋体" w:cs="宋体"/>
          <w:color w:val="auto"/>
          <w:spacing w:val="10"/>
          <w:kern w:val="2"/>
          <w:sz w:val="21"/>
          <w:szCs w:val="21"/>
          <w:highlight w:val="none"/>
          <w:lang w:val="en-US" w:eastAsia="zh-CN" w:bidi="ar-SA"/>
        </w:rPr>
        <w:t>轮胎规格及要求</w:t>
      </w:r>
    </w:p>
    <w:p w14:paraId="2ED49CF7">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eastAsia="宋体" w:cs="宋体"/>
          <w:color w:val="auto"/>
          <w:spacing w:val="10"/>
          <w:kern w:val="2"/>
          <w:sz w:val="21"/>
          <w:szCs w:val="21"/>
          <w:highlight w:val="none"/>
          <w:lang w:val="en-US" w:eastAsia="zh-CN" w:bidi="ar-SA"/>
        </w:rPr>
        <w:t>1</w:t>
      </w:r>
      <w:r>
        <w:rPr>
          <w:rFonts w:hint="eastAsia" w:ascii="宋体" w:hAnsi="宋体" w:cs="宋体"/>
          <w:color w:val="auto"/>
          <w:spacing w:val="10"/>
          <w:kern w:val="2"/>
          <w:sz w:val="21"/>
          <w:szCs w:val="21"/>
          <w:highlight w:val="none"/>
          <w:lang w:val="en-US" w:eastAsia="zh-CN" w:bidi="ar-SA"/>
        </w:rPr>
        <w:t>.1</w:t>
      </w:r>
      <w:r>
        <w:rPr>
          <w:rFonts w:hint="eastAsia" w:ascii="宋体" w:hAnsi="宋体" w:eastAsia="宋体" w:cs="宋体"/>
          <w:color w:val="auto"/>
          <w:spacing w:val="10"/>
          <w:kern w:val="2"/>
          <w:sz w:val="21"/>
          <w:szCs w:val="21"/>
          <w:highlight w:val="none"/>
          <w:lang w:val="en-US" w:eastAsia="zh-CN" w:bidi="ar-SA"/>
        </w:rPr>
        <w:t>本项目所供应的轮胎应为各种规格型号的全新无胆真空轮胎。轮胎必须符合国际通行和不低于国标的厂家标准，不低于国家关于轮胎生产、检测标准和技术要求的GB9744-2015及CNCA-C12-01:2015。轮胎为“公交专用”轮胎（轮胎两侧部位有轮胎生产厂家标注的“公交专用”字样），主要规格型号如下：265/70R19.5、11R22.5、27</w:t>
      </w:r>
      <w:r>
        <w:rPr>
          <w:rFonts w:hint="eastAsia" w:ascii="宋体" w:hAnsi="宋体" w:cs="宋体"/>
          <w:color w:val="auto"/>
          <w:spacing w:val="10"/>
          <w:kern w:val="2"/>
          <w:sz w:val="21"/>
          <w:szCs w:val="21"/>
          <w:highlight w:val="none"/>
          <w:lang w:val="en-US" w:eastAsia="zh-CN" w:bidi="ar-SA"/>
        </w:rPr>
        <w:t>5</w:t>
      </w:r>
      <w:r>
        <w:rPr>
          <w:rFonts w:hint="eastAsia" w:ascii="宋体" w:hAnsi="宋体" w:eastAsia="宋体" w:cs="宋体"/>
          <w:color w:val="auto"/>
          <w:spacing w:val="10"/>
          <w:kern w:val="2"/>
          <w:sz w:val="21"/>
          <w:szCs w:val="21"/>
          <w:highlight w:val="none"/>
          <w:lang w:val="en-US" w:eastAsia="zh-CN" w:bidi="ar-SA"/>
        </w:rPr>
        <w:t>/</w:t>
      </w:r>
      <w:r>
        <w:rPr>
          <w:rFonts w:hint="eastAsia" w:ascii="宋体" w:hAnsi="宋体" w:cs="宋体"/>
          <w:color w:val="auto"/>
          <w:spacing w:val="10"/>
          <w:kern w:val="2"/>
          <w:sz w:val="21"/>
          <w:szCs w:val="21"/>
          <w:highlight w:val="none"/>
          <w:lang w:val="en-US" w:eastAsia="zh-CN" w:bidi="ar-SA"/>
        </w:rPr>
        <w:t>70</w:t>
      </w:r>
      <w:r>
        <w:rPr>
          <w:rFonts w:hint="eastAsia" w:ascii="宋体" w:hAnsi="宋体" w:eastAsia="宋体" w:cs="宋体"/>
          <w:color w:val="auto"/>
          <w:spacing w:val="10"/>
          <w:kern w:val="2"/>
          <w:sz w:val="21"/>
          <w:szCs w:val="21"/>
          <w:highlight w:val="none"/>
          <w:lang w:val="en-US" w:eastAsia="zh-CN" w:bidi="ar-SA"/>
        </w:rPr>
        <w:t>R22.5。（注：城市客车、道路运输客车专用轮胎不属于“公交专用”轮胎范畴）。</w:t>
      </w:r>
    </w:p>
    <w:p w14:paraId="4F70CCF8">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eastAsia" w:ascii="宋体" w:hAnsi="宋体" w:eastAsia="宋体" w:cs="宋体"/>
          <w:color w:val="auto"/>
          <w:spacing w:val="10"/>
          <w:kern w:val="2"/>
          <w:sz w:val="21"/>
          <w:szCs w:val="21"/>
          <w:highlight w:val="none"/>
          <w:lang w:val="en-US" w:eastAsia="zh-CN" w:bidi="ar-SA"/>
        </w:rPr>
      </w:pPr>
      <w:r>
        <w:rPr>
          <w:rFonts w:hint="eastAsia" w:ascii="宋体" w:hAnsi="宋体" w:cs="宋体"/>
          <w:color w:val="auto"/>
          <w:spacing w:val="10"/>
          <w:kern w:val="2"/>
          <w:sz w:val="21"/>
          <w:szCs w:val="21"/>
          <w:highlight w:val="none"/>
          <w:lang w:val="en-US" w:eastAsia="zh-CN" w:bidi="ar-SA"/>
        </w:rPr>
        <w:t>1.2</w:t>
      </w:r>
      <w:r>
        <w:rPr>
          <w:rFonts w:hint="eastAsia" w:ascii="宋体" w:hAnsi="宋体" w:eastAsia="宋体" w:cs="宋体"/>
          <w:color w:val="auto"/>
          <w:spacing w:val="10"/>
          <w:kern w:val="2"/>
          <w:sz w:val="21"/>
          <w:szCs w:val="21"/>
          <w:highlight w:val="none"/>
          <w:lang w:val="en-US" w:eastAsia="zh-CN" w:bidi="ar-SA"/>
        </w:rPr>
        <w:t>投标人所提供的轮胎应为各规格型号的全新无胆真空原厂三包轮胎，新胎的厂家生产日期距</w:t>
      </w:r>
      <w:r>
        <w:rPr>
          <w:rFonts w:hint="eastAsia" w:ascii="宋体" w:hAnsi="宋体" w:cs="宋体"/>
          <w:color w:val="auto"/>
          <w:spacing w:val="10"/>
          <w:kern w:val="2"/>
          <w:sz w:val="21"/>
          <w:szCs w:val="21"/>
          <w:highlight w:val="none"/>
          <w:lang w:val="en-US" w:eastAsia="zh-CN" w:bidi="ar-SA"/>
        </w:rPr>
        <w:t>使用</w:t>
      </w:r>
      <w:r>
        <w:rPr>
          <w:rFonts w:hint="eastAsia" w:ascii="宋体" w:hAnsi="宋体" w:eastAsia="宋体" w:cs="宋体"/>
          <w:color w:val="auto"/>
          <w:spacing w:val="10"/>
          <w:kern w:val="2"/>
          <w:sz w:val="21"/>
          <w:szCs w:val="21"/>
          <w:highlight w:val="none"/>
          <w:lang w:val="en-US" w:eastAsia="zh-CN" w:bidi="ar-SA"/>
        </w:rPr>
        <w:t>日期不得超过一年。若投标人所提供的轮胎经鉴定为假冒、伪劣产品，需承担全部责任并赔偿损失。如因产品质量问题或假冒伪劣产品，造成业主单位车辆发生事故，投标人承担相应的法律责任并赔偿其经济损失。</w:t>
      </w:r>
    </w:p>
    <w:p w14:paraId="1B31FB71">
      <w:pPr>
        <w:keepNext w:val="0"/>
        <w:keepLines w:val="0"/>
        <w:pageBreakBefore w:val="0"/>
        <w:kinsoku/>
        <w:wordWrap/>
        <w:overflowPunct/>
        <w:topLinePunct w:val="0"/>
        <w:autoSpaceDE/>
        <w:autoSpaceDN/>
        <w:bidi w:val="0"/>
        <w:adjustRightInd/>
        <w:snapToGrid/>
        <w:spacing w:line="520" w:lineRule="exact"/>
        <w:ind w:firstLine="460" w:firstLineChars="200"/>
        <w:textAlignment w:val="auto"/>
        <w:rPr>
          <w:rFonts w:hint="default" w:ascii="宋体" w:hAnsi="宋体" w:eastAsia="宋体" w:cs="宋体"/>
          <w:color w:val="auto"/>
          <w:spacing w:val="10"/>
          <w:kern w:val="2"/>
          <w:sz w:val="21"/>
          <w:szCs w:val="21"/>
          <w:highlight w:val="none"/>
          <w:lang w:val="en-US" w:eastAsia="zh-CN" w:bidi="ar-SA"/>
        </w:rPr>
      </w:pPr>
      <w:r>
        <w:rPr>
          <w:rFonts w:hint="eastAsia" w:ascii="宋体" w:hAnsi="宋体" w:cs="宋体"/>
          <w:color w:val="auto"/>
          <w:spacing w:val="10"/>
          <w:kern w:val="2"/>
          <w:sz w:val="21"/>
          <w:szCs w:val="21"/>
          <w:highlight w:val="none"/>
          <w:lang w:val="en-US" w:eastAsia="zh-CN" w:bidi="ar-SA"/>
        </w:rPr>
        <w:t>1.3</w:t>
      </w:r>
      <w:r>
        <w:rPr>
          <w:rFonts w:hint="eastAsia" w:ascii="宋体" w:hAnsi="宋体" w:eastAsia="宋体" w:cs="宋体"/>
          <w:color w:val="auto"/>
          <w:spacing w:val="10"/>
          <w:kern w:val="2"/>
          <w:sz w:val="21"/>
          <w:szCs w:val="21"/>
          <w:highlight w:val="none"/>
          <w:lang w:val="en-US" w:eastAsia="zh-CN" w:bidi="ar-SA"/>
        </w:rPr>
        <w:t>投标人应就服务期内负责处理因轮胎问题引发的各类危机公关做出承诺（须提供承诺函并加盖投标人公章）。</w:t>
      </w:r>
    </w:p>
    <w:p w14:paraId="5EFCABEE">
      <w:pPr>
        <w:spacing w:line="360" w:lineRule="auto"/>
        <w:ind w:firstLine="422" w:firstLineChars="200"/>
        <w:contextualSpacing/>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违约责任</w:t>
      </w:r>
    </w:p>
    <w:p w14:paraId="1E823B75">
      <w:pPr>
        <w:pStyle w:val="9"/>
        <w:keepNext w:val="0"/>
        <w:keepLines w:val="0"/>
        <w:pageBreakBefore w:val="0"/>
        <w:widowControl w:val="0"/>
        <w:kinsoku/>
        <w:wordWrap/>
        <w:overflowPunct/>
        <w:topLinePunct w:val="0"/>
        <w:autoSpaceDE/>
        <w:autoSpaceDN/>
        <w:bidi w:val="0"/>
        <w:adjustRightInd/>
        <w:snapToGrid/>
        <w:spacing w:before="65" w:line="480" w:lineRule="exact"/>
        <w:ind w:right="115" w:firstLine="460" w:firstLineChars="200"/>
        <w:jc w:val="both"/>
        <w:textAlignment w:val="auto"/>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业主单位在使用或检查过程中，发现投标单位未按轮胎维修保养的技术标准向业主提供服务，业主单位除可扣除相应支付费用，其造成的一切损失还应有由投标单位承担，1年内发现上述情况达3次，业主单位可终止合同，并向上级相关部门提请相应的行政处罚。</w:t>
      </w:r>
    </w:p>
    <w:p w14:paraId="49424E88">
      <w:pPr>
        <w:widowControl/>
        <w:spacing w:line="360" w:lineRule="auto"/>
        <w:ind w:firstLine="460" w:firstLineChars="200"/>
        <w:jc w:val="left"/>
        <w:rPr>
          <w:rFonts w:hint="eastAsia" w:ascii="宋体" w:hAnsi="宋体" w:cs="宋体"/>
          <w:color w:val="auto"/>
          <w:szCs w:val="21"/>
          <w:highlight w:val="none"/>
        </w:rPr>
      </w:pPr>
      <w:r>
        <w:rPr>
          <w:rFonts w:hint="eastAsia" w:ascii="宋体" w:hAnsi="宋体" w:eastAsia="宋体" w:cs="宋体"/>
          <w:color w:val="auto"/>
          <w:spacing w:val="10"/>
          <w:sz w:val="21"/>
          <w:szCs w:val="21"/>
          <w:highlight w:val="none"/>
          <w:lang w:val="en-US" w:eastAsia="zh-CN"/>
        </w:rPr>
        <w:t>2、若投标单位不能按规定时间及时响应业主单位的服务要求，而导致的一切损失，由投标单位承担。若1个月内出现2次或1年内累计达到</w:t>
      </w:r>
      <w:r>
        <w:rPr>
          <w:rFonts w:hint="eastAsia" w:ascii="宋体" w:hAnsi="宋体" w:cs="宋体"/>
          <w:color w:val="auto"/>
          <w:spacing w:val="10"/>
          <w:sz w:val="21"/>
          <w:szCs w:val="21"/>
          <w:highlight w:val="none"/>
          <w:lang w:val="en-US" w:eastAsia="zh-CN"/>
        </w:rPr>
        <w:t>3</w:t>
      </w:r>
      <w:r>
        <w:rPr>
          <w:rFonts w:hint="eastAsia" w:ascii="宋体" w:hAnsi="宋体" w:eastAsia="宋体" w:cs="宋体"/>
          <w:color w:val="auto"/>
          <w:spacing w:val="10"/>
          <w:sz w:val="21"/>
          <w:szCs w:val="21"/>
          <w:highlight w:val="none"/>
          <w:lang w:val="en-US" w:eastAsia="zh-CN"/>
        </w:rPr>
        <w:t>次不能在规定的时间内响应业主的服务要求，业主单位可单方终止合同。</w:t>
      </w:r>
    </w:p>
    <w:p w14:paraId="58380F2F">
      <w:pPr>
        <w:spacing w:line="360" w:lineRule="auto"/>
        <w:ind w:firstLine="422" w:firstLineChars="200"/>
        <w:contextualSpacing/>
        <w:rPr>
          <w:color w:val="auto"/>
          <w:highlight w:val="none"/>
        </w:rPr>
      </w:pPr>
      <w:r>
        <w:rPr>
          <w:rFonts w:hint="eastAsia" w:ascii="宋体" w:hAnsi="宋体" w:eastAsia="宋体" w:cs="宋体"/>
          <w:b/>
          <w:color w:val="auto"/>
          <w:szCs w:val="21"/>
          <w:highlight w:val="none"/>
          <w:lang w:val="en-US" w:eastAsia="zh-CN"/>
        </w:rPr>
        <w:t>四、费用结算及支付方式</w:t>
      </w:r>
    </w:p>
    <w:p w14:paraId="5D3648BA">
      <w:pPr>
        <w:pStyle w:val="9"/>
        <w:keepNext w:val="0"/>
        <w:keepLines w:val="0"/>
        <w:pageBreakBefore w:val="0"/>
        <w:widowControl w:val="0"/>
        <w:kinsoku/>
        <w:wordWrap/>
        <w:overflowPunct/>
        <w:topLinePunct w:val="0"/>
        <w:autoSpaceDE/>
        <w:autoSpaceDN/>
        <w:bidi w:val="0"/>
        <w:adjustRightInd/>
        <w:snapToGrid/>
        <w:spacing w:before="65" w:line="480" w:lineRule="exact"/>
        <w:ind w:left="120" w:right="115" w:firstLine="460" w:firstLineChars="200"/>
        <w:jc w:val="both"/>
        <w:textAlignment w:val="auto"/>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1.结算方式为每</w:t>
      </w:r>
      <w:r>
        <w:rPr>
          <w:rFonts w:hint="eastAsia" w:ascii="宋体" w:hAnsi="宋体" w:cs="宋体"/>
          <w:color w:val="auto"/>
          <w:spacing w:val="10"/>
          <w:sz w:val="21"/>
          <w:szCs w:val="21"/>
          <w:highlight w:val="none"/>
          <w:lang w:val="en-US" w:eastAsia="zh-CN"/>
        </w:rPr>
        <w:t>季度</w:t>
      </w:r>
      <w:r>
        <w:rPr>
          <w:rFonts w:hint="eastAsia" w:ascii="宋体" w:hAnsi="宋体" w:eastAsia="宋体" w:cs="宋体"/>
          <w:color w:val="auto"/>
          <w:spacing w:val="10"/>
          <w:sz w:val="21"/>
          <w:szCs w:val="21"/>
          <w:highlight w:val="none"/>
        </w:rPr>
        <w:t>一次，</w:t>
      </w:r>
      <w:r>
        <w:rPr>
          <w:rFonts w:hint="eastAsia" w:ascii="宋体" w:hAnsi="宋体" w:cs="宋体"/>
          <w:color w:val="auto"/>
          <w:spacing w:val="10"/>
          <w:sz w:val="21"/>
          <w:szCs w:val="21"/>
          <w:highlight w:val="none"/>
          <w:lang w:val="en-US" w:eastAsia="zh-CN"/>
        </w:rPr>
        <w:t>维修</w:t>
      </w:r>
      <w:r>
        <w:rPr>
          <w:rFonts w:hint="eastAsia" w:ascii="宋体" w:hAnsi="宋体" w:eastAsia="宋体" w:cs="宋体"/>
          <w:color w:val="auto"/>
          <w:spacing w:val="10"/>
          <w:sz w:val="21"/>
          <w:szCs w:val="21"/>
          <w:highlight w:val="none"/>
        </w:rPr>
        <w:t>费具体结算方式如下：</w:t>
      </w:r>
      <w:r>
        <w:rPr>
          <w:rFonts w:hint="eastAsia" w:ascii="宋体" w:hAnsi="宋体" w:eastAsia="宋体" w:cs="宋体"/>
          <w:color w:val="auto"/>
          <w:sz w:val="21"/>
          <w:szCs w:val="21"/>
          <w:highlight w:val="none"/>
          <w:lang w:val="en-US" w:eastAsia="zh-CN"/>
        </w:rPr>
        <w:t>结算价=费用单价*中标费率</w:t>
      </w:r>
      <w:r>
        <w:rPr>
          <w:rFonts w:hint="eastAsia" w:ascii="宋体" w:hAnsi="宋体" w:eastAsia="宋体" w:cs="宋体"/>
          <w:color w:val="auto"/>
          <w:spacing w:val="10"/>
          <w:sz w:val="21"/>
          <w:szCs w:val="21"/>
          <w:highlight w:val="none"/>
        </w:rPr>
        <w:t>。</w:t>
      </w:r>
    </w:p>
    <w:p w14:paraId="71A60219">
      <w:pPr>
        <w:pStyle w:val="9"/>
        <w:keepNext w:val="0"/>
        <w:keepLines w:val="0"/>
        <w:pageBreakBefore w:val="0"/>
        <w:widowControl w:val="0"/>
        <w:kinsoku/>
        <w:wordWrap/>
        <w:overflowPunct/>
        <w:topLinePunct w:val="0"/>
        <w:autoSpaceDE/>
        <w:autoSpaceDN/>
        <w:bidi w:val="0"/>
        <w:adjustRightInd/>
        <w:snapToGrid/>
        <w:spacing w:before="65" w:line="480" w:lineRule="exact"/>
        <w:ind w:left="120" w:right="115" w:firstLine="460" w:firstLineChars="200"/>
        <w:jc w:val="both"/>
        <w:textAlignment w:val="auto"/>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2.支付方式如下：双方需在每季度次月5日前，就上季度轮胎维修使用情况进行核对，核对无异议后，投标人开具增值税专用发票给业主单位，业主单位于次月15日前一次性支付投标人上季度货款。（节假日顺延）</w:t>
      </w:r>
    </w:p>
    <w:p w14:paraId="72F07D2C">
      <w:pPr>
        <w:pStyle w:val="9"/>
        <w:keepNext w:val="0"/>
        <w:keepLines w:val="0"/>
        <w:pageBreakBefore w:val="0"/>
        <w:widowControl w:val="0"/>
        <w:kinsoku/>
        <w:wordWrap/>
        <w:overflowPunct/>
        <w:topLinePunct w:val="0"/>
        <w:autoSpaceDE/>
        <w:autoSpaceDN/>
        <w:bidi w:val="0"/>
        <w:adjustRightInd/>
        <w:snapToGrid/>
        <w:spacing w:before="65" w:line="480" w:lineRule="exact"/>
        <w:ind w:left="120" w:right="115" w:firstLine="460" w:firstLineChars="200"/>
        <w:jc w:val="both"/>
        <w:textAlignment w:val="auto"/>
        <w:rPr>
          <w:rFonts w:hint="default" w:ascii="宋体" w:hAnsi="宋体" w:eastAsia="宋体" w:cs="宋体"/>
          <w:color w:val="auto"/>
          <w:spacing w:val="10"/>
          <w:sz w:val="21"/>
          <w:szCs w:val="21"/>
          <w:highlight w:val="none"/>
          <w:lang w:val="en-US" w:eastAsia="zh-CN"/>
        </w:rPr>
        <w:sectPr>
          <w:headerReference r:id="rId6" w:type="default"/>
          <w:footerReference r:id="rId7" w:type="default"/>
          <w:pgSz w:w="11906" w:h="16839"/>
          <w:pgMar w:top="1228" w:right="1417" w:bottom="930" w:left="1418" w:header="659" w:footer="644" w:gutter="0"/>
          <w:pgNumType w:fmt="decimal"/>
          <w:cols w:space="720" w:num="1"/>
        </w:sectPr>
      </w:pPr>
      <w:r>
        <w:rPr>
          <w:rFonts w:hint="eastAsia" w:ascii="宋体" w:hAnsi="宋体" w:eastAsia="宋体" w:cs="宋体"/>
          <w:color w:val="auto"/>
          <w:spacing w:val="10"/>
          <w:sz w:val="21"/>
          <w:szCs w:val="21"/>
          <w:highlight w:val="none"/>
          <w:lang w:val="en-US" w:eastAsia="zh-CN"/>
        </w:rPr>
        <w:t>3.本项目车辆数量为暂定数量，服务期内，如有新购车辆，其轮胎价格不得高于市场同期最低价</w:t>
      </w:r>
    </w:p>
    <w:p w14:paraId="325D0FCD">
      <w:pPr>
        <w:pStyle w:val="2"/>
        <w:spacing w:beforeLines="0" w:afterLines="0"/>
        <w:jc w:val="center"/>
        <w:rPr>
          <w:rFonts w:hint="eastAsia"/>
          <w:color w:val="auto"/>
          <w:sz w:val="32"/>
          <w:szCs w:val="32"/>
          <w:highlight w:val="none"/>
        </w:rPr>
      </w:pPr>
      <w:r>
        <w:rPr>
          <w:rFonts w:hint="eastAsia" w:ascii="Arial" w:hAnsi="Arial"/>
          <w:color w:val="auto"/>
          <w:kern w:val="2"/>
          <w:sz w:val="32"/>
          <w:szCs w:val="32"/>
          <w:highlight w:val="none"/>
        </w:rPr>
        <w:t>第四章</w:t>
      </w:r>
      <w:r>
        <w:rPr>
          <w:rFonts w:ascii="Arial" w:hAnsi="Arial"/>
          <w:color w:val="auto"/>
          <w:kern w:val="2"/>
          <w:sz w:val="32"/>
          <w:szCs w:val="32"/>
          <w:highlight w:val="none"/>
        </w:rPr>
        <w:t xml:space="preserve">     </w:t>
      </w:r>
      <w:r>
        <w:rPr>
          <w:rFonts w:hint="eastAsia"/>
          <w:color w:val="auto"/>
          <w:sz w:val="32"/>
          <w:szCs w:val="32"/>
          <w:highlight w:val="none"/>
        </w:rPr>
        <w:t>合同文本及主要条款</w:t>
      </w:r>
    </w:p>
    <w:bookmarkEnd w:id="53"/>
    <w:bookmarkEnd w:id="54"/>
    <w:p w14:paraId="4D446025">
      <w:pPr>
        <w:tabs>
          <w:tab w:val="left" w:pos="3640"/>
        </w:tabs>
        <w:autoSpaceDE w:val="0"/>
        <w:autoSpaceDN w:val="0"/>
        <w:spacing w:line="360" w:lineRule="auto"/>
        <w:rPr>
          <w:rFonts w:ascii="宋体" w:hAnsi="宋体" w:cs="宋体"/>
          <w:color w:val="auto"/>
          <w:szCs w:val="21"/>
          <w:highlight w:val="none"/>
          <w:u w:val="single"/>
        </w:rPr>
      </w:pPr>
      <w:bookmarkStart w:id="55" w:name="_Toc10107"/>
      <w:r>
        <w:rPr>
          <w:rFonts w:hint="eastAsia" w:ascii="宋体" w:hAnsi="宋体" w:cs="宋体"/>
          <w:color w:val="auto"/>
          <w:szCs w:val="21"/>
          <w:highlight w:val="none"/>
        </w:rPr>
        <w:t>买方（采购人）：</w:t>
      </w:r>
      <w:r>
        <w:rPr>
          <w:rFonts w:hint="eastAsia" w:ascii="宋体" w:hAnsi="宋体" w:cs="宋体"/>
          <w:color w:val="auto"/>
          <w:szCs w:val="21"/>
          <w:highlight w:val="none"/>
          <w:u w:val="single"/>
        </w:rPr>
        <w:t xml:space="preserve">                           </w:t>
      </w:r>
    </w:p>
    <w:p w14:paraId="752294BE">
      <w:pPr>
        <w:tabs>
          <w:tab w:val="left" w:pos="3640"/>
        </w:tabs>
        <w:autoSpaceDE w:val="0"/>
        <w:autoSpaceDN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卖方（</w:t>
      </w:r>
      <w:r>
        <w:rPr>
          <w:rFonts w:hint="eastAsia" w:ascii="宋体" w:hAnsi="宋体" w:cs="宋体"/>
          <w:b w:val="0"/>
          <w:bCs/>
          <w:color w:val="auto"/>
          <w:szCs w:val="21"/>
          <w:highlight w:val="none"/>
        </w:rPr>
        <w:t>成交人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C7BC70A">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根据《中华人民共和国民法典》及</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参选</w:t>
      </w:r>
      <w:r>
        <w:rPr>
          <w:rFonts w:hint="eastAsia" w:ascii="宋体" w:hAnsi="宋体" w:cs="宋体"/>
          <w:color w:val="auto"/>
          <w:szCs w:val="21"/>
          <w:highlight w:val="none"/>
        </w:rPr>
        <w:t>文件等，买、卖双方经协商一致，签订如下合同条款，并共同遵守。</w:t>
      </w:r>
    </w:p>
    <w:p w14:paraId="302B1870">
      <w:pPr>
        <w:numPr>
          <w:ilvl w:val="0"/>
          <w:numId w:val="2"/>
        </w:numPr>
        <w:tabs>
          <w:tab w:val="left" w:pos="3640"/>
        </w:tabs>
        <w:autoSpaceDE w:val="0"/>
        <w:autoSpaceDN w:val="0"/>
        <w:spacing w:line="360" w:lineRule="auto"/>
        <w:ind w:firstLine="422" w:firstLineChars="200"/>
        <w:rPr>
          <w:rFonts w:ascii="宋体" w:hAnsi="宋体" w:cs="宋体"/>
          <w:b/>
          <w:color w:val="auto"/>
          <w:spacing w:val="8"/>
          <w:szCs w:val="21"/>
          <w:highlight w:val="none"/>
        </w:rPr>
      </w:pPr>
      <w:r>
        <w:rPr>
          <w:rFonts w:hint="eastAsia" w:ascii="宋体" w:hAnsi="宋体" w:cs="宋体"/>
          <w:b/>
          <w:color w:val="auto"/>
          <w:szCs w:val="21"/>
          <w:highlight w:val="none"/>
        </w:rPr>
        <w:t>服务内容</w:t>
      </w:r>
    </w:p>
    <w:p w14:paraId="6AA7986D">
      <w:pPr>
        <w:tabs>
          <w:tab w:val="left" w:pos="3640"/>
        </w:tabs>
        <w:autoSpaceDE w:val="0"/>
        <w:autoSpaceDN w:val="0"/>
        <w:spacing w:line="360" w:lineRule="auto"/>
        <w:ind w:left="422"/>
        <w:rPr>
          <w:rFonts w:ascii="宋体" w:hAnsi="宋体" w:cs="宋体"/>
          <w:b/>
          <w:color w:val="auto"/>
          <w:spacing w:val="8"/>
          <w:szCs w:val="21"/>
          <w:highlight w:val="none"/>
        </w:rPr>
      </w:pPr>
      <w:r>
        <w:rPr>
          <w:rFonts w:hint="eastAsia" w:ascii="宋体" w:hAnsi="宋体" w:cs="宋体"/>
          <w:b/>
          <w:color w:val="auto"/>
          <w:szCs w:val="21"/>
          <w:highlight w:val="none"/>
        </w:rPr>
        <w:t>服务内容：</w:t>
      </w:r>
    </w:p>
    <w:p w14:paraId="7B479AFE">
      <w:pPr>
        <w:tabs>
          <w:tab w:val="left" w:pos="3640"/>
        </w:tabs>
        <w:autoSpaceDE w:val="0"/>
        <w:autoSpaceDN w:val="0"/>
        <w:spacing w:line="360" w:lineRule="auto"/>
        <w:ind w:left="422"/>
        <w:rPr>
          <w:rFonts w:ascii="宋体" w:hAnsi="宋体" w:cs="宋体"/>
          <w:b/>
          <w:color w:val="auto"/>
          <w:spacing w:val="8"/>
          <w:szCs w:val="21"/>
          <w:highlight w:val="none"/>
        </w:rPr>
      </w:pPr>
      <w:r>
        <w:rPr>
          <w:rFonts w:hint="eastAsia" w:ascii="宋体" w:hAnsi="宋体" w:cs="宋体"/>
          <w:b/>
          <w:color w:val="auto"/>
          <w:szCs w:val="21"/>
          <w:highlight w:val="none"/>
        </w:rPr>
        <w:t>合同金额：</w:t>
      </w:r>
    </w:p>
    <w:p w14:paraId="50F7A845">
      <w:pPr>
        <w:tabs>
          <w:tab w:val="left" w:pos="3640"/>
        </w:tabs>
        <w:autoSpaceDE w:val="0"/>
        <w:autoSpaceDN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二、服务期：</w:t>
      </w:r>
    </w:p>
    <w:p w14:paraId="55CB37D3">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三、服务人员配备：</w:t>
      </w:r>
    </w:p>
    <w:p w14:paraId="64A863AF">
      <w:pPr>
        <w:tabs>
          <w:tab w:val="left" w:pos="3640"/>
        </w:tabs>
        <w:autoSpaceDE w:val="0"/>
        <w:autoSpaceDN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四、服务地点：</w:t>
      </w:r>
    </w:p>
    <w:p w14:paraId="2110D447">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五、验收：</w:t>
      </w:r>
    </w:p>
    <w:p w14:paraId="4F01333F">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六、付款方式：</w:t>
      </w:r>
    </w:p>
    <w:p w14:paraId="196212AD">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七、履约保证金退还：</w:t>
      </w:r>
    </w:p>
    <w:p w14:paraId="5C514BC1">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八、违约责任</w:t>
      </w:r>
    </w:p>
    <w:p w14:paraId="08134F0F">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1、买方无正当理由拒绝接受服务，买方向卖方偿付合同价的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w:t>
      </w:r>
      <w:r>
        <w:rPr>
          <w:rFonts w:hint="eastAsia" w:ascii="宋体" w:hAnsi="宋体" w:cs="宋体"/>
          <w:color w:val="auto"/>
          <w:szCs w:val="21"/>
          <w:highlight w:val="none"/>
        </w:rPr>
        <w:t>的违约金；</w:t>
      </w:r>
    </w:p>
    <w:p w14:paraId="6C6B86F3">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2、买方无正当理由逾期付款的，买方向卖方每日偿付合同价的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zCs w:val="21"/>
          <w:highlight w:val="none"/>
        </w:rPr>
        <w:t>‰的违约金；</w:t>
      </w:r>
    </w:p>
    <w:p w14:paraId="5F64C0B6">
      <w:pPr>
        <w:tabs>
          <w:tab w:val="left" w:pos="3640"/>
        </w:tabs>
        <w:autoSpaceDE w:val="0"/>
        <w:autoSpaceDN w:val="0"/>
        <w:spacing w:line="500" w:lineRule="exact"/>
        <w:ind w:firstLine="452" w:firstLineChars="200"/>
        <w:rPr>
          <w:rFonts w:ascii="宋体" w:hAnsi="宋体" w:cs="宋体"/>
          <w:b/>
          <w:color w:val="auto"/>
          <w:szCs w:val="21"/>
          <w:highlight w:val="none"/>
        </w:rPr>
      </w:pPr>
      <w:r>
        <w:rPr>
          <w:rFonts w:hint="eastAsia" w:ascii="宋体" w:hAnsi="宋体" w:cs="宋体"/>
          <w:color w:val="auto"/>
          <w:spacing w:val="8"/>
          <w:szCs w:val="21"/>
          <w:highlight w:val="none"/>
        </w:rPr>
        <w:t>3、卖方不能提供服务的，卖方向买方支付合同价的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14:paraId="41C90630">
      <w:pPr>
        <w:tabs>
          <w:tab w:val="left" w:pos="3640"/>
        </w:tabs>
        <w:autoSpaceDE w:val="0"/>
        <w:autoSpaceDN w:val="0"/>
        <w:spacing w:line="500" w:lineRule="exact"/>
        <w:ind w:firstLine="452" w:firstLineChars="200"/>
        <w:rPr>
          <w:rFonts w:ascii="宋体" w:hAnsi="宋体" w:cs="宋体"/>
          <w:b/>
          <w:color w:val="auto"/>
          <w:szCs w:val="21"/>
          <w:highlight w:val="none"/>
        </w:rPr>
      </w:pPr>
      <w:r>
        <w:rPr>
          <w:rFonts w:hint="eastAsia" w:ascii="宋体" w:hAnsi="宋体" w:cs="宋体"/>
          <w:color w:val="auto"/>
          <w:spacing w:val="8"/>
          <w:szCs w:val="21"/>
          <w:highlight w:val="none"/>
        </w:rPr>
        <w:t>4、卖方逾期提供服务的，卖方向买方每日偿付合同价的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14:paraId="0B01BB4E">
      <w:pPr>
        <w:spacing w:line="500" w:lineRule="exact"/>
        <w:ind w:left="-178" w:leftChars="-85" w:firstLine="583" w:firstLineChars="257"/>
        <w:rPr>
          <w:rFonts w:ascii="宋体" w:hAnsi="宋体" w:cs="宋体"/>
          <w:b/>
          <w:color w:val="auto"/>
          <w:spacing w:val="8"/>
          <w:szCs w:val="21"/>
          <w:highlight w:val="none"/>
        </w:rPr>
      </w:pPr>
      <w:r>
        <w:rPr>
          <w:rFonts w:hint="eastAsia" w:ascii="宋体" w:hAnsi="宋体" w:cs="宋体"/>
          <w:b/>
          <w:color w:val="auto"/>
          <w:spacing w:val="8"/>
          <w:szCs w:val="21"/>
          <w:highlight w:val="none"/>
        </w:rPr>
        <w:t>九、解决合同纠纷方式</w:t>
      </w:r>
    </w:p>
    <w:p w14:paraId="5B8254ED">
      <w:pPr>
        <w:tabs>
          <w:tab w:val="left" w:pos="3640"/>
        </w:tabs>
        <w:autoSpaceDE w:val="0"/>
        <w:autoSpaceDN w:val="0"/>
        <w:spacing w:line="500" w:lineRule="exact"/>
        <w:ind w:firstLine="452"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本合同如发生纠纷，买卖双方应当及时协商解决，协商不成时，按以下第（</w:t>
      </w:r>
      <w:r>
        <w:rPr>
          <w:rFonts w:hint="eastAsia" w:ascii="宋体" w:hAnsi="宋体"/>
          <w:color w:val="auto"/>
          <w:spacing w:val="8"/>
          <w:szCs w:val="21"/>
          <w:highlight w:val="none"/>
        </w:rPr>
        <w:t>②</w:t>
      </w:r>
      <w:r>
        <w:rPr>
          <w:rFonts w:hint="eastAsia" w:ascii="宋体" w:hAnsi="宋体" w:cs="宋体"/>
          <w:color w:val="auto"/>
          <w:spacing w:val="8"/>
          <w:szCs w:val="21"/>
          <w:highlight w:val="none"/>
        </w:rPr>
        <w:t>）项方式处理：①根据《中华人民共和国仲裁法》的规定向 安庆仲裁委员会 申请仲裁。②向</w:t>
      </w:r>
      <w:r>
        <w:rPr>
          <w:rFonts w:hint="eastAsia" w:ascii="宋体" w:hAnsi="宋体" w:cs="宋体"/>
          <w:color w:val="auto"/>
          <w:spacing w:val="8"/>
          <w:szCs w:val="21"/>
          <w:highlight w:val="none"/>
          <w:u w:val="single"/>
          <w:lang w:val="en-US" w:eastAsia="zh-CN"/>
        </w:rPr>
        <w:t>合同履行地</w:t>
      </w:r>
      <w:r>
        <w:rPr>
          <w:rFonts w:hint="eastAsia" w:ascii="宋体" w:hAnsi="宋体" w:cs="宋体"/>
          <w:color w:val="auto"/>
          <w:spacing w:val="8"/>
          <w:szCs w:val="21"/>
          <w:highlight w:val="none"/>
        </w:rPr>
        <w:t>人民法院起诉。</w:t>
      </w:r>
    </w:p>
    <w:p w14:paraId="378363FE">
      <w:pPr>
        <w:spacing w:line="360" w:lineRule="auto"/>
        <w:ind w:left="-178" w:leftChars="-85" w:firstLine="583" w:firstLineChars="257"/>
        <w:rPr>
          <w:rFonts w:ascii="宋体" w:hAnsi="宋体"/>
          <w:b/>
          <w:color w:val="auto"/>
          <w:spacing w:val="8"/>
          <w:szCs w:val="21"/>
          <w:highlight w:val="none"/>
        </w:rPr>
      </w:pPr>
      <w:r>
        <w:rPr>
          <w:rFonts w:hint="eastAsia" w:ascii="宋体" w:hAnsi="宋体"/>
          <w:b/>
          <w:color w:val="auto"/>
          <w:spacing w:val="8"/>
          <w:szCs w:val="21"/>
          <w:highlight w:val="none"/>
        </w:rPr>
        <w:t>十、</w:t>
      </w:r>
      <w:r>
        <w:rPr>
          <w:rFonts w:hint="eastAsia" w:ascii="宋体" w:hAnsi="宋体" w:cs="宋体"/>
          <w:b/>
          <w:color w:val="auto"/>
          <w:szCs w:val="21"/>
          <w:highlight w:val="none"/>
        </w:rPr>
        <w:t>本合同组成及解释先后顺序：</w:t>
      </w:r>
    </w:p>
    <w:p w14:paraId="1BB033A4">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1、成交通知书；</w:t>
      </w:r>
    </w:p>
    <w:p w14:paraId="4684FCD5">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文件；</w:t>
      </w:r>
    </w:p>
    <w:p w14:paraId="0A87C93E">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3、本合同文本；</w:t>
      </w:r>
    </w:p>
    <w:p w14:paraId="531F8F7E">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4、成交人的</w:t>
      </w:r>
      <w:r>
        <w:rPr>
          <w:rFonts w:hint="eastAsia" w:ascii="宋体" w:hAnsi="宋体" w:cs="宋体"/>
          <w:color w:val="auto"/>
          <w:szCs w:val="21"/>
          <w:highlight w:val="none"/>
          <w:lang w:val="en-US" w:eastAsia="zh-CN"/>
        </w:rPr>
        <w:t>参选</w:t>
      </w:r>
      <w:r>
        <w:rPr>
          <w:rFonts w:hint="eastAsia" w:ascii="宋体" w:hAnsi="宋体" w:cs="宋体"/>
          <w:color w:val="auto"/>
          <w:szCs w:val="21"/>
          <w:highlight w:val="none"/>
        </w:rPr>
        <w:t>文件；　</w:t>
      </w:r>
    </w:p>
    <w:p w14:paraId="1FCD9A0A">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5、其他补充约定事项。</w:t>
      </w:r>
    </w:p>
    <w:p w14:paraId="231B2CF2">
      <w:pPr>
        <w:spacing w:line="360" w:lineRule="auto"/>
        <w:ind w:firstLine="413" w:firstLineChars="196"/>
        <w:rPr>
          <w:rFonts w:ascii="宋体" w:hAnsi="宋体"/>
          <w:b/>
          <w:color w:val="auto"/>
          <w:spacing w:val="8"/>
          <w:szCs w:val="21"/>
          <w:highlight w:val="none"/>
          <w:u w:val="single"/>
        </w:rPr>
      </w:pPr>
      <w:r>
        <w:rPr>
          <w:rFonts w:hint="eastAsia" w:ascii="宋体" w:hAnsi="宋体" w:cs="宋体"/>
          <w:b/>
          <w:color w:val="auto"/>
          <w:szCs w:val="21"/>
          <w:highlight w:val="none"/>
        </w:rPr>
        <w:t>十一、其他约定事项：</w:t>
      </w:r>
      <w:r>
        <w:rPr>
          <w:rFonts w:hint="eastAsia" w:ascii="宋体" w:hAnsi="宋体"/>
          <w:color w:val="auto"/>
          <w:spacing w:val="8"/>
          <w:szCs w:val="21"/>
          <w:highlight w:val="none"/>
          <w:u w:val="single"/>
        </w:rPr>
        <w:t xml:space="preserve"> 　　　　　　　　　　　  </w:t>
      </w:r>
      <w:r>
        <w:rPr>
          <w:rFonts w:hint="eastAsia" w:ascii="宋体" w:hAnsi="宋体"/>
          <w:b/>
          <w:color w:val="auto"/>
          <w:spacing w:val="8"/>
          <w:szCs w:val="21"/>
          <w:highlight w:val="none"/>
          <w:u w:val="single"/>
        </w:rPr>
        <w:t xml:space="preserve">                               </w:t>
      </w:r>
    </w:p>
    <w:p w14:paraId="719E7FDB">
      <w:pPr>
        <w:spacing w:line="360" w:lineRule="auto"/>
        <w:ind w:left="-178" w:leftChars="-85" w:firstLine="177" w:firstLineChars="78"/>
        <w:rPr>
          <w:rFonts w:ascii="宋体" w:hAnsi="宋体"/>
          <w:color w:val="auto"/>
          <w:spacing w:val="8"/>
          <w:szCs w:val="21"/>
          <w:highlight w:val="none"/>
          <w:u w:val="single"/>
        </w:rPr>
      </w:pPr>
      <w:r>
        <w:rPr>
          <w:rFonts w:hint="eastAsia" w:ascii="宋体" w:hAnsi="宋体"/>
          <w:b/>
          <w:color w:val="auto"/>
          <w:spacing w:val="8"/>
          <w:szCs w:val="21"/>
          <w:highlight w:val="none"/>
          <w:u w:val="single"/>
        </w:rPr>
        <w:t xml:space="preserve">                                                       </w:t>
      </w:r>
      <w:r>
        <w:rPr>
          <w:rFonts w:hint="eastAsia" w:ascii="宋体" w:hAnsi="宋体"/>
          <w:color w:val="auto"/>
          <w:spacing w:val="8"/>
          <w:szCs w:val="21"/>
          <w:highlight w:val="none"/>
          <w:u w:val="single"/>
        </w:rPr>
        <w:t xml:space="preserve">                    </w:t>
      </w:r>
    </w:p>
    <w:p w14:paraId="0A00FA19">
      <w:pPr>
        <w:spacing w:line="360" w:lineRule="auto"/>
        <w:ind w:left="-178" w:leftChars="-85" w:firstLine="176" w:firstLineChars="78"/>
        <w:rPr>
          <w:rFonts w:ascii="宋体" w:hAnsi="宋体"/>
          <w:color w:val="auto"/>
          <w:spacing w:val="8"/>
          <w:szCs w:val="21"/>
          <w:highlight w:val="none"/>
          <w:u w:val="single"/>
        </w:rPr>
      </w:pPr>
      <w:r>
        <w:rPr>
          <w:rFonts w:hint="eastAsia" w:ascii="宋体" w:hAnsi="宋体"/>
          <w:color w:val="auto"/>
          <w:spacing w:val="8"/>
          <w:szCs w:val="21"/>
          <w:highlight w:val="none"/>
          <w:u w:val="single"/>
        </w:rPr>
        <w:t xml:space="preserve">                                                                           </w:t>
      </w:r>
    </w:p>
    <w:p w14:paraId="3C52AD02">
      <w:pPr>
        <w:spacing w:line="360" w:lineRule="auto"/>
        <w:ind w:left="-178" w:leftChars="-85" w:firstLine="176" w:firstLineChars="78"/>
        <w:rPr>
          <w:rFonts w:ascii="宋体" w:hAnsi="宋体" w:cs="宋体"/>
          <w:color w:val="auto"/>
          <w:spacing w:val="8"/>
          <w:szCs w:val="21"/>
          <w:highlight w:val="none"/>
          <w:u w:val="single"/>
        </w:rPr>
      </w:pPr>
    </w:p>
    <w:p w14:paraId="4BB1D50F">
      <w:pPr>
        <w:tabs>
          <w:tab w:val="left" w:pos="3640"/>
        </w:tabs>
        <w:autoSpaceDE w:val="0"/>
        <w:autoSpaceDN w:val="0"/>
        <w:spacing w:line="360" w:lineRule="auto"/>
        <w:ind w:firstLine="420" w:firstLineChars="200"/>
        <w:rPr>
          <w:rFonts w:ascii="宋体" w:hAnsi="宋体" w:cs="宋体"/>
          <w:color w:val="auto"/>
          <w:szCs w:val="21"/>
          <w:highlight w:val="none"/>
        </w:rPr>
      </w:pPr>
    </w:p>
    <w:p w14:paraId="2AE1DF5A">
      <w:pPr>
        <w:tabs>
          <w:tab w:val="left" w:pos="3640"/>
        </w:tabs>
        <w:autoSpaceDE w:val="0"/>
        <w:autoSpaceDN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 xml:space="preserve">买  方                       卖   方                         </w:t>
      </w:r>
    </w:p>
    <w:p w14:paraId="4D7187A4">
      <w:pPr>
        <w:tabs>
          <w:tab w:val="left" w:pos="3640"/>
        </w:tabs>
        <w:autoSpaceDE w:val="0"/>
        <w:autoSpaceDN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采购人（盖章）：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成交人（盖章）：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2B64F55">
      <w:pPr>
        <w:tabs>
          <w:tab w:val="left" w:pos="3640"/>
        </w:tabs>
        <w:autoSpaceDE w:val="0"/>
        <w:autoSpaceDN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法人代表：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76DB9A6">
      <w:pPr>
        <w:tabs>
          <w:tab w:val="left" w:pos="3640"/>
        </w:tabs>
        <w:autoSpaceDE w:val="0"/>
        <w:autoSpaceDN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8A1752F">
      <w:pPr>
        <w:tabs>
          <w:tab w:val="left" w:pos="3640"/>
        </w:tabs>
        <w:autoSpaceDE w:val="0"/>
        <w:autoSpaceDN w:val="0"/>
        <w:spacing w:line="48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3A7C0B5">
      <w:pPr>
        <w:tabs>
          <w:tab w:val="left" w:pos="3640"/>
        </w:tabs>
        <w:autoSpaceDE w:val="0"/>
        <w:autoSpaceDN w:val="0"/>
        <w:spacing w:line="480" w:lineRule="auto"/>
        <w:ind w:firstLine="420" w:firstLineChars="200"/>
        <w:rPr>
          <w:rFonts w:hint="eastAsia"/>
          <w:color w:val="auto"/>
          <w:highlight w:val="none"/>
        </w:rPr>
      </w:pPr>
      <w:r>
        <w:rPr>
          <w:rFonts w:hint="eastAsia" w:ascii="宋体" w:hAnsi="宋体" w:cs="宋体"/>
          <w:color w:val="auto"/>
          <w:szCs w:val="21"/>
          <w:highlight w:val="none"/>
        </w:rPr>
        <w:t xml:space="preserve">年   月    日                年   月    日                   </w:t>
      </w:r>
    </w:p>
    <w:p w14:paraId="5CE32E91">
      <w:pPr>
        <w:rPr>
          <w:rFonts w:hint="eastAsia" w:ascii="宋体" w:hAnsi="宋体" w:cs="宋体"/>
          <w:b/>
          <w:bCs/>
          <w:color w:val="auto"/>
          <w:szCs w:val="21"/>
          <w:highlight w:val="none"/>
        </w:rPr>
      </w:pPr>
    </w:p>
    <w:p w14:paraId="717B34DC">
      <w:pPr>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7DFC5FD3">
      <w:pPr>
        <w:rPr>
          <w:color w:val="auto"/>
          <w:highlight w:val="none"/>
        </w:rPr>
      </w:pPr>
      <w:r>
        <w:rPr>
          <w:rFonts w:hint="eastAsia" w:ascii="宋体" w:hAnsi="宋体" w:cs="宋体"/>
          <w:color w:val="auto"/>
          <w:szCs w:val="21"/>
          <w:highlight w:val="none"/>
        </w:rPr>
        <w:br w:type="page"/>
      </w:r>
    </w:p>
    <w:bookmarkEnd w:id="55"/>
    <w:p w14:paraId="38316775">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Start w:id="56" w:name="_Toc54884158"/>
      <w:r>
        <w:rPr>
          <w:rFonts w:hint="eastAsia" w:ascii="Arial" w:hAnsi="Arial"/>
          <w:color w:val="auto"/>
          <w:kern w:val="2"/>
          <w:sz w:val="32"/>
          <w:szCs w:val="32"/>
          <w:highlight w:val="none"/>
        </w:rPr>
        <w:t>参选文件格式</w:t>
      </w:r>
      <w:bookmarkEnd w:id="56"/>
    </w:p>
    <w:p w14:paraId="49945C73">
      <w:pPr>
        <w:spacing w:line="360" w:lineRule="auto"/>
        <w:jc w:val="center"/>
        <w:rPr>
          <w:rFonts w:ascii="仿宋" w:hAnsi="仿宋" w:eastAsia="仿宋"/>
          <w:b/>
          <w:color w:val="auto"/>
          <w:spacing w:val="20"/>
          <w:sz w:val="36"/>
          <w:szCs w:val="36"/>
          <w:highlight w:val="none"/>
          <w:u w:val="single"/>
        </w:rPr>
      </w:pPr>
    </w:p>
    <w:p w14:paraId="0A6D3AD2">
      <w:pPr>
        <w:spacing w:line="360" w:lineRule="auto"/>
        <w:jc w:val="center"/>
        <w:rPr>
          <w:rFonts w:hint="eastAsia" w:ascii="仿宋" w:hAnsi="仿宋" w:eastAsia="仿宋"/>
          <w:b/>
          <w:color w:val="auto"/>
          <w:spacing w:val="20"/>
          <w:sz w:val="36"/>
          <w:szCs w:val="36"/>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79C70CF1">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38"/>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38"/>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0A901EA9">
      <w:pPr>
        <w:widowControl/>
        <w:jc w:val="left"/>
        <w:rPr>
          <w:rFonts w:ascii="宋体" w:hAnsi="宋体" w:eastAsia="宋体" w:cs="Times New Roman"/>
          <w:b/>
          <w:color w:val="auto"/>
          <w:sz w:val="30"/>
          <w:szCs w:val="30"/>
          <w:highlight w:val="none"/>
        </w:rPr>
      </w:pPr>
    </w:p>
    <w:p w14:paraId="163D6CE9">
      <w:pPr>
        <w:widowControl/>
        <w:jc w:val="left"/>
        <w:rPr>
          <w:rFonts w:ascii="宋体" w:hAnsi="宋体"/>
          <w:b/>
          <w:color w:val="auto"/>
          <w:sz w:val="30"/>
          <w:szCs w:val="30"/>
          <w:highlight w:val="none"/>
        </w:rPr>
      </w:pPr>
      <w:r>
        <w:rPr>
          <w:rFonts w:ascii="宋体" w:hAnsi="宋体"/>
          <w:b/>
          <w:color w:val="auto"/>
          <w:sz w:val="30"/>
          <w:szCs w:val="30"/>
          <w:highlight w:val="none"/>
        </w:rPr>
        <w:br w:type="page"/>
      </w:r>
    </w:p>
    <w:p w14:paraId="7C8BCE3F">
      <w:pPr>
        <w:jc w:val="center"/>
        <w:rPr>
          <w:b/>
          <w:color w:val="auto"/>
          <w:sz w:val="30"/>
          <w:szCs w:val="30"/>
          <w:highlight w:val="none"/>
        </w:rPr>
      </w:pPr>
      <w:r>
        <w:rPr>
          <w:rFonts w:hint="eastAsia"/>
          <w:b/>
          <w:color w:val="auto"/>
          <w:sz w:val="30"/>
          <w:szCs w:val="30"/>
          <w:highlight w:val="none"/>
        </w:rPr>
        <w:t>目 录</w:t>
      </w:r>
    </w:p>
    <w:p w14:paraId="031BCFB3">
      <w:pPr>
        <w:numPr>
          <w:ilvl w:val="0"/>
          <w:numId w:val="3"/>
        </w:numPr>
        <w:spacing w:line="48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参选函</w:t>
      </w:r>
    </w:p>
    <w:p w14:paraId="43E83ED9">
      <w:pPr>
        <w:numPr>
          <w:ilvl w:val="0"/>
          <w:numId w:val="3"/>
        </w:numPr>
        <w:spacing w:line="480" w:lineRule="auto"/>
        <w:ind w:firstLine="480" w:firstLineChars="200"/>
        <w:rPr>
          <w:rFonts w:ascii="宋体" w:cs="宋体"/>
          <w:color w:val="auto"/>
          <w:sz w:val="24"/>
          <w:highlight w:val="none"/>
        </w:rPr>
      </w:pPr>
      <w:r>
        <w:rPr>
          <w:rFonts w:hint="eastAsia" w:ascii="宋体" w:hAnsi="宋体"/>
          <w:color w:val="auto"/>
          <w:sz w:val="24"/>
          <w:highlight w:val="none"/>
          <w:lang w:val="en-US" w:eastAsia="zh-CN"/>
        </w:rPr>
        <w:t>报价表</w:t>
      </w:r>
    </w:p>
    <w:p w14:paraId="1042D471">
      <w:pPr>
        <w:numPr>
          <w:ilvl w:val="0"/>
          <w:numId w:val="3"/>
        </w:numPr>
        <w:spacing w:line="480" w:lineRule="auto"/>
        <w:ind w:firstLine="480" w:firstLineChars="200"/>
        <w:rPr>
          <w:rFonts w:ascii="宋体" w:cs="宋体"/>
          <w:color w:val="auto"/>
          <w:sz w:val="24"/>
          <w:highlight w:val="none"/>
        </w:rPr>
      </w:pPr>
      <w:r>
        <w:rPr>
          <w:rFonts w:hint="eastAsia" w:ascii="宋体" w:cs="宋体"/>
          <w:color w:val="auto"/>
          <w:sz w:val="24"/>
          <w:highlight w:val="none"/>
        </w:rPr>
        <w:t>服务及技术方案</w:t>
      </w:r>
    </w:p>
    <w:p w14:paraId="2BC89470">
      <w:pPr>
        <w:numPr>
          <w:ilvl w:val="0"/>
          <w:numId w:val="3"/>
        </w:numPr>
        <w:spacing w:line="48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诚信投标承诺书</w:t>
      </w:r>
    </w:p>
    <w:p w14:paraId="7FCFC670">
      <w:pPr>
        <w:numPr>
          <w:ilvl w:val="0"/>
          <w:numId w:val="3"/>
        </w:numPr>
        <w:spacing w:line="48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相关证明文件</w:t>
      </w:r>
    </w:p>
    <w:p w14:paraId="64959129">
      <w:pPr>
        <w:widowControl/>
        <w:jc w:val="left"/>
        <w:rPr>
          <w:rFonts w:ascii="宋体" w:hAnsi="宋体"/>
          <w:color w:val="auto"/>
          <w:sz w:val="24"/>
          <w:highlight w:val="none"/>
        </w:rPr>
      </w:pPr>
      <w:r>
        <w:rPr>
          <w:rFonts w:ascii="宋体" w:hAnsi="宋体"/>
          <w:color w:val="auto"/>
          <w:sz w:val="24"/>
          <w:highlight w:val="none"/>
        </w:rPr>
        <w:br w:type="page"/>
      </w:r>
    </w:p>
    <w:p w14:paraId="3D1126FD">
      <w:pPr>
        <w:keepNext/>
        <w:keepLines/>
        <w:widowControl w:val="0"/>
        <w:shd w:val="clear" w:color="auto" w:fill="FFFFFF"/>
        <w:wordWrap w:val="0"/>
        <w:spacing w:line="360" w:lineRule="exact"/>
        <w:jc w:val="center"/>
        <w:outlineLvl w:val="2"/>
        <w:rPr>
          <w:rFonts w:hint="default" w:ascii="宋体" w:hAnsi="Times New Roman" w:eastAsia="宋体" w:cs="Times New Roman"/>
          <w:b/>
          <w:color w:val="auto"/>
          <w:kern w:val="0"/>
          <w:sz w:val="32"/>
          <w:szCs w:val="32"/>
          <w:highlight w:val="none"/>
          <w:lang w:val="en-US" w:eastAsia="zh-CN" w:bidi="ar-SA"/>
        </w:rPr>
      </w:pPr>
      <w:bookmarkStart w:id="57" w:name="_Toc476584433"/>
      <w:bookmarkStart w:id="58" w:name="_Toc54941342"/>
      <w:bookmarkStart w:id="59" w:name="_Toc7462"/>
      <w:bookmarkStart w:id="60" w:name="_Toc4481605"/>
      <w:bookmarkStart w:id="61" w:name="_Toc25547"/>
      <w:r>
        <w:rPr>
          <w:rFonts w:hint="eastAsia" w:ascii="宋体" w:hAnsi="Times New Roman" w:eastAsia="宋体" w:cs="Times New Roman"/>
          <w:b/>
          <w:color w:val="auto"/>
          <w:kern w:val="0"/>
          <w:sz w:val="32"/>
          <w:szCs w:val="32"/>
          <w:highlight w:val="none"/>
          <w:lang w:val="en-US" w:eastAsia="zh-CN" w:bidi="ar-SA"/>
        </w:rPr>
        <w:t>一、</w:t>
      </w:r>
      <w:bookmarkEnd w:id="57"/>
      <w:bookmarkEnd w:id="58"/>
      <w:bookmarkEnd w:id="59"/>
      <w:r>
        <w:rPr>
          <w:rFonts w:hint="eastAsia" w:ascii="宋体" w:cs="Times New Roman"/>
          <w:b/>
          <w:color w:val="auto"/>
          <w:kern w:val="0"/>
          <w:sz w:val="32"/>
          <w:szCs w:val="32"/>
          <w:highlight w:val="none"/>
          <w:lang w:val="en-US" w:eastAsia="zh-CN" w:bidi="ar-SA"/>
        </w:rPr>
        <w:t>参选函</w:t>
      </w:r>
    </w:p>
    <w:p w14:paraId="0CA876F0">
      <w:pPr>
        <w:tabs>
          <w:tab w:val="left" w:pos="5580"/>
        </w:tabs>
        <w:spacing w:before="120" w:line="360" w:lineRule="auto"/>
        <w:rPr>
          <w:rFonts w:hint="eastAsia" w:ascii="宋体" w:hAnsi="宋体" w:eastAsia="宋体" w:cs="Times New Roman"/>
          <w:color w:val="auto"/>
          <w:szCs w:val="21"/>
          <w:highlight w:val="none"/>
        </w:rPr>
      </w:pPr>
    </w:p>
    <w:p w14:paraId="3D6049F6">
      <w:pPr>
        <w:tabs>
          <w:tab w:val="left" w:pos="5580"/>
        </w:tabs>
        <w:spacing w:before="120" w:line="360"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r>
        <w:rPr>
          <w:rFonts w:hint="eastAsia" w:ascii="宋体" w:hAnsi="宋体" w:eastAsia="宋体" w:cs="Times New Roman"/>
          <w:color w:val="auto"/>
          <w:szCs w:val="21"/>
          <w:highlight w:val="none"/>
          <w:u w:val="single"/>
        </w:rPr>
        <w:t xml:space="preserve">       （采购人名称）</w:t>
      </w:r>
    </w:p>
    <w:p w14:paraId="11AB95C3">
      <w:pPr>
        <w:widowControl w:val="0"/>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1、根据贵方比选公告，我方决定参加贵方组织的</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宋体"/>
          <w:color w:val="auto"/>
          <w:szCs w:val="21"/>
          <w:highlight w:val="none"/>
          <w:u w:val="single"/>
          <w:lang w:val="en-US" w:eastAsia="zh-CN"/>
        </w:rPr>
        <w:t>安庆市公共交通集团有限公司2026-2027年度公交车辆轮胎维修服务项目（重新招标）</w:t>
      </w:r>
      <w:r>
        <w:rPr>
          <w:rFonts w:hint="eastAsia" w:ascii="宋体" w:hAnsi="宋体" w:eastAsia="宋体" w:cs="Courier New"/>
          <w:color w:val="auto"/>
          <w:kern w:val="2"/>
          <w:sz w:val="21"/>
          <w:szCs w:val="21"/>
          <w:highlight w:val="none"/>
          <w:lang w:val="en-US" w:eastAsia="zh-CN" w:bidi="ar-SA"/>
        </w:rPr>
        <w:t>的比选活动。我方授权</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46EBF993">
      <w:pPr>
        <w:widowControl w:val="0"/>
        <w:tabs>
          <w:tab w:val="left" w:pos="5580"/>
        </w:tabs>
        <w:spacing w:line="360" w:lineRule="auto"/>
        <w:ind w:firstLine="420" w:firstLineChars="200"/>
        <w:jc w:val="both"/>
        <w:rPr>
          <w:rFonts w:hint="eastAsia" w:ascii="宋体" w:hAnsi="宋体" w:eastAsia="宋体" w:cs="Courier New"/>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2、我方愿意按照</w:t>
      </w:r>
      <w:r>
        <w:rPr>
          <w:rFonts w:hint="eastAsia" w:ascii="宋体" w:hAnsi="宋体" w:cs="Courier New"/>
          <w:color w:val="auto"/>
          <w:kern w:val="2"/>
          <w:sz w:val="21"/>
          <w:szCs w:val="21"/>
          <w:highlight w:val="none"/>
          <w:lang w:val="en-US" w:eastAsia="zh-CN" w:bidi="ar-SA"/>
        </w:rPr>
        <w:t>比选</w:t>
      </w:r>
      <w:r>
        <w:rPr>
          <w:rFonts w:hint="eastAsia" w:ascii="宋体" w:hAnsi="宋体" w:eastAsia="宋体" w:cs="Courier New"/>
          <w:color w:val="auto"/>
          <w:kern w:val="2"/>
          <w:sz w:val="21"/>
          <w:szCs w:val="21"/>
          <w:highlight w:val="none"/>
          <w:lang w:val="en-US" w:eastAsia="zh-CN" w:bidi="ar-SA"/>
        </w:rPr>
        <w:t>文件规定的各项要求，向</w:t>
      </w:r>
      <w:r>
        <w:rPr>
          <w:rFonts w:hint="eastAsia" w:ascii="宋体" w:hAnsi="宋体" w:cs="Courier New"/>
          <w:color w:val="auto"/>
          <w:kern w:val="2"/>
          <w:sz w:val="21"/>
          <w:szCs w:val="21"/>
          <w:highlight w:val="none"/>
          <w:lang w:val="en-US" w:eastAsia="zh-CN" w:bidi="ar-SA"/>
        </w:rPr>
        <w:t>采购</w:t>
      </w:r>
      <w:r>
        <w:rPr>
          <w:rFonts w:hint="eastAsia" w:ascii="宋体" w:hAnsi="宋体" w:eastAsia="宋体" w:cs="Courier New"/>
          <w:color w:val="auto"/>
          <w:kern w:val="2"/>
          <w:sz w:val="21"/>
          <w:szCs w:val="21"/>
          <w:highlight w:val="none"/>
          <w:lang w:val="en-US" w:eastAsia="zh-CN" w:bidi="ar-SA"/>
        </w:rPr>
        <w:t>人提供所需的服务，投标费率为</w:t>
      </w:r>
      <w:r>
        <w:rPr>
          <w:rFonts w:hint="eastAsia" w:ascii="宋体" w:hAnsi="宋体" w:eastAsia="宋体" w:cs="Courier New"/>
          <w:b/>
          <w:bCs/>
          <w:color w:val="auto"/>
          <w:kern w:val="2"/>
          <w:sz w:val="21"/>
          <w:szCs w:val="21"/>
          <w:highlight w:val="none"/>
          <w:u w:val="none"/>
          <w:lang w:val="en-US" w:eastAsia="zh-CN" w:bidi="ar-SA"/>
        </w:rPr>
        <w:t>（大写）</w:t>
      </w:r>
      <w:r>
        <w:rPr>
          <w:rFonts w:hint="eastAsia" w:ascii="宋体" w:hAnsi="宋体" w:eastAsia="宋体" w:cs="Courier New"/>
          <w:b/>
          <w:bCs/>
          <w:color w:val="auto"/>
          <w:kern w:val="2"/>
          <w:sz w:val="21"/>
          <w:szCs w:val="21"/>
          <w:highlight w:val="none"/>
          <w:u w:val="single"/>
          <w:lang w:val="en-US" w:eastAsia="zh-CN" w:bidi="ar-SA"/>
        </w:rPr>
        <w:t xml:space="preserve">百分之     </w:t>
      </w:r>
      <w:r>
        <w:rPr>
          <w:rFonts w:hint="eastAsia" w:ascii="宋体" w:hAnsi="宋体" w:eastAsia="宋体" w:cs="Courier New"/>
          <w:b/>
          <w:bCs/>
          <w:color w:val="auto"/>
          <w:kern w:val="2"/>
          <w:sz w:val="21"/>
          <w:szCs w:val="21"/>
          <w:highlight w:val="none"/>
          <w:u w:val="none"/>
          <w:lang w:val="en-US" w:eastAsia="zh-CN" w:bidi="ar-SA"/>
        </w:rPr>
        <w:t xml:space="preserve">(小写)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none"/>
          <w:lang w:val="en-US" w:eastAsia="zh-CN" w:bidi="ar-SA"/>
        </w:rPr>
        <w:t>。</w:t>
      </w:r>
    </w:p>
    <w:p w14:paraId="398312CD">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3、一旦我方成交，我方将严格履行合同规定的责任和义务，保证该项目服务期为</w:t>
      </w:r>
      <w:r>
        <w:rPr>
          <w:rFonts w:hint="eastAsia" w:ascii="宋体" w:hAnsi="宋体" w:eastAsia="宋体" w:cs="Courier New"/>
          <w:color w:val="auto"/>
          <w:kern w:val="2"/>
          <w:sz w:val="21"/>
          <w:szCs w:val="21"/>
          <w:highlight w:val="none"/>
          <w:u w:val="single"/>
          <w:lang w:val="en-US" w:eastAsia="zh-CN" w:bidi="ar-SA"/>
        </w:rPr>
        <w:t xml:space="preserve">            </w:t>
      </w:r>
    </w:p>
    <w:p w14:paraId="7400FF8A">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5DA58FAB">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23C0D05E">
      <w:pPr>
        <w:widowControl w:val="0"/>
        <w:tabs>
          <w:tab w:val="left" w:pos="5580"/>
        </w:tabs>
        <w:spacing w:line="360" w:lineRule="auto"/>
        <w:ind w:firstLine="420" w:firstLineChars="199"/>
        <w:jc w:val="both"/>
        <w:rPr>
          <w:rFonts w:ascii="宋体" w:hAnsi="宋体" w:eastAsia="宋体" w:cs="Courier New"/>
          <w:b/>
          <w:bCs/>
          <w:color w:val="auto"/>
          <w:kern w:val="2"/>
          <w:sz w:val="21"/>
          <w:szCs w:val="21"/>
          <w:highlight w:val="none"/>
          <w:lang w:val="en-US" w:eastAsia="zh-CN" w:bidi="ar-SA"/>
        </w:rPr>
      </w:pPr>
      <w:r>
        <w:rPr>
          <w:rFonts w:hint="eastAsia" w:ascii="宋体" w:hAnsi="宋体" w:cs="Courier New"/>
          <w:b/>
          <w:bCs/>
          <w:color w:val="auto"/>
          <w:kern w:val="2"/>
          <w:sz w:val="21"/>
          <w:szCs w:val="21"/>
          <w:highlight w:val="none"/>
          <w:lang w:val="en-US" w:eastAsia="zh-CN" w:bidi="ar-SA"/>
        </w:rPr>
        <w:t>6</w:t>
      </w:r>
      <w:r>
        <w:rPr>
          <w:rFonts w:hint="eastAsia" w:ascii="宋体" w:hAnsi="宋体" w:eastAsia="宋体" w:cs="Courier New"/>
          <w:b/>
          <w:bCs/>
          <w:color w:val="auto"/>
          <w:kern w:val="2"/>
          <w:sz w:val="21"/>
          <w:szCs w:val="21"/>
          <w:highlight w:val="none"/>
          <w:lang w:val="en-US" w:eastAsia="zh-CN" w:bidi="ar-SA"/>
        </w:rPr>
        <w:t>、我方承诺</w:t>
      </w:r>
      <w:r>
        <w:rPr>
          <w:rFonts w:hint="eastAsia" w:ascii="宋体" w:hAnsi="宋体" w:cs="Courier New"/>
          <w:b/>
          <w:bCs/>
          <w:color w:val="auto"/>
          <w:kern w:val="2"/>
          <w:sz w:val="21"/>
          <w:szCs w:val="21"/>
          <w:highlight w:val="none"/>
          <w:lang w:val="en-US" w:eastAsia="zh-CN" w:bidi="ar-SA"/>
        </w:rPr>
        <w:t>成交</w:t>
      </w:r>
      <w:r>
        <w:rPr>
          <w:rFonts w:hint="eastAsia" w:ascii="宋体" w:hAnsi="宋体" w:eastAsia="宋体" w:cs="Courier New"/>
          <w:b/>
          <w:bCs/>
          <w:color w:val="auto"/>
          <w:kern w:val="2"/>
          <w:sz w:val="21"/>
          <w:szCs w:val="21"/>
          <w:highlight w:val="none"/>
          <w:lang w:val="en-US" w:eastAsia="zh-CN" w:bidi="ar-SA"/>
        </w:rPr>
        <w:t>后提供的服务完全响应本项目需求，否则将接受采购人取消</w:t>
      </w:r>
      <w:r>
        <w:rPr>
          <w:rFonts w:hint="eastAsia" w:ascii="宋体" w:hAnsi="宋体" w:cs="Courier New"/>
          <w:b/>
          <w:bCs/>
          <w:color w:val="auto"/>
          <w:kern w:val="2"/>
          <w:sz w:val="21"/>
          <w:szCs w:val="21"/>
          <w:highlight w:val="none"/>
          <w:lang w:val="en-US" w:eastAsia="zh-CN" w:bidi="ar-SA"/>
        </w:rPr>
        <w:t>成交</w:t>
      </w:r>
      <w:r>
        <w:rPr>
          <w:rFonts w:hint="eastAsia" w:ascii="宋体" w:hAnsi="宋体" w:eastAsia="宋体" w:cs="Courier New"/>
          <w:b/>
          <w:bCs/>
          <w:color w:val="auto"/>
          <w:kern w:val="2"/>
          <w:sz w:val="21"/>
          <w:szCs w:val="21"/>
          <w:highlight w:val="none"/>
          <w:lang w:val="en-US" w:eastAsia="zh-CN" w:bidi="ar-SA"/>
        </w:rPr>
        <w:t>资格等一切处罚。</w:t>
      </w:r>
    </w:p>
    <w:p w14:paraId="5CBBEF21">
      <w:pPr>
        <w:widowControl w:val="0"/>
        <w:tabs>
          <w:tab w:val="left" w:pos="5580"/>
        </w:tabs>
        <w:spacing w:line="360" w:lineRule="auto"/>
        <w:ind w:firstLine="417" w:firstLineChars="199"/>
        <w:jc w:val="both"/>
        <w:rPr>
          <w:rFonts w:hint="default" w:ascii="宋体" w:hAnsi="宋体" w:eastAsia="宋体" w:cs="Courier New"/>
          <w:color w:val="auto"/>
          <w:kern w:val="2"/>
          <w:sz w:val="21"/>
          <w:szCs w:val="21"/>
          <w:highlight w:val="none"/>
          <w:lang w:val="en-US" w:eastAsia="zh-CN" w:bidi="ar-SA"/>
        </w:rPr>
      </w:pPr>
    </w:p>
    <w:p w14:paraId="556D9A28">
      <w:pPr>
        <w:widowControl w:val="0"/>
        <w:tabs>
          <w:tab w:val="left" w:pos="5580"/>
        </w:tabs>
        <w:spacing w:line="360" w:lineRule="auto"/>
        <w:ind w:firstLine="420" w:firstLineChars="199"/>
        <w:jc w:val="both"/>
        <w:rPr>
          <w:rFonts w:ascii="宋体" w:hAnsi="宋体" w:eastAsia="宋体" w:cs="Courier New"/>
          <w:b/>
          <w:bCs/>
          <w:color w:val="auto"/>
          <w:kern w:val="2"/>
          <w:sz w:val="21"/>
          <w:szCs w:val="21"/>
          <w:highlight w:val="none"/>
          <w:lang w:val="en-US" w:eastAsia="zh-CN" w:bidi="ar-SA"/>
        </w:rPr>
      </w:pPr>
    </w:p>
    <w:p w14:paraId="10379840">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p>
    <w:p w14:paraId="7724EA7D">
      <w:pPr>
        <w:widowControl w:val="0"/>
        <w:tabs>
          <w:tab w:val="left" w:pos="5580"/>
        </w:tabs>
        <w:spacing w:line="360" w:lineRule="auto"/>
        <w:ind w:right="360" w:firstLine="3570" w:firstLineChars="1700"/>
        <w:jc w:val="both"/>
        <w:rPr>
          <w:rFonts w:ascii="宋体" w:hAnsi="宋体" w:eastAsia="宋体" w:cs="Courier New"/>
          <w:color w:val="auto"/>
          <w:kern w:val="2"/>
          <w:sz w:val="21"/>
          <w:szCs w:val="21"/>
          <w:highlight w:val="none"/>
          <w:lang w:val="en-US" w:eastAsia="zh-CN" w:bidi="ar-SA"/>
        </w:rPr>
      </w:pPr>
    </w:p>
    <w:p w14:paraId="51AD609A">
      <w:pPr>
        <w:widowControl w:val="0"/>
        <w:tabs>
          <w:tab w:val="left" w:pos="5580"/>
        </w:tabs>
        <w:spacing w:line="360" w:lineRule="auto"/>
        <w:ind w:right="360" w:firstLine="3570" w:firstLineChars="1700"/>
        <w:jc w:val="both"/>
        <w:rPr>
          <w:rFonts w:ascii="宋体" w:hAnsi="宋体" w:eastAsia="宋体" w:cs="Courier New"/>
          <w:color w:val="auto"/>
          <w:kern w:val="2"/>
          <w:sz w:val="21"/>
          <w:szCs w:val="21"/>
          <w:highlight w:val="none"/>
          <w:lang w:val="en-US" w:eastAsia="zh-CN" w:bidi="ar-SA"/>
        </w:rPr>
      </w:pPr>
    </w:p>
    <w:p w14:paraId="52AB7E5F">
      <w:pPr>
        <w:widowControl w:val="0"/>
        <w:tabs>
          <w:tab w:val="left" w:pos="5580"/>
        </w:tabs>
        <w:spacing w:line="360" w:lineRule="auto"/>
        <w:ind w:right="360" w:firstLine="3570" w:firstLineChars="1700"/>
        <w:jc w:val="both"/>
        <w:rPr>
          <w:rFonts w:ascii="宋体" w:hAnsi="宋体" w:eastAsia="宋体" w:cs="Courier New"/>
          <w:color w:val="auto"/>
          <w:kern w:val="2"/>
          <w:sz w:val="21"/>
          <w:szCs w:val="21"/>
          <w:highlight w:val="none"/>
          <w:lang w:val="en-US" w:eastAsia="zh-CN" w:bidi="ar-SA"/>
        </w:rPr>
      </w:pPr>
    </w:p>
    <w:p w14:paraId="1E0355FE">
      <w:pPr>
        <w:widowControl w:val="0"/>
        <w:tabs>
          <w:tab w:val="left" w:pos="5580"/>
        </w:tabs>
        <w:spacing w:line="480" w:lineRule="auto"/>
        <w:ind w:right="360" w:firstLine="3570" w:firstLineChars="1700"/>
        <w:jc w:val="both"/>
        <w:rPr>
          <w:rFonts w:ascii="宋体" w:hAnsi="宋体" w:eastAsia="宋体" w:cs="Courier New"/>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参选人：</w:t>
      </w:r>
      <w:r>
        <w:rPr>
          <w:rFonts w:hint="eastAsia" w:ascii="宋体" w:hAnsi="宋体" w:eastAsia="宋体" w:cs="Courier New"/>
          <w:color w:val="auto"/>
          <w:kern w:val="2"/>
          <w:sz w:val="21"/>
          <w:szCs w:val="21"/>
          <w:highlight w:val="none"/>
          <w:u w:val="single"/>
          <w:lang w:val="en-US" w:eastAsia="zh-CN" w:bidi="ar-SA"/>
        </w:rPr>
        <w:t xml:space="preserve">                           （盖章） </w:t>
      </w:r>
    </w:p>
    <w:p w14:paraId="2319E3F6">
      <w:pPr>
        <w:widowControl w:val="0"/>
        <w:tabs>
          <w:tab w:val="left" w:pos="5580"/>
        </w:tabs>
        <w:spacing w:line="480" w:lineRule="auto"/>
        <w:ind w:firstLine="420" w:firstLineChars="200"/>
        <w:jc w:val="both"/>
        <w:rPr>
          <w:rFonts w:hint="eastAsia" w:ascii="宋体" w:hAnsi="宋体" w:eastAsia="宋体" w:cs="Courier New"/>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 xml:space="preserve">                              单位地址：</w:t>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 xml:space="preserve">    </w:t>
      </w:r>
    </w:p>
    <w:p w14:paraId="7293A089">
      <w:pPr>
        <w:widowControl w:val="0"/>
        <w:tabs>
          <w:tab w:val="left" w:pos="5580"/>
        </w:tabs>
        <w:spacing w:line="480" w:lineRule="auto"/>
        <w:ind w:firstLine="3570" w:firstLineChars="1700"/>
        <w:jc w:val="both"/>
        <w:rPr>
          <w:rFonts w:ascii="宋体" w:hAnsi="宋体" w:eastAsia="宋体" w:cs="Courier New"/>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法定代表人或委托代理人：</w:t>
      </w:r>
      <w:r>
        <w:rPr>
          <w:rFonts w:hint="eastAsia" w:ascii="宋体" w:hAnsi="宋体" w:eastAsia="宋体" w:cs="宋体"/>
          <w:color w:val="auto"/>
          <w:kern w:val="2"/>
          <w:sz w:val="21"/>
          <w:szCs w:val="21"/>
          <w:highlight w:val="none"/>
          <w:u w:val="single"/>
          <w:lang w:val="en-US" w:eastAsia="zh-CN" w:bidi="ar-SA"/>
        </w:rPr>
        <w:t xml:space="preserve">   （签字或盖章）</w:t>
      </w:r>
    </w:p>
    <w:p w14:paraId="2163CC1A">
      <w:pPr>
        <w:pStyle w:val="36"/>
        <w:ind w:left="0" w:leftChars="0" w:firstLine="0" w:firstLineChars="0"/>
        <w:rPr>
          <w:color w:val="auto"/>
          <w:highlight w:val="none"/>
        </w:rPr>
      </w:pPr>
      <w:bookmarkStart w:id="62" w:name="_Toc388283751"/>
    </w:p>
    <w:p w14:paraId="52EA80D8">
      <w:pPr>
        <w:pStyle w:val="36"/>
        <w:ind w:left="0" w:leftChars="0" w:firstLine="0" w:firstLineChars="0"/>
        <w:rPr>
          <w:color w:val="auto"/>
          <w:highlight w:val="none"/>
        </w:rPr>
      </w:pPr>
    </w:p>
    <w:p w14:paraId="1B35E68B">
      <w:pPr>
        <w:pStyle w:val="36"/>
        <w:ind w:left="0" w:leftChars="0" w:firstLine="0" w:firstLineChars="0"/>
        <w:rPr>
          <w:color w:val="auto"/>
          <w:highlight w:val="none"/>
        </w:rPr>
      </w:pPr>
    </w:p>
    <w:bookmarkEnd w:id="62"/>
    <w:p w14:paraId="4E0D8EE0">
      <w:pPr>
        <w:pStyle w:val="3"/>
        <w:numPr>
          <w:ilvl w:val="0"/>
          <w:numId w:val="0"/>
        </w:numPr>
        <w:jc w:val="center"/>
        <w:rPr>
          <w:rFonts w:hint="eastAsia" w:eastAsia="宋体"/>
          <w:color w:val="auto"/>
          <w:highlight w:val="none"/>
          <w:lang w:val="en-US" w:eastAsia="zh-CN"/>
        </w:rPr>
      </w:pPr>
      <w:bookmarkStart w:id="63" w:name="_Toc25208"/>
      <w:r>
        <w:rPr>
          <w:rFonts w:hint="eastAsia" w:eastAsia="宋体"/>
          <w:color w:val="auto"/>
          <w:highlight w:val="none"/>
          <w:lang w:val="en-US" w:eastAsia="zh-CN"/>
        </w:rPr>
        <w:t>二、报价表</w:t>
      </w:r>
    </w:p>
    <w:p w14:paraId="68EBF7FC">
      <w:pPr>
        <w:spacing w:line="360" w:lineRule="auto"/>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项目名称： </w:t>
      </w:r>
      <w:r>
        <w:rPr>
          <w:rFonts w:hint="eastAsia" w:ascii="宋体" w:hAnsi="宋体" w:cs="Times New Roman"/>
          <w:color w:val="auto"/>
          <w:szCs w:val="21"/>
          <w:highlight w:val="none"/>
          <w:lang w:val="en-US" w:eastAsia="zh-CN"/>
        </w:rPr>
        <w:t>安庆市公共交通集团有限公司2026-2027年度公交车辆轮胎维修服务项目（重新招标）</w:t>
      </w:r>
    </w:p>
    <w:p w14:paraId="0E8AFE77">
      <w:pPr>
        <w:spacing w:line="360" w:lineRule="auto"/>
        <w:jc w:val="both"/>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项目编号：</w:t>
      </w:r>
      <w:r>
        <w:rPr>
          <w:rFonts w:hint="eastAsia" w:ascii="宋体" w:hAnsi="宋体" w:cs="Times New Roman"/>
          <w:color w:val="auto"/>
          <w:szCs w:val="21"/>
          <w:highlight w:val="none"/>
          <w:lang w:val="en-US" w:eastAsia="zh-CN"/>
        </w:rPr>
        <w:t>AQJK-CG-2026-036</w:t>
      </w:r>
    </w:p>
    <w:p w14:paraId="316FEF0D">
      <w:pPr>
        <w:spacing w:line="240" w:lineRule="auto"/>
        <w:jc w:val="both"/>
        <w:rPr>
          <w:rFonts w:hint="eastAsia" w:ascii="宋体" w:hAnsi="宋体" w:eastAsia="宋体" w:cs="Times New Roman"/>
          <w:color w:val="auto"/>
          <w:szCs w:val="21"/>
          <w:highlight w:val="none"/>
          <w:lang w:val="zh-CN" w:eastAsia="zh-CN"/>
        </w:rPr>
      </w:pP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7875"/>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r>
              <w:rPr>
                <w:rFonts w:hint="eastAsia" w:hAnsi="宋体" w:cs="Times New Roman"/>
                <w:color w:val="auto"/>
                <w:sz w:val="24"/>
                <w:szCs w:val="24"/>
                <w:highlight w:val="none"/>
                <w:lang w:eastAsia="zh-CN"/>
              </w:rPr>
              <w:t>（即</w:t>
            </w:r>
            <w:r>
              <w:rPr>
                <w:rFonts w:hint="eastAsia" w:hAnsi="宋体"/>
                <w:color w:val="auto"/>
                <w:sz w:val="24"/>
                <w:szCs w:val="24"/>
                <w:highlight w:val="none"/>
              </w:rPr>
              <w:t>费率报价</w:t>
            </w:r>
            <w:r>
              <w:rPr>
                <w:rFonts w:hint="eastAsia" w:hAnsi="宋体" w:cs="Times New Roman"/>
                <w:color w:val="auto"/>
                <w:sz w:val="24"/>
                <w:szCs w:val="24"/>
                <w:highlight w:val="none"/>
                <w:lang w:eastAsia="zh-CN"/>
              </w:rPr>
              <w:t>）</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hAnsi="宋体"/>
                <w:color w:val="auto"/>
                <w:sz w:val="24"/>
                <w:szCs w:val="24"/>
                <w:highlight w:val="none"/>
              </w:rPr>
              <w:t>1</w:t>
            </w:r>
            <w:r>
              <w:rPr>
                <w:rFonts w:hint="eastAsia" w:hAnsi="宋体"/>
                <w:color w:val="auto"/>
                <w:sz w:val="24"/>
                <w:szCs w:val="24"/>
                <w:highlight w:val="none"/>
              </w:rPr>
              <w:t>、费率报价最多保留到小数点后两位，小数点后第三位“四舍五入”。即费率为：X.XX%。</w:t>
            </w:r>
          </w:p>
        </w:tc>
      </w:tr>
    </w:tbl>
    <w:p w14:paraId="26CF78AC">
      <w:pPr>
        <w:spacing w:line="360" w:lineRule="auto"/>
        <w:rPr>
          <w:rFonts w:hint="eastAsia" w:ascii="宋体" w:hAnsi="宋体" w:cs="Times New Roman"/>
          <w:b/>
          <w:color w:val="auto"/>
          <w:sz w:val="21"/>
          <w:szCs w:val="21"/>
          <w:highlight w:val="none"/>
        </w:rPr>
      </w:pPr>
    </w:p>
    <w:p w14:paraId="088D28A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w:t>
      </w:r>
      <w:r>
        <w:rPr>
          <w:rFonts w:hint="eastAsia" w:ascii="宋体" w:hAnsi="宋体" w:cs="Times New Roman"/>
          <w:b/>
          <w:color w:val="auto"/>
          <w:sz w:val="21"/>
          <w:szCs w:val="21"/>
          <w:highlight w:val="none"/>
          <w:lang w:val="en-US" w:eastAsia="zh-CN"/>
        </w:rPr>
        <w:t>参选</w:t>
      </w:r>
      <w:r>
        <w:rPr>
          <w:rFonts w:hint="eastAsia" w:ascii="宋体" w:hAnsi="宋体" w:cs="Times New Roman"/>
          <w:b/>
          <w:color w:val="auto"/>
          <w:sz w:val="21"/>
          <w:szCs w:val="21"/>
          <w:highlight w:val="none"/>
        </w:rPr>
        <w:t>人公章）</w:t>
      </w:r>
    </w:p>
    <w:p w14:paraId="6C0B0A0A">
      <w:pPr>
        <w:spacing w:line="360" w:lineRule="auto"/>
        <w:rPr>
          <w:rFonts w:hint="eastAsia" w:ascii="宋体" w:hAnsi="宋体" w:cs="Times New Roman"/>
          <w:b/>
          <w:color w:val="auto"/>
          <w:sz w:val="21"/>
          <w:szCs w:val="21"/>
          <w:highlight w:val="none"/>
        </w:rPr>
      </w:pPr>
    </w:p>
    <w:p w14:paraId="37723AEF">
      <w:pPr>
        <w:spacing w:line="360" w:lineRule="auto"/>
        <w:ind w:firstLine="3465" w:firstLineChars="1650"/>
        <w:rPr>
          <w:rFonts w:ascii="宋体" w:hAnsi="Times New Roman" w:cs="Times New Roman"/>
          <w:color w:val="auto"/>
          <w:szCs w:val="21"/>
          <w:highlight w:val="none"/>
        </w:rPr>
      </w:pPr>
      <w:r>
        <w:rPr>
          <w:rFonts w:hint="eastAsia" w:ascii="宋体" w:hAnsi="宋体" w:eastAsia="宋体" w:cs="Times New Roman"/>
          <w:color w:val="auto"/>
          <w:szCs w:val="21"/>
          <w:highlight w:val="none"/>
          <w:lang w:val="en-US" w:eastAsia="zh-CN"/>
        </w:rPr>
        <w:t>参选</w:t>
      </w:r>
      <w:r>
        <w:rPr>
          <w:rFonts w:hint="eastAsia" w:ascii="宋体" w:hAnsi="宋体" w:eastAsia="宋体" w:cs="Times New Roman"/>
          <w:color w:val="auto"/>
          <w:szCs w:val="21"/>
          <w:highlight w:val="none"/>
        </w:rPr>
        <w:t>人</w:t>
      </w:r>
      <w:r>
        <w:rPr>
          <w:rFonts w:hint="eastAsia" w:ascii="宋体" w:hAnsi="宋体" w:cs="Times New Roman"/>
          <w:color w:val="auto"/>
          <w:szCs w:val="21"/>
          <w:highlight w:val="none"/>
        </w:rPr>
        <w:t>：</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5934ABD5">
      <w:pPr>
        <w:spacing w:line="360" w:lineRule="auto"/>
        <w:ind w:firstLine="3465" w:firstLineChars="1650"/>
        <w:rPr>
          <w:rFonts w:hint="eastAsia" w:ascii="宋体" w:hAnsi="宋体" w:cs="Times New Roman"/>
          <w:color w:val="auto"/>
          <w:szCs w:val="21"/>
          <w:highlight w:val="none"/>
        </w:rPr>
      </w:pPr>
    </w:p>
    <w:p w14:paraId="74525373">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74EF74EE">
      <w:pPr>
        <w:spacing w:line="360" w:lineRule="auto"/>
        <w:ind w:firstLine="3570" w:firstLineChars="1700"/>
        <w:rPr>
          <w:rFonts w:hint="eastAsia" w:ascii="Times New Roman" w:hAnsi="Times New Roman" w:cs="Times New Roman"/>
          <w:color w:val="auto"/>
          <w:szCs w:val="21"/>
          <w:highlight w:val="none"/>
        </w:rPr>
      </w:pPr>
    </w:p>
    <w:p w14:paraId="2EFCDFFC">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60"/>
    <w:bookmarkEnd w:id="61"/>
    <w:bookmarkEnd w:id="63"/>
    <w:p w14:paraId="0F58512C">
      <w:pPr>
        <w:rPr>
          <w:rFonts w:hint="eastAsia" w:eastAsia="宋体"/>
          <w:color w:val="auto"/>
          <w:highlight w:val="none"/>
          <w:lang w:val="en-US" w:eastAsia="zh-CN"/>
        </w:rPr>
      </w:pPr>
      <w:bookmarkStart w:id="64" w:name="_Toc4481606"/>
      <w:bookmarkStart w:id="65" w:name="_Toc22272"/>
      <w:r>
        <w:rPr>
          <w:rFonts w:hint="eastAsia" w:eastAsia="宋体"/>
          <w:color w:val="auto"/>
          <w:highlight w:val="none"/>
          <w:lang w:val="en-US" w:eastAsia="zh-CN"/>
        </w:rPr>
        <w:br w:type="page"/>
      </w:r>
    </w:p>
    <w:p w14:paraId="1A940521">
      <w:pPr>
        <w:pStyle w:val="3"/>
        <w:numPr>
          <w:ilvl w:val="0"/>
          <w:numId w:val="0"/>
        </w:numPr>
        <w:jc w:val="center"/>
        <w:rPr>
          <w:rFonts w:hint="eastAsia" w:eastAsia="宋体"/>
          <w:color w:val="auto"/>
          <w:highlight w:val="none"/>
          <w:lang w:val="en-US" w:eastAsia="zh-CN"/>
        </w:rPr>
      </w:pPr>
      <w:r>
        <w:rPr>
          <w:rFonts w:hint="eastAsia" w:eastAsia="宋体"/>
          <w:color w:val="auto"/>
          <w:highlight w:val="none"/>
          <w:lang w:val="en-US" w:eastAsia="zh-CN"/>
        </w:rPr>
        <w:t>三、服务及技术方案</w:t>
      </w:r>
    </w:p>
    <w:p w14:paraId="7DB87C9B">
      <w:pPr>
        <w:numPr>
          <w:ilvl w:val="0"/>
          <w:numId w:val="0"/>
        </w:numPr>
        <w:ind w:leftChars="0"/>
        <w:rPr>
          <w:rFonts w:hint="default"/>
          <w:color w:val="auto"/>
          <w:szCs w:val="20"/>
          <w:highlight w:val="none"/>
          <w:lang w:val="en-US" w:eastAsia="zh-CN"/>
        </w:rPr>
      </w:pPr>
    </w:p>
    <w:p w14:paraId="0C2F6D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参选人</w:t>
      </w:r>
      <w:r>
        <w:rPr>
          <w:rFonts w:hint="eastAsia" w:ascii="宋体" w:hAnsi="宋体" w:cs="宋体"/>
          <w:color w:val="auto"/>
          <w:szCs w:val="21"/>
          <w:highlight w:val="none"/>
        </w:rPr>
        <w:t>依据第三章“</w:t>
      </w:r>
      <w:r>
        <w:rPr>
          <w:rFonts w:hint="eastAsia" w:ascii="宋体" w:hAnsi="宋体" w:cs="宋体"/>
          <w:color w:val="auto"/>
          <w:szCs w:val="21"/>
          <w:highlight w:val="none"/>
          <w:lang w:val="en-US" w:eastAsia="zh-CN"/>
        </w:rPr>
        <w:t>服务需求及技术要求</w:t>
      </w:r>
      <w:r>
        <w:rPr>
          <w:rFonts w:hint="eastAsia" w:ascii="宋体" w:hAnsi="宋体" w:cs="宋体"/>
          <w:color w:val="auto"/>
          <w:szCs w:val="21"/>
          <w:highlight w:val="none"/>
        </w:rPr>
        <w:t>”自行提供。</w:t>
      </w:r>
    </w:p>
    <w:p w14:paraId="5F16FD72">
      <w:pPr>
        <w:rPr>
          <w:rFonts w:hint="eastAsia"/>
          <w:color w:val="auto"/>
          <w:highlight w:val="none"/>
        </w:rPr>
      </w:pPr>
      <w:r>
        <w:rPr>
          <w:rFonts w:hint="eastAsia"/>
          <w:color w:val="auto"/>
          <w:highlight w:val="none"/>
        </w:rPr>
        <w:br w:type="page"/>
      </w: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四</w:t>
      </w:r>
      <w:r>
        <w:rPr>
          <w:rFonts w:hint="eastAsia" w:ascii="宋体" w:hAnsi="Times New Roman" w:eastAsia="宋体" w:cs="宋体"/>
          <w:b/>
          <w:color w:val="auto"/>
          <w:kern w:val="0"/>
          <w:sz w:val="28"/>
          <w:szCs w:val="28"/>
          <w:highlight w:val="none"/>
          <w:shd w:val="clear" w:fill="FFFFFF"/>
          <w:lang w:val="en-US" w:eastAsia="zh-CN" w:bidi="ar-SA"/>
        </w:rPr>
        <w:t>、诚信投标承诺书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37183558">
      <w:pPr>
        <w:ind w:right="480"/>
        <w:jc w:val="right"/>
        <w:rPr>
          <w:rFonts w:hint="eastAsia" w:ascii="仿宋" w:hAnsi="仿宋" w:eastAsia="仿宋" w:cs="仿宋"/>
          <w:b/>
          <w:bCs/>
          <w:color w:val="auto"/>
          <w:sz w:val="24"/>
          <w:highlight w:val="none"/>
        </w:rPr>
      </w:pPr>
    </w:p>
    <w:p w14:paraId="120B0B8A">
      <w:pPr>
        <w:spacing w:line="360" w:lineRule="auto"/>
        <w:ind w:firstLine="3570" w:firstLineChars="1700"/>
        <w:rPr>
          <w:rFonts w:hint="eastAsia" w:ascii="Times New Roman" w:hAnsi="Times New Roman" w:eastAsia="宋体" w:cs="Times New Roman"/>
          <w:color w:val="auto"/>
          <w:szCs w:val="21"/>
          <w:highlight w:val="none"/>
          <w:lang w:val="en-US" w:eastAsia="zh-CN"/>
        </w:rPr>
      </w:pPr>
    </w:p>
    <w:p w14:paraId="33AB2787">
      <w:pPr>
        <w:pStyle w:val="3"/>
        <w:numPr>
          <w:ilvl w:val="0"/>
          <w:numId w:val="0"/>
        </w:numPr>
        <w:jc w:val="center"/>
        <w:rPr>
          <w:rFonts w:hint="eastAsia"/>
          <w:color w:val="auto"/>
          <w:highlight w:val="none"/>
        </w:rPr>
      </w:pPr>
      <w:r>
        <w:rPr>
          <w:rFonts w:hint="eastAsia"/>
          <w:color w:val="auto"/>
          <w:highlight w:val="none"/>
          <w:lang w:val="en-US" w:eastAsia="zh-CN"/>
        </w:rPr>
        <w:t>五、相关</w:t>
      </w:r>
      <w:r>
        <w:rPr>
          <w:rFonts w:hint="eastAsia"/>
          <w:color w:val="auto"/>
          <w:highlight w:val="none"/>
        </w:rPr>
        <w:t>证明文件</w:t>
      </w:r>
      <w:bookmarkEnd w:id="64"/>
      <w:bookmarkEnd w:id="65"/>
    </w:p>
    <w:p w14:paraId="2A877357">
      <w:pPr>
        <w:spacing w:line="360" w:lineRule="auto"/>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olor w:val="auto"/>
          <w:szCs w:val="21"/>
          <w:highlight w:val="none"/>
        </w:rPr>
        <w:t>营业执照副本复印件；</w:t>
      </w:r>
    </w:p>
    <w:p w14:paraId="761B04D6">
      <w:pPr>
        <w:spacing w:line="360" w:lineRule="auto"/>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、税务登记证副本复印件；（如为三证合一的，只需提供三证合一的营业执照复印件）  </w:t>
      </w:r>
    </w:p>
    <w:p w14:paraId="75F464CB">
      <w:pPr>
        <w:spacing w:line="360" w:lineRule="auto"/>
        <w:ind w:firstLine="420" w:firstLineChars="200"/>
        <w:rPr>
          <w:rFonts w:ascii="宋体"/>
          <w:color w:val="auto"/>
          <w:szCs w:val="21"/>
          <w:highlight w:val="none"/>
        </w:rPr>
      </w:pPr>
      <w:r>
        <w:rPr>
          <w:rFonts w:hint="eastAsia" w:ascii="宋体" w:hAnsi="宋体"/>
          <w:color w:val="auto"/>
          <w:szCs w:val="21"/>
          <w:highlight w:val="none"/>
        </w:rPr>
        <w:t>3、法定代表人身份证明书（格式见附件）及其有效二代居民身份证；</w:t>
      </w:r>
    </w:p>
    <w:p w14:paraId="29FBB4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4、法定代表人授权委托书（格式见附件）及委托代理人有效二代居民身份证，若法定代表人本人参与比选则不需此件；</w:t>
      </w:r>
    </w:p>
    <w:p w14:paraId="41CA4F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5、参选人认为提供的其他材料。</w:t>
      </w:r>
    </w:p>
    <w:p w14:paraId="3923322B">
      <w:pPr>
        <w:spacing w:line="360" w:lineRule="auto"/>
        <w:ind w:firstLine="422" w:firstLineChars="200"/>
        <w:rPr>
          <w:rFonts w:ascii="宋体" w:hAnsi="宋体" w:eastAsia="宋体" w:cs="Times New Roman"/>
          <w:color w:val="auto"/>
          <w:szCs w:val="21"/>
          <w:highlight w:val="none"/>
        </w:rPr>
      </w:pPr>
      <w:r>
        <w:rPr>
          <w:rFonts w:hint="eastAsia"/>
          <w:b/>
          <w:bCs/>
          <w:color w:val="auto"/>
          <w:sz w:val="21"/>
          <w:szCs w:val="21"/>
          <w:highlight w:val="none"/>
          <w:lang w:val="en-US" w:eastAsia="zh-CN"/>
        </w:rPr>
        <w:t>6</w:t>
      </w:r>
      <w:r>
        <w:rPr>
          <w:rFonts w:hint="eastAsia"/>
          <w:b/>
          <w:bCs/>
          <w:color w:val="auto"/>
          <w:sz w:val="21"/>
          <w:szCs w:val="21"/>
          <w:highlight w:val="none"/>
        </w:rPr>
        <w:t>、其他涉及评分要求的材料或参选人认为需要提供的其他材料。</w:t>
      </w:r>
    </w:p>
    <w:p w14:paraId="75387478">
      <w:pPr>
        <w:rPr>
          <w:rFonts w:hint="eastAsia" w:ascii="宋体" w:hAnsi="宋体"/>
          <w:b/>
          <w:bCs/>
          <w:color w:val="auto"/>
          <w:highlight w:val="none"/>
        </w:rPr>
      </w:pPr>
      <w:r>
        <w:rPr>
          <w:rFonts w:hint="eastAsia" w:ascii="宋体" w:hAnsi="宋体"/>
          <w:b/>
          <w:bCs/>
          <w:color w:val="auto"/>
          <w:highlight w:val="none"/>
        </w:rPr>
        <w:br w:type="page"/>
      </w:r>
    </w:p>
    <w:p w14:paraId="6BC81DF1">
      <w:pPr>
        <w:spacing w:line="360" w:lineRule="auto"/>
        <w:jc w:val="left"/>
        <w:rPr>
          <w:rFonts w:ascii="宋体" w:hAnsi="宋体" w:cs="Times New Roman"/>
          <w:b/>
          <w:bCs/>
          <w:color w:val="auto"/>
          <w:szCs w:val="21"/>
          <w:highlight w:val="none"/>
        </w:rPr>
      </w:pPr>
      <w:r>
        <w:rPr>
          <w:rFonts w:hint="eastAsia" w:ascii="宋体" w:hAnsi="宋体"/>
          <w:b/>
          <w:bCs/>
          <w:color w:val="auto"/>
          <w:highlight w:val="none"/>
        </w:rPr>
        <w:t>附件：</w:t>
      </w:r>
    </w:p>
    <w:p w14:paraId="19B2FCAC">
      <w:pPr>
        <w:spacing w:line="360" w:lineRule="auto"/>
        <w:ind w:firstLine="413" w:firstLineChars="196"/>
        <w:jc w:val="center"/>
        <w:rPr>
          <w:rFonts w:hint="eastAsia" w:ascii="宋体" w:hAnsi="宋体" w:eastAsia="宋体" w:cs="宋体"/>
          <w:b/>
          <w:color w:val="auto"/>
          <w:szCs w:val="21"/>
          <w:highlight w:val="none"/>
        </w:rPr>
      </w:pPr>
    </w:p>
    <w:p w14:paraId="746A205F">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00EC92E0">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612F3869">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F7DE1F3">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6DEC58E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50063E3D">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043491A5">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E705F65">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5C6CF213">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0B711F2A">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56A30640">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6DA4662F">
      <w:pPr>
        <w:pStyle w:val="38"/>
        <w:ind w:left="0" w:leftChars="0" w:firstLine="0" w:firstLineChars="0"/>
        <w:rPr>
          <w:color w:val="auto"/>
          <w:highlight w:val="none"/>
        </w:rPr>
      </w:pPr>
    </w:p>
    <w:p w14:paraId="1E4E5459">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1501B334">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安庆市公共交通集团有限公司2026-2027年度公交车辆轮胎维修服务项目（重新招标）</w:t>
      </w:r>
      <w:r>
        <w:rPr>
          <w:rFonts w:hint="eastAsia" w:ascii="宋体" w:hAnsi="宋体" w:eastAsia="宋体" w:cs="宋体"/>
          <w:color w:val="auto"/>
          <w:szCs w:val="21"/>
          <w:highlight w:val="none"/>
          <w:u w:val="none"/>
        </w:rPr>
        <w:t>参</w:t>
      </w:r>
      <w:r>
        <w:rPr>
          <w:rFonts w:hint="eastAsia" w:ascii="宋体" w:hAnsi="宋体" w:eastAsia="宋体" w:cs="宋体"/>
          <w:color w:val="auto"/>
          <w:szCs w:val="21"/>
          <w:highlight w:val="none"/>
        </w:rPr>
        <w:t>选文件、签订合同等一切事宜，其法律后果由我方承担。</w:t>
      </w:r>
    </w:p>
    <w:p w14:paraId="39FBB3B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340E018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54525721">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0F39F30">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FCD4A8D">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33EFF204">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B29926B">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5E9DF3FE">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4CA56A22">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323F97D1">
      <w:pPr>
        <w:pStyle w:val="4"/>
        <w:rPr>
          <w:rFonts w:hint="eastAsia"/>
          <w:color w:val="auto"/>
          <w:highlight w:val="none"/>
          <w:lang w:val="en-US" w:eastAsia="zh-CN"/>
        </w:rPr>
      </w:pPr>
    </w:p>
    <w:sectPr>
      <w:headerReference r:id="rId8" w:type="default"/>
      <w:footerReference r:id="rId9" w:type="default"/>
      <w:pgSz w:w="11906" w:h="16838"/>
      <w:pgMar w:top="1418" w:right="1418" w:bottom="1418" w:left="1418" w:header="680" w:footer="68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337124-1C23-4156-BD0A-80F567828A02}"/>
  </w:font>
  <w:font w:name="黑体">
    <w:panose1 w:val="02010609060101010101"/>
    <w:charset w:val="86"/>
    <w:family w:val="auto"/>
    <w:pitch w:val="default"/>
    <w:sig w:usb0="800002BF" w:usb1="38CF7CFA" w:usb2="00000016" w:usb3="00000000" w:csb0="00040001" w:csb1="00000000"/>
    <w:embedRegular r:id="rId2" w:fontKey="{9513C987-2CD5-4C87-84B0-FF973DAA435C}"/>
  </w:font>
  <w:font w:name="Courier New">
    <w:panose1 w:val="02070309020205020404"/>
    <w:charset w:val="01"/>
    <w:family w:val="modern"/>
    <w:pitch w:val="default"/>
    <w:sig w:usb0="E0002EFF" w:usb1="C0007843" w:usb2="00000009" w:usb3="00000000" w:csb0="400001FF" w:csb1="FFFF0000"/>
    <w:embedRegular r:id="rId3" w:fontKey="{336398C9-3F27-4208-BADA-B5411007E85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AFC30919-7589-43D0-BF3F-A57D197054F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embedRegular r:id="rId5" w:fontKey="{38931F49-2F06-4449-865B-F160E9985770}"/>
  </w:font>
  <w:font w:name="仿宋_GB2312">
    <w:panose1 w:val="02010609030101010101"/>
    <w:charset w:val="86"/>
    <w:family w:val="roman"/>
    <w:pitch w:val="default"/>
    <w:sig w:usb0="00000001" w:usb1="080E0000" w:usb2="00000000" w:usb3="00000000" w:csb0="00040000" w:csb1="00000000"/>
    <w:embedRegular r:id="rId6" w:fontKey="{53BE61A1-81C1-4129-9078-BFF57E15A4E7}"/>
  </w:font>
  <w:font w:name="仿宋">
    <w:panose1 w:val="02010609060101010101"/>
    <w:charset w:val="86"/>
    <w:family w:val="modern"/>
    <w:pitch w:val="default"/>
    <w:sig w:usb0="800002BF" w:usb1="38CF7CFA" w:usb2="00000016" w:usb3="00000000" w:csb0="00040001" w:csb1="00000000"/>
    <w:embedRegular r:id="rId7" w:fontKey="{EA755753-0AB7-492E-8614-6CDCD67A34C9}"/>
  </w:font>
  <w:font w:name="方正仿宋_GB2312">
    <w:panose1 w:val="02000000000000000000"/>
    <w:charset w:val="86"/>
    <w:family w:val="auto"/>
    <w:pitch w:val="default"/>
    <w:sig w:usb0="A00002BF" w:usb1="184F6CFA" w:usb2="00000012" w:usb3="00000000" w:csb0="00040001" w:csb1="00000000"/>
    <w:embedRegular r:id="rId8" w:fontKey="{0BA9F84D-68D2-4CFD-828B-EF59F42FF863}"/>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82E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0392C">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A4054">
                          <w:pPr>
                            <w:pStyle w:val="17"/>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3A4054">
                    <w:pPr>
                      <w:pStyle w:val="17"/>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176E9">
    <w:pPr>
      <w:pStyle w:val="17"/>
      <w:pBdr>
        <w:top w:val="single" w:color="auto" w:sz="4" w:space="1"/>
      </w:pBdr>
      <w:jc w:val="cente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326D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67326D3">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739C">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5DDF8">
    <w:pPr>
      <w:widowControl w:val="0"/>
      <w:pBdr>
        <w:bottom w:val="none" w:color="auto" w:sz="0" w:space="1"/>
      </w:pBdr>
      <w:snapToGrid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DC292">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1D5B6">
    <w:pPr>
      <w:pStyle w:val="18"/>
      <w:pBdr>
        <w:bottom w:val="single" w:color="auto" w:sz="4" w:space="1"/>
      </w:pBdr>
      <w:jc w:val="right"/>
      <w:rPr>
        <w:rFonts w:hint="eastAsia" w:eastAsia="宋体"/>
        <w:sz w:val="18"/>
        <w:szCs w:val="18"/>
        <w:lang w:val="en-US" w:eastAsia="zh-CN"/>
      </w:rPr>
    </w:pPr>
    <w:r>
      <w:rPr>
        <w:rFonts w:hint="eastAsia" w:cs="Times New Roman"/>
        <w:sz w:val="18"/>
        <w:szCs w:val="18"/>
        <w:lang w:val="en-US" w:eastAsia="zh-CN"/>
      </w:rPr>
      <w:t>安庆市公共交通集团有限公司2026-2027年度公交车辆轮胎维修服务项目（重新招标）</w:t>
    </w:r>
    <w:r>
      <w:rPr>
        <w:rFonts w:hint="eastAsia"/>
        <w:sz w:val="18"/>
        <w:szCs w:val="18"/>
        <w:lang w:val="en-US" w:eastAsia="zh-CN"/>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165CF"/>
    <w:multiLevelType w:val="singleLevel"/>
    <w:tmpl w:val="E8A165CF"/>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0000000C"/>
    <w:multiLevelType w:val="singleLevel"/>
    <w:tmpl w:val="0000000C"/>
    <w:lvl w:ilvl="0" w:tentative="0">
      <w:start w:val="1"/>
      <w:numFmt w:val="chineseCounting"/>
      <w:suff w:val="nothing"/>
      <w:lvlText w:val="%1、"/>
      <w:lvlJc w:val="left"/>
      <w:rPr>
        <w:rFonts w:cs="Times New Roman"/>
      </w:rPr>
    </w:lvl>
  </w:abstractNum>
  <w:abstractNum w:abstractNumId="2">
    <w:nsid w:val="55DBBED0"/>
    <w:multiLevelType w:val="singleLevel"/>
    <w:tmpl w:val="55DBBED0"/>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MDkzMWFiYmQ1ZTkxOGJhMmRhMjQ2ODZkNzRiOGIifQ=="/>
  </w:docVars>
  <w:rsids>
    <w:rsidRoot w:val="00172A27"/>
    <w:rsid w:val="00002114"/>
    <w:rsid w:val="000028B9"/>
    <w:rsid w:val="000030E6"/>
    <w:rsid w:val="000058BC"/>
    <w:rsid w:val="00006FF8"/>
    <w:rsid w:val="00016110"/>
    <w:rsid w:val="000372C2"/>
    <w:rsid w:val="00055669"/>
    <w:rsid w:val="000572CD"/>
    <w:rsid w:val="00060188"/>
    <w:rsid w:val="000626F3"/>
    <w:rsid w:val="00070EDC"/>
    <w:rsid w:val="000743A8"/>
    <w:rsid w:val="00084249"/>
    <w:rsid w:val="00085E3C"/>
    <w:rsid w:val="000A60DA"/>
    <w:rsid w:val="000A6CEE"/>
    <w:rsid w:val="000B226F"/>
    <w:rsid w:val="000C1A5E"/>
    <w:rsid w:val="000C6F3F"/>
    <w:rsid w:val="000D6DD0"/>
    <w:rsid w:val="000D7A4B"/>
    <w:rsid w:val="000E666D"/>
    <w:rsid w:val="000F6B6E"/>
    <w:rsid w:val="00121CC7"/>
    <w:rsid w:val="00121EC2"/>
    <w:rsid w:val="00134054"/>
    <w:rsid w:val="00136777"/>
    <w:rsid w:val="00150063"/>
    <w:rsid w:val="0017470C"/>
    <w:rsid w:val="0017624E"/>
    <w:rsid w:val="001802C2"/>
    <w:rsid w:val="00180744"/>
    <w:rsid w:val="0018411E"/>
    <w:rsid w:val="00187395"/>
    <w:rsid w:val="001967F2"/>
    <w:rsid w:val="001A50E8"/>
    <w:rsid w:val="001B4184"/>
    <w:rsid w:val="001C0260"/>
    <w:rsid w:val="001D77D9"/>
    <w:rsid w:val="001F1C78"/>
    <w:rsid w:val="00203664"/>
    <w:rsid w:val="00210A7B"/>
    <w:rsid w:val="002304E4"/>
    <w:rsid w:val="00237E4D"/>
    <w:rsid w:val="002440B4"/>
    <w:rsid w:val="00245594"/>
    <w:rsid w:val="002618C6"/>
    <w:rsid w:val="00265483"/>
    <w:rsid w:val="002666B5"/>
    <w:rsid w:val="00270BE8"/>
    <w:rsid w:val="00273182"/>
    <w:rsid w:val="002775DD"/>
    <w:rsid w:val="002A051F"/>
    <w:rsid w:val="002A2962"/>
    <w:rsid w:val="002A591A"/>
    <w:rsid w:val="002C3E0C"/>
    <w:rsid w:val="002C5380"/>
    <w:rsid w:val="002D514F"/>
    <w:rsid w:val="002D684B"/>
    <w:rsid w:val="002E38DB"/>
    <w:rsid w:val="002E62AB"/>
    <w:rsid w:val="002F26A5"/>
    <w:rsid w:val="0030669B"/>
    <w:rsid w:val="00306771"/>
    <w:rsid w:val="00307C99"/>
    <w:rsid w:val="00316D85"/>
    <w:rsid w:val="0031798E"/>
    <w:rsid w:val="003328EB"/>
    <w:rsid w:val="00351CF0"/>
    <w:rsid w:val="003574F4"/>
    <w:rsid w:val="00361C49"/>
    <w:rsid w:val="003656C7"/>
    <w:rsid w:val="003805D7"/>
    <w:rsid w:val="0038511B"/>
    <w:rsid w:val="00385B42"/>
    <w:rsid w:val="00386D00"/>
    <w:rsid w:val="0039650F"/>
    <w:rsid w:val="003A4D60"/>
    <w:rsid w:val="003A5907"/>
    <w:rsid w:val="003B01AA"/>
    <w:rsid w:val="003B3313"/>
    <w:rsid w:val="003C6D2D"/>
    <w:rsid w:val="003D11EC"/>
    <w:rsid w:val="003E25FE"/>
    <w:rsid w:val="003E4AFC"/>
    <w:rsid w:val="003E609C"/>
    <w:rsid w:val="003F10EC"/>
    <w:rsid w:val="003F285D"/>
    <w:rsid w:val="00404E75"/>
    <w:rsid w:val="00412C7A"/>
    <w:rsid w:val="00432B8F"/>
    <w:rsid w:val="004422CA"/>
    <w:rsid w:val="00442B63"/>
    <w:rsid w:val="00451E26"/>
    <w:rsid w:val="004613CC"/>
    <w:rsid w:val="0047026C"/>
    <w:rsid w:val="00473D41"/>
    <w:rsid w:val="0047503C"/>
    <w:rsid w:val="00475C50"/>
    <w:rsid w:val="00486C81"/>
    <w:rsid w:val="004916E1"/>
    <w:rsid w:val="0049527C"/>
    <w:rsid w:val="00495EB3"/>
    <w:rsid w:val="004B0A63"/>
    <w:rsid w:val="004B4279"/>
    <w:rsid w:val="004B5E40"/>
    <w:rsid w:val="004C38A5"/>
    <w:rsid w:val="004C5A10"/>
    <w:rsid w:val="004F67FC"/>
    <w:rsid w:val="004F790B"/>
    <w:rsid w:val="00504A12"/>
    <w:rsid w:val="00510DD4"/>
    <w:rsid w:val="00512A8A"/>
    <w:rsid w:val="00520E01"/>
    <w:rsid w:val="00543990"/>
    <w:rsid w:val="00550FBE"/>
    <w:rsid w:val="0055735C"/>
    <w:rsid w:val="00561375"/>
    <w:rsid w:val="00563854"/>
    <w:rsid w:val="0056747E"/>
    <w:rsid w:val="005731C9"/>
    <w:rsid w:val="00574FE3"/>
    <w:rsid w:val="00581391"/>
    <w:rsid w:val="005873CA"/>
    <w:rsid w:val="00592881"/>
    <w:rsid w:val="005A2693"/>
    <w:rsid w:val="005A55FD"/>
    <w:rsid w:val="005B19CD"/>
    <w:rsid w:val="005C3F2B"/>
    <w:rsid w:val="005D1419"/>
    <w:rsid w:val="005D1E9C"/>
    <w:rsid w:val="005D3573"/>
    <w:rsid w:val="005D4810"/>
    <w:rsid w:val="005D7829"/>
    <w:rsid w:val="005D7FA9"/>
    <w:rsid w:val="005E46A4"/>
    <w:rsid w:val="005F0EE4"/>
    <w:rsid w:val="005F1E73"/>
    <w:rsid w:val="005F30EE"/>
    <w:rsid w:val="0060329A"/>
    <w:rsid w:val="00622249"/>
    <w:rsid w:val="006275C9"/>
    <w:rsid w:val="00652A37"/>
    <w:rsid w:val="006531D8"/>
    <w:rsid w:val="006809F5"/>
    <w:rsid w:val="00686205"/>
    <w:rsid w:val="00692F7A"/>
    <w:rsid w:val="00693900"/>
    <w:rsid w:val="0069795A"/>
    <w:rsid w:val="006B0EB2"/>
    <w:rsid w:val="006B7C75"/>
    <w:rsid w:val="006C1E83"/>
    <w:rsid w:val="006C4E2D"/>
    <w:rsid w:val="006F4484"/>
    <w:rsid w:val="006F7E46"/>
    <w:rsid w:val="00710CFF"/>
    <w:rsid w:val="007145D5"/>
    <w:rsid w:val="007227EF"/>
    <w:rsid w:val="007257DD"/>
    <w:rsid w:val="00740EBD"/>
    <w:rsid w:val="007436AB"/>
    <w:rsid w:val="00751A0A"/>
    <w:rsid w:val="00761A5E"/>
    <w:rsid w:val="00764F65"/>
    <w:rsid w:val="007676E2"/>
    <w:rsid w:val="00777195"/>
    <w:rsid w:val="00784610"/>
    <w:rsid w:val="00787768"/>
    <w:rsid w:val="00791219"/>
    <w:rsid w:val="007951FF"/>
    <w:rsid w:val="007A619B"/>
    <w:rsid w:val="007B000B"/>
    <w:rsid w:val="007B2DFA"/>
    <w:rsid w:val="007B3616"/>
    <w:rsid w:val="007B77F1"/>
    <w:rsid w:val="007D3952"/>
    <w:rsid w:val="007E6B70"/>
    <w:rsid w:val="007F240F"/>
    <w:rsid w:val="007F4330"/>
    <w:rsid w:val="007F4A33"/>
    <w:rsid w:val="007F5D19"/>
    <w:rsid w:val="00801743"/>
    <w:rsid w:val="00810524"/>
    <w:rsid w:val="00831CC3"/>
    <w:rsid w:val="00835ADE"/>
    <w:rsid w:val="0084413D"/>
    <w:rsid w:val="00845E4A"/>
    <w:rsid w:val="00847284"/>
    <w:rsid w:val="00851D86"/>
    <w:rsid w:val="008527CA"/>
    <w:rsid w:val="0085524E"/>
    <w:rsid w:val="00855EE3"/>
    <w:rsid w:val="00857E8A"/>
    <w:rsid w:val="008636FB"/>
    <w:rsid w:val="00863F45"/>
    <w:rsid w:val="00873828"/>
    <w:rsid w:val="008739F9"/>
    <w:rsid w:val="00880D5E"/>
    <w:rsid w:val="008848E6"/>
    <w:rsid w:val="00897B76"/>
    <w:rsid w:val="008A6BF0"/>
    <w:rsid w:val="008B2F97"/>
    <w:rsid w:val="008B5D80"/>
    <w:rsid w:val="008B61FA"/>
    <w:rsid w:val="008B7C53"/>
    <w:rsid w:val="008C1B42"/>
    <w:rsid w:val="008D1166"/>
    <w:rsid w:val="008E6032"/>
    <w:rsid w:val="008E763E"/>
    <w:rsid w:val="008F113F"/>
    <w:rsid w:val="008F7FBA"/>
    <w:rsid w:val="00900A9C"/>
    <w:rsid w:val="00941C2B"/>
    <w:rsid w:val="0094502D"/>
    <w:rsid w:val="00974403"/>
    <w:rsid w:val="009840A4"/>
    <w:rsid w:val="009958CA"/>
    <w:rsid w:val="009A2415"/>
    <w:rsid w:val="009B0609"/>
    <w:rsid w:val="009B0FD8"/>
    <w:rsid w:val="009B150D"/>
    <w:rsid w:val="009C1A7B"/>
    <w:rsid w:val="009C260B"/>
    <w:rsid w:val="009C2F0F"/>
    <w:rsid w:val="009E014B"/>
    <w:rsid w:val="009E1698"/>
    <w:rsid w:val="009F583C"/>
    <w:rsid w:val="00A01EA7"/>
    <w:rsid w:val="00A20072"/>
    <w:rsid w:val="00A32E53"/>
    <w:rsid w:val="00A33645"/>
    <w:rsid w:val="00A34882"/>
    <w:rsid w:val="00A456A4"/>
    <w:rsid w:val="00A5289F"/>
    <w:rsid w:val="00A57D54"/>
    <w:rsid w:val="00A60F47"/>
    <w:rsid w:val="00AB1604"/>
    <w:rsid w:val="00AC7939"/>
    <w:rsid w:val="00AD4E87"/>
    <w:rsid w:val="00AE26F4"/>
    <w:rsid w:val="00AF04B6"/>
    <w:rsid w:val="00B01501"/>
    <w:rsid w:val="00B10997"/>
    <w:rsid w:val="00B124EC"/>
    <w:rsid w:val="00B24882"/>
    <w:rsid w:val="00B31773"/>
    <w:rsid w:val="00B35AE5"/>
    <w:rsid w:val="00B36FCF"/>
    <w:rsid w:val="00B6141C"/>
    <w:rsid w:val="00B675B1"/>
    <w:rsid w:val="00B75BA9"/>
    <w:rsid w:val="00B80B85"/>
    <w:rsid w:val="00B97F80"/>
    <w:rsid w:val="00BA1825"/>
    <w:rsid w:val="00BC18F8"/>
    <w:rsid w:val="00BC757B"/>
    <w:rsid w:val="00BC7EA0"/>
    <w:rsid w:val="00BD1FF2"/>
    <w:rsid w:val="00BE13C7"/>
    <w:rsid w:val="00BE1F6F"/>
    <w:rsid w:val="00BE2DF1"/>
    <w:rsid w:val="00BE4298"/>
    <w:rsid w:val="00BF12E6"/>
    <w:rsid w:val="00BF5AFD"/>
    <w:rsid w:val="00C0565D"/>
    <w:rsid w:val="00C15665"/>
    <w:rsid w:val="00C17DD7"/>
    <w:rsid w:val="00C27214"/>
    <w:rsid w:val="00C27680"/>
    <w:rsid w:val="00C443BD"/>
    <w:rsid w:val="00C56B8A"/>
    <w:rsid w:val="00C57654"/>
    <w:rsid w:val="00C60E49"/>
    <w:rsid w:val="00C758A9"/>
    <w:rsid w:val="00C912B8"/>
    <w:rsid w:val="00C91E65"/>
    <w:rsid w:val="00C97895"/>
    <w:rsid w:val="00CA3ACD"/>
    <w:rsid w:val="00CB464C"/>
    <w:rsid w:val="00CC379D"/>
    <w:rsid w:val="00CC74AB"/>
    <w:rsid w:val="00CD5AEB"/>
    <w:rsid w:val="00CF4DE4"/>
    <w:rsid w:val="00CF6D80"/>
    <w:rsid w:val="00D0031B"/>
    <w:rsid w:val="00D17074"/>
    <w:rsid w:val="00D34564"/>
    <w:rsid w:val="00D365E5"/>
    <w:rsid w:val="00D51251"/>
    <w:rsid w:val="00D53DCA"/>
    <w:rsid w:val="00D550FB"/>
    <w:rsid w:val="00D57E04"/>
    <w:rsid w:val="00D613CE"/>
    <w:rsid w:val="00D61FA1"/>
    <w:rsid w:val="00D6224F"/>
    <w:rsid w:val="00D64968"/>
    <w:rsid w:val="00D97E95"/>
    <w:rsid w:val="00DA2DEE"/>
    <w:rsid w:val="00DB3AA2"/>
    <w:rsid w:val="00DD0A94"/>
    <w:rsid w:val="00DD2A4E"/>
    <w:rsid w:val="00DE00EF"/>
    <w:rsid w:val="00DE1478"/>
    <w:rsid w:val="00DE1AFA"/>
    <w:rsid w:val="00DE2D9C"/>
    <w:rsid w:val="00DF14BB"/>
    <w:rsid w:val="00E11370"/>
    <w:rsid w:val="00E12B21"/>
    <w:rsid w:val="00E168DA"/>
    <w:rsid w:val="00E25A6A"/>
    <w:rsid w:val="00E25DEC"/>
    <w:rsid w:val="00E414F4"/>
    <w:rsid w:val="00E427D4"/>
    <w:rsid w:val="00E50EEB"/>
    <w:rsid w:val="00E537A8"/>
    <w:rsid w:val="00E62B08"/>
    <w:rsid w:val="00E63D8B"/>
    <w:rsid w:val="00E65A7B"/>
    <w:rsid w:val="00E72562"/>
    <w:rsid w:val="00E92086"/>
    <w:rsid w:val="00EA1C8E"/>
    <w:rsid w:val="00EA4495"/>
    <w:rsid w:val="00EA5AB0"/>
    <w:rsid w:val="00EA5D3B"/>
    <w:rsid w:val="00EB3221"/>
    <w:rsid w:val="00EB747E"/>
    <w:rsid w:val="00EC01BB"/>
    <w:rsid w:val="00EC6077"/>
    <w:rsid w:val="00ED053D"/>
    <w:rsid w:val="00ED1987"/>
    <w:rsid w:val="00F06A11"/>
    <w:rsid w:val="00F06BE4"/>
    <w:rsid w:val="00F2135A"/>
    <w:rsid w:val="00F220DA"/>
    <w:rsid w:val="00F2436A"/>
    <w:rsid w:val="00F24AAC"/>
    <w:rsid w:val="00F34455"/>
    <w:rsid w:val="00F41433"/>
    <w:rsid w:val="00F44C60"/>
    <w:rsid w:val="00F46893"/>
    <w:rsid w:val="00F52EB5"/>
    <w:rsid w:val="00F63ECC"/>
    <w:rsid w:val="00F72A4B"/>
    <w:rsid w:val="00F82380"/>
    <w:rsid w:val="00F82D04"/>
    <w:rsid w:val="00F83357"/>
    <w:rsid w:val="00F8342B"/>
    <w:rsid w:val="00F879CF"/>
    <w:rsid w:val="00F901D6"/>
    <w:rsid w:val="00F91C37"/>
    <w:rsid w:val="00FA609C"/>
    <w:rsid w:val="00FA71F3"/>
    <w:rsid w:val="00FC4A38"/>
    <w:rsid w:val="00FD15D8"/>
    <w:rsid w:val="00FE2788"/>
    <w:rsid w:val="00FF201B"/>
    <w:rsid w:val="00FF4A64"/>
    <w:rsid w:val="00FF5F2E"/>
    <w:rsid w:val="0131510F"/>
    <w:rsid w:val="013A28B6"/>
    <w:rsid w:val="013A57F9"/>
    <w:rsid w:val="01442B0D"/>
    <w:rsid w:val="01825859"/>
    <w:rsid w:val="01887983"/>
    <w:rsid w:val="019D0DE9"/>
    <w:rsid w:val="01EF182C"/>
    <w:rsid w:val="02046181"/>
    <w:rsid w:val="02181129"/>
    <w:rsid w:val="021E6024"/>
    <w:rsid w:val="02381D9F"/>
    <w:rsid w:val="023D21C5"/>
    <w:rsid w:val="02520316"/>
    <w:rsid w:val="025C199D"/>
    <w:rsid w:val="026E5EEE"/>
    <w:rsid w:val="02767240"/>
    <w:rsid w:val="028849F3"/>
    <w:rsid w:val="028B655D"/>
    <w:rsid w:val="02912576"/>
    <w:rsid w:val="029E6A9B"/>
    <w:rsid w:val="02A216FD"/>
    <w:rsid w:val="02A459A9"/>
    <w:rsid w:val="02BD3661"/>
    <w:rsid w:val="02C06C91"/>
    <w:rsid w:val="02F60D4C"/>
    <w:rsid w:val="03003FDA"/>
    <w:rsid w:val="039A01DA"/>
    <w:rsid w:val="03C31432"/>
    <w:rsid w:val="03D04666"/>
    <w:rsid w:val="03D25117"/>
    <w:rsid w:val="03F10EFE"/>
    <w:rsid w:val="0404335F"/>
    <w:rsid w:val="04294F27"/>
    <w:rsid w:val="04380CAB"/>
    <w:rsid w:val="046A3C9B"/>
    <w:rsid w:val="0496644C"/>
    <w:rsid w:val="049D76C3"/>
    <w:rsid w:val="05056530"/>
    <w:rsid w:val="050E6095"/>
    <w:rsid w:val="052D3172"/>
    <w:rsid w:val="053C133E"/>
    <w:rsid w:val="053D78F3"/>
    <w:rsid w:val="05571F68"/>
    <w:rsid w:val="056C6C20"/>
    <w:rsid w:val="05837341"/>
    <w:rsid w:val="05992CBC"/>
    <w:rsid w:val="0634388A"/>
    <w:rsid w:val="06346D33"/>
    <w:rsid w:val="06406BE1"/>
    <w:rsid w:val="068D0225"/>
    <w:rsid w:val="068D6391"/>
    <w:rsid w:val="06A84D57"/>
    <w:rsid w:val="07347C63"/>
    <w:rsid w:val="076B0765"/>
    <w:rsid w:val="07923C41"/>
    <w:rsid w:val="07E15B19"/>
    <w:rsid w:val="08495105"/>
    <w:rsid w:val="086B006F"/>
    <w:rsid w:val="08862D6C"/>
    <w:rsid w:val="08872616"/>
    <w:rsid w:val="08C629F5"/>
    <w:rsid w:val="08D86F1C"/>
    <w:rsid w:val="093D4AE0"/>
    <w:rsid w:val="09636287"/>
    <w:rsid w:val="097C596A"/>
    <w:rsid w:val="09975029"/>
    <w:rsid w:val="09F41E08"/>
    <w:rsid w:val="09FE29B2"/>
    <w:rsid w:val="0A034005"/>
    <w:rsid w:val="0A2877B7"/>
    <w:rsid w:val="0A3B4909"/>
    <w:rsid w:val="0A97316B"/>
    <w:rsid w:val="0AD6783C"/>
    <w:rsid w:val="0AE54A50"/>
    <w:rsid w:val="0AEF76BB"/>
    <w:rsid w:val="0B016D61"/>
    <w:rsid w:val="0B0D42F2"/>
    <w:rsid w:val="0B7813D0"/>
    <w:rsid w:val="0B9A72CD"/>
    <w:rsid w:val="0BAB55C5"/>
    <w:rsid w:val="0BC976A9"/>
    <w:rsid w:val="0BFA6134"/>
    <w:rsid w:val="0C8052C3"/>
    <w:rsid w:val="0CA15E18"/>
    <w:rsid w:val="0CAA7A10"/>
    <w:rsid w:val="0CAD0D80"/>
    <w:rsid w:val="0CD05636"/>
    <w:rsid w:val="0D21232F"/>
    <w:rsid w:val="0D322E51"/>
    <w:rsid w:val="0D3E1438"/>
    <w:rsid w:val="0D580F63"/>
    <w:rsid w:val="0D7160A1"/>
    <w:rsid w:val="0D776C9C"/>
    <w:rsid w:val="0DFE792F"/>
    <w:rsid w:val="0E3C4776"/>
    <w:rsid w:val="0EB94E27"/>
    <w:rsid w:val="0F1B645A"/>
    <w:rsid w:val="0F221281"/>
    <w:rsid w:val="0F56503F"/>
    <w:rsid w:val="0F634B4C"/>
    <w:rsid w:val="0FA178A3"/>
    <w:rsid w:val="0FB2759B"/>
    <w:rsid w:val="0FD7742E"/>
    <w:rsid w:val="10050446"/>
    <w:rsid w:val="101C02E7"/>
    <w:rsid w:val="10BC1444"/>
    <w:rsid w:val="10C53A3E"/>
    <w:rsid w:val="10E0565F"/>
    <w:rsid w:val="11472E91"/>
    <w:rsid w:val="118E7881"/>
    <w:rsid w:val="11DA4B48"/>
    <w:rsid w:val="12406A1B"/>
    <w:rsid w:val="12416F26"/>
    <w:rsid w:val="124D01B4"/>
    <w:rsid w:val="126B2998"/>
    <w:rsid w:val="128C72BE"/>
    <w:rsid w:val="13020339"/>
    <w:rsid w:val="13326F18"/>
    <w:rsid w:val="13545468"/>
    <w:rsid w:val="136D07C6"/>
    <w:rsid w:val="13751835"/>
    <w:rsid w:val="13CD363D"/>
    <w:rsid w:val="14237BE5"/>
    <w:rsid w:val="14632D00"/>
    <w:rsid w:val="14720E5A"/>
    <w:rsid w:val="148B452E"/>
    <w:rsid w:val="14B720DC"/>
    <w:rsid w:val="14B94033"/>
    <w:rsid w:val="14F65FFC"/>
    <w:rsid w:val="15001A89"/>
    <w:rsid w:val="151D6BB7"/>
    <w:rsid w:val="15304812"/>
    <w:rsid w:val="15416466"/>
    <w:rsid w:val="1544742C"/>
    <w:rsid w:val="155449B8"/>
    <w:rsid w:val="156B47D3"/>
    <w:rsid w:val="15744470"/>
    <w:rsid w:val="158407CF"/>
    <w:rsid w:val="15D2701E"/>
    <w:rsid w:val="15F2690E"/>
    <w:rsid w:val="167B097A"/>
    <w:rsid w:val="16A52E63"/>
    <w:rsid w:val="16DF0089"/>
    <w:rsid w:val="176C495F"/>
    <w:rsid w:val="17747697"/>
    <w:rsid w:val="178951F0"/>
    <w:rsid w:val="18087BE7"/>
    <w:rsid w:val="187C769B"/>
    <w:rsid w:val="19001463"/>
    <w:rsid w:val="19206658"/>
    <w:rsid w:val="192D0833"/>
    <w:rsid w:val="1933475D"/>
    <w:rsid w:val="193B125C"/>
    <w:rsid w:val="1964685A"/>
    <w:rsid w:val="19AE1FD6"/>
    <w:rsid w:val="19F43960"/>
    <w:rsid w:val="1A4468FA"/>
    <w:rsid w:val="1A6A4BF6"/>
    <w:rsid w:val="1A8A3DEE"/>
    <w:rsid w:val="1AC81EF5"/>
    <w:rsid w:val="1ADA051F"/>
    <w:rsid w:val="1AF6599F"/>
    <w:rsid w:val="1B105741"/>
    <w:rsid w:val="1B3F6B26"/>
    <w:rsid w:val="1B46229A"/>
    <w:rsid w:val="1BA01C03"/>
    <w:rsid w:val="1BCB4235"/>
    <w:rsid w:val="1BCD472D"/>
    <w:rsid w:val="1C153337"/>
    <w:rsid w:val="1C2D05F5"/>
    <w:rsid w:val="1C923322"/>
    <w:rsid w:val="1CAB52FD"/>
    <w:rsid w:val="1CC240C1"/>
    <w:rsid w:val="1D850295"/>
    <w:rsid w:val="1DA945F0"/>
    <w:rsid w:val="1DA94AF9"/>
    <w:rsid w:val="1DB70517"/>
    <w:rsid w:val="1DDF7D0D"/>
    <w:rsid w:val="1E5B519F"/>
    <w:rsid w:val="1E9351FC"/>
    <w:rsid w:val="1F203D0C"/>
    <w:rsid w:val="1F3A4ABE"/>
    <w:rsid w:val="1F852BB6"/>
    <w:rsid w:val="1F8E6B3E"/>
    <w:rsid w:val="1FA453E9"/>
    <w:rsid w:val="1FC02A2B"/>
    <w:rsid w:val="1FCE364E"/>
    <w:rsid w:val="1FDA12DD"/>
    <w:rsid w:val="201638A4"/>
    <w:rsid w:val="205738CF"/>
    <w:rsid w:val="20612034"/>
    <w:rsid w:val="20856736"/>
    <w:rsid w:val="208860CA"/>
    <w:rsid w:val="20CB0DD4"/>
    <w:rsid w:val="20CC7DDC"/>
    <w:rsid w:val="20E6497A"/>
    <w:rsid w:val="210A6E0C"/>
    <w:rsid w:val="217067CC"/>
    <w:rsid w:val="218C4576"/>
    <w:rsid w:val="21BB3D78"/>
    <w:rsid w:val="221C2E2D"/>
    <w:rsid w:val="222D1A38"/>
    <w:rsid w:val="22446B48"/>
    <w:rsid w:val="224610C4"/>
    <w:rsid w:val="22647B55"/>
    <w:rsid w:val="22743897"/>
    <w:rsid w:val="229C140E"/>
    <w:rsid w:val="22A61C0F"/>
    <w:rsid w:val="22C27E25"/>
    <w:rsid w:val="22F666DF"/>
    <w:rsid w:val="230E236D"/>
    <w:rsid w:val="23460D56"/>
    <w:rsid w:val="23637118"/>
    <w:rsid w:val="237F493E"/>
    <w:rsid w:val="238658F6"/>
    <w:rsid w:val="23896DE7"/>
    <w:rsid w:val="238F32CD"/>
    <w:rsid w:val="23C557C9"/>
    <w:rsid w:val="23F531E8"/>
    <w:rsid w:val="23FA691B"/>
    <w:rsid w:val="247A488F"/>
    <w:rsid w:val="24AC1531"/>
    <w:rsid w:val="24AC333C"/>
    <w:rsid w:val="24DF7D0E"/>
    <w:rsid w:val="25005262"/>
    <w:rsid w:val="251F0E25"/>
    <w:rsid w:val="252D7E66"/>
    <w:rsid w:val="2552357F"/>
    <w:rsid w:val="255B2F57"/>
    <w:rsid w:val="25807BFC"/>
    <w:rsid w:val="25BF7042"/>
    <w:rsid w:val="25CA136C"/>
    <w:rsid w:val="25D05E58"/>
    <w:rsid w:val="25EE058A"/>
    <w:rsid w:val="2609257A"/>
    <w:rsid w:val="26175642"/>
    <w:rsid w:val="26556A53"/>
    <w:rsid w:val="26911E31"/>
    <w:rsid w:val="269A7BB5"/>
    <w:rsid w:val="26B2243F"/>
    <w:rsid w:val="26CB59D4"/>
    <w:rsid w:val="271C0B5B"/>
    <w:rsid w:val="272524CF"/>
    <w:rsid w:val="272A34E7"/>
    <w:rsid w:val="274A6DF2"/>
    <w:rsid w:val="2750511F"/>
    <w:rsid w:val="279D33B3"/>
    <w:rsid w:val="27D029E9"/>
    <w:rsid w:val="28471CB7"/>
    <w:rsid w:val="285062B5"/>
    <w:rsid w:val="285B04EA"/>
    <w:rsid w:val="28630C81"/>
    <w:rsid w:val="28791174"/>
    <w:rsid w:val="28795BCE"/>
    <w:rsid w:val="28C21FF1"/>
    <w:rsid w:val="28C2644D"/>
    <w:rsid w:val="28C72F7B"/>
    <w:rsid w:val="290226DB"/>
    <w:rsid w:val="2926000C"/>
    <w:rsid w:val="292B2F55"/>
    <w:rsid w:val="293F0416"/>
    <w:rsid w:val="295E6B72"/>
    <w:rsid w:val="299F0644"/>
    <w:rsid w:val="29A268A5"/>
    <w:rsid w:val="29AA01EA"/>
    <w:rsid w:val="29B72BC8"/>
    <w:rsid w:val="29C15EAE"/>
    <w:rsid w:val="2A031439"/>
    <w:rsid w:val="2A44045E"/>
    <w:rsid w:val="2A943EC2"/>
    <w:rsid w:val="2AD815A3"/>
    <w:rsid w:val="2AFE6B80"/>
    <w:rsid w:val="2B0D3AFA"/>
    <w:rsid w:val="2B170859"/>
    <w:rsid w:val="2B353539"/>
    <w:rsid w:val="2B605D7F"/>
    <w:rsid w:val="2B620B29"/>
    <w:rsid w:val="2BB478A4"/>
    <w:rsid w:val="2BD84756"/>
    <w:rsid w:val="2BFB6436"/>
    <w:rsid w:val="2C1264B3"/>
    <w:rsid w:val="2C181647"/>
    <w:rsid w:val="2C33467E"/>
    <w:rsid w:val="2C7A3743"/>
    <w:rsid w:val="2CD733E2"/>
    <w:rsid w:val="2D0354F2"/>
    <w:rsid w:val="2D2740C7"/>
    <w:rsid w:val="2D53200B"/>
    <w:rsid w:val="2D6466B7"/>
    <w:rsid w:val="2D9575F5"/>
    <w:rsid w:val="2DAA6C92"/>
    <w:rsid w:val="2DD4478B"/>
    <w:rsid w:val="2DE1379D"/>
    <w:rsid w:val="2E3C21CA"/>
    <w:rsid w:val="2E546A92"/>
    <w:rsid w:val="2E760F18"/>
    <w:rsid w:val="2F7A2576"/>
    <w:rsid w:val="2FD914B3"/>
    <w:rsid w:val="2FEB2E61"/>
    <w:rsid w:val="302A165D"/>
    <w:rsid w:val="30744721"/>
    <w:rsid w:val="309F1F4A"/>
    <w:rsid w:val="30BF2491"/>
    <w:rsid w:val="30E36586"/>
    <w:rsid w:val="31046B01"/>
    <w:rsid w:val="313A750A"/>
    <w:rsid w:val="317B0775"/>
    <w:rsid w:val="31BA47AF"/>
    <w:rsid w:val="3249087D"/>
    <w:rsid w:val="327E4269"/>
    <w:rsid w:val="328961F5"/>
    <w:rsid w:val="328E181F"/>
    <w:rsid w:val="329F5DEA"/>
    <w:rsid w:val="32A77837"/>
    <w:rsid w:val="32AE6350"/>
    <w:rsid w:val="331210F9"/>
    <w:rsid w:val="33155A99"/>
    <w:rsid w:val="331632C1"/>
    <w:rsid w:val="332D18A5"/>
    <w:rsid w:val="33331364"/>
    <w:rsid w:val="33D459F4"/>
    <w:rsid w:val="33D467B5"/>
    <w:rsid w:val="33E80D95"/>
    <w:rsid w:val="3404762C"/>
    <w:rsid w:val="34102C8C"/>
    <w:rsid w:val="342B3044"/>
    <w:rsid w:val="343455CA"/>
    <w:rsid w:val="346A737A"/>
    <w:rsid w:val="346E5D72"/>
    <w:rsid w:val="347D7417"/>
    <w:rsid w:val="347D7A40"/>
    <w:rsid w:val="34892BC5"/>
    <w:rsid w:val="34EA3966"/>
    <w:rsid w:val="351F683A"/>
    <w:rsid w:val="3548453C"/>
    <w:rsid w:val="354C26BB"/>
    <w:rsid w:val="35804783"/>
    <w:rsid w:val="358B15BB"/>
    <w:rsid w:val="35F51B80"/>
    <w:rsid w:val="35F945F7"/>
    <w:rsid w:val="36281CAA"/>
    <w:rsid w:val="362C25D2"/>
    <w:rsid w:val="364254FA"/>
    <w:rsid w:val="36532FF4"/>
    <w:rsid w:val="366E63EF"/>
    <w:rsid w:val="369E3DCC"/>
    <w:rsid w:val="36B55EC3"/>
    <w:rsid w:val="36B6112E"/>
    <w:rsid w:val="36CA7B72"/>
    <w:rsid w:val="37785C10"/>
    <w:rsid w:val="37951670"/>
    <w:rsid w:val="37B06DEE"/>
    <w:rsid w:val="37B3452D"/>
    <w:rsid w:val="37C34ACD"/>
    <w:rsid w:val="37C60648"/>
    <w:rsid w:val="37DF0271"/>
    <w:rsid w:val="38627047"/>
    <w:rsid w:val="388365F5"/>
    <w:rsid w:val="38ED2EF0"/>
    <w:rsid w:val="391F58AD"/>
    <w:rsid w:val="39414473"/>
    <w:rsid w:val="394B5035"/>
    <w:rsid w:val="395E71A4"/>
    <w:rsid w:val="396308E2"/>
    <w:rsid w:val="39D85094"/>
    <w:rsid w:val="3A173CD4"/>
    <w:rsid w:val="3A3F515A"/>
    <w:rsid w:val="3A596215"/>
    <w:rsid w:val="3A5C6D9D"/>
    <w:rsid w:val="3AA161A6"/>
    <w:rsid w:val="3AB21739"/>
    <w:rsid w:val="3ADC5D80"/>
    <w:rsid w:val="3B247485"/>
    <w:rsid w:val="3B3B749B"/>
    <w:rsid w:val="3B4770E1"/>
    <w:rsid w:val="3B630FC3"/>
    <w:rsid w:val="3B7D11E3"/>
    <w:rsid w:val="3BA06AB3"/>
    <w:rsid w:val="3BC44143"/>
    <w:rsid w:val="3BCF198D"/>
    <w:rsid w:val="3BE95482"/>
    <w:rsid w:val="3BEE1FD7"/>
    <w:rsid w:val="3BF932AF"/>
    <w:rsid w:val="3C037B1F"/>
    <w:rsid w:val="3C4B021E"/>
    <w:rsid w:val="3CA13EAD"/>
    <w:rsid w:val="3CA97AA1"/>
    <w:rsid w:val="3CE7290C"/>
    <w:rsid w:val="3CFB07EE"/>
    <w:rsid w:val="3CFF7EA9"/>
    <w:rsid w:val="3D1419BA"/>
    <w:rsid w:val="3D245BF8"/>
    <w:rsid w:val="3D2A015A"/>
    <w:rsid w:val="3DDF73DD"/>
    <w:rsid w:val="3DF01A04"/>
    <w:rsid w:val="3E0A40D4"/>
    <w:rsid w:val="3E77397C"/>
    <w:rsid w:val="3E7762B4"/>
    <w:rsid w:val="3E7C661A"/>
    <w:rsid w:val="3EAC28A1"/>
    <w:rsid w:val="3EBF0DB2"/>
    <w:rsid w:val="3EC203FB"/>
    <w:rsid w:val="3EC9355F"/>
    <w:rsid w:val="3ECC6EE3"/>
    <w:rsid w:val="3F0615B6"/>
    <w:rsid w:val="3FEF3E66"/>
    <w:rsid w:val="4004001B"/>
    <w:rsid w:val="40094D7D"/>
    <w:rsid w:val="404C471D"/>
    <w:rsid w:val="405368AD"/>
    <w:rsid w:val="409105AF"/>
    <w:rsid w:val="40A040F1"/>
    <w:rsid w:val="40A150B6"/>
    <w:rsid w:val="40A92971"/>
    <w:rsid w:val="40D307F1"/>
    <w:rsid w:val="40F3228D"/>
    <w:rsid w:val="412865BD"/>
    <w:rsid w:val="41686388"/>
    <w:rsid w:val="41A1305D"/>
    <w:rsid w:val="41B14847"/>
    <w:rsid w:val="41BB6E00"/>
    <w:rsid w:val="41CD10FE"/>
    <w:rsid w:val="41E11FB7"/>
    <w:rsid w:val="41EA06AC"/>
    <w:rsid w:val="42116A20"/>
    <w:rsid w:val="423E280C"/>
    <w:rsid w:val="42636759"/>
    <w:rsid w:val="42BF647C"/>
    <w:rsid w:val="42CF4D4C"/>
    <w:rsid w:val="42FA0BF3"/>
    <w:rsid w:val="42FF5C8C"/>
    <w:rsid w:val="431A5501"/>
    <w:rsid w:val="43302ED5"/>
    <w:rsid w:val="43430E64"/>
    <w:rsid w:val="43664AFA"/>
    <w:rsid w:val="439C0F97"/>
    <w:rsid w:val="43B67997"/>
    <w:rsid w:val="43BE1603"/>
    <w:rsid w:val="43D84E40"/>
    <w:rsid w:val="442E5B81"/>
    <w:rsid w:val="44374878"/>
    <w:rsid w:val="44705CD5"/>
    <w:rsid w:val="44E52849"/>
    <w:rsid w:val="44F21D67"/>
    <w:rsid w:val="45121AA7"/>
    <w:rsid w:val="456F6318"/>
    <w:rsid w:val="457C25CC"/>
    <w:rsid w:val="45A54224"/>
    <w:rsid w:val="45CE48A3"/>
    <w:rsid w:val="46124EE8"/>
    <w:rsid w:val="464B4EE0"/>
    <w:rsid w:val="4650751B"/>
    <w:rsid w:val="465A20BB"/>
    <w:rsid w:val="466250E9"/>
    <w:rsid w:val="4665549A"/>
    <w:rsid w:val="468D244A"/>
    <w:rsid w:val="46F47361"/>
    <w:rsid w:val="472001C1"/>
    <w:rsid w:val="47A70E11"/>
    <w:rsid w:val="47A76B47"/>
    <w:rsid w:val="47D76015"/>
    <w:rsid w:val="47E8258E"/>
    <w:rsid w:val="480D0FE9"/>
    <w:rsid w:val="480D33D5"/>
    <w:rsid w:val="48344D78"/>
    <w:rsid w:val="48460CF2"/>
    <w:rsid w:val="489052A0"/>
    <w:rsid w:val="48A077F0"/>
    <w:rsid w:val="48A33500"/>
    <w:rsid w:val="48B13034"/>
    <w:rsid w:val="48CF22C1"/>
    <w:rsid w:val="491B083D"/>
    <w:rsid w:val="49274E19"/>
    <w:rsid w:val="49501355"/>
    <w:rsid w:val="49CC0295"/>
    <w:rsid w:val="4A7B6405"/>
    <w:rsid w:val="4B0E200C"/>
    <w:rsid w:val="4B5D2CD5"/>
    <w:rsid w:val="4BCA69A0"/>
    <w:rsid w:val="4BE24B63"/>
    <w:rsid w:val="4BEE0719"/>
    <w:rsid w:val="4C3C55DB"/>
    <w:rsid w:val="4C5E1DB7"/>
    <w:rsid w:val="4C6B570C"/>
    <w:rsid w:val="4CA877CB"/>
    <w:rsid w:val="4CDF0E6E"/>
    <w:rsid w:val="4D294230"/>
    <w:rsid w:val="4D8E5F20"/>
    <w:rsid w:val="4D935AC5"/>
    <w:rsid w:val="4DA846DC"/>
    <w:rsid w:val="4DC31516"/>
    <w:rsid w:val="4DC55B7E"/>
    <w:rsid w:val="4DD32919"/>
    <w:rsid w:val="4DDA0479"/>
    <w:rsid w:val="4E530686"/>
    <w:rsid w:val="4E7D7917"/>
    <w:rsid w:val="4E8C055A"/>
    <w:rsid w:val="4E98017C"/>
    <w:rsid w:val="4EC75355"/>
    <w:rsid w:val="4EF747BD"/>
    <w:rsid w:val="4F404B61"/>
    <w:rsid w:val="4F417B53"/>
    <w:rsid w:val="4F920731"/>
    <w:rsid w:val="4F9660D0"/>
    <w:rsid w:val="4F9F1352"/>
    <w:rsid w:val="4FFA742A"/>
    <w:rsid w:val="500373B2"/>
    <w:rsid w:val="502B4DAC"/>
    <w:rsid w:val="506B65BA"/>
    <w:rsid w:val="506C5351"/>
    <w:rsid w:val="50742DDD"/>
    <w:rsid w:val="50B213CE"/>
    <w:rsid w:val="50B6100E"/>
    <w:rsid w:val="50BB55F1"/>
    <w:rsid w:val="50CF7A05"/>
    <w:rsid w:val="50E7544D"/>
    <w:rsid w:val="51197390"/>
    <w:rsid w:val="511C6973"/>
    <w:rsid w:val="512E4EF8"/>
    <w:rsid w:val="513B290A"/>
    <w:rsid w:val="514313F7"/>
    <w:rsid w:val="51947157"/>
    <w:rsid w:val="51C93704"/>
    <w:rsid w:val="51E63A25"/>
    <w:rsid w:val="51F2728C"/>
    <w:rsid w:val="51FD5C6A"/>
    <w:rsid w:val="520D378A"/>
    <w:rsid w:val="52170BFC"/>
    <w:rsid w:val="5222314F"/>
    <w:rsid w:val="52320CBA"/>
    <w:rsid w:val="52607CC6"/>
    <w:rsid w:val="52CF608B"/>
    <w:rsid w:val="52DA483F"/>
    <w:rsid w:val="52F76B0E"/>
    <w:rsid w:val="530813F5"/>
    <w:rsid w:val="53285BE5"/>
    <w:rsid w:val="53376D35"/>
    <w:rsid w:val="535248BD"/>
    <w:rsid w:val="53997856"/>
    <w:rsid w:val="53B62F43"/>
    <w:rsid w:val="53E44857"/>
    <w:rsid w:val="53E65288"/>
    <w:rsid w:val="53EB26B3"/>
    <w:rsid w:val="53F9105B"/>
    <w:rsid w:val="54543C3D"/>
    <w:rsid w:val="548A01B3"/>
    <w:rsid w:val="548C59E6"/>
    <w:rsid w:val="54E52323"/>
    <w:rsid w:val="559E01B3"/>
    <w:rsid w:val="55A05B3F"/>
    <w:rsid w:val="55D56C74"/>
    <w:rsid w:val="55DC05B3"/>
    <w:rsid w:val="55E72D6A"/>
    <w:rsid w:val="56325360"/>
    <w:rsid w:val="565C7C56"/>
    <w:rsid w:val="567D676E"/>
    <w:rsid w:val="56A624B2"/>
    <w:rsid w:val="56E14E9F"/>
    <w:rsid w:val="57354F0E"/>
    <w:rsid w:val="574C00E7"/>
    <w:rsid w:val="577144DA"/>
    <w:rsid w:val="577B39A1"/>
    <w:rsid w:val="5785631F"/>
    <w:rsid w:val="57A83D7D"/>
    <w:rsid w:val="57B9285A"/>
    <w:rsid w:val="57CD3F76"/>
    <w:rsid w:val="57CE6D3A"/>
    <w:rsid w:val="57D60602"/>
    <w:rsid w:val="58220DF2"/>
    <w:rsid w:val="58235328"/>
    <w:rsid w:val="58550FBC"/>
    <w:rsid w:val="58612D77"/>
    <w:rsid w:val="58792C3E"/>
    <w:rsid w:val="588845F7"/>
    <w:rsid w:val="58A14202"/>
    <w:rsid w:val="58D73DB9"/>
    <w:rsid w:val="59120160"/>
    <w:rsid w:val="59123351"/>
    <w:rsid w:val="59315A68"/>
    <w:rsid w:val="59334611"/>
    <w:rsid w:val="593D23D7"/>
    <w:rsid w:val="594E1FCC"/>
    <w:rsid w:val="597B2352"/>
    <w:rsid w:val="5A125E5F"/>
    <w:rsid w:val="5A6D4BA8"/>
    <w:rsid w:val="5A773374"/>
    <w:rsid w:val="5A773AA3"/>
    <w:rsid w:val="5A996CEC"/>
    <w:rsid w:val="5AA37859"/>
    <w:rsid w:val="5AC85203"/>
    <w:rsid w:val="5AE432C2"/>
    <w:rsid w:val="5AE768A6"/>
    <w:rsid w:val="5AED237F"/>
    <w:rsid w:val="5B215ACE"/>
    <w:rsid w:val="5B6C3508"/>
    <w:rsid w:val="5B7A24A0"/>
    <w:rsid w:val="5BB96560"/>
    <w:rsid w:val="5BE05E9F"/>
    <w:rsid w:val="5BE14F50"/>
    <w:rsid w:val="5BE33F37"/>
    <w:rsid w:val="5BF45DD9"/>
    <w:rsid w:val="5C0666C7"/>
    <w:rsid w:val="5C1951E6"/>
    <w:rsid w:val="5C43453E"/>
    <w:rsid w:val="5C560411"/>
    <w:rsid w:val="5C70466E"/>
    <w:rsid w:val="5CE123DB"/>
    <w:rsid w:val="5CE7257F"/>
    <w:rsid w:val="5CEE378D"/>
    <w:rsid w:val="5D562E76"/>
    <w:rsid w:val="5D586285"/>
    <w:rsid w:val="5D626F06"/>
    <w:rsid w:val="5DA33F6C"/>
    <w:rsid w:val="5DE5615B"/>
    <w:rsid w:val="5DF57664"/>
    <w:rsid w:val="5DF97E07"/>
    <w:rsid w:val="5E2F3029"/>
    <w:rsid w:val="5E360778"/>
    <w:rsid w:val="5E7950C0"/>
    <w:rsid w:val="5EB90D7C"/>
    <w:rsid w:val="5EF30C29"/>
    <w:rsid w:val="5EF34DC9"/>
    <w:rsid w:val="5EF70F05"/>
    <w:rsid w:val="5EF73F95"/>
    <w:rsid w:val="5EFF366F"/>
    <w:rsid w:val="5F4666F5"/>
    <w:rsid w:val="5F49114F"/>
    <w:rsid w:val="5F9D3902"/>
    <w:rsid w:val="5FCF261A"/>
    <w:rsid w:val="60247966"/>
    <w:rsid w:val="6028449B"/>
    <w:rsid w:val="602C7B6E"/>
    <w:rsid w:val="603801BB"/>
    <w:rsid w:val="603F0DF1"/>
    <w:rsid w:val="60B13CA3"/>
    <w:rsid w:val="611C6864"/>
    <w:rsid w:val="612421AE"/>
    <w:rsid w:val="61292232"/>
    <w:rsid w:val="616A6759"/>
    <w:rsid w:val="6176670E"/>
    <w:rsid w:val="61B95299"/>
    <w:rsid w:val="61D84114"/>
    <w:rsid w:val="61EC1DD9"/>
    <w:rsid w:val="61EF1618"/>
    <w:rsid w:val="620552D2"/>
    <w:rsid w:val="62284B60"/>
    <w:rsid w:val="623C1027"/>
    <w:rsid w:val="62854849"/>
    <w:rsid w:val="628B5E5B"/>
    <w:rsid w:val="62A019CE"/>
    <w:rsid w:val="62A82123"/>
    <w:rsid w:val="62AB167D"/>
    <w:rsid w:val="62B34977"/>
    <w:rsid w:val="62CC0050"/>
    <w:rsid w:val="62CC6472"/>
    <w:rsid w:val="62F6517E"/>
    <w:rsid w:val="63146B1C"/>
    <w:rsid w:val="636C0EF5"/>
    <w:rsid w:val="63756944"/>
    <w:rsid w:val="63C33CD7"/>
    <w:rsid w:val="6408287A"/>
    <w:rsid w:val="640935A1"/>
    <w:rsid w:val="64237073"/>
    <w:rsid w:val="64CE28D5"/>
    <w:rsid w:val="64CE4375"/>
    <w:rsid w:val="651F6E93"/>
    <w:rsid w:val="6523746B"/>
    <w:rsid w:val="653005C4"/>
    <w:rsid w:val="653B59DE"/>
    <w:rsid w:val="65762404"/>
    <w:rsid w:val="65E15E84"/>
    <w:rsid w:val="662966D5"/>
    <w:rsid w:val="66535BDD"/>
    <w:rsid w:val="66A10A78"/>
    <w:rsid w:val="66B94711"/>
    <w:rsid w:val="670D4F5E"/>
    <w:rsid w:val="675E59B4"/>
    <w:rsid w:val="678444D4"/>
    <w:rsid w:val="678C4E6A"/>
    <w:rsid w:val="68390741"/>
    <w:rsid w:val="685157DF"/>
    <w:rsid w:val="68521268"/>
    <w:rsid w:val="6876605A"/>
    <w:rsid w:val="688E1BB9"/>
    <w:rsid w:val="69007FDD"/>
    <w:rsid w:val="69145C6A"/>
    <w:rsid w:val="69231689"/>
    <w:rsid w:val="693A725B"/>
    <w:rsid w:val="6955083C"/>
    <w:rsid w:val="697435B0"/>
    <w:rsid w:val="69A5153A"/>
    <w:rsid w:val="69BB2B27"/>
    <w:rsid w:val="69DF390E"/>
    <w:rsid w:val="6A22716C"/>
    <w:rsid w:val="6A3677D3"/>
    <w:rsid w:val="6A383DBC"/>
    <w:rsid w:val="6A7A50C0"/>
    <w:rsid w:val="6A9A441C"/>
    <w:rsid w:val="6AA34C50"/>
    <w:rsid w:val="6AA90AA8"/>
    <w:rsid w:val="6AB26742"/>
    <w:rsid w:val="6AF036F4"/>
    <w:rsid w:val="6B1C1A0A"/>
    <w:rsid w:val="6B370954"/>
    <w:rsid w:val="6B3B2EC9"/>
    <w:rsid w:val="6B6D542A"/>
    <w:rsid w:val="6B7C375D"/>
    <w:rsid w:val="6B846FAC"/>
    <w:rsid w:val="6B8C4BA1"/>
    <w:rsid w:val="6B99345E"/>
    <w:rsid w:val="6BB71F44"/>
    <w:rsid w:val="6C1748A4"/>
    <w:rsid w:val="6C1A4636"/>
    <w:rsid w:val="6C2115ED"/>
    <w:rsid w:val="6C331860"/>
    <w:rsid w:val="6C9409AB"/>
    <w:rsid w:val="6CB264C8"/>
    <w:rsid w:val="6CCC1033"/>
    <w:rsid w:val="6D023176"/>
    <w:rsid w:val="6D13193B"/>
    <w:rsid w:val="6D327BAF"/>
    <w:rsid w:val="6D677CC9"/>
    <w:rsid w:val="6D7C1759"/>
    <w:rsid w:val="6D7F0C5B"/>
    <w:rsid w:val="6DBD0003"/>
    <w:rsid w:val="6DC2511D"/>
    <w:rsid w:val="6DF730CA"/>
    <w:rsid w:val="6E080C1A"/>
    <w:rsid w:val="6E3E4E25"/>
    <w:rsid w:val="6E430D24"/>
    <w:rsid w:val="6E5B4E2D"/>
    <w:rsid w:val="6EB02546"/>
    <w:rsid w:val="6EF55A96"/>
    <w:rsid w:val="6F6450A3"/>
    <w:rsid w:val="6F68184A"/>
    <w:rsid w:val="6FC17F30"/>
    <w:rsid w:val="701831E0"/>
    <w:rsid w:val="70431419"/>
    <w:rsid w:val="70806CC3"/>
    <w:rsid w:val="71036877"/>
    <w:rsid w:val="712B76C6"/>
    <w:rsid w:val="713700CC"/>
    <w:rsid w:val="714E299B"/>
    <w:rsid w:val="714F0C57"/>
    <w:rsid w:val="71D268FB"/>
    <w:rsid w:val="71ED77DF"/>
    <w:rsid w:val="71F011AB"/>
    <w:rsid w:val="72053B52"/>
    <w:rsid w:val="720930EC"/>
    <w:rsid w:val="72266E1E"/>
    <w:rsid w:val="7228696C"/>
    <w:rsid w:val="72470C0B"/>
    <w:rsid w:val="72496D2C"/>
    <w:rsid w:val="7251337B"/>
    <w:rsid w:val="725B1CB5"/>
    <w:rsid w:val="7315110B"/>
    <w:rsid w:val="739D0810"/>
    <w:rsid w:val="73A14C64"/>
    <w:rsid w:val="73B30004"/>
    <w:rsid w:val="73DA7F5D"/>
    <w:rsid w:val="73E74316"/>
    <w:rsid w:val="73F7239D"/>
    <w:rsid w:val="73FA60C7"/>
    <w:rsid w:val="742300DB"/>
    <w:rsid w:val="7434641A"/>
    <w:rsid w:val="74796BCA"/>
    <w:rsid w:val="74834A5B"/>
    <w:rsid w:val="74A1484D"/>
    <w:rsid w:val="74BB58F5"/>
    <w:rsid w:val="74CA4F72"/>
    <w:rsid w:val="74EA023B"/>
    <w:rsid w:val="74EC6047"/>
    <w:rsid w:val="75314977"/>
    <w:rsid w:val="755B449E"/>
    <w:rsid w:val="75752F7C"/>
    <w:rsid w:val="759F72F3"/>
    <w:rsid w:val="75CE4F96"/>
    <w:rsid w:val="761F68A2"/>
    <w:rsid w:val="76595867"/>
    <w:rsid w:val="76807F25"/>
    <w:rsid w:val="76810483"/>
    <w:rsid w:val="76B218A6"/>
    <w:rsid w:val="76B96002"/>
    <w:rsid w:val="76D42597"/>
    <w:rsid w:val="772D2C56"/>
    <w:rsid w:val="773E37FB"/>
    <w:rsid w:val="779C337E"/>
    <w:rsid w:val="77AE1B8C"/>
    <w:rsid w:val="77AE203F"/>
    <w:rsid w:val="77C364C0"/>
    <w:rsid w:val="77E07F67"/>
    <w:rsid w:val="77E7204E"/>
    <w:rsid w:val="780040B9"/>
    <w:rsid w:val="783842C9"/>
    <w:rsid w:val="785C0B47"/>
    <w:rsid w:val="78AE6287"/>
    <w:rsid w:val="78C31BBE"/>
    <w:rsid w:val="78DF0B08"/>
    <w:rsid w:val="791665C1"/>
    <w:rsid w:val="79493E90"/>
    <w:rsid w:val="79494912"/>
    <w:rsid w:val="79757761"/>
    <w:rsid w:val="79812963"/>
    <w:rsid w:val="798518FB"/>
    <w:rsid w:val="79876FEC"/>
    <w:rsid w:val="799740B7"/>
    <w:rsid w:val="79A05504"/>
    <w:rsid w:val="79B2382E"/>
    <w:rsid w:val="79F42801"/>
    <w:rsid w:val="7A006898"/>
    <w:rsid w:val="7A094F79"/>
    <w:rsid w:val="7A0C403F"/>
    <w:rsid w:val="7A115EBC"/>
    <w:rsid w:val="7A293BFF"/>
    <w:rsid w:val="7A3D2684"/>
    <w:rsid w:val="7A9D6F19"/>
    <w:rsid w:val="7B8D0F2A"/>
    <w:rsid w:val="7BA91035"/>
    <w:rsid w:val="7BC61133"/>
    <w:rsid w:val="7C1D17F6"/>
    <w:rsid w:val="7C2125B7"/>
    <w:rsid w:val="7C227B31"/>
    <w:rsid w:val="7C781C55"/>
    <w:rsid w:val="7C833AFF"/>
    <w:rsid w:val="7C975798"/>
    <w:rsid w:val="7CA103C5"/>
    <w:rsid w:val="7CA4122A"/>
    <w:rsid w:val="7CB404EA"/>
    <w:rsid w:val="7CC67EB6"/>
    <w:rsid w:val="7CF404F4"/>
    <w:rsid w:val="7D29489F"/>
    <w:rsid w:val="7D2A7753"/>
    <w:rsid w:val="7D3B3524"/>
    <w:rsid w:val="7D556687"/>
    <w:rsid w:val="7DA16847"/>
    <w:rsid w:val="7E1A0CC5"/>
    <w:rsid w:val="7E392711"/>
    <w:rsid w:val="7E696E79"/>
    <w:rsid w:val="7ED97A07"/>
    <w:rsid w:val="7EF56356"/>
    <w:rsid w:val="7F0D4482"/>
    <w:rsid w:val="7F363046"/>
    <w:rsid w:val="7F530467"/>
    <w:rsid w:val="7F7B2885"/>
    <w:rsid w:val="7F7F65CA"/>
    <w:rsid w:val="7F9363C7"/>
    <w:rsid w:val="7FB57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autoRedefine/>
    <w:qFormat/>
    <w:uiPriority w:val="0"/>
    <w:pPr>
      <w:keepNext/>
      <w:keepLines/>
      <w:spacing w:before="100" w:after="100"/>
      <w:jc w:val="center"/>
      <w:outlineLvl w:val="0"/>
    </w:pPr>
    <w:rPr>
      <w:b/>
      <w:bCs/>
      <w:kern w:val="44"/>
      <w:sz w:val="32"/>
      <w:szCs w:val="44"/>
    </w:rPr>
  </w:style>
  <w:style w:type="paragraph" w:styleId="3">
    <w:name w:val="heading 2"/>
    <w:basedOn w:val="1"/>
    <w:next w:val="4"/>
    <w:link w:val="52"/>
    <w:autoRedefine/>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1"/>
    <w:link w:val="54"/>
    <w:autoRedefine/>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link w:val="53"/>
    <w:autoRedefine/>
    <w:qFormat/>
    <w:uiPriority w:val="0"/>
    <w:pPr>
      <w:autoSpaceDE w:val="0"/>
      <w:autoSpaceDN w:val="0"/>
      <w:adjustRightInd w:val="0"/>
      <w:ind w:firstLine="420"/>
      <w:jc w:val="left"/>
    </w:pPr>
    <w:rPr>
      <w:rFonts w:ascii="宋体"/>
      <w:kern w:val="0"/>
      <w:sz w:val="24"/>
      <w:szCs w:val="20"/>
    </w:rPr>
  </w:style>
  <w:style w:type="paragraph" w:styleId="5">
    <w:name w:val="Plain Text"/>
    <w:basedOn w:val="1"/>
    <w:next w:val="1"/>
    <w:link w:val="51"/>
    <w:autoRedefine/>
    <w:qFormat/>
    <w:uiPriority w:val="99"/>
    <w:rPr>
      <w:rFonts w:ascii="宋体" w:hAnsi="Courier New"/>
      <w:kern w:val="0"/>
      <w:sz w:val="20"/>
      <w:szCs w:val="20"/>
    </w:rPr>
  </w:style>
  <w:style w:type="paragraph" w:styleId="7">
    <w:name w:val="Document Map"/>
    <w:basedOn w:val="1"/>
    <w:link w:val="56"/>
    <w:autoRedefine/>
    <w:qFormat/>
    <w:uiPriority w:val="0"/>
    <w:rPr>
      <w:rFonts w:ascii="宋体" w:hAnsi="Calibri"/>
      <w:kern w:val="0"/>
      <w:sz w:val="18"/>
      <w:szCs w:val="18"/>
    </w:rPr>
  </w:style>
  <w:style w:type="paragraph" w:styleId="8">
    <w:name w:val="annotation text"/>
    <w:basedOn w:val="1"/>
    <w:link w:val="59"/>
    <w:autoRedefine/>
    <w:qFormat/>
    <w:uiPriority w:val="99"/>
    <w:pPr>
      <w:jc w:val="left"/>
    </w:pPr>
    <w:rPr>
      <w:rFonts w:ascii="Calibri" w:hAnsi="Calibri"/>
      <w:kern w:val="0"/>
      <w:sz w:val="20"/>
    </w:rPr>
  </w:style>
  <w:style w:type="paragraph" w:styleId="9">
    <w:name w:val="Body Text"/>
    <w:basedOn w:val="1"/>
    <w:link w:val="57"/>
    <w:autoRedefine/>
    <w:qFormat/>
    <w:uiPriority w:val="0"/>
    <w:pPr>
      <w:tabs>
        <w:tab w:val="left" w:pos="567"/>
      </w:tabs>
      <w:spacing w:before="120" w:line="22" w:lineRule="atLeast"/>
    </w:pPr>
    <w:rPr>
      <w:rFonts w:ascii="宋体" w:hAnsi="宋体"/>
      <w:sz w:val="24"/>
    </w:rPr>
  </w:style>
  <w:style w:type="paragraph" w:styleId="10">
    <w:name w:val="Body Text Indent"/>
    <w:basedOn w:val="1"/>
    <w:next w:val="11"/>
    <w:link w:val="58"/>
    <w:autoRedefine/>
    <w:qFormat/>
    <w:uiPriority w:val="0"/>
    <w:pPr>
      <w:spacing w:after="120"/>
      <w:ind w:left="420" w:leftChars="200"/>
    </w:pPr>
  </w:style>
  <w:style w:type="paragraph" w:styleId="11">
    <w:name w:val="envelope return"/>
    <w:basedOn w:val="1"/>
    <w:autoRedefine/>
    <w:unhideWhenUsed/>
    <w:qFormat/>
    <w:uiPriority w:val="99"/>
    <w:pPr>
      <w:snapToGrid w:val="0"/>
    </w:pPr>
    <w:rPr>
      <w:rFonts w:ascii="Arial" w:hAnsi="Arial"/>
    </w:rPr>
  </w:style>
  <w:style w:type="paragraph" w:styleId="12">
    <w:name w:val="List Bullet 2"/>
    <w:basedOn w:val="1"/>
    <w:autoRedefine/>
    <w:semiHidden/>
    <w:unhideWhenUsed/>
    <w:qFormat/>
    <w:uiPriority w:val="99"/>
    <w:pPr>
      <w:numPr>
        <w:ilvl w:val="0"/>
        <w:numId w:val="1"/>
      </w:numPr>
    </w:pPr>
  </w:style>
  <w:style w:type="paragraph" w:styleId="13">
    <w:name w:val="toc 3"/>
    <w:basedOn w:val="1"/>
    <w:next w:val="1"/>
    <w:autoRedefine/>
    <w:qFormat/>
    <w:uiPriority w:val="39"/>
    <w:pPr>
      <w:spacing w:line="500" w:lineRule="exact"/>
      <w:ind w:left="400" w:leftChars="400"/>
    </w:pPr>
    <w:rPr>
      <w:sz w:val="24"/>
    </w:rPr>
  </w:style>
  <w:style w:type="paragraph" w:styleId="14">
    <w:name w:val="Date"/>
    <w:basedOn w:val="1"/>
    <w:next w:val="1"/>
    <w:link w:val="55"/>
    <w:autoRedefine/>
    <w:qFormat/>
    <w:uiPriority w:val="0"/>
    <w:pPr>
      <w:ind w:left="100" w:leftChars="2500"/>
    </w:pPr>
    <w:rPr>
      <w:rFonts w:ascii="Calibri" w:hAnsi="Calibri"/>
    </w:rPr>
  </w:style>
  <w:style w:type="paragraph" w:styleId="15">
    <w:name w:val="Body Text Indent 2"/>
    <w:basedOn w:val="1"/>
    <w:next w:val="1"/>
    <w:link w:val="48"/>
    <w:autoRedefine/>
    <w:qFormat/>
    <w:uiPriority w:val="0"/>
    <w:pPr>
      <w:spacing w:after="120" w:line="480" w:lineRule="auto"/>
      <w:ind w:left="420" w:leftChars="200"/>
    </w:pPr>
  </w:style>
  <w:style w:type="paragraph" w:styleId="16">
    <w:name w:val="Balloon Text"/>
    <w:basedOn w:val="1"/>
    <w:link w:val="49"/>
    <w:autoRedefine/>
    <w:unhideWhenUsed/>
    <w:qFormat/>
    <w:uiPriority w:val="99"/>
    <w:rPr>
      <w:sz w:val="18"/>
      <w:szCs w:val="18"/>
    </w:rPr>
  </w:style>
  <w:style w:type="paragraph" w:styleId="17">
    <w:name w:val="footer"/>
    <w:basedOn w:val="1"/>
    <w:link w:val="46"/>
    <w:autoRedefine/>
    <w:qFormat/>
    <w:uiPriority w:val="0"/>
    <w:pPr>
      <w:tabs>
        <w:tab w:val="center" w:pos="4153"/>
        <w:tab w:val="right" w:pos="8306"/>
      </w:tabs>
      <w:snapToGrid w:val="0"/>
      <w:jc w:val="left"/>
    </w:pPr>
    <w:rPr>
      <w:rFonts w:ascii="Calibri" w:hAnsi="Calibri"/>
      <w:sz w:val="18"/>
      <w:szCs w:val="18"/>
    </w:rPr>
  </w:style>
  <w:style w:type="paragraph" w:styleId="18">
    <w:name w:val="header"/>
    <w:basedOn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tabs>
        <w:tab w:val="left" w:pos="1260"/>
        <w:tab w:val="right" w:leader="dot" w:pos="9060"/>
      </w:tabs>
      <w:spacing w:line="500" w:lineRule="exact"/>
    </w:pPr>
    <w:rPr>
      <w:sz w:val="24"/>
    </w:rPr>
  </w:style>
  <w:style w:type="paragraph" w:styleId="20">
    <w:name w:val="toc 2"/>
    <w:basedOn w:val="1"/>
    <w:next w:val="1"/>
    <w:autoRedefine/>
    <w:qFormat/>
    <w:uiPriority w:val="39"/>
    <w:pPr>
      <w:spacing w:line="500" w:lineRule="exact"/>
      <w:ind w:left="200" w:leftChars="200"/>
    </w:pPr>
    <w:rPr>
      <w:sz w:val="24"/>
    </w:rPr>
  </w:style>
  <w:style w:type="paragraph" w:styleId="21">
    <w:name w:val="Normal (Web)"/>
    <w:basedOn w:val="1"/>
    <w:autoRedefine/>
    <w:qFormat/>
    <w:uiPriority w:val="0"/>
    <w:pPr>
      <w:spacing w:before="100" w:beforeAutospacing="1" w:after="100" w:afterAutospacing="1"/>
      <w:jc w:val="left"/>
    </w:pPr>
    <w:rPr>
      <w:kern w:val="0"/>
      <w:sz w:val="24"/>
    </w:rPr>
  </w:style>
  <w:style w:type="paragraph" w:styleId="22">
    <w:name w:val="index 1"/>
    <w:basedOn w:val="1"/>
    <w:next w:val="1"/>
    <w:autoRedefine/>
    <w:semiHidden/>
    <w:qFormat/>
    <w:uiPriority w:val="0"/>
    <w:rPr>
      <w:szCs w:val="20"/>
    </w:rPr>
  </w:style>
  <w:style w:type="paragraph" w:styleId="23">
    <w:name w:val="Title"/>
    <w:basedOn w:val="1"/>
    <w:next w:val="1"/>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4">
    <w:name w:val="annotation subject"/>
    <w:basedOn w:val="8"/>
    <w:next w:val="8"/>
    <w:link w:val="73"/>
    <w:autoRedefine/>
    <w:semiHidden/>
    <w:unhideWhenUsed/>
    <w:qFormat/>
    <w:uiPriority w:val="99"/>
    <w:rPr>
      <w:rFonts w:ascii="Times New Roman" w:hAnsi="Times New Roman"/>
      <w:b/>
      <w:bCs/>
      <w:kern w:val="2"/>
      <w:sz w:val="21"/>
    </w:rPr>
  </w:style>
  <w:style w:type="paragraph" w:styleId="25">
    <w:name w:val="Body Text First Indent"/>
    <w:qFormat/>
    <w:uiPriority w:val="0"/>
    <w:pPr>
      <w:widowControl w:val="0"/>
      <w:spacing w:after="120"/>
      <w:ind w:firstLine="420" w:firstLineChars="100"/>
      <w:jc w:val="both"/>
    </w:pPr>
    <w:rPr>
      <w:rFonts w:ascii="Times New Roman" w:hAnsi="Times New Roman" w:eastAsia="宋体" w:cs="Times New Roman"/>
      <w:kern w:val="2"/>
      <w:sz w:val="24"/>
      <w:szCs w:val="24"/>
      <w:lang w:val="en-US" w:eastAsia="zh-CN" w:bidi="ar-SA"/>
    </w:rPr>
  </w:style>
  <w:style w:type="paragraph" w:styleId="26">
    <w:name w:val="Body Text First Indent 2"/>
    <w:basedOn w:val="10"/>
    <w:next w:val="4"/>
    <w:link w:val="74"/>
    <w:autoRedefine/>
    <w:qFormat/>
    <w:uiPriority w:val="0"/>
    <w:pPr>
      <w:ind w:firstLine="420" w:firstLineChars="200"/>
    </w:pPr>
  </w:style>
  <w:style w:type="table" w:styleId="28">
    <w:name w:val="Table Grid"/>
    <w:basedOn w:val="2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page number"/>
    <w:basedOn w:val="29"/>
    <w:autoRedefine/>
    <w:qFormat/>
    <w:uiPriority w:val="0"/>
  </w:style>
  <w:style w:type="character" w:styleId="32">
    <w:name w:val="FollowedHyperlink"/>
    <w:basedOn w:val="29"/>
    <w:autoRedefine/>
    <w:qFormat/>
    <w:uiPriority w:val="0"/>
    <w:rPr>
      <w:color w:val="800080"/>
      <w:u w:val="single"/>
    </w:rPr>
  </w:style>
  <w:style w:type="character" w:styleId="33">
    <w:name w:val="Hyperlink"/>
    <w:basedOn w:val="29"/>
    <w:autoRedefine/>
    <w:qFormat/>
    <w:uiPriority w:val="99"/>
    <w:rPr>
      <w:color w:val="0000FF"/>
      <w:u w:val="single"/>
    </w:rPr>
  </w:style>
  <w:style w:type="character" w:styleId="34">
    <w:name w:val="annotation reference"/>
    <w:autoRedefine/>
    <w:semiHidden/>
    <w:qFormat/>
    <w:uiPriority w:val="99"/>
    <w:rPr>
      <w:sz w:val="21"/>
      <w:szCs w:val="21"/>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37">
    <w:name w:val="目录 72"/>
    <w:basedOn w:val="1"/>
    <w:next w:val="1"/>
    <w:autoRedefine/>
    <w:qFormat/>
    <w:uiPriority w:val="39"/>
    <w:pPr>
      <w:ind w:left="1260"/>
    </w:pPr>
    <w:rPr>
      <w:sz w:val="18"/>
    </w:rPr>
  </w:style>
  <w:style w:type="paragraph" w:customStyle="1" w:styleId="38">
    <w:name w:val="模板普通正文"/>
    <w:basedOn w:val="10"/>
    <w:autoRedefine/>
    <w:qFormat/>
    <w:uiPriority w:val="0"/>
    <w:pPr>
      <w:spacing w:beforeLines="50" w:after="10"/>
      <w:ind w:firstLine="490" w:firstLineChars="175"/>
      <w:jc w:val="left"/>
    </w:pPr>
  </w:style>
  <w:style w:type="character" w:customStyle="1" w:styleId="39">
    <w:name w:val="批注文字 Char1"/>
    <w:basedOn w:val="29"/>
    <w:autoRedefine/>
    <w:semiHidden/>
    <w:qFormat/>
    <w:uiPriority w:val="99"/>
    <w:rPr>
      <w:rFonts w:ascii="Times New Roman" w:hAnsi="Times New Roman" w:eastAsia="宋体" w:cs="Times New Roman"/>
      <w:szCs w:val="24"/>
    </w:rPr>
  </w:style>
  <w:style w:type="character" w:customStyle="1" w:styleId="40">
    <w:name w:val="样式（正文） Char"/>
    <w:link w:val="41"/>
    <w:autoRedefine/>
    <w:qFormat/>
    <w:locked/>
    <w:uiPriority w:val="0"/>
    <w:rPr>
      <w:rFonts w:ascii="宋体" w:hAnsi="宋体" w:eastAsia="宋体"/>
      <w:sz w:val="24"/>
    </w:rPr>
  </w:style>
  <w:style w:type="paragraph" w:customStyle="1" w:styleId="41">
    <w:name w:val="样式（正文）"/>
    <w:basedOn w:val="1"/>
    <w:link w:val="40"/>
    <w:autoRedefine/>
    <w:qFormat/>
    <w:uiPriority w:val="0"/>
    <w:pPr>
      <w:spacing w:line="360" w:lineRule="auto"/>
      <w:ind w:firstLine="200" w:firstLineChars="200"/>
    </w:pPr>
    <w:rPr>
      <w:rFonts w:ascii="宋体" w:hAnsi="宋体"/>
      <w:kern w:val="0"/>
      <w:sz w:val="24"/>
      <w:szCs w:val="20"/>
    </w:rPr>
  </w:style>
  <w:style w:type="character" w:customStyle="1" w:styleId="42">
    <w:name w:val="日期 Char1"/>
    <w:basedOn w:val="29"/>
    <w:autoRedefine/>
    <w:semiHidden/>
    <w:qFormat/>
    <w:uiPriority w:val="99"/>
    <w:rPr>
      <w:rFonts w:ascii="Times New Roman" w:hAnsi="Times New Roman" w:eastAsia="宋体" w:cs="Times New Roman"/>
      <w:szCs w:val="24"/>
    </w:rPr>
  </w:style>
  <w:style w:type="character" w:customStyle="1" w:styleId="43">
    <w:name w:val="纯文本 Char1"/>
    <w:basedOn w:val="29"/>
    <w:autoRedefine/>
    <w:semiHidden/>
    <w:qFormat/>
    <w:uiPriority w:val="99"/>
    <w:rPr>
      <w:rFonts w:ascii="宋体" w:hAnsi="Courier New" w:eastAsia="宋体" w:cs="Courier New"/>
      <w:szCs w:val="21"/>
    </w:rPr>
  </w:style>
  <w:style w:type="character" w:customStyle="1" w:styleId="44">
    <w:name w:val="页眉 字符"/>
    <w:basedOn w:val="29"/>
    <w:link w:val="18"/>
    <w:autoRedefine/>
    <w:qFormat/>
    <w:uiPriority w:val="0"/>
    <w:rPr>
      <w:rFonts w:ascii="Times New Roman" w:hAnsi="Times New Roman" w:eastAsia="宋体" w:cs="Times New Roman"/>
      <w:sz w:val="18"/>
      <w:szCs w:val="18"/>
    </w:rPr>
  </w:style>
  <w:style w:type="character" w:customStyle="1" w:styleId="45">
    <w:name w:val="页脚 Char"/>
    <w:basedOn w:val="29"/>
    <w:autoRedefine/>
    <w:qFormat/>
    <w:uiPriority w:val="0"/>
    <w:rPr>
      <w:sz w:val="18"/>
      <w:szCs w:val="18"/>
    </w:rPr>
  </w:style>
  <w:style w:type="character" w:customStyle="1" w:styleId="46">
    <w:name w:val="页脚 字符"/>
    <w:basedOn w:val="29"/>
    <w:link w:val="17"/>
    <w:autoRedefine/>
    <w:semiHidden/>
    <w:qFormat/>
    <w:uiPriority w:val="99"/>
    <w:rPr>
      <w:rFonts w:ascii="Times New Roman" w:hAnsi="Times New Roman" w:eastAsia="宋体" w:cs="Times New Roman"/>
      <w:sz w:val="18"/>
      <w:szCs w:val="18"/>
    </w:rPr>
  </w:style>
  <w:style w:type="character" w:customStyle="1" w:styleId="47">
    <w:name w:val="标题 1 字符"/>
    <w:basedOn w:val="29"/>
    <w:link w:val="2"/>
    <w:autoRedefine/>
    <w:qFormat/>
    <w:uiPriority w:val="0"/>
    <w:rPr>
      <w:rFonts w:ascii="Times New Roman" w:hAnsi="Times New Roman" w:eastAsia="宋体" w:cs="Times New Roman"/>
      <w:b/>
      <w:bCs/>
      <w:kern w:val="44"/>
      <w:sz w:val="32"/>
      <w:szCs w:val="44"/>
    </w:rPr>
  </w:style>
  <w:style w:type="character" w:customStyle="1" w:styleId="48">
    <w:name w:val="正文文本缩进 2 字符"/>
    <w:basedOn w:val="29"/>
    <w:link w:val="15"/>
    <w:autoRedefine/>
    <w:qFormat/>
    <w:uiPriority w:val="0"/>
    <w:rPr>
      <w:rFonts w:ascii="Times New Roman" w:hAnsi="Times New Roman" w:eastAsia="宋体" w:cs="Times New Roman"/>
      <w:szCs w:val="24"/>
    </w:rPr>
  </w:style>
  <w:style w:type="character" w:customStyle="1" w:styleId="49">
    <w:name w:val="批注框文本 字符"/>
    <w:basedOn w:val="29"/>
    <w:link w:val="16"/>
    <w:autoRedefine/>
    <w:semiHidden/>
    <w:qFormat/>
    <w:uiPriority w:val="99"/>
    <w:rPr>
      <w:rFonts w:ascii="Times New Roman" w:hAnsi="Times New Roman" w:eastAsia="宋体" w:cs="Times New Roman"/>
      <w:sz w:val="18"/>
      <w:szCs w:val="18"/>
    </w:rPr>
  </w:style>
  <w:style w:type="character" w:customStyle="1" w:styleId="50">
    <w:name w:val="文档结构图 Char1"/>
    <w:basedOn w:val="29"/>
    <w:autoRedefine/>
    <w:semiHidden/>
    <w:qFormat/>
    <w:uiPriority w:val="99"/>
    <w:rPr>
      <w:rFonts w:ascii="宋体" w:hAnsi="Times New Roman" w:eastAsia="宋体" w:cs="Times New Roman"/>
      <w:sz w:val="18"/>
      <w:szCs w:val="18"/>
    </w:rPr>
  </w:style>
  <w:style w:type="character" w:customStyle="1" w:styleId="51">
    <w:name w:val="纯文本 字符"/>
    <w:link w:val="5"/>
    <w:autoRedefine/>
    <w:qFormat/>
    <w:uiPriority w:val="99"/>
    <w:rPr>
      <w:rFonts w:ascii="宋体" w:hAnsi="Courier New"/>
    </w:rPr>
  </w:style>
  <w:style w:type="character" w:customStyle="1" w:styleId="52">
    <w:name w:val="标题 2 字符"/>
    <w:basedOn w:val="29"/>
    <w:link w:val="3"/>
    <w:autoRedefine/>
    <w:qFormat/>
    <w:uiPriority w:val="0"/>
    <w:rPr>
      <w:rFonts w:ascii="Arial" w:hAnsi="Arial" w:eastAsia="宋体" w:cs="Times New Roman"/>
      <w:b/>
      <w:kern w:val="0"/>
      <w:sz w:val="32"/>
      <w:szCs w:val="20"/>
    </w:rPr>
  </w:style>
  <w:style w:type="character" w:customStyle="1" w:styleId="53">
    <w:name w:val="正文缩进 字符"/>
    <w:link w:val="4"/>
    <w:autoRedefine/>
    <w:qFormat/>
    <w:uiPriority w:val="0"/>
    <w:rPr>
      <w:rFonts w:ascii="宋体" w:hAnsi="Times New Roman" w:eastAsia="宋体" w:cs="Times New Roman"/>
      <w:kern w:val="0"/>
      <w:sz w:val="24"/>
      <w:szCs w:val="20"/>
    </w:rPr>
  </w:style>
  <w:style w:type="character" w:customStyle="1" w:styleId="54">
    <w:name w:val="标题 3 字符"/>
    <w:basedOn w:val="29"/>
    <w:link w:val="6"/>
    <w:autoRedefine/>
    <w:qFormat/>
    <w:uiPriority w:val="0"/>
    <w:rPr>
      <w:rFonts w:ascii="宋体" w:hAnsi="Times New Roman" w:eastAsia="宋体" w:cs="Times New Roman"/>
      <w:b/>
      <w:kern w:val="0"/>
      <w:sz w:val="24"/>
      <w:szCs w:val="20"/>
    </w:rPr>
  </w:style>
  <w:style w:type="character" w:customStyle="1" w:styleId="55">
    <w:name w:val="日期 字符"/>
    <w:basedOn w:val="29"/>
    <w:link w:val="14"/>
    <w:autoRedefine/>
    <w:qFormat/>
    <w:uiPriority w:val="0"/>
    <w:rPr>
      <w:szCs w:val="24"/>
    </w:rPr>
  </w:style>
  <w:style w:type="character" w:customStyle="1" w:styleId="56">
    <w:name w:val="文档结构图 字符"/>
    <w:link w:val="7"/>
    <w:autoRedefine/>
    <w:qFormat/>
    <w:uiPriority w:val="0"/>
    <w:rPr>
      <w:rFonts w:ascii="宋体" w:eastAsia="宋体"/>
      <w:sz w:val="18"/>
      <w:szCs w:val="18"/>
    </w:rPr>
  </w:style>
  <w:style w:type="character" w:customStyle="1" w:styleId="57">
    <w:name w:val="正文文本 字符"/>
    <w:basedOn w:val="29"/>
    <w:link w:val="9"/>
    <w:autoRedefine/>
    <w:qFormat/>
    <w:uiPriority w:val="0"/>
    <w:rPr>
      <w:rFonts w:ascii="宋体" w:hAnsi="宋体" w:eastAsia="宋体" w:cs="Times New Roman"/>
      <w:sz w:val="24"/>
      <w:szCs w:val="24"/>
    </w:rPr>
  </w:style>
  <w:style w:type="character" w:customStyle="1" w:styleId="58">
    <w:name w:val="正文文本缩进 字符"/>
    <w:basedOn w:val="29"/>
    <w:link w:val="10"/>
    <w:autoRedefine/>
    <w:qFormat/>
    <w:uiPriority w:val="0"/>
    <w:rPr>
      <w:rFonts w:ascii="Times New Roman" w:hAnsi="Times New Roman" w:eastAsia="宋体" w:cs="Times New Roman"/>
      <w:szCs w:val="24"/>
    </w:rPr>
  </w:style>
  <w:style w:type="character" w:customStyle="1" w:styleId="59">
    <w:name w:val="批注文字 字符"/>
    <w:link w:val="8"/>
    <w:autoRedefine/>
    <w:qFormat/>
    <w:uiPriority w:val="99"/>
    <w:rPr>
      <w:rFonts w:eastAsia="宋体"/>
      <w:szCs w:val="24"/>
    </w:rPr>
  </w:style>
  <w:style w:type="paragraph" w:customStyle="1" w:styleId="60">
    <w:name w:val="样式 标题 2 + 段后: 156 磅"/>
    <w:basedOn w:val="3"/>
    <w:autoRedefine/>
    <w:qFormat/>
    <w:uiPriority w:val="0"/>
    <w:pPr>
      <w:spacing w:before="100" w:after="100" w:line="240" w:lineRule="auto"/>
    </w:pPr>
    <w:rPr>
      <w:rFonts w:cs="宋体"/>
      <w:bCs/>
      <w:sz w:val="30"/>
    </w:rPr>
  </w:style>
  <w:style w:type="paragraph" w:customStyle="1" w:styleId="61">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表文"/>
    <w:basedOn w:val="1"/>
    <w:autoRedefine/>
    <w:qFormat/>
    <w:uiPriority w:val="0"/>
    <w:rPr>
      <w:rFonts w:ascii="宋体" w:hAnsi="宋体" w:cs="宋体"/>
      <w:color w:val="000000"/>
      <w:kern w:val="0"/>
      <w:szCs w:val="21"/>
    </w:rPr>
  </w:style>
  <w:style w:type="paragraph" w:customStyle="1" w:styleId="63">
    <w:name w:val="Char Char1"/>
    <w:basedOn w:val="1"/>
    <w:autoRedefine/>
    <w:qFormat/>
    <w:uiPriority w:val="0"/>
    <w:rPr>
      <w:szCs w:val="20"/>
    </w:rPr>
  </w:style>
  <w:style w:type="paragraph" w:customStyle="1" w:styleId="64">
    <w:name w:val="p0"/>
    <w:basedOn w:val="1"/>
    <w:autoRedefine/>
    <w:qFormat/>
    <w:uiPriority w:val="0"/>
    <w:pPr>
      <w:widowControl/>
      <w:snapToGrid w:val="0"/>
      <w:spacing w:after="200"/>
      <w:jc w:val="left"/>
    </w:pPr>
    <w:rPr>
      <w:rFonts w:ascii="Tahoma" w:hAnsi="Tahoma" w:cs="Tahoma"/>
      <w:kern w:val="0"/>
      <w:sz w:val="22"/>
      <w:szCs w:val="22"/>
    </w:rPr>
  </w:style>
  <w:style w:type="paragraph" w:customStyle="1" w:styleId="65">
    <w:name w:val="样式1"/>
    <w:basedOn w:val="6"/>
    <w:autoRedefine/>
    <w:qFormat/>
    <w:uiPriority w:val="0"/>
    <w:pPr>
      <w:jc w:val="center"/>
    </w:pPr>
  </w:style>
  <w:style w:type="paragraph" w:customStyle="1" w:styleId="66">
    <w:name w:val="Char"/>
    <w:basedOn w:val="1"/>
    <w:autoRedefine/>
    <w:qFormat/>
    <w:uiPriority w:val="0"/>
    <w:pPr>
      <w:tabs>
        <w:tab w:val="left" w:pos="432"/>
      </w:tabs>
      <w:spacing w:beforeLines="50" w:afterLines="50"/>
      <w:ind w:left="864" w:hanging="432"/>
    </w:pPr>
    <w:rPr>
      <w:sz w:val="24"/>
    </w:rPr>
  </w:style>
  <w:style w:type="paragraph" w:customStyle="1" w:styleId="67">
    <w:name w:val="Char2"/>
    <w:basedOn w:val="1"/>
    <w:next w:val="1"/>
    <w:autoRedefine/>
    <w:qFormat/>
    <w:uiPriority w:val="0"/>
    <w:pPr>
      <w:widowControl/>
      <w:spacing w:line="360" w:lineRule="auto"/>
      <w:jc w:val="left"/>
    </w:pPr>
    <w:rPr>
      <w:kern w:val="0"/>
      <w:szCs w:val="20"/>
      <w:lang w:eastAsia="en-US"/>
    </w:rPr>
  </w:style>
  <w:style w:type="paragraph" w:customStyle="1" w:styleId="68">
    <w:name w:val="Char11"/>
    <w:basedOn w:val="1"/>
    <w:autoRedefine/>
    <w:qFormat/>
    <w:uiPriority w:val="0"/>
    <w:rPr>
      <w:rFonts w:ascii="Tahoma" w:hAnsi="Tahoma"/>
      <w:sz w:val="24"/>
      <w:szCs w:val="20"/>
    </w:rPr>
  </w:style>
  <w:style w:type="paragraph" w:customStyle="1" w:styleId="69">
    <w:name w:val="Char1"/>
    <w:basedOn w:val="1"/>
    <w:autoRedefine/>
    <w:qFormat/>
    <w:uiPriority w:val="0"/>
    <w:rPr>
      <w:rFonts w:ascii="Tahoma" w:hAnsi="Tahoma"/>
      <w:sz w:val="24"/>
      <w:szCs w:val="20"/>
    </w:rPr>
  </w:style>
  <w:style w:type="paragraph" w:customStyle="1" w:styleId="70">
    <w:name w:val="Char Char11"/>
    <w:basedOn w:val="1"/>
    <w:autoRedefine/>
    <w:qFormat/>
    <w:uiPriority w:val="0"/>
  </w:style>
  <w:style w:type="paragraph" w:customStyle="1" w:styleId="7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2">
    <w:name w:val="列出段落1"/>
    <w:basedOn w:val="1"/>
    <w:autoRedefine/>
    <w:qFormat/>
    <w:uiPriority w:val="0"/>
    <w:pPr>
      <w:ind w:firstLine="420" w:firstLineChars="200"/>
    </w:pPr>
    <w:rPr>
      <w:rFonts w:ascii="Calibri" w:hAnsi="Calibri"/>
      <w:szCs w:val="22"/>
    </w:rPr>
  </w:style>
  <w:style w:type="character" w:customStyle="1" w:styleId="73">
    <w:name w:val="批注主题 字符"/>
    <w:basedOn w:val="59"/>
    <w:link w:val="24"/>
    <w:autoRedefine/>
    <w:semiHidden/>
    <w:qFormat/>
    <w:uiPriority w:val="99"/>
    <w:rPr>
      <w:rFonts w:ascii="Times New Roman" w:hAnsi="Times New Roman" w:eastAsia="宋体"/>
      <w:b/>
      <w:bCs/>
      <w:kern w:val="2"/>
      <w:sz w:val="21"/>
      <w:szCs w:val="24"/>
    </w:rPr>
  </w:style>
  <w:style w:type="character" w:customStyle="1" w:styleId="74">
    <w:name w:val="正文文本首行缩进 2 字符"/>
    <w:basedOn w:val="58"/>
    <w:link w:val="26"/>
    <w:autoRedefine/>
    <w:qFormat/>
    <w:uiPriority w:val="0"/>
    <w:rPr>
      <w:rFonts w:ascii="Times New Roman" w:hAnsi="Times New Roman" w:eastAsia="宋体" w:cs="Times New Roman"/>
      <w:kern w:val="2"/>
      <w:sz w:val="21"/>
      <w:szCs w:val="24"/>
    </w:rPr>
  </w:style>
  <w:style w:type="character" w:customStyle="1" w:styleId="75">
    <w:name w:val="font21"/>
    <w:basedOn w:val="29"/>
    <w:autoRedefine/>
    <w:qFormat/>
    <w:uiPriority w:val="0"/>
    <w:rPr>
      <w:rFonts w:hint="eastAsia" w:ascii="宋体" w:hAnsi="宋体" w:eastAsia="宋体" w:cs="宋体"/>
      <w:color w:val="000000"/>
      <w:sz w:val="36"/>
      <w:szCs w:val="36"/>
      <w:u w:val="none"/>
    </w:rPr>
  </w:style>
  <w:style w:type="paragraph" w:customStyle="1" w:styleId="76">
    <w:name w:val="表格文字"/>
    <w:basedOn w:val="1"/>
    <w:next w:val="9"/>
    <w:autoRedefine/>
    <w:qFormat/>
    <w:uiPriority w:val="0"/>
    <w:pPr>
      <w:adjustRightInd w:val="0"/>
      <w:spacing w:line="360" w:lineRule="auto"/>
      <w:ind w:firstLine="200" w:firstLineChars="200"/>
      <w:jc w:val="left"/>
      <w:textAlignment w:val="baseline"/>
    </w:pPr>
    <w:rPr>
      <w:rFonts w:ascii="Arial" w:hAnsi="Arial"/>
      <w:kern w:val="0"/>
      <w:sz w:val="24"/>
    </w:rPr>
  </w:style>
  <w:style w:type="table" w:customStyle="1" w:styleId="77">
    <w:name w:val="Table Normal"/>
    <w:autoRedefine/>
    <w:unhideWhenUsed/>
    <w:qFormat/>
    <w:uiPriority w:val="0"/>
    <w:tblPr>
      <w:tblCellMar>
        <w:top w:w="0" w:type="dxa"/>
        <w:left w:w="0" w:type="dxa"/>
        <w:bottom w:w="0" w:type="dxa"/>
        <w:right w:w="0" w:type="dxa"/>
      </w:tblCellMar>
    </w:tblPr>
  </w:style>
  <w:style w:type="paragraph" w:customStyle="1" w:styleId="78">
    <w:name w:val="ÕýÎÄ"/>
    <w:autoRedefine/>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sz w:val="22"/>
      <w:lang w:val="en-US" w:eastAsia="zh-CN" w:bidi="ar-SA"/>
    </w:rPr>
  </w:style>
  <w:style w:type="character" w:customStyle="1" w:styleId="79">
    <w:name w:val="font41"/>
    <w:basedOn w:val="29"/>
    <w:qFormat/>
    <w:uiPriority w:val="0"/>
    <w:rPr>
      <w:rFonts w:hint="eastAsia" w:ascii="宋体" w:hAnsi="宋体" w:eastAsia="宋体" w:cs="宋体"/>
      <w:b/>
      <w:bCs/>
      <w:color w:val="000000"/>
      <w:sz w:val="28"/>
      <w:szCs w:val="28"/>
      <w:u w:val="none"/>
    </w:rPr>
  </w:style>
  <w:style w:type="character" w:customStyle="1" w:styleId="80">
    <w:name w:val="font31"/>
    <w:basedOn w:val="29"/>
    <w:autoRedefine/>
    <w:qFormat/>
    <w:uiPriority w:val="0"/>
    <w:rPr>
      <w:rFonts w:hint="eastAsia" w:ascii="宋体" w:hAnsi="宋体" w:eastAsia="宋体" w:cs="宋体"/>
      <w:color w:val="000000"/>
      <w:sz w:val="28"/>
      <w:szCs w:val="28"/>
      <w:u w:val="none"/>
    </w:rPr>
  </w:style>
  <w:style w:type="character" w:customStyle="1" w:styleId="81">
    <w:name w:val="font51"/>
    <w:basedOn w:val="29"/>
    <w:autoRedefine/>
    <w:qFormat/>
    <w:uiPriority w:val="0"/>
    <w:rPr>
      <w:rFonts w:hint="eastAsia" w:ascii="宋体" w:hAnsi="宋体" w:eastAsia="宋体" w:cs="宋体"/>
      <w:color w:val="E54C5E"/>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1634</Words>
  <Characters>1896</Characters>
  <Lines>1</Lines>
  <Paragraphs>1</Paragraphs>
  <TotalTime>31</TotalTime>
  <ScaleCrop>false</ScaleCrop>
  <LinksUpToDate>false</LinksUpToDate>
  <CharactersWithSpaces>2026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2018-07-09T00:22:00Z</dcterms:created>
  <dc:creator>admin</dc:creator>
  <cp:lastModifiedBy>w</cp:lastModifiedBy>
  <cp:lastPrinted>2024-12-30T01:31:00Z</cp:lastPrinted>
  <dcterms:modified xsi:type="dcterms:W3CDTF">2026-04-14T00:12:30Z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6291FFD886C24B5588F21F1F62A73A52_13</vt:lpwstr>
  </property>
  <property fmtid="{D5CDD505-2E9C-101B-9397-08002B2CF9AE}" pid="4" name="KSOTemplateDocerSaveRecord">
    <vt:lpwstr>eyJoZGlkIjoiODg5OTFhMDZlNTRlMDA0MmIxOWM3MTZhYWRlMmFjYWMiLCJ1c2VySWQiOiI1MDM3OTU2NDYifQ==</vt:lpwstr>
  </property>
</Properties>
</file>