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8758">
      <w:pPr>
        <w:spacing w:line="360" w:lineRule="auto"/>
        <w:jc w:val="center"/>
        <w:rPr>
          <w:rFonts w:hint="default" w:ascii="宋体" w:hAnsi="宋体" w:cs="宋体"/>
          <w:b/>
          <w:bCs/>
          <w:snapToGrid w:val="0"/>
          <w:color w:val="auto"/>
          <w:kern w:val="0"/>
          <w:sz w:val="44"/>
          <w:szCs w:val="44"/>
          <w:highlight w:val="none"/>
          <w:lang w:val="en-US" w:eastAsia="zh-CN"/>
        </w:rPr>
      </w:pPr>
      <w:r>
        <w:rPr>
          <w:rFonts w:hint="eastAsia" w:ascii="宋体" w:hAnsi="宋体" w:cs="宋体"/>
          <w:b/>
          <w:bCs/>
          <w:snapToGrid w:val="0"/>
          <w:color w:val="auto"/>
          <w:kern w:val="0"/>
          <w:sz w:val="44"/>
          <w:szCs w:val="44"/>
          <w:highlight w:val="none"/>
          <w:lang w:val="en-US" w:eastAsia="zh-CN"/>
        </w:rPr>
        <w:t>皖河新港一期综合办公楼企业文化设计及施工方案项目</w:t>
      </w:r>
    </w:p>
    <w:p w14:paraId="558A8B2F">
      <w:pPr>
        <w:pStyle w:val="38"/>
        <w:rPr>
          <w:rFonts w:hint="eastAsia"/>
          <w:color w:val="auto"/>
          <w:highlight w:val="none"/>
        </w:rPr>
      </w:pPr>
    </w:p>
    <w:p w14:paraId="5D784902">
      <w:pPr>
        <w:pStyle w:val="38"/>
        <w:rPr>
          <w:rFonts w:hint="eastAsia"/>
          <w:color w:val="auto"/>
          <w:highlight w:val="none"/>
        </w:rPr>
      </w:pPr>
    </w:p>
    <w:p w14:paraId="451BAD80">
      <w:pPr>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lang w:val="en-US" w:eastAsia="zh-CN"/>
        </w:rPr>
        <w:t>比</w:t>
      </w:r>
      <w:r>
        <w:rPr>
          <w:rFonts w:hint="eastAsia" w:ascii="宋体" w:hAnsi="宋体" w:cs="宋体"/>
          <w:b/>
          <w:color w:val="auto"/>
          <w:sz w:val="72"/>
          <w:szCs w:val="72"/>
          <w:highlight w:val="none"/>
        </w:rPr>
        <w:t xml:space="preserve"> </w:t>
      </w:r>
      <w:r>
        <w:rPr>
          <w:rFonts w:hint="eastAsia" w:ascii="宋体" w:hAnsi="宋体" w:cs="宋体"/>
          <w:b/>
          <w:color w:val="auto"/>
          <w:sz w:val="72"/>
          <w:szCs w:val="72"/>
          <w:highlight w:val="none"/>
          <w:lang w:val="en-US" w:eastAsia="zh-CN"/>
        </w:rPr>
        <w:t>选</w:t>
      </w:r>
      <w:r>
        <w:rPr>
          <w:rFonts w:hint="eastAsia" w:ascii="宋体" w:hAnsi="宋体" w:cs="宋体"/>
          <w:b/>
          <w:color w:val="auto"/>
          <w:sz w:val="72"/>
          <w:szCs w:val="72"/>
          <w:highlight w:val="none"/>
        </w:rPr>
        <w:t xml:space="preserve"> 文 件</w:t>
      </w:r>
    </w:p>
    <w:p w14:paraId="300E4618">
      <w:pPr>
        <w:spacing w:line="360" w:lineRule="auto"/>
        <w:jc w:val="center"/>
        <w:rPr>
          <w:rFonts w:ascii="宋体" w:hAnsi="宋体" w:cs="宋体"/>
          <w:b/>
          <w:color w:val="auto"/>
          <w:sz w:val="96"/>
          <w:szCs w:val="96"/>
          <w:highlight w:val="none"/>
        </w:rPr>
      </w:pPr>
    </w:p>
    <w:p w14:paraId="6373567C">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AQJK-CG-2026-024</w:t>
      </w:r>
    </w:p>
    <w:p w14:paraId="2E991122">
      <w:pPr>
        <w:spacing w:line="360" w:lineRule="auto"/>
        <w:rPr>
          <w:rFonts w:ascii="宋体" w:hAnsi="宋体" w:cs="宋体"/>
          <w:b/>
          <w:color w:val="auto"/>
          <w:sz w:val="24"/>
          <w:highlight w:val="none"/>
        </w:rPr>
      </w:pPr>
    </w:p>
    <w:p w14:paraId="3E1CCC14">
      <w:pPr>
        <w:spacing w:line="360" w:lineRule="auto"/>
        <w:rPr>
          <w:rFonts w:ascii="宋体" w:hAnsi="宋体" w:cs="宋体"/>
          <w:b/>
          <w:color w:val="auto"/>
          <w:sz w:val="24"/>
          <w:highlight w:val="none"/>
        </w:rPr>
      </w:pPr>
    </w:p>
    <w:p w14:paraId="4FBCE6B3">
      <w:pPr>
        <w:spacing w:line="360" w:lineRule="auto"/>
        <w:rPr>
          <w:rFonts w:ascii="宋体" w:hAnsi="宋体" w:cs="宋体"/>
          <w:b/>
          <w:color w:val="auto"/>
          <w:sz w:val="24"/>
          <w:highlight w:val="none"/>
        </w:rPr>
      </w:pPr>
    </w:p>
    <w:p w14:paraId="73C7F25E">
      <w:pPr>
        <w:spacing w:line="360" w:lineRule="auto"/>
        <w:rPr>
          <w:rFonts w:ascii="宋体" w:hAnsi="宋体" w:cs="宋体"/>
          <w:b/>
          <w:color w:val="auto"/>
          <w:sz w:val="24"/>
          <w:highlight w:val="none"/>
        </w:rPr>
      </w:pPr>
    </w:p>
    <w:p w14:paraId="0BF4B709">
      <w:pPr>
        <w:spacing w:line="360" w:lineRule="auto"/>
        <w:rPr>
          <w:rFonts w:ascii="宋体" w:hAnsi="宋体" w:cs="宋体"/>
          <w:b/>
          <w:color w:val="auto"/>
          <w:sz w:val="24"/>
          <w:highlight w:val="none"/>
        </w:rPr>
      </w:pPr>
    </w:p>
    <w:p w14:paraId="25EEA431">
      <w:pPr>
        <w:spacing w:line="360" w:lineRule="auto"/>
        <w:rPr>
          <w:rFonts w:ascii="宋体" w:hAnsi="宋体" w:cs="宋体"/>
          <w:b/>
          <w:color w:val="auto"/>
          <w:sz w:val="24"/>
          <w:highlight w:val="none"/>
        </w:rPr>
      </w:pPr>
    </w:p>
    <w:p w14:paraId="3EAD62C3">
      <w:pPr>
        <w:spacing w:line="360" w:lineRule="auto"/>
        <w:rPr>
          <w:rFonts w:ascii="宋体" w:hAnsi="宋体" w:cs="宋体"/>
          <w:b/>
          <w:color w:val="auto"/>
          <w:sz w:val="24"/>
          <w:highlight w:val="none"/>
        </w:rPr>
      </w:pPr>
    </w:p>
    <w:p w14:paraId="012228EE">
      <w:pPr>
        <w:spacing w:line="360" w:lineRule="auto"/>
        <w:ind w:firstLine="596" w:firstLineChars="198"/>
        <w:rPr>
          <w:rFonts w:hint="default" w:ascii="宋体" w:hAnsi="宋体" w:eastAsia="宋体" w:cs="宋体"/>
          <w:b/>
          <w:color w:val="auto"/>
          <w:sz w:val="24"/>
          <w:highlight w:val="none"/>
          <w:u w:val="single"/>
          <w:lang w:val="en-US" w:eastAsia="zh-CN"/>
        </w:rPr>
      </w:pPr>
      <w:r>
        <w:rPr>
          <w:rFonts w:hint="eastAsia" w:ascii="宋体" w:hAnsi="宋体" w:cs="宋体"/>
          <w:b/>
          <w:color w:val="auto"/>
          <w:sz w:val="30"/>
          <w:szCs w:val="30"/>
          <w:highlight w:val="none"/>
          <w:lang w:val="en-US" w:eastAsia="zh-CN"/>
        </w:rPr>
        <w:t>采</w:t>
      </w:r>
      <w:r>
        <w:rPr>
          <w:rFonts w:hint="eastAsia" w:ascii="宋体" w:hAnsi="宋体" w:cs="宋体"/>
          <w:b/>
          <w:color w:val="auto"/>
          <w:sz w:val="30"/>
          <w:szCs w:val="30"/>
          <w:highlight w:val="none"/>
        </w:rPr>
        <w:t xml:space="preserve">   </w:t>
      </w:r>
      <w:r>
        <w:rPr>
          <w:rFonts w:hint="eastAsia" w:ascii="宋体" w:hAnsi="宋体" w:cs="宋体"/>
          <w:b/>
          <w:color w:val="auto"/>
          <w:sz w:val="30"/>
          <w:szCs w:val="30"/>
          <w:highlight w:val="none"/>
          <w:lang w:val="en-US" w:eastAsia="zh-CN"/>
        </w:rPr>
        <w:t>购</w:t>
      </w:r>
      <w:r>
        <w:rPr>
          <w:rFonts w:hint="eastAsia" w:ascii="宋体" w:hAnsi="宋体" w:cs="宋体"/>
          <w:b/>
          <w:color w:val="auto"/>
          <w:sz w:val="30"/>
          <w:szCs w:val="30"/>
          <w:highlight w:val="none"/>
        </w:rPr>
        <w:t xml:space="preserve">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安庆市安汇港务有限公司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pacing w:val="20"/>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24E7FBC3">
      <w:pPr>
        <w:spacing w:line="360" w:lineRule="auto"/>
        <w:rPr>
          <w:rFonts w:ascii="宋体" w:hAnsi="宋体" w:cs="宋体"/>
          <w:b/>
          <w:color w:val="auto"/>
          <w:sz w:val="24"/>
          <w:highlight w:val="none"/>
          <w:u w:val="single"/>
        </w:rPr>
      </w:pPr>
    </w:p>
    <w:p w14:paraId="245C83A6">
      <w:pPr>
        <w:spacing w:line="360" w:lineRule="auto"/>
        <w:rPr>
          <w:rFonts w:ascii="宋体" w:hAnsi="宋体" w:cs="宋体"/>
          <w:b/>
          <w:color w:val="auto"/>
          <w:sz w:val="24"/>
          <w:highlight w:val="none"/>
          <w:u w:val="single"/>
        </w:rPr>
      </w:pPr>
    </w:p>
    <w:p w14:paraId="398E1F6C">
      <w:pPr>
        <w:pStyle w:val="27"/>
        <w:rPr>
          <w:color w:val="auto"/>
          <w:highlight w:val="none"/>
        </w:rPr>
      </w:pPr>
    </w:p>
    <w:p w14:paraId="148E2F12">
      <w:pPr>
        <w:spacing w:line="360" w:lineRule="auto"/>
        <w:jc w:val="center"/>
        <w:rPr>
          <w:rFonts w:ascii="宋体" w:hAnsi="宋体" w:cs="宋体"/>
          <w:b/>
          <w:color w:val="auto"/>
          <w:spacing w:val="40"/>
          <w:sz w:val="30"/>
          <w:szCs w:val="30"/>
          <w:highlight w:val="none"/>
        </w:rPr>
      </w:pPr>
    </w:p>
    <w:p w14:paraId="20847C70">
      <w:pPr>
        <w:spacing w:line="360" w:lineRule="auto"/>
        <w:jc w:val="center"/>
        <w:rPr>
          <w:rFonts w:hint="eastAsia" w:ascii="宋体" w:hAnsi="宋体" w:eastAsia="宋体" w:cs="仿宋_GB2312"/>
          <w:b/>
          <w:color w:val="auto"/>
          <w:sz w:val="30"/>
          <w:szCs w:val="30"/>
          <w:highlight w:val="none"/>
          <w:u w:val="none"/>
          <w:lang w:val="en-US" w:eastAsia="zh-CN"/>
        </w:rPr>
      </w:pPr>
      <w:r>
        <w:rPr>
          <w:rFonts w:hint="eastAsia" w:ascii="宋体" w:hAnsi="宋体" w:eastAsia="宋体" w:cs="仿宋_GB2312"/>
          <w:b/>
          <w:color w:val="auto"/>
          <w:sz w:val="30"/>
          <w:szCs w:val="30"/>
          <w:highlight w:val="none"/>
          <w:u w:val="none"/>
          <w:lang w:val="en-US" w:eastAsia="zh-CN"/>
        </w:rPr>
        <w:t>安庆市交通控股集团有限公司集采中心</w:t>
      </w:r>
    </w:p>
    <w:p w14:paraId="016BCAF9">
      <w:pPr>
        <w:spacing w:line="360" w:lineRule="auto"/>
        <w:jc w:val="center"/>
        <w:rPr>
          <w:rFonts w:hint="eastAsia" w:ascii="宋体" w:hAnsi="宋体" w:eastAsia="宋体" w:cs="仿宋_GB2312"/>
          <w:b/>
          <w:color w:val="auto"/>
          <w:sz w:val="30"/>
          <w:szCs w:val="30"/>
          <w:highlight w:val="none"/>
          <w:u w:val="none"/>
          <w:lang w:val="en-US" w:eastAsia="zh-CN"/>
        </w:rPr>
      </w:pPr>
    </w:p>
    <w:p w14:paraId="33C3DE6B">
      <w:pPr>
        <w:spacing w:line="360" w:lineRule="auto"/>
        <w:jc w:val="center"/>
        <w:rPr>
          <w:rFonts w:ascii="宋体" w:hAnsi="宋体" w:cs="宋体"/>
          <w:color w:val="auto"/>
          <w:sz w:val="32"/>
          <w:szCs w:val="32"/>
          <w:highlight w:val="none"/>
          <w:u w:val="single"/>
        </w:rPr>
      </w:pPr>
    </w:p>
    <w:p w14:paraId="152BF75F">
      <w:pPr>
        <w:pStyle w:val="10"/>
        <w:rPr>
          <w:color w:val="auto"/>
          <w:highlight w:val="none"/>
        </w:rPr>
      </w:pPr>
    </w:p>
    <w:p w14:paraId="1A5D07AF">
      <w:pPr>
        <w:widowControl/>
        <w:spacing w:line="480" w:lineRule="auto"/>
        <w:jc w:val="center"/>
        <w:rPr>
          <w:rFonts w:hint="eastAsia" w:ascii="宋体" w:hAnsi="宋体" w:cs="宋体"/>
          <w:color w:val="auto"/>
          <w:sz w:val="32"/>
          <w:szCs w:val="32"/>
          <w:highlight w:val="none"/>
          <w:u w:val="none"/>
          <w:lang w:val="en-US" w:eastAsia="zh-CN"/>
        </w:rPr>
      </w:pPr>
      <w:r>
        <w:rPr>
          <w:rFonts w:hint="eastAsia" w:ascii="宋体" w:hAnsi="宋体" w:cs="宋体"/>
          <w:color w:val="auto"/>
          <w:sz w:val="32"/>
          <w:szCs w:val="32"/>
          <w:highlight w:val="none"/>
          <w:u w:val="none"/>
          <w:lang w:val="en-US" w:eastAsia="zh-CN"/>
        </w:rPr>
        <w:t>二〇二六年三月</w:t>
      </w:r>
    </w:p>
    <w:p w14:paraId="21EEB528">
      <w:pPr>
        <w:widowControl/>
        <w:spacing w:line="480" w:lineRule="auto"/>
        <w:jc w:val="both"/>
        <w:rPr>
          <w:rFonts w:hint="eastAsia" w:ascii="黑体" w:hAnsi="黑体" w:eastAsia="黑体" w:cs="宋体"/>
          <w:b/>
          <w:color w:val="auto"/>
          <w:kern w:val="0"/>
          <w:sz w:val="32"/>
          <w:szCs w:val="32"/>
          <w:highlight w:val="none"/>
        </w:rPr>
        <w:sectPr>
          <w:headerReference r:id="rId3" w:type="default"/>
          <w:pgSz w:w="11906" w:h="16838"/>
          <w:pgMar w:top="1418" w:right="1418" w:bottom="1418" w:left="1418" w:header="680" w:footer="680" w:gutter="0"/>
          <w:pgNumType w:fmt="decimal" w:start="1"/>
          <w:cols w:space="720" w:num="1"/>
          <w:docGrid w:type="lines" w:linePitch="312" w:charSpace="0"/>
        </w:sectPr>
      </w:pPr>
    </w:p>
    <w:p w14:paraId="2D2C7491">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ascii="宋体" w:hAnsi="宋体"/>
          <w:b/>
          <w:color w:val="auto"/>
          <w:sz w:val="44"/>
          <w:szCs w:val="44"/>
          <w:highlight w:val="none"/>
        </w:rPr>
      </w:pPr>
      <w:r>
        <w:rPr>
          <w:rFonts w:hint="eastAsia" w:ascii="宋体" w:hAnsi="宋体"/>
          <w:b/>
          <w:color w:val="auto"/>
          <w:sz w:val="44"/>
          <w:szCs w:val="44"/>
          <w:highlight w:val="none"/>
        </w:rPr>
        <w:t>目   录</w:t>
      </w:r>
    </w:p>
    <w:p w14:paraId="24A70786">
      <w:pPr>
        <w:pStyle w:val="21"/>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asciiTheme="minorHAnsi" w:hAnsiTheme="minorHAnsi" w:eastAsiaTheme="minorEastAsia" w:cstheme="minorBidi"/>
          <w:color w:val="auto"/>
          <w:sz w:val="30"/>
          <w:szCs w:val="30"/>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sz w:val="30"/>
          <w:szCs w:val="30"/>
          <w:highlight w:val="none"/>
        </w:rPr>
        <w:fldChar w:fldCharType="begin"/>
      </w:r>
      <w:r>
        <w:rPr>
          <w:color w:val="auto"/>
          <w:sz w:val="30"/>
          <w:szCs w:val="30"/>
          <w:highlight w:val="none"/>
        </w:rPr>
        <w:instrText xml:space="preserve"> HYPERLINK \l "_Toc4481589" </w:instrText>
      </w:r>
      <w:r>
        <w:rPr>
          <w:color w:val="auto"/>
          <w:sz w:val="30"/>
          <w:szCs w:val="30"/>
          <w:highlight w:val="none"/>
        </w:rPr>
        <w:fldChar w:fldCharType="separate"/>
      </w:r>
      <w:r>
        <w:rPr>
          <w:rStyle w:val="34"/>
          <w:rFonts w:hint="eastAsia"/>
          <w:color w:val="auto"/>
          <w:sz w:val="30"/>
          <w:szCs w:val="30"/>
          <w:highlight w:val="none"/>
        </w:rPr>
        <w:t>第一章</w:t>
      </w:r>
      <w:r>
        <w:rPr>
          <w:rFonts w:asciiTheme="minorHAnsi" w:hAnsiTheme="minorHAnsi" w:eastAsiaTheme="minorEastAsia" w:cstheme="minorBidi"/>
          <w:color w:val="auto"/>
          <w:sz w:val="30"/>
          <w:szCs w:val="30"/>
          <w:highlight w:val="none"/>
        </w:rPr>
        <w:tab/>
      </w:r>
      <w:r>
        <w:rPr>
          <w:rStyle w:val="34"/>
          <w:rFonts w:hint="eastAsia" w:eastAsiaTheme="minorEastAsia"/>
          <w:color w:val="auto"/>
          <w:sz w:val="30"/>
          <w:szCs w:val="30"/>
          <w:highlight w:val="none"/>
          <w:lang w:eastAsia="zh-CN"/>
        </w:rPr>
        <w:t>比选公告</w:t>
      </w:r>
      <w:r>
        <w:rPr>
          <w:color w:val="auto"/>
          <w:sz w:val="30"/>
          <w:szCs w:val="30"/>
          <w:highlight w:val="none"/>
        </w:rPr>
        <w:tab/>
      </w:r>
      <w:r>
        <w:rPr>
          <w:rFonts w:hint="eastAsia"/>
          <w:color w:val="auto"/>
          <w:sz w:val="30"/>
          <w:szCs w:val="30"/>
          <w:highlight w:val="none"/>
          <w:lang w:val="en-US" w:eastAsia="zh-CN"/>
        </w:rPr>
        <w:t>1</w:t>
      </w:r>
      <w:r>
        <w:rPr>
          <w:color w:val="auto"/>
          <w:sz w:val="30"/>
          <w:szCs w:val="30"/>
          <w:highlight w:val="none"/>
        </w:rPr>
        <w:fldChar w:fldCharType="end"/>
      </w:r>
    </w:p>
    <w:p w14:paraId="1C9FEAAF">
      <w:pPr>
        <w:pStyle w:val="21"/>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asciiTheme="minorHAnsi" w:hAnsiTheme="minorHAnsi" w:eastAsiaTheme="minorEastAsia" w:cstheme="minorBidi"/>
          <w:color w:val="auto"/>
          <w:sz w:val="30"/>
          <w:szCs w:val="30"/>
          <w:highlight w:val="none"/>
        </w:rPr>
      </w:pPr>
      <w:r>
        <w:rPr>
          <w:color w:val="auto"/>
          <w:sz w:val="30"/>
          <w:szCs w:val="30"/>
          <w:highlight w:val="none"/>
        </w:rPr>
        <w:fldChar w:fldCharType="begin"/>
      </w:r>
      <w:r>
        <w:rPr>
          <w:color w:val="auto"/>
          <w:sz w:val="30"/>
          <w:szCs w:val="30"/>
          <w:highlight w:val="none"/>
        </w:rPr>
        <w:instrText xml:space="preserve"> HYPERLINK \l "_Toc4481590" </w:instrText>
      </w:r>
      <w:r>
        <w:rPr>
          <w:color w:val="auto"/>
          <w:sz w:val="30"/>
          <w:szCs w:val="30"/>
          <w:highlight w:val="none"/>
        </w:rPr>
        <w:fldChar w:fldCharType="separate"/>
      </w:r>
      <w:r>
        <w:rPr>
          <w:rStyle w:val="34"/>
          <w:rFonts w:hint="eastAsia"/>
          <w:color w:val="auto"/>
          <w:sz w:val="30"/>
          <w:szCs w:val="30"/>
          <w:highlight w:val="none"/>
        </w:rPr>
        <w:t>第二章</w:t>
      </w:r>
      <w:r>
        <w:rPr>
          <w:rFonts w:asciiTheme="minorHAnsi" w:hAnsiTheme="minorHAnsi" w:eastAsiaTheme="minorEastAsia" w:cstheme="minorBidi"/>
          <w:color w:val="auto"/>
          <w:sz w:val="30"/>
          <w:szCs w:val="30"/>
          <w:highlight w:val="none"/>
        </w:rPr>
        <w:tab/>
      </w:r>
      <w:r>
        <w:rPr>
          <w:rStyle w:val="34"/>
          <w:rFonts w:hint="eastAsia" w:eastAsiaTheme="minorEastAsia"/>
          <w:color w:val="auto"/>
          <w:sz w:val="30"/>
          <w:szCs w:val="30"/>
          <w:highlight w:val="none"/>
          <w:lang w:eastAsia="zh-CN"/>
        </w:rPr>
        <w:t>参选人</w:t>
      </w:r>
      <w:r>
        <w:rPr>
          <w:rStyle w:val="34"/>
          <w:rFonts w:hint="eastAsia"/>
          <w:color w:val="auto"/>
          <w:sz w:val="30"/>
          <w:szCs w:val="30"/>
          <w:highlight w:val="none"/>
        </w:rPr>
        <w:t>须知</w:t>
      </w:r>
      <w:r>
        <w:rPr>
          <w:color w:val="auto"/>
          <w:sz w:val="30"/>
          <w:szCs w:val="30"/>
          <w:highlight w:val="none"/>
        </w:rPr>
        <w:tab/>
      </w:r>
      <w:r>
        <w:rPr>
          <w:rFonts w:hint="eastAsia"/>
          <w:color w:val="auto"/>
          <w:sz w:val="30"/>
          <w:szCs w:val="30"/>
          <w:highlight w:val="none"/>
          <w:lang w:val="en-US" w:eastAsia="zh-CN"/>
        </w:rPr>
        <w:t>5</w:t>
      </w:r>
      <w:r>
        <w:rPr>
          <w:color w:val="auto"/>
          <w:sz w:val="30"/>
          <w:szCs w:val="30"/>
          <w:highlight w:val="none"/>
        </w:rPr>
        <w:fldChar w:fldCharType="end"/>
      </w:r>
    </w:p>
    <w:p w14:paraId="526DCAC3">
      <w:pPr>
        <w:pStyle w:val="21"/>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"_Toc4481598" </w:instrText>
      </w:r>
      <w:r>
        <w:rPr>
          <w:color w:val="auto"/>
          <w:sz w:val="30"/>
          <w:szCs w:val="30"/>
          <w:highlight w:val="none"/>
        </w:rPr>
        <w:fldChar w:fldCharType="separate"/>
      </w:r>
      <w:r>
        <w:rPr>
          <w:rStyle w:val="34"/>
          <w:rFonts w:hint="eastAsia"/>
          <w:color w:val="auto"/>
          <w:sz w:val="30"/>
          <w:szCs w:val="30"/>
          <w:highlight w:val="none"/>
        </w:rPr>
        <w:t>第三章</w:t>
      </w:r>
      <w:r>
        <w:rPr>
          <w:rFonts w:asciiTheme="minorHAnsi" w:hAnsiTheme="minorHAnsi" w:eastAsiaTheme="minorEastAsia" w:cstheme="minorBidi"/>
          <w:color w:val="auto"/>
          <w:sz w:val="30"/>
          <w:szCs w:val="30"/>
          <w:highlight w:val="none"/>
        </w:rPr>
        <w:tab/>
      </w:r>
      <w:r>
        <w:rPr>
          <w:rStyle w:val="34"/>
          <w:rFonts w:hint="eastAsia" w:eastAsiaTheme="minorEastAsia"/>
          <w:color w:val="auto"/>
          <w:sz w:val="30"/>
          <w:szCs w:val="30"/>
          <w:highlight w:val="none"/>
          <w:lang w:eastAsia="zh-CN"/>
        </w:rPr>
        <w:t>服务需求</w:t>
      </w:r>
      <w:r>
        <w:rPr>
          <w:rStyle w:val="34"/>
          <w:rFonts w:hint="eastAsia"/>
          <w:color w:val="auto"/>
          <w:sz w:val="30"/>
          <w:szCs w:val="30"/>
          <w:highlight w:val="none"/>
        </w:rPr>
        <w:t>及技术要求</w:t>
      </w:r>
      <w:r>
        <w:rPr>
          <w:color w:val="auto"/>
          <w:sz w:val="30"/>
          <w:szCs w:val="30"/>
          <w:highlight w:val="none"/>
        </w:rPr>
        <w:tab/>
      </w:r>
      <w:r>
        <w:rPr>
          <w:rFonts w:hint="eastAsia"/>
          <w:color w:val="auto"/>
          <w:sz w:val="30"/>
          <w:szCs w:val="30"/>
          <w:highlight w:val="none"/>
          <w:lang w:val="en-US" w:eastAsia="zh-CN"/>
        </w:rPr>
        <w:t>1</w:t>
      </w:r>
      <w:r>
        <w:rPr>
          <w:color w:val="auto"/>
          <w:sz w:val="30"/>
          <w:szCs w:val="30"/>
          <w:highlight w:val="none"/>
        </w:rPr>
        <w:fldChar w:fldCharType="end"/>
      </w:r>
      <w:r>
        <w:rPr>
          <w:rFonts w:hint="eastAsia"/>
          <w:color w:val="auto"/>
          <w:sz w:val="30"/>
          <w:szCs w:val="30"/>
          <w:highlight w:val="none"/>
          <w:lang w:val="en-US" w:eastAsia="zh-CN"/>
        </w:rPr>
        <w:t>7</w:t>
      </w:r>
    </w:p>
    <w:p w14:paraId="3A2BE53F">
      <w:pPr>
        <w:pStyle w:val="21"/>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"_Toc4481599" </w:instrText>
      </w:r>
      <w:r>
        <w:rPr>
          <w:color w:val="auto"/>
          <w:sz w:val="30"/>
          <w:szCs w:val="30"/>
          <w:highlight w:val="none"/>
        </w:rPr>
        <w:fldChar w:fldCharType="separate"/>
      </w:r>
      <w:r>
        <w:rPr>
          <w:rStyle w:val="34"/>
          <w:rFonts w:hint="eastAsia"/>
          <w:color w:val="auto"/>
          <w:sz w:val="30"/>
          <w:szCs w:val="30"/>
          <w:highlight w:val="none"/>
        </w:rPr>
        <w:t>第四章</w:t>
      </w:r>
      <w:r>
        <w:rPr>
          <w:rFonts w:asciiTheme="minorHAnsi" w:hAnsiTheme="minorHAnsi" w:eastAsiaTheme="minorEastAsia" w:cstheme="minorBidi"/>
          <w:color w:val="auto"/>
          <w:sz w:val="30"/>
          <w:szCs w:val="30"/>
          <w:highlight w:val="none"/>
        </w:rPr>
        <w:tab/>
      </w:r>
      <w:r>
        <w:rPr>
          <w:rStyle w:val="34"/>
          <w:rFonts w:hint="eastAsia"/>
          <w:color w:val="auto"/>
          <w:sz w:val="30"/>
          <w:szCs w:val="30"/>
          <w:highlight w:val="none"/>
        </w:rPr>
        <w:t>合同主要条款</w:t>
      </w:r>
      <w:r>
        <w:rPr>
          <w:color w:val="auto"/>
          <w:sz w:val="30"/>
          <w:szCs w:val="30"/>
          <w:highlight w:val="none"/>
        </w:rPr>
        <w:tab/>
      </w:r>
      <w:r>
        <w:rPr>
          <w:rFonts w:hint="eastAsia"/>
          <w:color w:val="auto"/>
          <w:sz w:val="30"/>
          <w:szCs w:val="30"/>
          <w:highlight w:val="none"/>
          <w:lang w:val="en-US" w:eastAsia="zh-CN"/>
        </w:rPr>
        <w:t>1</w:t>
      </w:r>
      <w:r>
        <w:rPr>
          <w:color w:val="auto"/>
          <w:sz w:val="30"/>
          <w:szCs w:val="30"/>
          <w:highlight w:val="none"/>
        </w:rPr>
        <w:fldChar w:fldCharType="end"/>
      </w:r>
      <w:r>
        <w:rPr>
          <w:rFonts w:hint="eastAsia"/>
          <w:color w:val="auto"/>
          <w:sz w:val="30"/>
          <w:szCs w:val="30"/>
          <w:highlight w:val="none"/>
          <w:lang w:val="en-US" w:eastAsia="zh-CN"/>
        </w:rPr>
        <w:t>8</w:t>
      </w:r>
    </w:p>
    <w:p w14:paraId="74B5A6F1">
      <w:pPr>
        <w:pStyle w:val="21"/>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default" w:eastAsia="宋体" w:asciiTheme="minorHAnsi" w:hAnsiTheme="minorHAnsi" w:cstheme="minorBidi"/>
          <w:color w:val="auto"/>
          <w:sz w:val="30"/>
          <w:szCs w:val="30"/>
          <w:highlight w:val="none"/>
          <w:lang w:val="en-US" w:eastAsia="zh-CN"/>
        </w:rPr>
      </w:pPr>
      <w:r>
        <w:rPr>
          <w:color w:val="auto"/>
          <w:sz w:val="30"/>
          <w:szCs w:val="30"/>
          <w:highlight w:val="none"/>
        </w:rPr>
        <w:fldChar w:fldCharType="begin"/>
      </w:r>
      <w:r>
        <w:rPr>
          <w:color w:val="auto"/>
          <w:sz w:val="30"/>
          <w:szCs w:val="30"/>
          <w:highlight w:val="none"/>
        </w:rPr>
        <w:instrText xml:space="preserve"> HYPERLINK \l "_Toc4481600" </w:instrText>
      </w:r>
      <w:r>
        <w:rPr>
          <w:color w:val="auto"/>
          <w:sz w:val="30"/>
          <w:szCs w:val="30"/>
          <w:highlight w:val="none"/>
        </w:rPr>
        <w:fldChar w:fldCharType="separate"/>
      </w:r>
      <w:r>
        <w:rPr>
          <w:rStyle w:val="34"/>
          <w:rFonts w:hint="eastAsia"/>
          <w:color w:val="auto"/>
          <w:sz w:val="30"/>
          <w:szCs w:val="30"/>
          <w:highlight w:val="none"/>
        </w:rPr>
        <w:t>第五章</w:t>
      </w:r>
      <w:r>
        <w:rPr>
          <w:rFonts w:asciiTheme="minorHAnsi" w:hAnsiTheme="minorHAnsi" w:eastAsiaTheme="minorEastAsia" w:cstheme="minorBidi"/>
          <w:color w:val="auto"/>
          <w:sz w:val="30"/>
          <w:szCs w:val="30"/>
          <w:highlight w:val="none"/>
        </w:rPr>
        <w:tab/>
      </w:r>
      <w:r>
        <w:rPr>
          <w:rStyle w:val="34"/>
          <w:rFonts w:hint="eastAsia" w:eastAsiaTheme="minorEastAsia"/>
          <w:color w:val="auto"/>
          <w:sz w:val="30"/>
          <w:szCs w:val="30"/>
          <w:highlight w:val="none"/>
          <w:lang w:eastAsia="zh-CN"/>
        </w:rPr>
        <w:t>参选文件</w:t>
      </w:r>
      <w:r>
        <w:rPr>
          <w:rStyle w:val="34"/>
          <w:rFonts w:hint="eastAsia"/>
          <w:color w:val="auto"/>
          <w:sz w:val="30"/>
          <w:szCs w:val="30"/>
          <w:highlight w:val="none"/>
        </w:rPr>
        <w:t>格式</w:t>
      </w:r>
      <w:r>
        <w:rPr>
          <w:color w:val="auto"/>
          <w:sz w:val="30"/>
          <w:szCs w:val="30"/>
          <w:highlight w:val="none"/>
        </w:rPr>
        <w:tab/>
      </w:r>
      <w:r>
        <w:rPr>
          <w:color w:val="auto"/>
          <w:sz w:val="30"/>
          <w:szCs w:val="30"/>
          <w:highlight w:val="none"/>
        </w:rPr>
        <w:fldChar w:fldCharType="end"/>
      </w:r>
      <w:r>
        <w:rPr>
          <w:rFonts w:hint="eastAsia"/>
          <w:color w:val="auto"/>
          <w:sz w:val="30"/>
          <w:szCs w:val="30"/>
          <w:highlight w:val="none"/>
          <w:lang w:val="en-US" w:eastAsia="zh-CN"/>
        </w:rPr>
        <w:t>20</w:t>
      </w:r>
    </w:p>
    <w:p w14:paraId="0D33D3D7">
      <w:pPr>
        <w:pStyle w:val="22"/>
        <w:tabs>
          <w:tab w:val="right" w:leader="dot" w:pos="9060"/>
        </w:tabs>
        <w:ind w:left="420"/>
        <w:rPr>
          <w:rFonts w:asciiTheme="minorHAnsi" w:hAnsiTheme="minorHAnsi" w:eastAsiaTheme="minorEastAsia" w:cstheme="minorBidi"/>
          <w:color w:val="auto"/>
          <w:sz w:val="21"/>
          <w:szCs w:val="22"/>
          <w:highlight w:val="none"/>
        </w:rPr>
      </w:pPr>
    </w:p>
    <w:p w14:paraId="73A56AA6">
      <w:pPr>
        <w:pStyle w:val="15"/>
        <w:tabs>
          <w:tab w:val="right" w:leader="dot" w:pos="9060"/>
        </w:tabs>
        <w:ind w:left="0" w:leftChars="0"/>
        <w:rPr>
          <w:rFonts w:ascii="宋体" w:hAnsi="宋体"/>
          <w:color w:val="auto"/>
          <w:highlight w:val="none"/>
        </w:rPr>
      </w:pPr>
      <w:r>
        <w:rPr>
          <w:rFonts w:ascii="宋体" w:hAnsi="宋体"/>
          <w:color w:val="auto"/>
          <w:highlight w:val="none"/>
        </w:rPr>
        <w:fldChar w:fldCharType="end"/>
      </w:r>
    </w:p>
    <w:p w14:paraId="3C5FFF72">
      <w:pPr>
        <w:pStyle w:val="15"/>
        <w:tabs>
          <w:tab w:val="right" w:leader="dot" w:pos="9060"/>
        </w:tabs>
        <w:ind w:left="0" w:leftChars="0"/>
        <w:rPr>
          <w:rFonts w:ascii="宋体" w:hAnsi="宋体"/>
          <w:color w:val="auto"/>
          <w:highlight w:val="none"/>
        </w:rPr>
      </w:pPr>
    </w:p>
    <w:p w14:paraId="566EA7A1">
      <w:pPr>
        <w:rPr>
          <w:color w:val="auto"/>
          <w:highlight w:val="none"/>
        </w:rPr>
      </w:pPr>
    </w:p>
    <w:p w14:paraId="7865704D">
      <w:pPr>
        <w:rPr>
          <w:color w:val="auto"/>
          <w:highlight w:val="none"/>
        </w:rPr>
      </w:pPr>
    </w:p>
    <w:p w14:paraId="1A32AE9C">
      <w:pPr>
        <w:rPr>
          <w:color w:val="auto"/>
          <w:highlight w:val="none"/>
        </w:rPr>
      </w:pPr>
    </w:p>
    <w:p w14:paraId="5F11A480">
      <w:pPr>
        <w:rPr>
          <w:color w:val="auto"/>
          <w:highlight w:val="none"/>
        </w:rPr>
      </w:pPr>
    </w:p>
    <w:p w14:paraId="7B168F76">
      <w:pPr>
        <w:widowControl/>
        <w:snapToGrid w:val="0"/>
        <w:rPr>
          <w:rFonts w:ascii="宋体" w:hAnsi="宋体" w:cs="Tahoma"/>
          <w:b/>
          <w:bCs/>
          <w:color w:val="auto"/>
          <w:kern w:val="0"/>
          <w:sz w:val="10"/>
          <w:szCs w:val="10"/>
          <w:highlight w:val="none"/>
        </w:rPr>
        <w:sectPr>
          <w:headerReference r:id="rId4" w:type="default"/>
          <w:footerReference r:id="rId5" w:type="default"/>
          <w:pgSz w:w="11906" w:h="16838"/>
          <w:pgMar w:top="1418" w:right="1418" w:bottom="1418" w:left="1418" w:header="680" w:footer="680" w:gutter="0"/>
          <w:pgNumType w:fmt="decimal" w:start="1"/>
          <w:cols w:space="720" w:num="1"/>
          <w:docGrid w:type="lines" w:linePitch="312" w:charSpace="0"/>
        </w:sectPr>
      </w:pPr>
    </w:p>
    <w:p w14:paraId="33FFFE22">
      <w:pPr>
        <w:jc w:val="center"/>
        <w:rPr>
          <w:rFonts w:hint="eastAsia" w:asciiTheme="majorEastAsia" w:hAnsiTheme="majorEastAsia" w:eastAsiaTheme="majorEastAsia" w:cstheme="majorEastAsia"/>
          <w:b/>
          <w:bCs/>
          <w:color w:val="auto"/>
          <w:sz w:val="32"/>
          <w:szCs w:val="40"/>
          <w:highlight w:val="none"/>
          <w:lang w:val="en-US" w:eastAsia="zh-CN"/>
        </w:rPr>
      </w:pPr>
      <w:r>
        <w:rPr>
          <w:rFonts w:hint="default" w:ascii="Times New Roman" w:hAnsi="Times New Roman" w:eastAsia="宋体" w:cs="Times New Roman"/>
          <w:b/>
          <w:bCs/>
          <w:color w:val="auto"/>
          <w:kern w:val="44"/>
          <w:sz w:val="32"/>
          <w:szCs w:val="44"/>
          <w:highlight w:val="none"/>
          <w:lang w:val="en-US" w:eastAsia="zh-CN" w:bidi="ar-SA"/>
        </w:rPr>
        <w:t>第一章</w:t>
      </w:r>
      <w:r>
        <w:rPr>
          <w:rFonts w:hint="eastAsia" w:cs="Times New Roman"/>
          <w:b/>
          <w:bCs/>
          <w:color w:val="auto"/>
          <w:kern w:val="44"/>
          <w:sz w:val="32"/>
          <w:szCs w:val="44"/>
          <w:highlight w:val="none"/>
          <w:lang w:val="en-US" w:eastAsia="zh-CN" w:bidi="ar-SA"/>
        </w:rPr>
        <w:t xml:space="preserve"> </w:t>
      </w:r>
      <w:r>
        <w:rPr>
          <w:rFonts w:hint="eastAsia" w:asciiTheme="majorEastAsia" w:hAnsiTheme="majorEastAsia" w:eastAsiaTheme="majorEastAsia" w:cstheme="majorEastAsia"/>
          <w:b/>
          <w:bCs/>
          <w:color w:val="auto"/>
          <w:sz w:val="32"/>
          <w:szCs w:val="40"/>
          <w:highlight w:val="none"/>
          <w:lang w:val="en-US" w:eastAsia="zh-CN"/>
        </w:rPr>
        <w:t>皖河新港一期综合办公楼企业文化设计及施工方案项目</w:t>
      </w:r>
    </w:p>
    <w:p w14:paraId="5258CAF4">
      <w:pPr>
        <w:jc w:val="center"/>
        <w:rPr>
          <w:rFonts w:hint="eastAsia" w:asciiTheme="majorEastAsia" w:hAnsiTheme="majorEastAsia" w:eastAsiaTheme="majorEastAsia" w:cstheme="majorEastAsia"/>
          <w:b/>
          <w:bCs/>
          <w:color w:val="auto"/>
          <w:sz w:val="32"/>
          <w:szCs w:val="40"/>
          <w:highlight w:val="none"/>
          <w:lang w:val="en-US" w:eastAsia="zh-CN"/>
        </w:rPr>
      </w:pPr>
      <w:r>
        <w:rPr>
          <w:rFonts w:hint="eastAsia" w:asciiTheme="majorEastAsia" w:hAnsiTheme="majorEastAsia" w:eastAsiaTheme="majorEastAsia" w:cstheme="majorEastAsia"/>
          <w:b/>
          <w:bCs/>
          <w:color w:val="auto"/>
          <w:sz w:val="32"/>
          <w:szCs w:val="40"/>
          <w:highlight w:val="none"/>
          <w:lang w:val="en-US" w:eastAsia="zh-CN"/>
        </w:rPr>
        <w:t>比选公告</w:t>
      </w:r>
    </w:p>
    <w:p w14:paraId="7D963464">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仿宋" w:hAnsi="仿宋" w:eastAsia="仿宋"/>
          <w:color w:val="auto"/>
          <w:sz w:val="28"/>
          <w:szCs w:val="28"/>
          <w:highlight w:val="none"/>
          <w:lang w:eastAsia="zh-CN"/>
        </w:rPr>
        <w:t>安庆市交通控股集团有限公司集采中心</w:t>
      </w:r>
      <w:r>
        <w:rPr>
          <w:rFonts w:hint="eastAsia" w:ascii="仿宋" w:hAnsi="仿宋" w:eastAsia="仿宋"/>
          <w:color w:val="auto"/>
          <w:sz w:val="28"/>
          <w:szCs w:val="28"/>
          <w:highlight w:val="none"/>
        </w:rPr>
        <w:t>受</w:t>
      </w:r>
      <w:r>
        <w:rPr>
          <w:rFonts w:hint="eastAsia" w:ascii="仿宋" w:hAnsi="仿宋" w:eastAsia="仿宋"/>
          <w:color w:val="auto"/>
          <w:sz w:val="28"/>
          <w:szCs w:val="28"/>
          <w:highlight w:val="none"/>
          <w:lang w:val="en-US" w:eastAsia="zh-CN"/>
        </w:rPr>
        <w:t>安庆市安汇港务有限公司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val="en-US" w:eastAsia="zh-CN"/>
        </w:rPr>
        <w:t>皖河新港一期综合办公楼企业文化设计及施工方案项目</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AQJK-CG-2026-024</w:t>
      </w:r>
      <w:r>
        <w:rPr>
          <w:rFonts w:hint="eastAsia" w:ascii="仿宋" w:hAnsi="仿宋" w:eastAsia="仿宋"/>
          <w:color w:val="auto"/>
          <w:sz w:val="28"/>
          <w:szCs w:val="28"/>
          <w:highlight w:val="none"/>
        </w:rPr>
        <w:t>）进行比选。</w:t>
      </w:r>
    </w:p>
    <w:p w14:paraId="319CE913">
      <w:pPr>
        <w:spacing w:line="480" w:lineRule="atLeast"/>
        <w:ind w:firstLine="560" w:firstLineChars="200"/>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一、项目基本情况：</w:t>
      </w:r>
    </w:p>
    <w:p w14:paraId="47153AF3">
      <w:pPr>
        <w:ind w:firstLine="565" w:firstLineChars="202"/>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皖河新港一期综合办公楼企业文化设计及施工方案项目</w:t>
      </w:r>
    </w:p>
    <w:p w14:paraId="196AE594">
      <w:pPr>
        <w:ind w:firstLine="565" w:firstLineChars="202"/>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最高投标限价：</w:t>
      </w:r>
      <w:r>
        <w:rPr>
          <w:rFonts w:hint="eastAsia" w:ascii="仿宋" w:hAnsi="仿宋" w:eastAsia="仿宋"/>
          <w:color w:val="auto"/>
          <w:sz w:val="28"/>
          <w:szCs w:val="28"/>
          <w:highlight w:val="none"/>
          <w:lang w:val="en-US" w:eastAsia="zh-CN"/>
        </w:rPr>
        <w:t>30000.00</w:t>
      </w:r>
      <w:r>
        <w:rPr>
          <w:rFonts w:hint="eastAsia" w:ascii="仿宋" w:hAnsi="仿宋" w:eastAsia="仿宋"/>
          <w:color w:val="auto"/>
          <w:sz w:val="28"/>
          <w:szCs w:val="28"/>
          <w:highlight w:val="none"/>
        </w:rPr>
        <w:t>元</w:t>
      </w:r>
    </w:p>
    <w:p w14:paraId="4354F4A6">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评标办法：综合评分法</w:t>
      </w:r>
    </w:p>
    <w:p w14:paraId="4101F773">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付款方式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开具合法的增值税发票后，通过网银转账一次性付清。</w:t>
      </w:r>
    </w:p>
    <w:p w14:paraId="080B6562">
      <w:pPr>
        <w:spacing w:line="480" w:lineRule="atLeast"/>
        <w:ind w:firstLine="560" w:firstLineChars="200"/>
        <w:rPr>
          <w:rFonts w:hint="eastAsia" w:ascii="仿宋" w:hAnsi="仿宋" w:eastAsia="仿宋" w:cs="Times New Roman"/>
          <w:color w:val="auto"/>
          <w:sz w:val="28"/>
          <w:szCs w:val="28"/>
          <w:highlight w:val="none"/>
        </w:rPr>
      </w:pPr>
      <w:r>
        <w:rPr>
          <w:rFonts w:hint="eastAsia" w:ascii="黑体" w:hAnsi="黑体" w:eastAsia="黑体" w:cs="宋体"/>
          <w:bCs/>
          <w:color w:val="auto"/>
          <w:sz w:val="28"/>
          <w:szCs w:val="28"/>
          <w:highlight w:val="none"/>
        </w:rPr>
        <w:t>二、参选人的资格要求：</w:t>
      </w:r>
    </w:p>
    <w:p w14:paraId="035F56A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w:t>
      </w:r>
      <w:r>
        <w:rPr>
          <w:rFonts w:hint="eastAsia" w:ascii="仿宋" w:hAnsi="仿宋" w:eastAsia="仿宋"/>
          <w:color w:val="auto"/>
          <w:sz w:val="28"/>
          <w:szCs w:val="28"/>
          <w:highlight w:val="none"/>
          <w:lang w:val="en-US" w:eastAsia="zh-CN"/>
        </w:rPr>
        <w:t>参选人</w:t>
      </w:r>
      <w:r>
        <w:rPr>
          <w:rFonts w:hint="eastAsia" w:ascii="仿宋" w:hAnsi="仿宋" w:eastAsia="仿宋"/>
          <w:color w:val="auto"/>
          <w:sz w:val="28"/>
          <w:szCs w:val="28"/>
          <w:highlight w:val="none"/>
          <w:lang w:eastAsia="zh-CN"/>
        </w:rPr>
        <w:t>资质要求：须具有合法有效的营业执照：</w:t>
      </w:r>
    </w:p>
    <w:p w14:paraId="530CFD13">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本项目不接受联合体。</w:t>
      </w:r>
    </w:p>
    <w:p w14:paraId="3A40F415">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3.被列入安庆市交通控股集团有限公司黑名单管理系统或在安庆市交通控股集团有限公司处罚限制期限内的投标人不得参与本次投标活动。</w:t>
      </w:r>
    </w:p>
    <w:p w14:paraId="5AF3B6F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5BEA2034">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val="en-US" w:eastAsia="zh-CN"/>
        </w:rPr>
        <w:t>2026年3月24日17</w:t>
      </w:r>
      <w:r>
        <w:rPr>
          <w:rFonts w:hint="eastAsia" w:ascii="仿宋" w:hAnsi="仿宋" w:eastAsia="仿宋"/>
          <w:color w:val="auto"/>
          <w:sz w:val="28"/>
          <w:szCs w:val="28"/>
          <w:highlight w:val="none"/>
        </w:rPr>
        <w:t>点30分前，每天上午8:00至12:00，下午14:30至17:30（北京时间，法定节假日除外）登录安庆市交通控股集团有限公司集采平台（http://jc.zh0556.com/）获取比选文件。</w:t>
      </w:r>
    </w:p>
    <w:p w14:paraId="62620D7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28F63284">
      <w:pPr>
        <w:spacing w:line="480" w:lineRule="atLeast"/>
        <w:ind w:left="279" w:leftChars="133"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3.报名方式：</w:t>
      </w:r>
      <w:r>
        <w:rPr>
          <w:rFonts w:hint="eastAsia" w:ascii="仿宋" w:hAnsi="仿宋" w:eastAsia="仿宋"/>
          <w:color w:val="auto"/>
          <w:sz w:val="28"/>
          <w:szCs w:val="28"/>
          <w:highlight w:val="none"/>
        </w:rPr>
        <w:fldChar w:fldCharType="begin"/>
      </w:r>
      <w:r>
        <w:rPr>
          <w:rFonts w:hint="eastAsia" w:ascii="仿宋" w:hAnsi="仿宋" w:eastAsia="仿宋"/>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auto"/>
          <w:sz w:val="28"/>
          <w:szCs w:val="28"/>
          <w:highlight w:val="none"/>
        </w:rPr>
        <w:fldChar w:fldCharType="separate"/>
      </w:r>
      <w:r>
        <w:rPr>
          <w:rFonts w:hint="eastAsia" w:ascii="仿宋" w:hAnsi="仿宋" w:eastAsia="仿宋"/>
          <w:color w:val="auto"/>
          <w:sz w:val="28"/>
          <w:szCs w:val="28"/>
          <w:highlight w:val="none"/>
        </w:rPr>
        <w:t>将“确定参与比选的函”盖供应商公章在</w:t>
      </w:r>
      <w:r>
        <w:rPr>
          <w:rFonts w:hint="eastAsia" w:ascii="仿宋" w:hAnsi="仿宋" w:eastAsia="仿宋"/>
          <w:color w:val="auto"/>
          <w:sz w:val="28"/>
          <w:szCs w:val="28"/>
          <w:highlight w:val="none"/>
          <w:lang w:val="en-US" w:eastAsia="zh-CN"/>
        </w:rPr>
        <w:t>2026年3月24日17</w:t>
      </w:r>
      <w:r>
        <w:rPr>
          <w:rFonts w:hint="eastAsia" w:ascii="仿宋" w:hAnsi="仿宋" w:eastAsia="仿宋"/>
          <w:color w:val="auto"/>
          <w:sz w:val="28"/>
          <w:szCs w:val="28"/>
          <w:highlight w:val="none"/>
        </w:rPr>
        <w:t>点30分前发邮箱1179928670@qq.com（报名截止后发送，报名无效。）</w:t>
      </w:r>
      <w:r>
        <w:rPr>
          <w:rFonts w:hint="eastAsia" w:ascii="仿宋" w:hAnsi="仿宋" w:eastAsia="仿宋"/>
          <w:color w:val="auto"/>
          <w:sz w:val="28"/>
          <w:szCs w:val="28"/>
          <w:highlight w:val="none"/>
        </w:rPr>
        <w:fldChar w:fldCharType="end"/>
      </w:r>
    </w:p>
    <w:p w14:paraId="7117B995">
      <w:pPr>
        <w:spacing w:line="480" w:lineRule="atLeast"/>
        <w:ind w:left="279" w:leftChars="133"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4.已发确认参与函，而放弃参加比选的参选人，须在比选时间截止日前一天以公司名义向1179928670@qq.com发送放弃参与函（格式自拟）。否则招标管理人将予拉入集团黑名单处理。</w:t>
      </w:r>
    </w:p>
    <w:p w14:paraId="22C1D253">
      <w:pPr>
        <w:spacing w:line="480" w:lineRule="atLeast"/>
        <w:ind w:firstLine="560" w:firstLineChars="200"/>
        <w:rPr>
          <w:rFonts w:hint="eastAsia" w:ascii="黑体" w:hAnsi="黑体" w:eastAsia="黑体" w:cs="宋体"/>
          <w:bCs/>
          <w:color w:val="auto"/>
          <w:sz w:val="28"/>
          <w:szCs w:val="28"/>
          <w:highlight w:val="none"/>
          <w:lang w:eastAsia="zh-CN"/>
        </w:rPr>
      </w:pPr>
      <w:r>
        <w:rPr>
          <w:rFonts w:hint="eastAsia" w:ascii="黑体" w:hAnsi="黑体" w:eastAsia="黑体" w:cs="宋体"/>
          <w:bCs/>
          <w:color w:val="auto"/>
          <w:sz w:val="28"/>
          <w:szCs w:val="28"/>
          <w:highlight w:val="none"/>
          <w:lang w:eastAsia="zh-CN"/>
        </w:rPr>
        <w:t>四、参选文件</w:t>
      </w:r>
      <w:r>
        <w:rPr>
          <w:rFonts w:hint="eastAsia" w:ascii="黑体" w:hAnsi="黑体" w:eastAsia="黑体" w:cs="宋体"/>
          <w:bCs/>
          <w:color w:val="auto"/>
          <w:sz w:val="28"/>
          <w:szCs w:val="28"/>
          <w:highlight w:val="none"/>
        </w:rPr>
        <w:t>的提交</w:t>
      </w:r>
      <w:r>
        <w:rPr>
          <w:rFonts w:hint="eastAsia" w:ascii="黑体" w:hAnsi="黑体" w:eastAsia="黑体" w:cs="宋体"/>
          <w:bCs/>
          <w:color w:val="auto"/>
          <w:sz w:val="28"/>
          <w:szCs w:val="28"/>
          <w:highlight w:val="none"/>
          <w:lang w:eastAsia="zh-CN"/>
        </w:rPr>
        <w:t>：</w:t>
      </w:r>
    </w:p>
    <w:p w14:paraId="47AB32EA">
      <w:pPr>
        <w:spacing w:line="480" w:lineRule="atLeast"/>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lang w:eastAsia="zh-CN"/>
        </w:rPr>
        <w:t>参选文件</w:t>
      </w:r>
      <w:r>
        <w:rPr>
          <w:rFonts w:hint="eastAsia" w:ascii="仿宋" w:hAnsi="仿宋" w:eastAsia="仿宋" w:cs="Times New Roman"/>
          <w:color w:val="auto"/>
          <w:sz w:val="28"/>
          <w:szCs w:val="28"/>
          <w:highlight w:val="none"/>
        </w:rPr>
        <w:t>提交截止时间：</w:t>
      </w:r>
      <w:r>
        <w:rPr>
          <w:rFonts w:hint="eastAsia" w:ascii="仿宋" w:hAnsi="仿宋" w:eastAsia="仿宋" w:cs="Times New Roman"/>
          <w:color w:val="auto"/>
          <w:sz w:val="28"/>
          <w:szCs w:val="28"/>
          <w:highlight w:val="none"/>
          <w:lang w:val="en-US" w:eastAsia="zh-CN"/>
        </w:rPr>
        <w:t>2026年3月25日9时00分</w:t>
      </w:r>
      <w:bookmarkStart w:id="67" w:name="_GoBack"/>
      <w:bookmarkEnd w:id="67"/>
    </w:p>
    <w:p w14:paraId="1655EF79">
      <w:pPr>
        <w:spacing w:line="480" w:lineRule="atLeast"/>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lang w:eastAsia="zh-CN"/>
        </w:rPr>
        <w:t>安庆市大观区宜园路</w:t>
      </w:r>
      <w:r>
        <w:rPr>
          <w:rFonts w:hint="eastAsia" w:ascii="仿宋" w:hAnsi="仿宋" w:eastAsia="仿宋" w:cs="Times New Roman"/>
          <w:color w:val="auto"/>
          <w:sz w:val="28"/>
          <w:szCs w:val="28"/>
          <w:highlight w:val="none"/>
          <w:lang w:val="en-US" w:eastAsia="zh-CN"/>
        </w:rPr>
        <w:t>16</w:t>
      </w:r>
      <w:r>
        <w:rPr>
          <w:rFonts w:hint="eastAsia" w:ascii="仿宋" w:hAnsi="仿宋" w:eastAsia="仿宋" w:cs="Times New Roman"/>
          <w:color w:val="auto"/>
          <w:sz w:val="28"/>
          <w:szCs w:val="28"/>
          <w:highlight w:val="none"/>
          <w:lang w:eastAsia="zh-CN"/>
        </w:rPr>
        <w:t>号安庆交控集团</w:t>
      </w:r>
      <w:r>
        <w:rPr>
          <w:rFonts w:hint="eastAsia" w:ascii="仿宋" w:hAnsi="仿宋" w:eastAsia="仿宋" w:cs="Times New Roman"/>
          <w:color w:val="auto"/>
          <w:sz w:val="28"/>
          <w:szCs w:val="28"/>
          <w:highlight w:val="none"/>
          <w:lang w:val="en-US" w:eastAsia="zh-CN"/>
        </w:rPr>
        <w:t>二号楼一楼开标室</w:t>
      </w:r>
    </w:p>
    <w:p w14:paraId="01489365">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2504DE81">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7443C247">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2.本项目比选实行纸质参选，比选活动线下完成。比选时参选人需要按时到达比选现场进行签到，因参选人未按时到达比选现场，则视为主动放弃，对比选造成的不利后果由其自行承担。</w:t>
      </w:r>
    </w:p>
    <w:p w14:paraId="7EAC612A">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5286CA4C">
      <w:pPr>
        <w:spacing w:line="480" w:lineRule="atLeast"/>
        <w:ind w:firstLine="560" w:firstLineChars="200"/>
        <w:rPr>
          <w:rFonts w:hint="eastAsia"/>
          <w:color w:val="auto"/>
          <w:highlight w:val="none"/>
        </w:rPr>
      </w:pPr>
      <w:r>
        <w:rPr>
          <w:rFonts w:hint="eastAsia" w:ascii="仿宋" w:hAnsi="仿宋" w:eastAsia="仿宋"/>
          <w:color w:val="auto"/>
          <w:sz w:val="28"/>
          <w:szCs w:val="28"/>
          <w:highlight w:val="none"/>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5F6F4005">
      <w:pPr>
        <w:spacing w:line="480" w:lineRule="atLeast"/>
        <w:ind w:firstLine="560" w:firstLineChars="200"/>
        <w:rPr>
          <w:rFonts w:ascii="黑体" w:hAnsi="黑体" w:eastAsia="黑体" w:cs="宋体"/>
          <w:bCs/>
          <w:color w:val="auto"/>
          <w:sz w:val="28"/>
          <w:szCs w:val="28"/>
          <w:highlight w:val="none"/>
        </w:rPr>
      </w:pPr>
      <w:bookmarkStart w:id="0" w:name="_Toc35393636"/>
      <w:bookmarkStart w:id="1" w:name="_Toc28359095"/>
      <w:bookmarkStart w:id="2" w:name="_Toc28359018"/>
      <w:bookmarkStart w:id="3" w:name="_Toc35393805"/>
      <w:r>
        <w:rPr>
          <w:rFonts w:hint="eastAsia" w:ascii="黑体" w:hAnsi="黑体" w:eastAsia="黑体" w:cs="宋体"/>
          <w:bCs/>
          <w:color w:val="auto"/>
          <w:sz w:val="28"/>
          <w:szCs w:val="28"/>
          <w:highlight w:val="none"/>
        </w:rPr>
        <w:t>六、凡对本次比选提出询问，请按以下方式联系</w:t>
      </w:r>
      <w:bookmarkEnd w:id="0"/>
      <w:bookmarkEnd w:id="1"/>
      <w:bookmarkEnd w:id="2"/>
      <w:bookmarkEnd w:id="3"/>
    </w:p>
    <w:p w14:paraId="0812B60A">
      <w:pPr>
        <w:spacing w:line="480" w:lineRule="atLeast"/>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w:t>
      </w:r>
      <w:bookmarkStart w:id="4" w:name="_Toc28359019"/>
      <w:bookmarkStart w:id="5" w:name="_Toc28359096"/>
      <w:bookmarkStart w:id="6" w:name="_Toc35393806"/>
      <w:bookmarkStart w:id="7" w:name="_Toc35393637"/>
      <w:r>
        <w:rPr>
          <w:rFonts w:hint="eastAsia" w:ascii="仿宋" w:hAnsi="仿宋" w:eastAsia="仿宋" w:cs="Times New Roman"/>
          <w:color w:val="auto"/>
          <w:sz w:val="28"/>
          <w:szCs w:val="28"/>
          <w:highlight w:val="none"/>
        </w:rPr>
        <w:t>.采购人信息</w:t>
      </w:r>
      <w:bookmarkEnd w:id="4"/>
      <w:bookmarkEnd w:id="5"/>
      <w:bookmarkEnd w:id="6"/>
      <w:bookmarkEnd w:id="7"/>
    </w:p>
    <w:p w14:paraId="05A6F6A9">
      <w:pPr>
        <w:ind w:firstLine="560" w:firstLineChars="200"/>
        <w:rPr>
          <w:rFonts w:hint="eastAsia" w:ascii="仿宋" w:hAnsi="仿宋" w:eastAsia="仿宋" w:cs="仿宋"/>
          <w:color w:val="auto"/>
          <w:sz w:val="30"/>
          <w:szCs w:val="30"/>
          <w:highlight w:val="none"/>
          <w:lang w:val="en-US" w:eastAsia="zh-CN"/>
        </w:rPr>
      </w:pPr>
      <w:bookmarkStart w:id="8" w:name="_Toc35393638"/>
      <w:bookmarkStart w:id="9" w:name="_Toc28359097"/>
      <w:bookmarkStart w:id="10" w:name="_Toc35393807"/>
      <w:bookmarkStart w:id="11" w:name="_Toc28359020"/>
      <w:r>
        <w:rPr>
          <w:rFonts w:hint="eastAsia" w:ascii="仿宋" w:hAnsi="仿宋" w:eastAsia="仿宋" w:cs="Times New Roman"/>
          <w:color w:val="auto"/>
          <w:sz w:val="28"/>
          <w:szCs w:val="28"/>
          <w:highlight w:val="none"/>
        </w:rPr>
        <w:t xml:space="preserve">名   </w:t>
      </w:r>
      <w:r>
        <w:rPr>
          <w:rFonts w:hint="eastAsia" w:ascii="仿宋" w:hAnsi="仿宋" w:eastAsia="仿宋" w:cs="Times New Roman"/>
          <w:color w:val="auto"/>
          <w:sz w:val="28"/>
          <w:szCs w:val="28"/>
          <w:highlight w:val="none"/>
          <w:lang w:val="en-US" w:eastAsia="zh-CN"/>
        </w:rPr>
        <w:t xml:space="preserve"> </w:t>
      </w:r>
      <w:r>
        <w:rPr>
          <w:rFonts w:hint="eastAsia" w:ascii="仿宋" w:hAnsi="仿宋" w:eastAsia="仿宋" w:cs="Times New Roman"/>
          <w:color w:val="auto"/>
          <w:sz w:val="28"/>
          <w:szCs w:val="28"/>
          <w:highlight w:val="none"/>
        </w:rPr>
        <w:t xml:space="preserve"> 称：</w:t>
      </w:r>
      <w:r>
        <w:rPr>
          <w:rFonts w:hint="eastAsia" w:ascii="仿宋" w:hAnsi="仿宋" w:eastAsia="仿宋" w:cs="仿宋"/>
          <w:color w:val="auto"/>
          <w:sz w:val="30"/>
          <w:szCs w:val="30"/>
          <w:highlight w:val="none"/>
          <w:lang w:val="en-US" w:eastAsia="zh-CN"/>
        </w:rPr>
        <w:t>安庆市安汇港务有限公司</w:t>
      </w:r>
    </w:p>
    <w:p w14:paraId="0A8F22D3">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址：安徽省安庆市大观区宜园路6号</w:t>
      </w:r>
    </w:p>
    <w:p w14:paraId="3578F22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人：江浩</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联系方式：18788835571</w:t>
      </w:r>
    </w:p>
    <w:p w14:paraId="128CF899">
      <w:pPr>
        <w:spacing w:line="480" w:lineRule="atLeast"/>
        <w:ind w:firstLine="280" w:firstLineChars="1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.采购</w:t>
      </w:r>
      <w:r>
        <w:rPr>
          <w:rFonts w:hint="eastAsia" w:ascii="仿宋" w:hAnsi="仿宋" w:eastAsia="仿宋" w:cs="Times New Roman"/>
          <w:color w:val="auto"/>
          <w:sz w:val="28"/>
          <w:szCs w:val="28"/>
          <w:highlight w:val="none"/>
          <w:lang w:val="en-US" w:eastAsia="zh-CN"/>
        </w:rPr>
        <w:t>人管理部门</w:t>
      </w:r>
    </w:p>
    <w:p w14:paraId="695C9933">
      <w:pPr>
        <w:spacing w:line="480" w:lineRule="atLeast"/>
        <w:ind w:firstLine="560" w:firstLineChars="200"/>
        <w:rPr>
          <w:rFonts w:hint="default" w:ascii="仿宋" w:hAnsi="仿宋" w:eastAsia="仿宋" w:cs="Times New Roman"/>
          <w:color w:val="auto"/>
          <w:sz w:val="28"/>
          <w:szCs w:val="28"/>
          <w:highlight w:val="none"/>
          <w:lang w:val="en-US"/>
        </w:rPr>
      </w:pPr>
      <w:r>
        <w:rPr>
          <w:rFonts w:hint="eastAsia" w:ascii="仿宋" w:hAnsi="仿宋" w:eastAsia="仿宋" w:cs="Times New Roman"/>
          <w:color w:val="auto"/>
          <w:sz w:val="28"/>
          <w:szCs w:val="28"/>
          <w:highlight w:val="none"/>
        </w:rPr>
        <w:t>名    称：</w:t>
      </w:r>
      <w:r>
        <w:rPr>
          <w:rFonts w:hint="eastAsia" w:ascii="仿宋" w:hAnsi="仿宋" w:eastAsia="仿宋" w:cs="Times New Roman"/>
          <w:color w:val="auto"/>
          <w:sz w:val="28"/>
          <w:szCs w:val="28"/>
          <w:highlight w:val="none"/>
          <w:lang w:eastAsia="zh-CN"/>
        </w:rPr>
        <w:t>安庆市交通控股集团有限公司</w:t>
      </w:r>
      <w:r>
        <w:rPr>
          <w:rFonts w:hint="eastAsia" w:ascii="仿宋" w:hAnsi="仿宋" w:eastAsia="仿宋" w:cs="Times New Roman"/>
          <w:color w:val="auto"/>
          <w:sz w:val="28"/>
          <w:szCs w:val="28"/>
          <w:highlight w:val="none"/>
          <w:lang w:val="en-US" w:eastAsia="zh-CN"/>
        </w:rPr>
        <w:t>集采中心</w:t>
      </w:r>
    </w:p>
    <w:p w14:paraId="7170CC8E">
      <w:pPr>
        <w:spacing w:line="480" w:lineRule="atLeast"/>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地    址：安徽省安庆市大观区宜园路16号</w:t>
      </w:r>
    </w:p>
    <w:p w14:paraId="5862FDE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Times New Roman"/>
          <w:color w:val="auto"/>
          <w:sz w:val="28"/>
          <w:szCs w:val="28"/>
          <w:highlight w:val="none"/>
        </w:rPr>
        <w:t>联 系 人：</w:t>
      </w:r>
      <w:bookmarkEnd w:id="8"/>
      <w:bookmarkEnd w:id="9"/>
      <w:bookmarkEnd w:id="10"/>
      <w:bookmarkEnd w:id="11"/>
      <w:r>
        <w:rPr>
          <w:rFonts w:hint="eastAsia" w:ascii="仿宋" w:hAnsi="仿宋" w:eastAsia="仿宋" w:cs="仿宋"/>
          <w:bCs/>
          <w:color w:val="auto"/>
          <w:sz w:val="28"/>
          <w:szCs w:val="28"/>
          <w:highlight w:val="none"/>
          <w:lang w:val="en-US" w:eastAsia="zh-CN"/>
        </w:rPr>
        <w:t>王欣怡</w:t>
      </w:r>
    </w:p>
    <w:p w14:paraId="10BAB7F8">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3D001F69">
      <w:pPr>
        <w:spacing w:line="480" w:lineRule="atLeast"/>
        <w:ind w:firstLine="560" w:firstLineChars="200"/>
        <w:rPr>
          <w:rFonts w:hint="eastAsia" w:ascii="仿宋" w:hAnsi="仿宋" w:eastAsia="仿宋" w:cs="Times New Roman"/>
          <w:color w:val="auto"/>
          <w:sz w:val="28"/>
          <w:szCs w:val="28"/>
          <w:highlight w:val="none"/>
          <w:lang w:val="en-US" w:eastAsia="zh-CN"/>
        </w:rPr>
      </w:pPr>
    </w:p>
    <w:p w14:paraId="646BC07A">
      <w:pPr>
        <w:rPr>
          <w:rFonts w:hint="eastAsia" w:ascii="宋体" w:hAnsi="宋体" w:eastAsia="宋体" w:cs="宋体"/>
          <w:color w:val="auto"/>
          <w:kern w:val="0"/>
          <w:szCs w:val="18"/>
          <w:highlight w:val="none"/>
          <w:lang w:val="en-US" w:eastAsia="zh-CN"/>
        </w:rPr>
      </w:pPr>
      <w:r>
        <w:rPr>
          <w:rFonts w:hint="eastAsia" w:ascii="宋体" w:hAnsi="宋体" w:eastAsia="宋体" w:cs="宋体"/>
          <w:color w:val="auto"/>
          <w:kern w:val="0"/>
          <w:szCs w:val="18"/>
          <w:highlight w:val="none"/>
          <w:lang w:val="en-US" w:eastAsia="zh-CN"/>
        </w:rPr>
        <w:br w:type="page"/>
      </w:r>
    </w:p>
    <w:p w14:paraId="504F4884">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bookmarkStart w:id="12" w:name="_Toc4481590"/>
      <w:bookmarkStart w:id="13" w:name="_Toc5725"/>
    </w:p>
    <w:p w14:paraId="18D40546">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7A7526A0">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确定参与比选的函</w:t>
      </w:r>
    </w:p>
    <w:p w14:paraId="697C297F">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58E287A1">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皖河新港一期综合办公楼企业文化设计及施工方案项目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5B47D4D9">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0C595DF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065DE2E3">
      <w:pPr>
        <w:ind w:firstLine="640"/>
        <w:jc w:val="both"/>
        <w:rPr>
          <w:rFonts w:hint="eastAsia" w:ascii="仿宋" w:hAnsi="仿宋" w:eastAsia="仿宋" w:cs="仿宋"/>
          <w:b w:val="0"/>
          <w:bCs w:val="0"/>
          <w:color w:val="auto"/>
          <w:sz w:val="32"/>
          <w:szCs w:val="32"/>
          <w:highlight w:val="none"/>
          <w:u w:val="none"/>
          <w:lang w:val="en-US" w:eastAsia="zh-CN"/>
        </w:rPr>
      </w:pPr>
    </w:p>
    <w:p w14:paraId="6B94664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单位名称（盖章）</w:t>
      </w:r>
    </w:p>
    <w:p w14:paraId="58C5952D">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年   月   日</w:t>
      </w:r>
    </w:p>
    <w:p w14:paraId="04D7CE0C">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397361FF">
      <w:pPr>
        <w:pStyle w:val="2"/>
        <w:numPr>
          <w:ilvl w:val="0"/>
          <w:numId w:val="0"/>
        </w:numPr>
        <w:ind w:left="1275" w:leftChars="0" w:hanging="1275" w:firstLineChars="0"/>
        <w:rPr>
          <w:color w:val="auto"/>
          <w:highlight w:val="none"/>
        </w:rPr>
      </w:pPr>
      <w:r>
        <w:rPr>
          <w:rFonts w:hint="default" w:ascii="Times New Roman" w:hAnsi="Times New Roman" w:eastAsia="宋体" w:cs="Times New Roman"/>
          <w:b/>
          <w:bCs/>
          <w:color w:val="auto"/>
          <w:kern w:val="44"/>
          <w:sz w:val="32"/>
          <w:szCs w:val="44"/>
          <w:highlight w:val="none"/>
          <w:lang w:val="en-US" w:eastAsia="zh-CN" w:bidi="ar-SA"/>
        </w:rPr>
        <w:t>第二章</w:t>
      </w:r>
      <w:r>
        <w:rPr>
          <w:rFonts w:hint="eastAsia"/>
          <w:color w:val="auto"/>
          <w:highlight w:val="none"/>
          <w:lang w:eastAsia="zh-CN"/>
        </w:rPr>
        <w:t>参选人</w:t>
      </w:r>
      <w:r>
        <w:rPr>
          <w:rFonts w:hint="eastAsia"/>
          <w:color w:val="auto"/>
          <w:highlight w:val="none"/>
        </w:rPr>
        <w:t>须知</w:t>
      </w:r>
      <w:bookmarkEnd w:id="12"/>
      <w:bookmarkEnd w:id="13"/>
    </w:p>
    <w:p w14:paraId="6A548114">
      <w:pPr>
        <w:pStyle w:val="60"/>
        <w:rPr>
          <w:color w:val="auto"/>
          <w:highlight w:val="none"/>
        </w:rPr>
      </w:pPr>
      <w:bookmarkStart w:id="14" w:name="_Toc4481591"/>
      <w:bookmarkStart w:id="15" w:name="_Toc27607"/>
      <w:r>
        <w:rPr>
          <w:rFonts w:hint="eastAsia"/>
          <w:color w:val="auto"/>
          <w:highlight w:val="none"/>
        </w:rPr>
        <w:t>（一）</w:t>
      </w:r>
      <w:r>
        <w:rPr>
          <w:rFonts w:hint="eastAsia"/>
          <w:color w:val="auto"/>
          <w:highlight w:val="none"/>
          <w:lang w:eastAsia="zh-CN"/>
        </w:rPr>
        <w:t>参选人</w:t>
      </w:r>
      <w:r>
        <w:rPr>
          <w:rFonts w:hint="eastAsia"/>
          <w:color w:val="auto"/>
          <w:highlight w:val="none"/>
        </w:rPr>
        <w:t>须知前附表</w:t>
      </w:r>
      <w:bookmarkEnd w:id="14"/>
      <w:bookmarkEnd w:id="15"/>
    </w:p>
    <w:tbl>
      <w:tblPr>
        <w:tblStyle w:val="28"/>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0"/>
        <w:gridCol w:w="1983"/>
        <w:gridCol w:w="6627"/>
      </w:tblGrid>
      <w:tr w14:paraId="37A59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65716E14">
            <w:pPr>
              <w:keepNext w:val="0"/>
              <w:keepLines w:val="0"/>
              <w:suppressLineNumbers w:val="0"/>
              <w:spacing w:before="0" w:beforeAutospacing="0" w:after="0" w:afterAutospacing="0" w:line="420" w:lineRule="exact"/>
              <w:ind w:left="0" w:right="-358"/>
              <w:jc w:val="left"/>
              <w:rPr>
                <w:rFonts w:hint="default" w:ascii="宋体" w:hAnsi="宋体"/>
                <w:color w:val="auto"/>
                <w:szCs w:val="21"/>
                <w:highlight w:val="none"/>
              </w:rPr>
            </w:pPr>
            <w:r>
              <w:rPr>
                <w:rFonts w:hint="eastAsia" w:ascii="宋体" w:hAnsi="宋体"/>
                <w:color w:val="auto"/>
                <w:szCs w:val="21"/>
                <w:highlight w:val="none"/>
              </w:rPr>
              <w:t>序号</w:t>
            </w:r>
          </w:p>
        </w:tc>
        <w:tc>
          <w:tcPr>
            <w:tcW w:w="1068" w:type="pct"/>
            <w:tcBorders>
              <w:top w:val="single" w:color="auto" w:sz="4" w:space="0"/>
              <w:left w:val="single" w:color="auto" w:sz="4" w:space="0"/>
              <w:bottom w:val="single" w:color="auto" w:sz="4" w:space="0"/>
              <w:right w:val="single" w:color="auto" w:sz="4" w:space="0"/>
            </w:tcBorders>
            <w:vAlign w:val="center"/>
          </w:tcPr>
          <w:p w14:paraId="512562C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内容</w:t>
            </w:r>
          </w:p>
        </w:tc>
        <w:tc>
          <w:tcPr>
            <w:tcW w:w="3569" w:type="pct"/>
            <w:tcBorders>
              <w:top w:val="single" w:color="auto" w:sz="4" w:space="0"/>
              <w:left w:val="single" w:color="auto" w:sz="4" w:space="0"/>
              <w:bottom w:val="single" w:color="auto" w:sz="4" w:space="0"/>
              <w:right w:val="single" w:color="auto" w:sz="4" w:space="0"/>
            </w:tcBorders>
            <w:vAlign w:val="center"/>
          </w:tcPr>
          <w:p w14:paraId="4E7F4F00">
            <w:pPr>
              <w:keepNext w:val="0"/>
              <w:keepLines w:val="0"/>
              <w:suppressLineNumbers w:val="0"/>
              <w:tabs>
                <w:tab w:val="left" w:pos="1180"/>
              </w:tabs>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说明与要求</w:t>
            </w:r>
          </w:p>
        </w:tc>
      </w:tr>
      <w:tr w14:paraId="0FAF6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1801F21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068" w:type="pct"/>
            <w:tcBorders>
              <w:top w:val="single" w:color="auto" w:sz="4" w:space="0"/>
              <w:left w:val="single" w:color="auto" w:sz="4" w:space="0"/>
              <w:bottom w:val="single" w:color="auto" w:sz="4" w:space="0"/>
              <w:right w:val="single" w:color="auto" w:sz="4" w:space="0"/>
            </w:tcBorders>
            <w:vAlign w:val="center"/>
          </w:tcPr>
          <w:p w14:paraId="602553D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项目编号</w:t>
            </w:r>
          </w:p>
        </w:tc>
        <w:tc>
          <w:tcPr>
            <w:tcW w:w="3569" w:type="pct"/>
            <w:tcBorders>
              <w:top w:val="single" w:color="auto" w:sz="4" w:space="0"/>
              <w:left w:val="single" w:color="auto" w:sz="4" w:space="0"/>
              <w:bottom w:val="single" w:color="auto" w:sz="4" w:space="0"/>
              <w:right w:val="single" w:color="auto" w:sz="4" w:space="0"/>
            </w:tcBorders>
            <w:vAlign w:val="center"/>
          </w:tcPr>
          <w:p w14:paraId="4D22BB5C">
            <w:pPr>
              <w:keepNext w:val="0"/>
              <w:keepLines w:val="0"/>
              <w:suppressLineNumbers w:val="0"/>
              <w:spacing w:before="0" w:beforeAutospacing="0" w:after="0" w:afterAutospacing="0" w:line="420" w:lineRule="exact"/>
              <w:ind w:left="0" w:right="0"/>
              <w:rPr>
                <w:rFonts w:hint="eastAsia" w:eastAsia="宋体"/>
                <w:color w:val="auto"/>
                <w:szCs w:val="21"/>
                <w:highlight w:val="none"/>
                <w:lang w:val="en-US" w:eastAsia="zh-CN"/>
              </w:rPr>
            </w:pPr>
            <w:r>
              <w:rPr>
                <w:rFonts w:hint="eastAsia"/>
                <w:color w:val="auto"/>
                <w:szCs w:val="21"/>
                <w:highlight w:val="none"/>
                <w:lang w:val="en-US" w:eastAsia="zh-CN"/>
              </w:rPr>
              <w:t>AQJK-CG-2026-024</w:t>
            </w:r>
          </w:p>
        </w:tc>
      </w:tr>
      <w:tr w14:paraId="0AEF3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274167D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1068" w:type="pct"/>
            <w:tcBorders>
              <w:top w:val="single" w:color="auto" w:sz="4" w:space="0"/>
              <w:left w:val="single" w:color="auto" w:sz="4" w:space="0"/>
              <w:bottom w:val="single" w:color="auto" w:sz="4" w:space="0"/>
              <w:right w:val="single" w:color="auto" w:sz="4" w:space="0"/>
            </w:tcBorders>
            <w:vAlign w:val="center"/>
          </w:tcPr>
          <w:p w14:paraId="4567DCD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项目名称</w:t>
            </w:r>
          </w:p>
        </w:tc>
        <w:tc>
          <w:tcPr>
            <w:tcW w:w="3569" w:type="pct"/>
            <w:tcBorders>
              <w:top w:val="single" w:color="auto" w:sz="4" w:space="0"/>
              <w:left w:val="single" w:color="auto" w:sz="4" w:space="0"/>
              <w:bottom w:val="single" w:color="auto" w:sz="4" w:space="0"/>
              <w:right w:val="single" w:color="auto" w:sz="4" w:space="0"/>
            </w:tcBorders>
            <w:vAlign w:val="center"/>
          </w:tcPr>
          <w:p w14:paraId="656CD277">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ascii="宋体" w:hAnsi="宋体" w:cs="宋体"/>
                <w:color w:val="auto"/>
                <w:kern w:val="0"/>
                <w:szCs w:val="18"/>
                <w:highlight w:val="none"/>
                <w:lang w:val="en-US" w:eastAsia="zh-CN"/>
              </w:rPr>
              <w:t>皖河新港一期综合办公楼企业文化设计及施工方案项目</w:t>
            </w:r>
          </w:p>
        </w:tc>
      </w:tr>
      <w:tr w14:paraId="16091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15A36DE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3</w:t>
            </w:r>
          </w:p>
        </w:tc>
        <w:tc>
          <w:tcPr>
            <w:tcW w:w="1068" w:type="pct"/>
            <w:tcBorders>
              <w:top w:val="single" w:color="auto" w:sz="4" w:space="0"/>
              <w:left w:val="single" w:color="auto" w:sz="4" w:space="0"/>
              <w:bottom w:val="single" w:color="auto" w:sz="4" w:space="0"/>
              <w:right w:val="single" w:color="auto" w:sz="4" w:space="0"/>
            </w:tcBorders>
            <w:vAlign w:val="center"/>
          </w:tcPr>
          <w:p w14:paraId="27694DD1">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采购人</w:t>
            </w:r>
          </w:p>
        </w:tc>
        <w:tc>
          <w:tcPr>
            <w:tcW w:w="3569" w:type="pct"/>
            <w:tcBorders>
              <w:top w:val="single" w:color="auto" w:sz="4" w:space="0"/>
              <w:left w:val="single" w:color="auto" w:sz="4" w:space="0"/>
              <w:bottom w:val="single" w:color="auto" w:sz="4" w:space="0"/>
              <w:right w:val="single" w:color="auto" w:sz="4" w:space="0"/>
            </w:tcBorders>
            <w:vAlign w:val="center"/>
          </w:tcPr>
          <w:p w14:paraId="20184844">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ascii="宋体" w:hAnsi="宋体" w:cs="宋体"/>
                <w:color w:val="auto"/>
                <w:kern w:val="0"/>
                <w:szCs w:val="18"/>
                <w:highlight w:val="none"/>
                <w:lang w:eastAsia="zh-CN"/>
              </w:rPr>
              <w:t>安庆市安汇港务有限公司</w:t>
            </w:r>
          </w:p>
        </w:tc>
      </w:tr>
      <w:tr w14:paraId="3F4E4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CD95CA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1068" w:type="pct"/>
            <w:tcBorders>
              <w:top w:val="single" w:color="auto" w:sz="4" w:space="0"/>
              <w:left w:val="single" w:color="auto" w:sz="4" w:space="0"/>
              <w:bottom w:val="single" w:color="auto" w:sz="4" w:space="0"/>
              <w:right w:val="single" w:color="auto" w:sz="4" w:space="0"/>
            </w:tcBorders>
            <w:vAlign w:val="center"/>
          </w:tcPr>
          <w:p w14:paraId="1440DE56">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采购管理部门</w:t>
            </w:r>
          </w:p>
        </w:tc>
        <w:tc>
          <w:tcPr>
            <w:tcW w:w="3569" w:type="pct"/>
            <w:tcBorders>
              <w:top w:val="single" w:color="auto" w:sz="4" w:space="0"/>
              <w:left w:val="single" w:color="auto" w:sz="4" w:space="0"/>
              <w:bottom w:val="single" w:color="auto" w:sz="4" w:space="0"/>
              <w:right w:val="single" w:color="auto" w:sz="4" w:space="0"/>
            </w:tcBorders>
            <w:vAlign w:val="center"/>
          </w:tcPr>
          <w:p w14:paraId="30FD580F">
            <w:pPr>
              <w:keepNext w:val="0"/>
              <w:keepLines w:val="0"/>
              <w:suppressLineNumbers w:val="0"/>
              <w:spacing w:before="0" w:beforeAutospacing="0" w:after="0" w:afterAutospacing="0" w:line="420" w:lineRule="exact"/>
              <w:ind w:left="0" w:right="0"/>
              <w:rPr>
                <w:rFonts w:hint="default" w:ascii="宋体" w:hAnsi="宋体" w:cs="宋体"/>
                <w:color w:val="auto"/>
                <w:kern w:val="0"/>
                <w:szCs w:val="18"/>
                <w:highlight w:val="none"/>
                <w:lang w:val="en-US" w:eastAsia="zh-CN"/>
              </w:rPr>
            </w:pPr>
            <w:r>
              <w:rPr>
                <w:rFonts w:hint="eastAsia" w:ascii="宋体" w:hAnsi="宋体" w:cs="宋体"/>
                <w:color w:val="auto"/>
                <w:kern w:val="0"/>
                <w:szCs w:val="18"/>
                <w:highlight w:val="none"/>
                <w:lang w:val="en-US" w:eastAsia="zh-CN"/>
              </w:rPr>
              <w:t>安庆市交通控股集团有限公司集采中心</w:t>
            </w:r>
          </w:p>
        </w:tc>
      </w:tr>
      <w:tr w14:paraId="192D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1FCEE9A2">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1068" w:type="pct"/>
            <w:tcBorders>
              <w:top w:val="single" w:color="auto" w:sz="4" w:space="0"/>
              <w:left w:val="single" w:color="auto" w:sz="4" w:space="0"/>
              <w:bottom w:val="single" w:color="auto" w:sz="4" w:space="0"/>
              <w:right w:val="single" w:color="auto" w:sz="4" w:space="0"/>
            </w:tcBorders>
            <w:vAlign w:val="center"/>
          </w:tcPr>
          <w:p w14:paraId="6C220BE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采购</w:t>
            </w:r>
            <w:r>
              <w:rPr>
                <w:rFonts w:hint="eastAsia"/>
                <w:color w:val="auto"/>
                <w:szCs w:val="21"/>
                <w:highlight w:val="none"/>
              </w:rPr>
              <w:t>方式</w:t>
            </w:r>
          </w:p>
        </w:tc>
        <w:tc>
          <w:tcPr>
            <w:tcW w:w="3569" w:type="pct"/>
            <w:tcBorders>
              <w:top w:val="single" w:color="auto" w:sz="4" w:space="0"/>
              <w:left w:val="single" w:color="auto" w:sz="4" w:space="0"/>
              <w:bottom w:val="single" w:color="auto" w:sz="4" w:space="0"/>
              <w:right w:val="single" w:color="auto" w:sz="4" w:space="0"/>
            </w:tcBorders>
            <w:vAlign w:val="center"/>
          </w:tcPr>
          <w:p w14:paraId="05D09E0A">
            <w:pPr>
              <w:keepNext w:val="0"/>
              <w:keepLines w:val="0"/>
              <w:suppressLineNumbers w:val="0"/>
              <w:spacing w:before="0" w:beforeAutospacing="0" w:after="0" w:afterAutospacing="0" w:line="420" w:lineRule="exact"/>
              <w:ind w:left="0" w:right="0"/>
              <w:rPr>
                <w:rFonts w:hint="eastAsia" w:eastAsia="宋体"/>
                <w:color w:val="auto"/>
                <w:szCs w:val="21"/>
                <w:highlight w:val="none"/>
                <w:lang w:eastAsia="zh-CN"/>
              </w:rPr>
            </w:pPr>
            <w:r>
              <w:rPr>
                <w:rFonts w:hint="eastAsia"/>
                <w:color w:val="auto"/>
                <w:szCs w:val="21"/>
                <w:highlight w:val="none"/>
                <w:lang w:val="en-US" w:eastAsia="zh-CN"/>
              </w:rPr>
              <w:t>比选</w:t>
            </w:r>
          </w:p>
        </w:tc>
      </w:tr>
      <w:tr w14:paraId="72776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CEC5EBE">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068" w:type="pct"/>
            <w:tcBorders>
              <w:top w:val="single" w:color="auto" w:sz="4" w:space="0"/>
              <w:left w:val="single" w:color="auto" w:sz="4" w:space="0"/>
              <w:bottom w:val="single" w:color="auto" w:sz="4" w:space="0"/>
              <w:right w:val="single" w:color="auto" w:sz="4" w:space="0"/>
            </w:tcBorders>
            <w:vAlign w:val="center"/>
          </w:tcPr>
          <w:p w14:paraId="08465E2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包别划分</w:t>
            </w:r>
          </w:p>
        </w:tc>
        <w:tc>
          <w:tcPr>
            <w:tcW w:w="3569" w:type="pct"/>
            <w:tcBorders>
              <w:top w:val="single" w:color="auto" w:sz="4" w:space="0"/>
              <w:left w:val="single" w:color="auto" w:sz="4" w:space="0"/>
              <w:bottom w:val="single" w:color="auto" w:sz="4" w:space="0"/>
              <w:right w:val="single" w:color="auto" w:sz="4" w:space="0"/>
            </w:tcBorders>
            <w:vAlign w:val="center"/>
          </w:tcPr>
          <w:p w14:paraId="3DD3A0F3">
            <w:pPr>
              <w:keepNext w:val="0"/>
              <w:keepLines w:val="0"/>
              <w:suppressLineNumbers w:val="0"/>
              <w:spacing w:before="0" w:beforeAutospacing="0" w:after="0" w:afterAutospacing="0" w:line="420" w:lineRule="exact"/>
              <w:ind w:left="0" w:right="0"/>
              <w:rPr>
                <w:rFonts w:hint="default"/>
                <w:color w:val="auto"/>
                <w:szCs w:val="21"/>
                <w:highlight w:val="none"/>
                <w:lang w:val="en-US"/>
              </w:rPr>
            </w:pPr>
            <w:r>
              <w:rPr>
                <w:rFonts w:hint="eastAsia" w:ascii="宋体" w:hAnsi="宋体" w:cs="宋体"/>
                <w:color w:val="auto"/>
                <w:kern w:val="0"/>
                <w:szCs w:val="21"/>
                <w:highlight w:val="none"/>
                <w:lang w:val="en-US" w:eastAsia="zh-CN"/>
              </w:rPr>
              <w:t>一个包</w:t>
            </w:r>
          </w:p>
        </w:tc>
      </w:tr>
      <w:tr w14:paraId="3A2B2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09EB73B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068" w:type="pct"/>
            <w:tcBorders>
              <w:top w:val="single" w:color="auto" w:sz="4" w:space="0"/>
              <w:left w:val="single" w:color="auto" w:sz="4" w:space="0"/>
              <w:bottom w:val="single" w:color="auto" w:sz="4" w:space="0"/>
              <w:right w:val="single" w:color="auto" w:sz="4" w:space="0"/>
            </w:tcBorders>
            <w:vAlign w:val="center"/>
          </w:tcPr>
          <w:p w14:paraId="1382741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资金来源</w:t>
            </w:r>
          </w:p>
        </w:tc>
        <w:tc>
          <w:tcPr>
            <w:tcW w:w="3569" w:type="pct"/>
            <w:tcBorders>
              <w:top w:val="single" w:color="auto" w:sz="4" w:space="0"/>
              <w:left w:val="single" w:color="auto" w:sz="4" w:space="0"/>
              <w:bottom w:val="single" w:color="auto" w:sz="4" w:space="0"/>
              <w:right w:val="single" w:color="auto" w:sz="4" w:space="0"/>
            </w:tcBorders>
            <w:vAlign w:val="center"/>
          </w:tcPr>
          <w:p w14:paraId="7C471AB5">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eastAsia"/>
                <w:color w:val="auto"/>
                <w:szCs w:val="21"/>
                <w:highlight w:val="none"/>
                <w:lang w:val="en-US" w:eastAsia="zh-CN"/>
              </w:rPr>
              <w:t>自筹资金</w:t>
            </w:r>
          </w:p>
        </w:tc>
      </w:tr>
      <w:tr w14:paraId="2936B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61" w:type="pct"/>
            <w:tcBorders>
              <w:top w:val="single" w:color="auto" w:sz="4" w:space="0"/>
              <w:left w:val="single" w:color="auto" w:sz="4" w:space="0"/>
              <w:right w:val="single" w:color="auto" w:sz="4" w:space="0"/>
            </w:tcBorders>
            <w:vAlign w:val="center"/>
          </w:tcPr>
          <w:p w14:paraId="0E392EBA">
            <w:pPr>
              <w:keepNext w:val="0"/>
              <w:keepLines w:val="0"/>
              <w:suppressLineNumbers w:val="0"/>
              <w:spacing w:before="0" w:beforeLines="0" w:beforeAutospacing="0" w:after="0" w:afterLines="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1068" w:type="pct"/>
            <w:tcBorders>
              <w:top w:val="single" w:color="auto" w:sz="4" w:space="0"/>
              <w:left w:val="single" w:color="auto" w:sz="4" w:space="0"/>
              <w:right w:val="single" w:color="auto" w:sz="4" w:space="0"/>
            </w:tcBorders>
            <w:vAlign w:val="center"/>
          </w:tcPr>
          <w:p w14:paraId="626B1799">
            <w:pPr>
              <w:keepNext w:val="0"/>
              <w:keepLines w:val="0"/>
              <w:suppressLineNumbers w:val="0"/>
              <w:spacing w:before="0" w:beforeLines="0" w:beforeAutospacing="0" w:after="0" w:afterLines="0" w:afterAutospacing="0" w:line="420" w:lineRule="exact"/>
              <w:ind w:left="0" w:right="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最高限价</w:t>
            </w:r>
          </w:p>
        </w:tc>
        <w:tc>
          <w:tcPr>
            <w:tcW w:w="3569" w:type="pct"/>
            <w:tcBorders>
              <w:top w:val="single" w:color="auto" w:sz="4" w:space="0"/>
              <w:left w:val="single" w:color="auto" w:sz="4" w:space="0"/>
              <w:bottom w:val="single" w:color="auto" w:sz="4" w:space="0"/>
              <w:right w:val="single" w:color="auto" w:sz="4" w:space="0"/>
            </w:tcBorders>
            <w:vAlign w:val="center"/>
          </w:tcPr>
          <w:p w14:paraId="4F42D6CB">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olor w:val="auto"/>
                <w:highlight w:val="none"/>
                <w:lang w:val="en-US" w:eastAsia="zh-CN"/>
              </w:rPr>
              <w:t>30000.00元</w:t>
            </w:r>
          </w:p>
        </w:tc>
      </w:tr>
      <w:tr w14:paraId="39498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276761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1068" w:type="pct"/>
            <w:tcBorders>
              <w:top w:val="single" w:color="auto" w:sz="4" w:space="0"/>
              <w:left w:val="single" w:color="auto" w:sz="4" w:space="0"/>
              <w:bottom w:val="single" w:color="auto" w:sz="4" w:space="0"/>
              <w:right w:val="single" w:color="auto" w:sz="4" w:space="0"/>
            </w:tcBorders>
            <w:vAlign w:val="center"/>
          </w:tcPr>
          <w:p w14:paraId="606E9BC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项目地点</w:t>
            </w:r>
          </w:p>
        </w:tc>
        <w:tc>
          <w:tcPr>
            <w:tcW w:w="3569" w:type="pct"/>
            <w:tcBorders>
              <w:top w:val="single" w:color="auto" w:sz="4" w:space="0"/>
              <w:left w:val="single" w:color="auto" w:sz="4" w:space="0"/>
              <w:bottom w:val="single" w:color="auto" w:sz="4" w:space="0"/>
              <w:right w:val="single" w:color="auto" w:sz="4" w:space="0"/>
            </w:tcBorders>
            <w:vAlign w:val="center"/>
          </w:tcPr>
          <w:p w14:paraId="5D622C1D">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eastAsia" w:ascii="宋体" w:hAnsi="宋体" w:cs="宋体"/>
                <w:color w:val="auto"/>
                <w:kern w:val="0"/>
                <w:szCs w:val="18"/>
                <w:highlight w:val="none"/>
                <w:lang w:val="en-US" w:eastAsia="zh-CN"/>
              </w:rPr>
              <w:t>安庆市交通控股集团有限公司</w:t>
            </w:r>
          </w:p>
        </w:tc>
      </w:tr>
      <w:tr w14:paraId="08486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1E78552B">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068" w:type="pct"/>
            <w:tcBorders>
              <w:top w:val="single" w:color="auto" w:sz="4" w:space="0"/>
              <w:left w:val="single" w:color="auto" w:sz="4" w:space="0"/>
              <w:bottom w:val="single" w:color="auto" w:sz="4" w:space="0"/>
              <w:right w:val="single" w:color="auto" w:sz="4" w:space="0"/>
            </w:tcBorders>
            <w:vAlign w:val="center"/>
          </w:tcPr>
          <w:p w14:paraId="0F5DB492">
            <w:pPr>
              <w:keepNext w:val="0"/>
              <w:keepLines w:val="0"/>
              <w:suppressLineNumbers w:val="0"/>
              <w:spacing w:before="0" w:beforeAutospacing="0" w:after="0" w:afterAutospacing="0" w:line="420" w:lineRule="exact"/>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时间要求</w:t>
            </w:r>
          </w:p>
        </w:tc>
        <w:tc>
          <w:tcPr>
            <w:tcW w:w="3569" w:type="pct"/>
            <w:tcBorders>
              <w:top w:val="single" w:color="auto" w:sz="4" w:space="0"/>
              <w:left w:val="single" w:color="auto" w:sz="4" w:space="0"/>
              <w:bottom w:val="single" w:color="auto" w:sz="4" w:space="0"/>
              <w:right w:val="single" w:color="auto" w:sz="4" w:space="0"/>
            </w:tcBorders>
            <w:vAlign w:val="center"/>
          </w:tcPr>
          <w:p w14:paraId="1935F991">
            <w:pPr>
              <w:keepNext w:val="0"/>
              <w:keepLines w:val="0"/>
              <w:suppressLineNumbers w:val="0"/>
              <w:spacing w:before="0" w:beforeAutospacing="0" w:after="0" w:afterAutospacing="0" w:line="420" w:lineRule="exact"/>
              <w:ind w:left="0" w:right="0"/>
              <w:rPr>
                <w:rFonts w:hint="default" w:eastAsia="宋体"/>
                <w:color w:val="auto"/>
                <w:szCs w:val="21"/>
                <w:highlight w:val="none"/>
                <w:lang w:val="en-US" w:eastAsia="zh-CN"/>
              </w:rPr>
            </w:pPr>
            <w:r>
              <w:rPr>
                <w:rFonts w:hint="default" w:eastAsia="宋体"/>
                <w:color w:val="auto"/>
                <w:szCs w:val="21"/>
                <w:highlight w:val="none"/>
                <w:lang w:val="en-US" w:eastAsia="zh-CN"/>
              </w:rPr>
              <w:t>自合同签订后7日内根据招标人修改意见提交最终版方案</w:t>
            </w:r>
          </w:p>
        </w:tc>
      </w:tr>
      <w:tr w14:paraId="09B77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39D74127">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1068" w:type="pct"/>
            <w:tcBorders>
              <w:top w:val="single" w:color="auto" w:sz="4" w:space="0"/>
              <w:left w:val="single" w:color="auto" w:sz="4" w:space="0"/>
              <w:bottom w:val="single" w:color="auto" w:sz="4" w:space="0"/>
              <w:right w:val="single" w:color="auto" w:sz="4" w:space="0"/>
            </w:tcBorders>
            <w:vAlign w:val="center"/>
          </w:tcPr>
          <w:p w14:paraId="4C62E64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c>
          <w:tcPr>
            <w:tcW w:w="3569" w:type="pct"/>
            <w:tcBorders>
              <w:top w:val="single" w:color="auto" w:sz="4" w:space="0"/>
              <w:left w:val="single" w:color="auto" w:sz="4" w:space="0"/>
              <w:bottom w:val="single" w:color="auto" w:sz="4" w:space="0"/>
              <w:right w:val="single" w:color="auto" w:sz="4" w:space="0"/>
            </w:tcBorders>
            <w:vAlign w:val="center"/>
          </w:tcPr>
          <w:p w14:paraId="5E4C7A77">
            <w:pPr>
              <w:keepNext w:val="0"/>
              <w:keepLines w:val="0"/>
              <w:widowControl/>
              <w:suppressLineNumbers w:val="0"/>
              <w:spacing w:before="0" w:beforeAutospacing="0" w:after="0" w:afterAutospacing="0" w:line="500" w:lineRule="exact"/>
              <w:ind w:left="0" w:right="0"/>
              <w:jc w:val="left"/>
              <w:rPr>
                <w:rFonts w:hint="default"/>
                <w:color w:val="auto"/>
                <w:highlight w:val="none"/>
              </w:rPr>
            </w:pPr>
            <w:r>
              <w:rPr>
                <w:rFonts w:hint="eastAsia"/>
                <w:color w:val="auto"/>
                <w:highlight w:val="none"/>
              </w:rPr>
              <w:t>详见比选公告</w:t>
            </w:r>
          </w:p>
        </w:tc>
      </w:tr>
      <w:tr w14:paraId="21EC4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6940D06C">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1068" w:type="pct"/>
            <w:tcBorders>
              <w:top w:val="single" w:color="auto" w:sz="4" w:space="0"/>
              <w:left w:val="single" w:color="auto" w:sz="4" w:space="0"/>
              <w:bottom w:val="single" w:color="auto" w:sz="4" w:space="0"/>
              <w:right w:val="single" w:color="auto" w:sz="4" w:space="0"/>
            </w:tcBorders>
            <w:vAlign w:val="center"/>
          </w:tcPr>
          <w:p w14:paraId="5C773C2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资格审查方式</w:t>
            </w:r>
          </w:p>
        </w:tc>
        <w:tc>
          <w:tcPr>
            <w:tcW w:w="3569" w:type="pct"/>
            <w:tcBorders>
              <w:top w:val="single" w:color="auto" w:sz="4" w:space="0"/>
              <w:left w:val="single" w:color="auto" w:sz="4" w:space="0"/>
              <w:bottom w:val="single" w:color="auto" w:sz="4" w:space="0"/>
              <w:right w:val="single" w:color="auto" w:sz="4" w:space="0"/>
            </w:tcBorders>
            <w:vAlign w:val="center"/>
          </w:tcPr>
          <w:p w14:paraId="48889B2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资格后审</w:t>
            </w:r>
          </w:p>
        </w:tc>
      </w:tr>
      <w:tr w14:paraId="28C86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08B29745">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p>
        </w:tc>
        <w:tc>
          <w:tcPr>
            <w:tcW w:w="1068" w:type="pct"/>
            <w:tcBorders>
              <w:top w:val="single" w:color="auto" w:sz="4" w:space="0"/>
              <w:left w:val="single" w:color="auto" w:sz="4" w:space="0"/>
              <w:bottom w:val="single" w:color="auto" w:sz="4" w:space="0"/>
              <w:right w:val="single" w:color="auto" w:sz="4" w:space="0"/>
            </w:tcBorders>
            <w:vAlign w:val="center"/>
          </w:tcPr>
          <w:p w14:paraId="32CF7DB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3569" w:type="pct"/>
            <w:tcBorders>
              <w:top w:val="single" w:color="auto" w:sz="4" w:space="0"/>
              <w:left w:val="single" w:color="auto" w:sz="4" w:space="0"/>
              <w:bottom w:val="single" w:color="auto" w:sz="4" w:space="0"/>
              <w:right w:val="single" w:color="auto" w:sz="4" w:space="0"/>
            </w:tcBorders>
            <w:vAlign w:val="center"/>
          </w:tcPr>
          <w:p w14:paraId="0A8156E8">
            <w:pPr>
              <w:keepNext w:val="0"/>
              <w:keepLines w:val="0"/>
              <w:suppressLineNumbers w:val="0"/>
              <w:spacing w:before="0" w:beforeAutospacing="0" w:after="0" w:afterAutospacing="0" w:line="420" w:lineRule="exact"/>
              <w:ind w:left="-2" w:leftChars="-1" w:right="0" w:firstLine="2"/>
              <w:rPr>
                <w:rFonts w:hint="default"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日历天（从</w:t>
            </w:r>
            <w:r>
              <w:rPr>
                <w:rFonts w:hint="eastAsia" w:ascii="宋体" w:hAnsi="宋体"/>
                <w:color w:val="auto"/>
                <w:szCs w:val="21"/>
                <w:highlight w:val="none"/>
                <w:lang w:eastAsia="zh-CN"/>
              </w:rPr>
              <w:t>参选</w:t>
            </w:r>
            <w:r>
              <w:rPr>
                <w:rFonts w:hint="eastAsia" w:ascii="宋体" w:hAnsi="宋体"/>
                <w:color w:val="auto"/>
                <w:szCs w:val="21"/>
                <w:highlight w:val="none"/>
              </w:rPr>
              <w:t>截止时间算起）</w:t>
            </w:r>
          </w:p>
        </w:tc>
      </w:tr>
      <w:tr w14:paraId="497AA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0522521">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1068" w:type="pct"/>
            <w:tcBorders>
              <w:top w:val="single" w:color="auto" w:sz="4" w:space="0"/>
              <w:left w:val="single" w:color="auto" w:sz="4" w:space="0"/>
              <w:bottom w:val="single" w:color="auto" w:sz="4" w:space="0"/>
              <w:right w:val="single" w:color="auto" w:sz="4" w:space="0"/>
            </w:tcBorders>
            <w:vAlign w:val="center"/>
          </w:tcPr>
          <w:p w14:paraId="55B854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3569" w:type="pct"/>
            <w:tcBorders>
              <w:top w:val="single" w:color="auto" w:sz="4" w:space="0"/>
              <w:left w:val="single" w:color="auto" w:sz="4" w:space="0"/>
              <w:bottom w:val="single" w:color="auto" w:sz="4" w:space="0"/>
              <w:right w:val="single" w:color="auto" w:sz="4" w:space="0"/>
            </w:tcBorders>
            <w:vAlign w:val="center"/>
          </w:tcPr>
          <w:p w14:paraId="6B0A6129">
            <w:pPr>
              <w:keepNext w:val="0"/>
              <w:keepLines w:val="0"/>
              <w:suppressLineNumbers w:val="0"/>
              <w:spacing w:before="0" w:beforeAutospacing="0" w:after="0" w:afterAutospacing="0" w:line="420" w:lineRule="exact"/>
              <w:ind w:left="0" w:right="0"/>
              <w:rPr>
                <w:rFonts w:hint="default" w:ascii="宋体" w:hAnsi="宋体" w:eastAsia="宋体"/>
                <w:b/>
                <w:color w:val="auto"/>
                <w:spacing w:val="-14"/>
                <w:szCs w:val="21"/>
                <w:highlight w:val="none"/>
                <w:lang w:val="en-US" w:eastAsia="zh-CN"/>
              </w:rPr>
            </w:pPr>
            <w:r>
              <w:rPr>
                <w:rFonts w:hint="eastAsia" w:ascii="宋体" w:hAnsi="宋体"/>
                <w:color w:val="auto"/>
                <w:szCs w:val="21"/>
                <w:highlight w:val="none"/>
                <w:lang w:val="en-US" w:eastAsia="zh-CN"/>
              </w:rPr>
              <w:t>本项目不收取</w:t>
            </w:r>
          </w:p>
        </w:tc>
      </w:tr>
      <w:tr w14:paraId="51652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376941B5">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1068" w:type="pct"/>
            <w:tcBorders>
              <w:top w:val="single" w:color="auto" w:sz="4" w:space="0"/>
              <w:left w:val="single" w:color="auto" w:sz="4" w:space="0"/>
              <w:bottom w:val="single" w:color="auto" w:sz="4" w:space="0"/>
              <w:right w:val="single" w:color="auto" w:sz="4" w:space="0"/>
            </w:tcBorders>
            <w:vAlign w:val="center"/>
          </w:tcPr>
          <w:p w14:paraId="49B2717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s="宋体"/>
                <w:color w:val="auto"/>
                <w:szCs w:val="21"/>
                <w:highlight w:val="none"/>
                <w:lang w:eastAsia="zh-CN"/>
              </w:rPr>
              <w:t>参选文件</w:t>
            </w:r>
            <w:r>
              <w:rPr>
                <w:rFonts w:hint="eastAsia" w:ascii="宋体" w:hAnsi="宋体" w:cs="宋体"/>
                <w:color w:val="auto"/>
                <w:szCs w:val="21"/>
                <w:highlight w:val="none"/>
              </w:rPr>
              <w:t>份数、密封、装订</w:t>
            </w:r>
          </w:p>
        </w:tc>
        <w:tc>
          <w:tcPr>
            <w:tcW w:w="3569" w:type="pct"/>
            <w:tcBorders>
              <w:top w:val="single" w:color="auto" w:sz="4" w:space="0"/>
              <w:left w:val="single" w:color="auto" w:sz="4" w:space="0"/>
              <w:bottom w:val="single" w:color="auto" w:sz="4" w:space="0"/>
              <w:right w:val="single" w:color="auto" w:sz="4" w:space="0"/>
            </w:tcBorders>
            <w:vAlign w:val="center"/>
          </w:tcPr>
          <w:p w14:paraId="0AA6FC03">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1.参选文件份数：壹份正本，贰份副本；</w:t>
            </w:r>
          </w:p>
          <w:p w14:paraId="6B8026E4">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2.参选人应将参选文件的正本和副本同时装于一个袋内。包装密封，并于密封袋上加盖单位公章。密封袋上须写明：项目名称、参选人名称、项目编号。</w:t>
            </w:r>
          </w:p>
          <w:p w14:paraId="47ACFF5D">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3.参选文件正本和副本均需胶装成册并标明页码，不得采用活页或容易拆解的装订形式。</w:t>
            </w:r>
          </w:p>
          <w:p w14:paraId="3B351CDF">
            <w:pPr>
              <w:keepNext w:val="0"/>
              <w:keepLines w:val="0"/>
              <w:suppressLineNumbers w:val="0"/>
              <w:spacing w:before="0" w:beforeAutospacing="0" w:after="0" w:afterAutospacing="0" w:line="420" w:lineRule="exact"/>
              <w:ind w:left="0" w:right="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4.参选文件封面的需清楚地注明“正本”或“副本”。</w:t>
            </w:r>
          </w:p>
          <w:p w14:paraId="22AF0096">
            <w:pPr>
              <w:keepNext w:val="0"/>
              <w:keepLines w:val="0"/>
              <w:suppressLineNumbers w:val="0"/>
              <w:spacing w:before="0" w:beforeAutospacing="0" w:after="0" w:afterAutospacing="0" w:line="420" w:lineRule="exact"/>
              <w:ind w:left="0" w:right="0"/>
              <w:rPr>
                <w:rFonts w:hint="default"/>
                <w:color w:val="auto"/>
                <w:kern w:val="0"/>
                <w:szCs w:val="21"/>
                <w:highlight w:val="none"/>
              </w:rPr>
            </w:pPr>
            <w:r>
              <w:rPr>
                <w:rFonts w:hint="eastAsia" w:ascii="宋体" w:hAnsi="宋体" w:cs="宋体"/>
                <w:b/>
                <w:color w:val="auto"/>
                <w:szCs w:val="21"/>
                <w:highlight w:val="none"/>
                <w:lang w:val="en-US" w:eastAsia="zh-CN"/>
              </w:rPr>
              <w:t>5.参选人须在递交参选文件截止时间前，到达比选地点现场递交参选文件。</w:t>
            </w:r>
          </w:p>
        </w:tc>
      </w:tr>
      <w:tr w14:paraId="427F9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64874A78">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1068" w:type="pct"/>
            <w:tcBorders>
              <w:top w:val="single" w:color="auto" w:sz="4" w:space="0"/>
              <w:left w:val="single" w:color="auto" w:sz="4" w:space="0"/>
              <w:bottom w:val="single" w:color="auto" w:sz="4" w:space="0"/>
              <w:right w:val="single" w:color="auto" w:sz="4" w:space="0"/>
            </w:tcBorders>
            <w:vAlign w:val="center"/>
          </w:tcPr>
          <w:p w14:paraId="225B4821">
            <w:pPr>
              <w:keepNext w:val="0"/>
              <w:keepLines w:val="0"/>
              <w:suppressLineNumbers w:val="0"/>
              <w:spacing w:before="0" w:beforeAutospacing="0" w:after="0" w:afterAutospacing="0" w:line="420" w:lineRule="exact"/>
              <w:ind w:left="0" w:right="0"/>
              <w:jc w:val="center"/>
              <w:rPr>
                <w:rFonts w:hint="eastAsia" w:ascii="宋体" w:hAnsi="宋体" w:cs="宋体"/>
                <w:color w:val="auto"/>
                <w:szCs w:val="21"/>
                <w:highlight w:val="none"/>
              </w:rPr>
            </w:pPr>
            <w:r>
              <w:rPr>
                <w:rFonts w:hint="eastAsia" w:ascii="宋体" w:hAnsi="宋体"/>
                <w:color w:val="auto"/>
                <w:szCs w:val="21"/>
                <w:highlight w:val="none"/>
                <w:lang w:eastAsia="zh-CN"/>
              </w:rPr>
              <w:t>参选文件</w:t>
            </w:r>
            <w:r>
              <w:rPr>
                <w:rFonts w:hint="eastAsia" w:ascii="宋体" w:hAnsi="宋体"/>
                <w:color w:val="auto"/>
                <w:szCs w:val="21"/>
                <w:highlight w:val="none"/>
              </w:rPr>
              <w:t>提交</w:t>
            </w:r>
          </w:p>
        </w:tc>
        <w:tc>
          <w:tcPr>
            <w:tcW w:w="3569" w:type="pct"/>
            <w:tcBorders>
              <w:top w:val="single" w:color="auto" w:sz="4" w:space="0"/>
              <w:left w:val="single" w:color="auto" w:sz="4" w:space="0"/>
              <w:bottom w:val="single" w:color="auto" w:sz="4" w:space="0"/>
              <w:right w:val="single" w:color="auto" w:sz="4" w:space="0"/>
            </w:tcBorders>
            <w:vAlign w:val="center"/>
          </w:tcPr>
          <w:p w14:paraId="4B3F5C5F">
            <w:pPr>
              <w:keepNext w:val="0"/>
              <w:keepLines w:val="0"/>
              <w:suppressLineNumbers w:val="0"/>
              <w:autoSpaceDE w:val="0"/>
              <w:autoSpaceDN w:val="0"/>
              <w:adjustRightInd w:val="0"/>
              <w:spacing w:before="0" w:beforeAutospacing="0" w:after="0" w:afterAutospacing="0" w:line="380" w:lineRule="exact"/>
              <w:ind w:left="0" w:right="0"/>
              <w:jc w:val="left"/>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rPr>
              <w:t>地点:</w:t>
            </w:r>
            <w:r>
              <w:rPr>
                <w:rFonts w:hint="eastAsia" w:ascii="宋体" w:hAnsi="宋体"/>
                <w:color w:val="auto"/>
                <w:szCs w:val="21"/>
                <w:highlight w:val="none"/>
                <w:u w:val="none"/>
                <w:lang w:eastAsia="zh-CN"/>
              </w:rPr>
              <w:t>安庆市大观区宜园路16号安庆交控集团</w:t>
            </w:r>
            <w:r>
              <w:rPr>
                <w:rFonts w:hint="eastAsia" w:ascii="宋体" w:hAnsi="宋体"/>
                <w:color w:val="auto"/>
                <w:szCs w:val="21"/>
                <w:highlight w:val="none"/>
                <w:u w:val="none"/>
                <w:lang w:val="en-US" w:eastAsia="zh-CN"/>
              </w:rPr>
              <w:t>二号楼一楼开标室</w:t>
            </w:r>
          </w:p>
          <w:p w14:paraId="1E000054">
            <w:pPr>
              <w:keepNext w:val="0"/>
              <w:keepLines w:val="0"/>
              <w:suppressLineNumbers w:val="0"/>
              <w:autoSpaceDE w:val="0"/>
              <w:autoSpaceDN w:val="0"/>
              <w:adjustRightInd w:val="0"/>
              <w:spacing w:before="0" w:beforeAutospacing="0" w:after="0" w:afterAutospacing="0" w:line="380" w:lineRule="exact"/>
              <w:ind w:left="0" w:right="0"/>
              <w:jc w:val="left"/>
              <w:rPr>
                <w:rFonts w:hint="eastAsia" w:ascii="宋体" w:hAnsi="宋体" w:cs="宋体"/>
                <w:b/>
                <w:bCs/>
                <w:color w:val="auto"/>
                <w:szCs w:val="21"/>
                <w:highlight w:val="none"/>
                <w:u w:val="none"/>
              </w:rPr>
            </w:pPr>
            <w:r>
              <w:rPr>
                <w:rFonts w:hint="eastAsia" w:ascii="宋体" w:hAnsi="宋体"/>
                <w:color w:val="auto"/>
                <w:szCs w:val="21"/>
                <w:highlight w:val="none"/>
                <w:u w:val="none"/>
                <w:lang w:eastAsia="zh-CN"/>
              </w:rPr>
              <w:t>参选</w:t>
            </w:r>
            <w:r>
              <w:rPr>
                <w:rFonts w:hint="eastAsia" w:ascii="宋体" w:hAnsi="宋体"/>
                <w:color w:val="auto"/>
                <w:szCs w:val="21"/>
                <w:highlight w:val="none"/>
                <w:u w:val="none"/>
              </w:rPr>
              <w:t>截止时间：</w:t>
            </w:r>
            <w:r>
              <w:rPr>
                <w:rFonts w:hint="eastAsia" w:ascii="宋体" w:hAnsi="宋体"/>
                <w:color w:val="auto"/>
                <w:szCs w:val="21"/>
                <w:highlight w:val="none"/>
                <w:u w:val="none"/>
                <w:lang w:val="en-US" w:eastAsia="zh-CN"/>
              </w:rPr>
              <w:t>2026年3月25日9时00分</w:t>
            </w:r>
          </w:p>
        </w:tc>
      </w:tr>
      <w:tr w14:paraId="04941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28D1EE0">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1068" w:type="pct"/>
            <w:tcBorders>
              <w:top w:val="single" w:color="auto" w:sz="4" w:space="0"/>
              <w:left w:val="single" w:color="auto" w:sz="4" w:space="0"/>
              <w:bottom w:val="single" w:color="auto" w:sz="4" w:space="0"/>
              <w:right w:val="single" w:color="auto" w:sz="4" w:space="0"/>
            </w:tcBorders>
            <w:vAlign w:val="center"/>
          </w:tcPr>
          <w:p w14:paraId="7C117F5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媒介发布</w:t>
            </w:r>
          </w:p>
        </w:tc>
        <w:tc>
          <w:tcPr>
            <w:tcW w:w="3569" w:type="pct"/>
            <w:tcBorders>
              <w:top w:val="single" w:color="auto" w:sz="4" w:space="0"/>
              <w:left w:val="single" w:color="auto" w:sz="4" w:space="0"/>
              <w:bottom w:val="single" w:color="auto" w:sz="4" w:space="0"/>
              <w:right w:val="single" w:color="auto" w:sz="4" w:space="0"/>
            </w:tcBorders>
            <w:vAlign w:val="center"/>
          </w:tcPr>
          <w:p w14:paraId="2657B988">
            <w:pPr>
              <w:keepNext w:val="0"/>
              <w:keepLines w:val="0"/>
              <w:suppressLineNumbers w:val="0"/>
              <w:autoSpaceDE w:val="0"/>
              <w:autoSpaceDN w:val="0"/>
              <w:adjustRightInd w:val="0"/>
              <w:spacing w:before="0" w:beforeAutospacing="0" w:after="0" w:afterAutospacing="0" w:line="380" w:lineRule="exact"/>
              <w:ind w:left="0" w:right="0"/>
              <w:jc w:val="left"/>
              <w:rPr>
                <w:rFonts w:hint="eastAsia" w:ascii="宋体" w:hAnsi="宋体"/>
                <w:color w:val="auto"/>
                <w:szCs w:val="21"/>
                <w:highlight w:val="none"/>
                <w:u w:val="none"/>
              </w:rPr>
            </w:pPr>
            <w:r>
              <w:rPr>
                <w:rFonts w:hint="eastAsia" w:ascii="宋体" w:hAnsi="宋体"/>
                <w:color w:val="auto"/>
                <w:szCs w:val="21"/>
                <w:highlight w:val="none"/>
                <w:u w:val="none"/>
              </w:rPr>
              <w:t>在</w:t>
            </w:r>
            <w:r>
              <w:rPr>
                <w:rFonts w:hint="eastAsia" w:ascii="宋体" w:hAnsi="宋体"/>
                <w:color w:val="auto"/>
                <w:szCs w:val="21"/>
                <w:highlight w:val="none"/>
                <w:u w:val="none"/>
                <w:lang w:eastAsia="zh-CN"/>
              </w:rPr>
              <w:t>安庆市交通控股集团有限公司集采</w:t>
            </w:r>
            <w:r>
              <w:rPr>
                <w:rFonts w:hint="eastAsia" w:ascii="宋体" w:hAnsi="宋体"/>
                <w:color w:val="auto"/>
                <w:szCs w:val="21"/>
                <w:highlight w:val="none"/>
                <w:u w:val="none"/>
                <w:lang w:val="en-US" w:eastAsia="zh-CN"/>
              </w:rPr>
              <w:t>平台</w:t>
            </w:r>
            <w:r>
              <w:rPr>
                <w:rFonts w:hint="eastAsia" w:ascii="宋体" w:hAnsi="宋体"/>
                <w:color w:val="auto"/>
                <w:szCs w:val="21"/>
                <w:highlight w:val="none"/>
                <w:u w:val="none"/>
              </w:rPr>
              <w:t>（</w:t>
            </w:r>
            <w:r>
              <w:rPr>
                <w:rFonts w:hint="eastAsia" w:ascii="宋体" w:hAnsi="宋体"/>
                <w:color w:val="auto"/>
                <w:szCs w:val="21"/>
                <w:highlight w:val="none"/>
                <w:u w:val="none"/>
                <w:lang w:eastAsia="zh-CN"/>
              </w:rPr>
              <w:t>http：//jc.zh0556.com/</w:t>
            </w:r>
            <w:r>
              <w:rPr>
                <w:rFonts w:hint="eastAsia" w:ascii="宋体" w:hAnsi="宋体"/>
                <w:color w:val="auto"/>
                <w:szCs w:val="21"/>
                <w:highlight w:val="none"/>
                <w:u w:val="none"/>
              </w:rPr>
              <w:t>）发布</w:t>
            </w:r>
          </w:p>
        </w:tc>
      </w:tr>
      <w:tr w14:paraId="393E7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F7694F3">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8</w:t>
            </w:r>
          </w:p>
        </w:tc>
        <w:tc>
          <w:tcPr>
            <w:tcW w:w="1068" w:type="pct"/>
            <w:tcBorders>
              <w:top w:val="single" w:color="auto" w:sz="4" w:space="0"/>
              <w:left w:val="single" w:color="auto" w:sz="4" w:space="0"/>
              <w:bottom w:val="single" w:color="auto" w:sz="4" w:space="0"/>
              <w:right w:val="single" w:color="auto" w:sz="4" w:space="0"/>
            </w:tcBorders>
            <w:vAlign w:val="center"/>
          </w:tcPr>
          <w:p w14:paraId="5EA89E8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开标时间和地点</w:t>
            </w:r>
          </w:p>
        </w:tc>
        <w:tc>
          <w:tcPr>
            <w:tcW w:w="3569" w:type="pct"/>
            <w:tcBorders>
              <w:top w:val="single" w:color="auto" w:sz="4" w:space="0"/>
              <w:left w:val="single" w:color="auto" w:sz="4" w:space="0"/>
              <w:bottom w:val="single" w:color="auto" w:sz="4" w:space="0"/>
              <w:right w:val="single" w:color="auto" w:sz="4" w:space="0"/>
            </w:tcBorders>
            <w:vAlign w:val="center"/>
          </w:tcPr>
          <w:p w14:paraId="0CF717F2">
            <w:pPr>
              <w:keepNext w:val="0"/>
              <w:keepLines w:val="0"/>
              <w:suppressLineNumbers w:val="0"/>
              <w:spacing w:before="0" w:beforeAutospacing="0" w:after="0" w:afterAutospacing="0" w:line="420" w:lineRule="exact"/>
              <w:ind w:left="0" w:right="0"/>
              <w:rPr>
                <w:rFonts w:hint="default" w:ascii="宋体" w:hAnsi="宋体"/>
                <w:color w:val="auto"/>
                <w:szCs w:val="21"/>
                <w:highlight w:val="none"/>
                <w:u w:val="none"/>
              </w:rPr>
            </w:pPr>
            <w:r>
              <w:rPr>
                <w:rFonts w:hint="eastAsia" w:ascii="宋体" w:hAnsi="宋体"/>
                <w:color w:val="auto"/>
                <w:szCs w:val="21"/>
                <w:highlight w:val="none"/>
                <w:u w:val="none"/>
              </w:rPr>
              <w:t>时间:</w:t>
            </w:r>
            <w:r>
              <w:rPr>
                <w:rFonts w:hint="eastAsia" w:ascii="宋体" w:hAnsi="宋体"/>
                <w:color w:val="auto"/>
                <w:szCs w:val="21"/>
                <w:highlight w:val="none"/>
                <w:u w:val="none"/>
                <w:lang w:val="en-US" w:eastAsia="zh-CN"/>
              </w:rPr>
              <w:t>2026年3月25日9时00分</w:t>
            </w:r>
          </w:p>
          <w:p w14:paraId="0A3F298A">
            <w:pPr>
              <w:keepNext w:val="0"/>
              <w:keepLines w:val="0"/>
              <w:suppressLineNumbers w:val="0"/>
              <w:spacing w:before="0" w:beforeAutospacing="0" w:after="0" w:afterAutospacing="0" w:line="420" w:lineRule="exact"/>
              <w:ind w:left="0" w:right="0"/>
              <w:rPr>
                <w:rFonts w:hint="default" w:ascii="宋体" w:hAnsi="宋体"/>
                <w:color w:val="auto"/>
                <w:szCs w:val="21"/>
                <w:highlight w:val="none"/>
                <w:u w:val="none"/>
                <w:lang w:val="en-US" w:eastAsia="zh-CN"/>
              </w:rPr>
            </w:pPr>
            <w:r>
              <w:rPr>
                <w:rFonts w:hint="eastAsia" w:ascii="宋体" w:hAnsi="宋体"/>
                <w:color w:val="auto"/>
                <w:szCs w:val="21"/>
                <w:highlight w:val="none"/>
                <w:u w:val="none"/>
              </w:rPr>
              <w:t>地点:</w:t>
            </w:r>
            <w:r>
              <w:rPr>
                <w:rFonts w:hint="eastAsia" w:ascii="宋体" w:hAnsi="宋体"/>
                <w:color w:val="auto"/>
                <w:szCs w:val="21"/>
                <w:highlight w:val="none"/>
                <w:u w:val="none"/>
                <w:lang w:eastAsia="zh-CN"/>
              </w:rPr>
              <w:t>安庆市大观区宜园路16号安庆交控集团</w:t>
            </w:r>
            <w:r>
              <w:rPr>
                <w:rFonts w:hint="eastAsia" w:ascii="宋体" w:hAnsi="宋体"/>
                <w:color w:val="auto"/>
                <w:szCs w:val="21"/>
                <w:highlight w:val="none"/>
                <w:u w:val="none"/>
                <w:lang w:val="en-US" w:eastAsia="zh-CN"/>
              </w:rPr>
              <w:t>2号楼1楼开标室</w:t>
            </w:r>
          </w:p>
        </w:tc>
      </w:tr>
      <w:tr w14:paraId="0BA28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2C3333CA">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1068" w:type="pct"/>
            <w:tcBorders>
              <w:top w:val="single" w:color="auto" w:sz="4" w:space="0"/>
              <w:left w:val="single" w:color="auto" w:sz="4" w:space="0"/>
              <w:bottom w:val="single" w:color="auto" w:sz="4" w:space="0"/>
              <w:right w:val="single" w:color="auto" w:sz="4" w:space="0"/>
            </w:tcBorders>
            <w:vAlign w:val="center"/>
          </w:tcPr>
          <w:p w14:paraId="3C8A590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评标方法</w:t>
            </w:r>
          </w:p>
        </w:tc>
        <w:tc>
          <w:tcPr>
            <w:tcW w:w="3569" w:type="pct"/>
            <w:tcBorders>
              <w:top w:val="single" w:color="auto" w:sz="4" w:space="0"/>
              <w:left w:val="single" w:color="auto" w:sz="4" w:space="0"/>
              <w:bottom w:val="single" w:color="auto" w:sz="4" w:space="0"/>
              <w:right w:val="single" w:color="auto" w:sz="4" w:space="0"/>
            </w:tcBorders>
            <w:vAlign w:val="center"/>
          </w:tcPr>
          <w:p w14:paraId="36374AA4">
            <w:pPr>
              <w:keepNext w:val="0"/>
              <w:keepLines w:val="0"/>
              <w:suppressLineNumbers w:val="0"/>
              <w:spacing w:before="0" w:beforeAutospacing="0" w:after="0" w:afterAutospacing="0" w:line="420" w:lineRule="exact"/>
              <w:ind w:left="0" w:right="0"/>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综合评分法</w:t>
            </w:r>
          </w:p>
        </w:tc>
      </w:tr>
      <w:tr w14:paraId="0C601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043A21F9">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1068" w:type="pct"/>
            <w:tcBorders>
              <w:top w:val="single" w:color="auto" w:sz="4" w:space="0"/>
              <w:left w:val="single" w:color="auto" w:sz="4" w:space="0"/>
              <w:bottom w:val="single" w:color="auto" w:sz="4" w:space="0"/>
              <w:right w:val="single" w:color="auto" w:sz="4" w:space="0"/>
            </w:tcBorders>
            <w:vAlign w:val="center"/>
          </w:tcPr>
          <w:p w14:paraId="5A07371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cs="Times New Roman"/>
                <w:b w:val="0"/>
                <w:bCs w:val="0"/>
                <w:color w:val="auto"/>
                <w:szCs w:val="21"/>
                <w:highlight w:val="none"/>
              </w:rPr>
              <w:t>专家评审费（元）</w:t>
            </w:r>
          </w:p>
        </w:tc>
        <w:tc>
          <w:tcPr>
            <w:tcW w:w="3569" w:type="pct"/>
            <w:tcBorders>
              <w:top w:val="single" w:color="auto" w:sz="4" w:space="0"/>
              <w:left w:val="single" w:color="auto" w:sz="4" w:space="0"/>
              <w:bottom w:val="single" w:color="auto" w:sz="4" w:space="0"/>
              <w:right w:val="single" w:color="auto" w:sz="4" w:space="0"/>
            </w:tcBorders>
            <w:vAlign w:val="center"/>
          </w:tcPr>
          <w:p w14:paraId="289D3E12">
            <w:pPr>
              <w:keepNext w:val="0"/>
              <w:keepLines w:val="0"/>
              <w:suppressLineNumbers w:val="0"/>
              <w:spacing w:before="0" w:beforeAutospacing="0" w:after="0" w:afterAutospacing="0" w:line="420" w:lineRule="exact"/>
              <w:ind w:left="0" w:right="0"/>
              <w:rPr>
                <w:rFonts w:hint="eastAsia" w:ascii="宋体" w:hAnsi="宋体" w:cs="宋体"/>
                <w:b/>
                <w:bCs/>
                <w:color w:val="auto"/>
                <w:szCs w:val="21"/>
                <w:highlight w:val="none"/>
                <w:lang w:eastAsia="zh-CN"/>
              </w:rPr>
            </w:pPr>
            <w:r>
              <w:rPr>
                <w:rFonts w:hint="eastAsia" w:ascii="宋体" w:hAnsi="Times New Roman" w:eastAsia="宋体" w:cs="Times New Roman"/>
                <w:b/>
                <w:bCs/>
                <w:color w:val="auto"/>
                <w:szCs w:val="21"/>
                <w:highlight w:val="none"/>
                <w:lang w:val="en-US" w:eastAsia="zh-CN"/>
              </w:rPr>
              <w:t>由成交人承担</w:t>
            </w:r>
          </w:p>
        </w:tc>
      </w:tr>
      <w:tr w14:paraId="19F66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61F93824">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21</w:t>
            </w:r>
          </w:p>
        </w:tc>
        <w:tc>
          <w:tcPr>
            <w:tcW w:w="1068" w:type="pct"/>
            <w:tcBorders>
              <w:top w:val="single" w:color="auto" w:sz="4" w:space="0"/>
              <w:left w:val="single" w:color="auto" w:sz="4" w:space="0"/>
              <w:bottom w:val="single" w:color="auto" w:sz="4" w:space="0"/>
              <w:right w:val="single" w:color="auto" w:sz="4" w:space="0"/>
            </w:tcBorders>
            <w:vAlign w:val="center"/>
          </w:tcPr>
          <w:p w14:paraId="40D396F4">
            <w:pPr>
              <w:keepNext w:val="0"/>
              <w:keepLines w:val="0"/>
              <w:suppressLineNumbers w:val="0"/>
              <w:spacing w:before="0" w:beforeAutospacing="0" w:after="0" w:afterAutospacing="0" w:line="420" w:lineRule="exact"/>
              <w:ind w:left="0" w:right="0"/>
              <w:jc w:val="center"/>
              <w:rPr>
                <w:rFonts w:hint="default" w:ascii="宋体" w:hAnsi="宋体"/>
                <w:b/>
                <w:bCs/>
                <w:color w:val="auto"/>
                <w:szCs w:val="21"/>
                <w:highlight w:val="none"/>
              </w:rPr>
            </w:pPr>
            <w:r>
              <w:rPr>
                <w:rFonts w:hint="eastAsia" w:ascii="宋体" w:hAnsi="宋体"/>
                <w:b w:val="0"/>
                <w:bCs w:val="0"/>
                <w:color w:val="auto"/>
                <w:szCs w:val="21"/>
                <w:highlight w:val="none"/>
              </w:rPr>
              <w:t>履约保证金</w:t>
            </w:r>
          </w:p>
        </w:tc>
        <w:tc>
          <w:tcPr>
            <w:tcW w:w="3569" w:type="pct"/>
            <w:tcBorders>
              <w:top w:val="single" w:color="auto" w:sz="4" w:space="0"/>
              <w:left w:val="single" w:color="auto" w:sz="4" w:space="0"/>
              <w:bottom w:val="single" w:color="auto" w:sz="4" w:space="0"/>
              <w:right w:val="single" w:color="auto" w:sz="4" w:space="0"/>
            </w:tcBorders>
            <w:vAlign w:val="center"/>
          </w:tcPr>
          <w:p w14:paraId="1FDCC6D0">
            <w:pPr>
              <w:keepNext w:val="0"/>
              <w:keepLines w:val="0"/>
              <w:numPr>
                <w:ilvl w:val="0"/>
                <w:numId w:val="0"/>
              </w:numPr>
              <w:suppressLineNumbers w:val="0"/>
              <w:spacing w:before="0" w:beforeAutospacing="0" w:after="0" w:afterAutospacing="0" w:line="420" w:lineRule="exact"/>
              <w:ind w:left="0" w:right="0" w:rightChars="0"/>
              <w:rPr>
                <w:rFonts w:hint="default"/>
                <w:color w:val="auto"/>
                <w:highlight w:val="none"/>
                <w:lang w:val="en-US" w:eastAsia="zh-CN"/>
              </w:rPr>
            </w:pPr>
            <w:r>
              <w:rPr>
                <w:rFonts w:hint="eastAsia"/>
                <w:color w:val="auto"/>
                <w:highlight w:val="none"/>
                <w:lang w:val="en-US" w:eastAsia="zh-CN"/>
              </w:rPr>
              <w:t>本项目不收取</w:t>
            </w:r>
          </w:p>
        </w:tc>
      </w:tr>
      <w:tr w14:paraId="00062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6D962CA">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2</w:t>
            </w:r>
          </w:p>
        </w:tc>
        <w:tc>
          <w:tcPr>
            <w:tcW w:w="1068" w:type="pct"/>
            <w:tcBorders>
              <w:top w:val="single" w:color="auto" w:sz="4" w:space="0"/>
              <w:left w:val="single" w:color="auto" w:sz="4" w:space="0"/>
              <w:bottom w:val="single" w:color="auto" w:sz="4" w:space="0"/>
              <w:right w:val="single" w:color="auto" w:sz="4" w:space="0"/>
            </w:tcBorders>
            <w:vAlign w:val="center"/>
          </w:tcPr>
          <w:p w14:paraId="6B454A4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b w:val="0"/>
                <w:bCs w:val="0"/>
                <w:color w:val="auto"/>
                <w:szCs w:val="21"/>
                <w:highlight w:val="none"/>
              </w:rPr>
              <w:t>付款方式</w:t>
            </w:r>
          </w:p>
        </w:tc>
        <w:tc>
          <w:tcPr>
            <w:tcW w:w="3569" w:type="pct"/>
            <w:tcBorders>
              <w:top w:val="single" w:color="auto" w:sz="4" w:space="0"/>
              <w:left w:val="single" w:color="auto" w:sz="4" w:space="0"/>
              <w:bottom w:val="single" w:color="auto" w:sz="4" w:space="0"/>
              <w:right w:val="single" w:color="auto" w:sz="4" w:space="0"/>
            </w:tcBorders>
            <w:vAlign w:val="center"/>
          </w:tcPr>
          <w:p w14:paraId="4E74DF82">
            <w:pPr>
              <w:keepNext w:val="0"/>
              <w:keepLines w:val="0"/>
              <w:suppressLineNumbers w:val="0"/>
              <w:spacing w:before="0" w:beforeAutospacing="0" w:after="0" w:afterAutospacing="0" w:line="420" w:lineRule="exact"/>
              <w:ind w:left="0" w:right="0"/>
              <w:jc w:val="left"/>
              <w:rPr>
                <w:rFonts w:hint="eastAsia" w:ascii="宋体" w:hAnsi="宋体" w:eastAsia="宋体"/>
                <w:b/>
                <w:bCs/>
                <w:color w:val="auto"/>
                <w:szCs w:val="21"/>
                <w:highlight w:val="none"/>
                <w:lang w:eastAsia="zh-CN"/>
              </w:rPr>
            </w:pPr>
            <w:r>
              <w:rPr>
                <w:rFonts w:hint="eastAsia" w:ascii="宋体" w:hAnsi="宋体"/>
                <w:b w:val="0"/>
                <w:bCs w:val="0"/>
                <w:color w:val="auto"/>
                <w:szCs w:val="21"/>
                <w:highlight w:val="none"/>
                <w:lang w:val="en-US" w:eastAsia="zh-CN"/>
              </w:rPr>
              <w:t>开具合法的增值税发票后，通过网银转账一次性付清。</w:t>
            </w:r>
          </w:p>
        </w:tc>
      </w:tr>
      <w:tr w14:paraId="40278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394A53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1068" w:type="pct"/>
            <w:tcBorders>
              <w:top w:val="single" w:color="auto" w:sz="4" w:space="0"/>
              <w:left w:val="single" w:color="auto" w:sz="4" w:space="0"/>
              <w:bottom w:val="single" w:color="auto" w:sz="4" w:space="0"/>
              <w:right w:val="single" w:color="auto" w:sz="4" w:space="0"/>
            </w:tcBorders>
            <w:vAlign w:val="center"/>
          </w:tcPr>
          <w:p w14:paraId="70EFC77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廉政监督和投诉举报</w:t>
            </w:r>
          </w:p>
        </w:tc>
        <w:tc>
          <w:tcPr>
            <w:tcW w:w="3569" w:type="pct"/>
            <w:tcBorders>
              <w:top w:val="single" w:color="auto" w:sz="4" w:space="0"/>
              <w:left w:val="single" w:color="auto" w:sz="4" w:space="0"/>
              <w:bottom w:val="single" w:color="auto" w:sz="4" w:space="0"/>
              <w:right w:val="single" w:color="auto" w:sz="4" w:space="0"/>
            </w:tcBorders>
            <w:vAlign w:val="center"/>
          </w:tcPr>
          <w:p w14:paraId="000B9AD3">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凡有意参加</w:t>
            </w:r>
            <w:r>
              <w:rPr>
                <w:rFonts w:hint="eastAsia" w:cs="Times New Roman"/>
                <w:color w:val="auto"/>
                <w:szCs w:val="20"/>
                <w:highlight w:val="none"/>
                <w:lang w:eastAsia="zh-CN"/>
              </w:rPr>
              <w:t>参选</w:t>
            </w:r>
            <w:r>
              <w:rPr>
                <w:rFonts w:hint="eastAsia" w:ascii="Times New Roman" w:hAnsi="Times New Roman" w:eastAsia="宋体" w:cs="Times New Roman"/>
                <w:color w:val="auto"/>
                <w:szCs w:val="20"/>
                <w:highlight w:val="none"/>
              </w:rPr>
              <w:t>的单位，在参与过程中，遇排斥潜在</w:t>
            </w:r>
            <w:r>
              <w:rPr>
                <w:rFonts w:hint="eastAsia" w:cs="Times New Roman"/>
                <w:color w:val="auto"/>
                <w:szCs w:val="20"/>
                <w:highlight w:val="none"/>
                <w:lang w:eastAsia="zh-CN"/>
              </w:rPr>
              <w:t>参选人</w:t>
            </w:r>
            <w:r>
              <w:rPr>
                <w:rFonts w:hint="eastAsia" w:ascii="Times New Roman" w:hAnsi="Times New Roman" w:eastAsia="宋体" w:cs="Times New Roman"/>
                <w:color w:val="auto"/>
                <w:szCs w:val="20"/>
                <w:highlight w:val="none"/>
              </w:rPr>
              <w:t>等现象，可在开标截止时间1日前向招标部门提出书面质疑。如对质疑答复不满，可在开标截止时间前不少于12小时将书面投诉材料送达至监察部门。</w:t>
            </w:r>
          </w:p>
          <w:p w14:paraId="28B36443">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地址：安庆市交通控股集团有限公司一号楼纪检监察室。</w:t>
            </w:r>
          </w:p>
          <w:p w14:paraId="2135E4AE">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szCs w:val="20"/>
                <w:highlight w:val="none"/>
              </w:rPr>
              <w:t>电话：0556-5595102</w:t>
            </w:r>
          </w:p>
        </w:tc>
      </w:tr>
      <w:tr w14:paraId="750DE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7275159D">
            <w:pPr>
              <w:keepNext w:val="0"/>
              <w:keepLines w:val="0"/>
              <w:suppressLineNumbers w:val="0"/>
              <w:spacing w:before="0" w:beforeAutospacing="0" w:after="0" w:afterAutospacing="0" w:line="420" w:lineRule="exact"/>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24</w:t>
            </w:r>
          </w:p>
        </w:tc>
        <w:tc>
          <w:tcPr>
            <w:tcW w:w="1068" w:type="pct"/>
            <w:tcBorders>
              <w:top w:val="single" w:color="auto" w:sz="4" w:space="0"/>
              <w:left w:val="single" w:color="auto" w:sz="4" w:space="0"/>
              <w:bottom w:val="single" w:color="auto" w:sz="4" w:space="0"/>
              <w:right w:val="single" w:color="auto" w:sz="4" w:space="0"/>
            </w:tcBorders>
            <w:vAlign w:val="center"/>
          </w:tcPr>
          <w:p w14:paraId="0CEBBE3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备注</w:t>
            </w:r>
          </w:p>
        </w:tc>
        <w:tc>
          <w:tcPr>
            <w:tcW w:w="3569" w:type="pct"/>
            <w:tcBorders>
              <w:top w:val="single" w:color="auto" w:sz="4" w:space="0"/>
              <w:left w:val="single" w:color="auto" w:sz="4" w:space="0"/>
              <w:bottom w:val="single" w:color="auto" w:sz="4" w:space="0"/>
              <w:right w:val="single" w:color="auto" w:sz="4" w:space="0"/>
            </w:tcBorders>
            <w:vAlign w:val="center"/>
          </w:tcPr>
          <w:p w14:paraId="4823A601">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w:t>
            </w:r>
            <w:r>
              <w:rPr>
                <w:rFonts w:hint="eastAsia" w:ascii="宋体" w:hAnsi="宋体"/>
                <w:color w:val="auto"/>
                <w:szCs w:val="21"/>
                <w:highlight w:val="none"/>
                <w:lang w:eastAsia="zh-CN"/>
              </w:rPr>
              <w:t>比选文件</w:t>
            </w:r>
            <w:r>
              <w:rPr>
                <w:rFonts w:hint="eastAsia" w:ascii="宋体" w:hAnsi="宋体"/>
                <w:color w:val="auto"/>
                <w:szCs w:val="21"/>
                <w:highlight w:val="none"/>
              </w:rPr>
              <w:t>的解释权归采购</w:t>
            </w:r>
            <w:r>
              <w:rPr>
                <w:rFonts w:hint="eastAsia" w:ascii="宋体" w:hAnsi="宋体"/>
                <w:color w:val="auto"/>
                <w:szCs w:val="21"/>
                <w:highlight w:val="none"/>
                <w:lang w:val="en-US" w:eastAsia="zh-CN"/>
              </w:rPr>
              <w:t>管理部门</w:t>
            </w:r>
            <w:r>
              <w:rPr>
                <w:rFonts w:hint="eastAsia" w:ascii="宋体" w:hAnsi="宋体"/>
                <w:color w:val="auto"/>
                <w:szCs w:val="21"/>
                <w:highlight w:val="none"/>
              </w:rPr>
              <w:t>。</w:t>
            </w:r>
          </w:p>
          <w:p w14:paraId="78402720">
            <w:pPr>
              <w:keepNext w:val="0"/>
              <w:keepLines w:val="0"/>
              <w:suppressLineNumbers w:val="0"/>
              <w:spacing w:before="0" w:beforeAutospacing="0" w:after="0" w:afterAutospacing="0" w:line="420" w:lineRule="exact"/>
              <w:ind w:left="0" w:right="0"/>
              <w:rPr>
                <w:rFonts w:hint="default" w:ascii="Times New Roman" w:hAnsi="Times New Roman" w:eastAsia="宋体" w:cs="Times New Roman"/>
                <w:color w:val="auto"/>
                <w:szCs w:val="20"/>
                <w:highlight w:val="none"/>
              </w:rPr>
            </w:pPr>
            <w:r>
              <w:rPr>
                <w:rFonts w:hint="eastAsia" w:ascii="Times New Roman" w:hAnsi="Times New Roman" w:eastAsia="宋体" w:cs="Times New Roman"/>
                <w:color w:val="auto"/>
                <w:szCs w:val="20"/>
                <w:highlight w:val="none"/>
              </w:rPr>
              <w:t>2</w:t>
            </w:r>
            <w:r>
              <w:rPr>
                <w:rFonts w:hint="eastAsia" w:ascii="Times New Roman" w:hAnsi="Times New Roman" w:eastAsia="宋体" w:cs="Times New Roman"/>
                <w:color w:val="auto"/>
                <w:szCs w:val="20"/>
                <w:highlight w:val="none"/>
                <w:lang w:eastAsia="zh-CN"/>
              </w:rPr>
              <w:t>、</w:t>
            </w:r>
            <w:r>
              <w:rPr>
                <w:rFonts w:hint="eastAsia" w:ascii="Times New Roman" w:hAnsi="Times New Roman" w:eastAsia="宋体" w:cs="Times New Roman"/>
                <w:color w:val="auto"/>
                <w:szCs w:val="20"/>
                <w:highlight w:val="none"/>
              </w:rPr>
              <w:t>成交人</w:t>
            </w:r>
            <w:r>
              <w:rPr>
                <w:rFonts w:hint="eastAsia" w:ascii="Times New Roman" w:hAnsi="Times New Roman" w:eastAsia="宋体" w:cs="Times New Roman"/>
                <w:color w:val="auto"/>
                <w:szCs w:val="20"/>
                <w:highlight w:val="none"/>
                <w:lang w:val="en-US" w:eastAsia="zh-CN"/>
              </w:rPr>
              <w:t>必须</w:t>
            </w:r>
            <w:r>
              <w:rPr>
                <w:rFonts w:hint="eastAsia" w:cs="Times New Roman"/>
                <w:color w:val="auto"/>
                <w:szCs w:val="20"/>
                <w:highlight w:val="none"/>
                <w:lang w:val="en-US" w:eastAsia="zh-CN"/>
              </w:rPr>
              <w:t>符合相应资格条件</w:t>
            </w:r>
            <w:r>
              <w:rPr>
                <w:rFonts w:hint="default" w:ascii="Times New Roman" w:hAnsi="Times New Roman" w:eastAsia="宋体" w:cs="Times New Roman"/>
                <w:color w:val="auto"/>
                <w:szCs w:val="20"/>
                <w:highlight w:val="none"/>
              </w:rPr>
              <w:t>，</w:t>
            </w:r>
            <w:r>
              <w:rPr>
                <w:rFonts w:hint="eastAsia" w:ascii="Times New Roman" w:hAnsi="Times New Roman" w:eastAsia="宋体" w:cs="Times New Roman"/>
                <w:color w:val="auto"/>
                <w:szCs w:val="20"/>
                <w:highlight w:val="none"/>
                <w:lang w:val="en-US" w:eastAsia="zh-CN"/>
              </w:rPr>
              <w:t>不得委托或分包</w:t>
            </w:r>
            <w:r>
              <w:rPr>
                <w:rFonts w:hint="default" w:ascii="Times New Roman" w:hAnsi="Times New Roman" w:eastAsia="宋体" w:cs="Times New Roman"/>
                <w:color w:val="auto"/>
                <w:szCs w:val="20"/>
                <w:highlight w:val="none"/>
              </w:rPr>
              <w:t>。</w:t>
            </w:r>
          </w:p>
          <w:p w14:paraId="27BB3FD5">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Times New Roman" w:hAnsi="Times New Roman" w:eastAsia="宋体" w:cs="Times New Roman"/>
                <w:color w:val="auto"/>
                <w:szCs w:val="20"/>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本次招标采购管理</w:t>
            </w:r>
            <w:r>
              <w:rPr>
                <w:rFonts w:hint="eastAsia" w:cs="Times New Roman"/>
                <w:color w:val="auto"/>
                <w:kern w:val="2"/>
                <w:sz w:val="21"/>
                <w:highlight w:val="none"/>
                <w:lang w:val="en-US" w:eastAsia="zh-CN" w:bidi="ar-SA"/>
              </w:rPr>
              <w:t>部门</w:t>
            </w:r>
            <w:r>
              <w:rPr>
                <w:rFonts w:hint="eastAsia" w:ascii="Times New Roman" w:hAnsi="Times New Roman" w:eastAsia="宋体" w:cs="Times New Roman"/>
                <w:color w:val="auto"/>
                <w:kern w:val="2"/>
                <w:sz w:val="21"/>
                <w:highlight w:val="none"/>
                <w:lang w:val="en-US" w:eastAsia="zh-CN" w:bidi="ar-SA"/>
              </w:rPr>
              <w:t>为安庆市交通控股集团有限公司集采中心，具体合同签订主体为</w:t>
            </w:r>
            <w:r>
              <w:rPr>
                <w:rFonts w:hint="eastAsia" w:cs="Times New Roman"/>
                <w:color w:val="auto"/>
                <w:kern w:val="2"/>
                <w:sz w:val="21"/>
                <w:highlight w:val="none"/>
                <w:lang w:val="en-US" w:eastAsia="zh-CN" w:bidi="ar-SA"/>
              </w:rPr>
              <w:t>安庆市安汇港务有限公司</w:t>
            </w:r>
            <w:r>
              <w:rPr>
                <w:rFonts w:hint="eastAsia" w:ascii="Times New Roman" w:hAnsi="Times New Roman" w:eastAsia="宋体" w:cs="Times New Roman"/>
                <w:b w:val="0"/>
                <w:bCs w:val="0"/>
                <w:color w:val="auto"/>
                <w:kern w:val="2"/>
                <w:sz w:val="21"/>
                <w:highlight w:val="none"/>
                <w:lang w:val="en-US" w:eastAsia="zh-CN" w:bidi="ar-SA"/>
              </w:rPr>
              <w:t>，</w:t>
            </w:r>
            <w:r>
              <w:rPr>
                <w:rFonts w:hint="eastAsia" w:cs="Times New Roman"/>
                <w:b w:val="0"/>
                <w:bCs w:val="0"/>
                <w:color w:val="auto"/>
                <w:kern w:val="2"/>
                <w:sz w:val="21"/>
                <w:highlight w:val="none"/>
                <w:lang w:val="en-US" w:eastAsia="zh-CN" w:bidi="ar-SA"/>
              </w:rPr>
              <w:t>本项目由集团公司统筹招标，</w:t>
            </w:r>
            <w:r>
              <w:rPr>
                <w:rFonts w:hint="eastAsia" w:ascii="宋体" w:hAnsi="宋体" w:cs="宋体"/>
                <w:b w:val="0"/>
                <w:bCs w:val="0"/>
                <w:color w:val="auto"/>
                <w:szCs w:val="21"/>
                <w:highlight w:val="none"/>
                <w:lang w:val="en-US" w:eastAsia="zh-CN"/>
              </w:rPr>
              <w:t>后续由各子公司与成交人进行对接</w:t>
            </w:r>
            <w:r>
              <w:rPr>
                <w:rFonts w:hint="eastAsia" w:cs="Times New Roman"/>
                <w:b w:val="0"/>
                <w:bCs w:val="0"/>
                <w:color w:val="auto"/>
                <w:kern w:val="2"/>
                <w:sz w:val="21"/>
                <w:highlight w:val="none"/>
                <w:lang w:val="en-US" w:eastAsia="zh-CN" w:bidi="ar-SA"/>
              </w:rPr>
              <w:t>，</w:t>
            </w:r>
            <w:r>
              <w:rPr>
                <w:rFonts w:hint="eastAsia" w:ascii="Times New Roman" w:hAnsi="Times New Roman" w:eastAsia="宋体" w:cs="Times New Roman"/>
                <w:color w:val="auto"/>
                <w:kern w:val="2"/>
                <w:sz w:val="21"/>
                <w:highlight w:val="none"/>
                <w:lang w:val="en-US" w:eastAsia="zh-CN" w:bidi="ar-SA"/>
              </w:rPr>
              <w:t>特此说明</w:t>
            </w:r>
            <w:r>
              <w:rPr>
                <w:rFonts w:hint="eastAsia" w:cs="Times New Roman"/>
                <w:color w:val="auto"/>
                <w:kern w:val="2"/>
                <w:sz w:val="21"/>
                <w:highlight w:val="none"/>
                <w:lang w:val="en-US" w:eastAsia="zh-CN" w:bidi="ar-SA"/>
              </w:rPr>
              <w:t>。</w:t>
            </w:r>
          </w:p>
        </w:tc>
      </w:tr>
      <w:tr w14:paraId="2D3E9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14:paraId="58C4C76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lang w:val="en-US" w:eastAsia="zh-CN"/>
              </w:rPr>
            </w:pPr>
            <w:bookmarkStart w:id="16" w:name="_Toc14999"/>
            <w:r>
              <w:rPr>
                <w:rFonts w:hint="eastAsia" w:ascii="宋体" w:hAnsi="宋体"/>
                <w:color w:val="auto"/>
                <w:szCs w:val="21"/>
                <w:highlight w:val="none"/>
                <w:lang w:val="en-US" w:eastAsia="zh-CN"/>
              </w:rPr>
              <w:t>25</w:t>
            </w:r>
          </w:p>
        </w:tc>
        <w:tc>
          <w:tcPr>
            <w:tcW w:w="1068" w:type="pct"/>
            <w:tcBorders>
              <w:top w:val="single" w:color="auto" w:sz="4" w:space="0"/>
              <w:left w:val="single" w:color="auto" w:sz="4" w:space="0"/>
              <w:bottom w:val="single" w:color="auto" w:sz="4" w:space="0"/>
              <w:right w:val="single" w:color="auto" w:sz="4" w:space="0"/>
            </w:tcBorders>
            <w:vAlign w:val="center"/>
          </w:tcPr>
          <w:p w14:paraId="2816EE4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color w:val="auto"/>
                <w:szCs w:val="20"/>
                <w:highlight w:val="none"/>
              </w:rPr>
              <w:t>未中标补偿费</w:t>
            </w:r>
          </w:p>
        </w:tc>
        <w:tc>
          <w:tcPr>
            <w:tcW w:w="3569" w:type="pct"/>
            <w:tcBorders>
              <w:top w:val="single" w:color="auto" w:sz="4" w:space="0"/>
              <w:left w:val="single" w:color="auto" w:sz="4" w:space="0"/>
              <w:bottom w:val="single" w:color="auto" w:sz="4" w:space="0"/>
              <w:right w:val="single" w:color="auto" w:sz="4" w:space="0"/>
            </w:tcBorders>
            <w:vAlign w:val="center"/>
          </w:tcPr>
          <w:p w14:paraId="781AF917">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1</w:t>
            </w:r>
            <w:r>
              <w:rPr>
                <w:rFonts w:hint="eastAsia"/>
                <w:color w:val="auto"/>
                <w:szCs w:val="20"/>
                <w:highlight w:val="none"/>
                <w:lang w:eastAsia="zh-CN"/>
              </w:rPr>
              <w:t>、</w:t>
            </w:r>
            <w:r>
              <w:rPr>
                <w:rFonts w:hint="eastAsia"/>
                <w:color w:val="auto"/>
                <w:szCs w:val="20"/>
                <w:highlight w:val="none"/>
              </w:rPr>
              <w:t>未中标补偿费是支付给未中标单位的一次性酬劳费用，用于买断其设计成果的知识产权。</w:t>
            </w:r>
          </w:p>
          <w:p w14:paraId="09968ED7">
            <w:pPr>
              <w:keepNext w:val="0"/>
              <w:keepLines w:val="0"/>
              <w:suppressLineNumbers w:val="0"/>
              <w:spacing w:before="0" w:beforeAutospacing="0" w:after="0" w:afterAutospacing="0" w:line="420" w:lineRule="exact"/>
              <w:ind w:left="0" w:right="0"/>
              <w:rPr>
                <w:rFonts w:hint="eastAsia" w:ascii="Times New Roman" w:hAnsi="Times New Roman" w:eastAsia="宋体" w:cs="Times New Roman"/>
                <w:color w:val="auto"/>
                <w:szCs w:val="20"/>
                <w:highlight w:val="none"/>
                <w:lang w:val="en-US" w:eastAsia="zh-CN"/>
              </w:rPr>
            </w:pPr>
            <w:r>
              <w:rPr>
                <w:rFonts w:hint="eastAsia"/>
                <w:color w:val="auto"/>
                <w:szCs w:val="20"/>
                <w:highlight w:val="none"/>
                <w:lang w:val="en-US" w:eastAsia="zh-CN"/>
              </w:rPr>
              <w:t>2、采购人</w:t>
            </w:r>
            <w:r>
              <w:rPr>
                <w:rFonts w:hint="eastAsia"/>
                <w:color w:val="auto"/>
                <w:szCs w:val="20"/>
                <w:highlight w:val="none"/>
              </w:rPr>
              <w:t>将在</w:t>
            </w:r>
            <w:r>
              <w:rPr>
                <w:rFonts w:hint="eastAsia"/>
                <w:color w:val="auto"/>
                <w:szCs w:val="20"/>
                <w:highlight w:val="none"/>
                <w:lang w:val="en-US" w:eastAsia="zh-CN"/>
              </w:rPr>
              <w:t>合同签订</w:t>
            </w:r>
            <w:r>
              <w:rPr>
                <w:rFonts w:hint="eastAsia"/>
                <w:color w:val="auto"/>
                <w:szCs w:val="20"/>
                <w:highlight w:val="none"/>
              </w:rPr>
              <w:t>后</w:t>
            </w:r>
            <w:r>
              <w:rPr>
                <w:rFonts w:hint="eastAsia"/>
                <w:color w:val="auto"/>
                <w:szCs w:val="20"/>
                <w:highlight w:val="none"/>
                <w:lang w:val="en-US" w:eastAsia="zh-CN"/>
              </w:rPr>
              <w:t>10</w:t>
            </w:r>
            <w:r>
              <w:rPr>
                <w:rFonts w:hint="eastAsia"/>
                <w:color w:val="auto"/>
                <w:szCs w:val="20"/>
                <w:highlight w:val="none"/>
              </w:rPr>
              <w:t>天内支付</w:t>
            </w:r>
            <w:r>
              <w:rPr>
                <w:rFonts w:hint="eastAsia" w:ascii="宋体" w:hAnsi="宋体" w:cs="宋体"/>
                <w:color w:val="auto"/>
                <w:szCs w:val="21"/>
                <w:highlight w:val="none"/>
              </w:rPr>
              <w:t>第二成交候选人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第三成交候选人未中标补偿费</w:t>
            </w:r>
            <w:r>
              <w:rPr>
                <w:rFonts w:hint="eastAsia"/>
                <w:color w:val="auto"/>
                <w:szCs w:val="20"/>
                <w:highlight w:val="none"/>
              </w:rPr>
              <w:t>人民币</w:t>
            </w:r>
            <w:r>
              <w:rPr>
                <w:rFonts w:hint="eastAsia"/>
                <w:color w:val="auto"/>
                <w:szCs w:val="20"/>
                <w:highlight w:val="none"/>
                <w:lang w:val="en-US" w:eastAsia="zh-CN"/>
              </w:rPr>
              <w:t>各伍仟</w:t>
            </w:r>
            <w:r>
              <w:rPr>
                <w:rFonts w:hint="eastAsia"/>
                <w:color w:val="auto"/>
                <w:szCs w:val="20"/>
                <w:highlight w:val="none"/>
              </w:rPr>
              <w:t>元（￥</w:t>
            </w:r>
            <w:r>
              <w:rPr>
                <w:rFonts w:hint="eastAsia"/>
                <w:color w:val="auto"/>
                <w:szCs w:val="20"/>
                <w:highlight w:val="none"/>
                <w:lang w:val="en-US" w:eastAsia="zh-CN"/>
              </w:rPr>
              <w:t>5</w:t>
            </w:r>
            <w:r>
              <w:rPr>
                <w:rFonts w:hint="eastAsia"/>
                <w:color w:val="auto"/>
                <w:szCs w:val="20"/>
                <w:highlight w:val="none"/>
              </w:rPr>
              <w:t>000.00元）</w:t>
            </w:r>
            <w:r>
              <w:rPr>
                <w:rFonts w:hint="eastAsia"/>
                <w:color w:val="auto"/>
                <w:szCs w:val="20"/>
                <w:highlight w:val="none"/>
                <w:lang w:eastAsia="zh-CN"/>
              </w:rPr>
              <w:t>，</w:t>
            </w:r>
            <w:r>
              <w:rPr>
                <w:rFonts w:hint="eastAsia"/>
                <w:color w:val="auto"/>
                <w:szCs w:val="20"/>
                <w:highlight w:val="none"/>
              </w:rPr>
              <w:t>补偿费用均含税。</w:t>
            </w:r>
          </w:p>
        </w:tc>
      </w:tr>
    </w:tbl>
    <w:p w14:paraId="4A81C756">
      <w:pPr>
        <w:rPr>
          <w:color w:val="auto"/>
          <w:highlight w:val="none"/>
        </w:rPr>
      </w:pPr>
    </w:p>
    <w:bookmarkEnd w:id="16"/>
    <w:p w14:paraId="4B9C0B71">
      <w:pPr>
        <w:rPr>
          <w:rFonts w:hint="eastAsia"/>
          <w:color w:val="auto"/>
          <w:highlight w:val="none"/>
        </w:rPr>
      </w:pPr>
      <w:bookmarkStart w:id="17" w:name="_Toc4481592"/>
      <w:bookmarkStart w:id="18" w:name="_Toc28310"/>
      <w:r>
        <w:rPr>
          <w:rFonts w:hint="eastAsia"/>
          <w:color w:val="auto"/>
          <w:highlight w:val="none"/>
        </w:rPr>
        <w:br w:type="page"/>
      </w:r>
    </w:p>
    <w:bookmarkEnd w:id="17"/>
    <w:bookmarkEnd w:id="18"/>
    <w:p w14:paraId="1960188A">
      <w:pPr>
        <w:keepNext/>
        <w:keepLines/>
        <w:widowControl w:val="0"/>
        <w:spacing w:before="120" w:beforeLines="0" w:after="120" w:afterLines="0" w:line="360" w:lineRule="exact"/>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19" w:name="_Toc16271"/>
      <w:bookmarkStart w:id="20" w:name="_Toc2521"/>
      <w:bookmarkStart w:id="21" w:name="_Toc12394"/>
      <w:bookmarkStart w:id="22" w:name="_Toc54941331"/>
      <w:bookmarkStart w:id="23" w:name="_Toc54941337"/>
      <w:bookmarkStart w:id="24" w:name="_Toc476584426"/>
      <w:bookmarkStart w:id="25" w:name="_Toc4481596"/>
      <w:bookmarkStart w:id="26" w:name="_Toc18076"/>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宋体" w:hAnsi="宋体"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bookmarkEnd w:id="19"/>
      <w:bookmarkEnd w:id="20"/>
      <w:bookmarkEnd w:id="21"/>
      <w:bookmarkEnd w:id="22"/>
    </w:p>
    <w:bookmarkEnd w:id="23"/>
    <w:bookmarkEnd w:id="24"/>
    <w:p w14:paraId="544698F5">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一</w:t>
      </w:r>
      <w:r>
        <w:rPr>
          <w:rFonts w:hint="eastAsia" w:ascii="Arial" w:hAnsi="Arial" w:eastAsia="宋体" w:cs="Times New Roman"/>
          <w:b/>
          <w:color w:val="auto"/>
          <w:kern w:val="0"/>
          <w:sz w:val="32"/>
          <w:szCs w:val="20"/>
          <w:highlight w:val="none"/>
        </w:rPr>
        <w:t>）总则</w:t>
      </w:r>
    </w:p>
    <w:p w14:paraId="5571E1EC">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1、定义</w:t>
      </w:r>
    </w:p>
    <w:p w14:paraId="02F0B574">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1.1、采购单位是指采购人和采购管理部门。</w:t>
      </w:r>
    </w:p>
    <w:p w14:paraId="566A2F2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1.2、参选人是指对“参选人须知前附表”序号2所指的项目表现出兴趣，按照规定的程序，从采购单位获取了比选文件，并实际参与了该项目投标活动的供应商。</w:t>
      </w:r>
    </w:p>
    <w:p w14:paraId="4B6AF3AB">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2、参选人资格要求</w:t>
      </w:r>
    </w:p>
    <w:p w14:paraId="51F7F00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2.1、参与本项目的参选人必须满足的要求：详见参选人须知前附表。</w:t>
      </w:r>
    </w:p>
    <w:p w14:paraId="0BDB5CBD">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2.2、参选人之间如果存在下列情形之一的，不得同时参加同一包别或者不分包别的同一项目投标：</w:t>
      </w:r>
    </w:p>
    <w:p w14:paraId="3B25DCA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（1）法定代表人为同一个人的两个及两个以上法人；</w:t>
      </w:r>
    </w:p>
    <w:p w14:paraId="27BC12DC">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（2）母公司、全资子公司及其控股公司；</w:t>
      </w:r>
    </w:p>
    <w:p w14:paraId="569DADA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（3）法律和行政法规规定的其他情形。</w:t>
      </w:r>
    </w:p>
    <w:p w14:paraId="23D9748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2.3、参选人必须确保自己信息真实、准确，否则，参选人因此蒙受损失，采购单位概不负责。</w:t>
      </w:r>
    </w:p>
    <w:p w14:paraId="74CD21D8">
      <w:pPr>
        <w:adjustRightInd w:val="0"/>
        <w:spacing w:line="500" w:lineRule="exact"/>
        <w:ind w:firstLine="413" w:firstLineChars="196"/>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3、联合体投标</w:t>
      </w:r>
    </w:p>
    <w:p w14:paraId="1DE355E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本项目不接受联合体</w:t>
      </w:r>
    </w:p>
    <w:p w14:paraId="73541F9C">
      <w:pPr>
        <w:adjustRightInd w:val="0"/>
        <w:spacing w:line="500" w:lineRule="exact"/>
        <w:ind w:firstLine="413" w:firstLineChars="196"/>
        <w:rPr>
          <w:rFonts w:ascii="宋体" w:hAnsi="宋体" w:eastAsia="宋体" w:cs="Times New Roman"/>
          <w:bCs/>
          <w:color w:val="auto"/>
          <w:szCs w:val="21"/>
          <w:highlight w:val="none"/>
        </w:rPr>
      </w:pPr>
      <w:r>
        <w:rPr>
          <w:rFonts w:hint="eastAsia" w:ascii="宋体" w:hAnsi="宋体" w:eastAsia="宋体" w:cs="Times New Roman"/>
          <w:b/>
          <w:color w:val="auto"/>
          <w:szCs w:val="21"/>
          <w:highlight w:val="none"/>
        </w:rPr>
        <w:t>4、比选费用：</w:t>
      </w:r>
      <w:r>
        <w:rPr>
          <w:rFonts w:hint="eastAsia" w:ascii="宋体" w:hAnsi="宋体" w:eastAsia="宋体" w:cs="Times New Roman"/>
          <w:bCs/>
          <w:color w:val="auto"/>
          <w:szCs w:val="21"/>
          <w:highlight w:val="none"/>
        </w:rPr>
        <w:t>参选人必须自行承担参加比选的所有费用。不论中标与否，采购单位在任何情况下均无义务和责任承担这些费用。</w:t>
      </w:r>
    </w:p>
    <w:p w14:paraId="75B17698">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5、参选人有以下情形不得参与本次投标活动</w:t>
      </w:r>
    </w:p>
    <w:p w14:paraId="47E78AE7">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5.1被列入安庆市交通控股集团有限公司黑名单管理系统。</w:t>
      </w:r>
    </w:p>
    <w:p w14:paraId="08ED459E">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5.2在安庆市交通控股集团有限公司处罚限制期限内的投标人。</w:t>
      </w:r>
    </w:p>
    <w:p w14:paraId="1B7C221A">
      <w:pPr>
        <w:widowControl/>
        <w:spacing w:line="5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14773DAA">
      <w:pPr>
        <w:rPr>
          <w:rFonts w:ascii="宋体" w:hAnsi="宋体" w:eastAsia="宋体" w:cs="Times New Roman"/>
          <w:bCs/>
          <w:color w:val="auto"/>
          <w:szCs w:val="21"/>
          <w:highlight w:val="none"/>
        </w:rPr>
      </w:pPr>
      <w:r>
        <w:rPr>
          <w:rFonts w:ascii="宋体" w:hAnsi="宋体" w:eastAsia="宋体" w:cs="Times New Roman"/>
          <w:bCs/>
          <w:color w:val="auto"/>
          <w:szCs w:val="21"/>
          <w:highlight w:val="none"/>
        </w:rPr>
        <w:br w:type="page"/>
      </w:r>
    </w:p>
    <w:p w14:paraId="3AC1F4C8">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27" w:name="_Toc479622044"/>
      <w:bookmarkStart w:id="28" w:name="_Toc8536"/>
      <w:bookmarkStart w:id="29" w:name="_Toc4481593"/>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二</w:t>
      </w:r>
      <w:r>
        <w:rPr>
          <w:rFonts w:hint="eastAsia" w:ascii="Arial" w:hAnsi="Arial" w:eastAsia="宋体" w:cs="Times New Roman"/>
          <w:b/>
          <w:color w:val="auto"/>
          <w:kern w:val="0"/>
          <w:sz w:val="32"/>
          <w:szCs w:val="20"/>
          <w:highlight w:val="none"/>
        </w:rPr>
        <w:t>）</w:t>
      </w:r>
      <w:bookmarkEnd w:id="27"/>
      <w:bookmarkEnd w:id="28"/>
      <w:bookmarkEnd w:id="29"/>
      <w:r>
        <w:rPr>
          <w:rFonts w:hint="eastAsia" w:ascii="Arial" w:hAnsi="Arial" w:eastAsia="宋体" w:cs="Times New Roman"/>
          <w:b/>
          <w:color w:val="auto"/>
          <w:kern w:val="0"/>
          <w:sz w:val="32"/>
          <w:szCs w:val="20"/>
          <w:highlight w:val="none"/>
        </w:rPr>
        <w:t>比选文件</w:t>
      </w:r>
    </w:p>
    <w:p w14:paraId="278AABB1">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6、比选文件的构成</w:t>
      </w:r>
    </w:p>
    <w:p w14:paraId="58B553D7">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6.1、比选文件包括：</w:t>
      </w:r>
    </w:p>
    <w:p w14:paraId="1F5BC3B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（1）第一章  比选公告；</w:t>
      </w:r>
    </w:p>
    <w:p w14:paraId="4D24139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（2）第二章  参选人须知；</w:t>
      </w:r>
    </w:p>
    <w:p w14:paraId="77F4900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（3）第三章  </w:t>
      </w:r>
      <w:r>
        <w:rPr>
          <w:rFonts w:hint="eastAsia" w:ascii="宋体" w:hAnsi="宋体" w:cs="Times New Roman"/>
          <w:color w:val="auto"/>
          <w:szCs w:val="21"/>
          <w:highlight w:val="none"/>
          <w:lang w:val="en-US" w:eastAsia="zh-CN"/>
        </w:rPr>
        <w:t>服务</w:t>
      </w:r>
      <w:r>
        <w:rPr>
          <w:rFonts w:hint="eastAsia" w:ascii="宋体" w:hAnsi="宋体" w:eastAsia="宋体" w:cs="Times New Roman"/>
          <w:color w:val="auto"/>
          <w:szCs w:val="21"/>
          <w:highlight w:val="none"/>
          <w:lang w:eastAsia="zh-CN"/>
        </w:rPr>
        <w:t>需求及技术要求</w:t>
      </w:r>
      <w:r>
        <w:rPr>
          <w:rFonts w:hint="eastAsia" w:ascii="宋体" w:hAnsi="宋体" w:eastAsia="宋体" w:cs="Times New Roman"/>
          <w:color w:val="auto"/>
          <w:szCs w:val="21"/>
          <w:highlight w:val="none"/>
        </w:rPr>
        <w:t>；</w:t>
      </w:r>
    </w:p>
    <w:p w14:paraId="35E7BB7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（4）第四章  合同主要条款；</w:t>
      </w:r>
    </w:p>
    <w:p w14:paraId="322C6B5C">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（5）第五章  参选文件格式。</w:t>
      </w:r>
    </w:p>
    <w:p w14:paraId="1DE4C29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6.2、参选人应认真阅读和充分理解比选文件中所有的内容。如果参选人没有满足比选文件的有关要求，其风险由参选人自行承担。</w:t>
      </w:r>
    </w:p>
    <w:p w14:paraId="3DFD60D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5A3F56FE">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7、比选文件的澄清</w:t>
      </w:r>
    </w:p>
    <w:p w14:paraId="20B81D75">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7.1、参选人可以要求采购单位对比选文件中的有关问题进行答疑或澄清。</w:t>
      </w:r>
    </w:p>
    <w:p w14:paraId="746338A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7.2、参选人对比选文件如有异议，应在投标截止日期前向采购单位提出。</w:t>
      </w:r>
    </w:p>
    <w:p w14:paraId="1DCAB14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7A00FFD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7.4、采购单位对在规定时间收到的且需要做出澄清的问题，将以8款所述方式进行答复，但不说明问题的来源。</w:t>
      </w:r>
    </w:p>
    <w:p w14:paraId="11428315">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8、比选文件的修改</w:t>
      </w:r>
    </w:p>
    <w:p w14:paraId="1817AB4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8.1、采购单位可以对比选文件进行修改。</w:t>
      </w:r>
    </w:p>
    <w:p w14:paraId="31BEE7DB">
      <w:pPr>
        <w:spacing w:line="500" w:lineRule="exact"/>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8.2、采购单位对参选人异议的答复和对比选文件的</w:t>
      </w:r>
      <w:r>
        <w:rPr>
          <w:rFonts w:ascii="宋体" w:hAnsi="宋体" w:eastAsia="宋体" w:cs="Times New Roman"/>
          <w:b/>
          <w:bCs/>
          <w:color w:val="auto"/>
          <w:szCs w:val="21"/>
          <w:highlight w:val="none"/>
        </w:rPr>
        <w:t>澄</w:t>
      </w:r>
      <w:r>
        <w:rPr>
          <w:rFonts w:hint="eastAsia" w:ascii="宋体" w:hAnsi="宋体" w:eastAsia="宋体" w:cs="Times New Roman"/>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513AF6C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8.3、</w:t>
      </w:r>
      <w:bookmarkStart w:id="30" w:name="_Toc9821"/>
      <w:r>
        <w:rPr>
          <w:rFonts w:hint="eastAsia" w:ascii="宋体" w:hAnsi="宋体" w:eastAsia="宋体" w:cs="Times New Roman"/>
          <w:color w:val="auto"/>
          <w:szCs w:val="21"/>
          <w:highlight w:val="none"/>
        </w:rPr>
        <w:t>当比选文件与对比选文件的澄清、修改、补充等在同一内容的表述上不一致时，以最后发出的为准。</w:t>
      </w:r>
    </w:p>
    <w:p w14:paraId="40CABB3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s="Times New Roman"/>
          <w:color w:val="auto"/>
          <w:szCs w:val="21"/>
          <w:highlight w:val="none"/>
        </w:rPr>
        <w:t>。</w:t>
      </w:r>
    </w:p>
    <w:bookmarkEnd w:id="30"/>
    <w:p w14:paraId="764FD8C0">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9、参选文件的构成</w:t>
      </w:r>
    </w:p>
    <w:p w14:paraId="5EDE17D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9.1、参选文件应该按照“参选文件格式”规定的内容和顺序进行编写。</w:t>
      </w:r>
    </w:p>
    <w:p w14:paraId="6C62436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9.2、参选人应提交“参选人须知前附表”中规定的参选文件。</w:t>
      </w:r>
    </w:p>
    <w:p w14:paraId="671D27A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9.3、参选人必须对其参选文件的真实性与准确性负责。参选人一旦中标，其参选文件将作为合同的重要组成部分。</w:t>
      </w:r>
    </w:p>
    <w:p w14:paraId="7B693FD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9.4、参选人提供的</w:t>
      </w:r>
      <w:r>
        <w:rPr>
          <w:rFonts w:hint="eastAsia" w:ascii="宋体" w:hAnsi="宋体" w:eastAsia="宋体" w:cs="Times New Roman"/>
          <w:color w:val="auto"/>
          <w:szCs w:val="21"/>
          <w:highlight w:val="none"/>
          <w:lang w:val="en-US" w:eastAsia="zh-CN"/>
        </w:rPr>
        <w:t>货物/</w:t>
      </w:r>
      <w:r>
        <w:rPr>
          <w:rFonts w:hint="eastAsia" w:ascii="宋体" w:hAnsi="宋体" w:eastAsia="宋体" w:cs="Times New Roman"/>
          <w:color w:val="auto"/>
          <w:szCs w:val="21"/>
          <w:highlight w:val="none"/>
          <w:lang w:eastAsia="zh-CN"/>
        </w:rPr>
        <w:t>服务</w:t>
      </w:r>
      <w:r>
        <w:rPr>
          <w:rFonts w:hint="eastAsia" w:ascii="宋体" w:hAnsi="宋体" w:eastAsia="宋体" w:cs="Times New Roman"/>
          <w:color w:val="auto"/>
          <w:szCs w:val="21"/>
          <w:highlight w:val="none"/>
        </w:rPr>
        <w:t>能满足比选文件约定的实质性要求。否则，其参选文件在评标时有可能被认为是对比选文件未做出实质性的响应，而被评标委员会终止对其做进一步的评审。</w:t>
      </w:r>
    </w:p>
    <w:p w14:paraId="7D6FEFFA">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10、投标报价</w:t>
      </w:r>
    </w:p>
    <w:p w14:paraId="427D2A6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10.1、参选文件的报价表上应清楚地标明参选人拟提供</w:t>
      </w:r>
      <w:r>
        <w:rPr>
          <w:rFonts w:hint="eastAsia" w:ascii="宋体" w:hAnsi="宋体" w:eastAsia="宋体" w:cs="Times New Roman"/>
          <w:color w:val="auto"/>
          <w:szCs w:val="21"/>
          <w:highlight w:val="none"/>
          <w:lang w:val="en-US" w:eastAsia="zh-CN"/>
        </w:rPr>
        <w:t>货物/服务</w:t>
      </w:r>
      <w:r>
        <w:rPr>
          <w:rFonts w:hint="eastAsia" w:ascii="宋体" w:hAnsi="宋体" w:eastAsia="宋体" w:cs="Times New Roman"/>
          <w:color w:val="auto"/>
          <w:szCs w:val="21"/>
          <w:highlight w:val="none"/>
        </w:rPr>
        <w:t>的名称、价格等内容。</w:t>
      </w:r>
    </w:p>
    <w:p w14:paraId="425A6B6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10.2、除非特别要求，每个项目（或每个包）只允许有一个方案、一个报价。多方案、多报价的参选文件将视为无效参选文件。</w:t>
      </w:r>
    </w:p>
    <w:p w14:paraId="7BDD110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10.3、参选人的报价应包含满足本次招标需求的所有费用（包括但不限于：人工费、材料费、运输费、保险、税金等）。</w:t>
      </w:r>
    </w:p>
    <w:p w14:paraId="42B24D86">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10.4、投标报价高于最高投标</w:t>
      </w:r>
      <w:r>
        <w:rPr>
          <w:rFonts w:hint="eastAsia" w:ascii="宋体" w:hAnsi="宋体" w:cs="Times New Roman"/>
          <w:color w:val="auto"/>
          <w:szCs w:val="21"/>
          <w:highlight w:val="none"/>
          <w:lang w:eastAsia="zh-CN"/>
        </w:rPr>
        <w:t>限价</w:t>
      </w:r>
      <w:r>
        <w:rPr>
          <w:rFonts w:hint="eastAsia" w:ascii="宋体" w:hAnsi="宋体" w:eastAsia="宋体" w:cs="Times New Roman"/>
          <w:color w:val="auto"/>
          <w:szCs w:val="21"/>
          <w:highlight w:val="none"/>
        </w:rPr>
        <w:t>为投标无效。</w:t>
      </w:r>
    </w:p>
    <w:p w14:paraId="38206AE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10.5、若参选报价函中报价的大写金额和小写金额不一致的，以大写金额为准；单价金额小数点有明显错位的，应以总价为准，并修正单价。</w:t>
      </w:r>
    </w:p>
    <w:p w14:paraId="468900F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10.6、</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中报价与参选文件中相应内容不一致的，以</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中报价为准。</w:t>
      </w:r>
    </w:p>
    <w:p w14:paraId="0DF1624B">
      <w:pPr>
        <w:spacing w:line="500" w:lineRule="exact"/>
        <w:ind w:firstLine="422" w:firstLineChars="200"/>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11、投标货币：</w:t>
      </w:r>
      <w:r>
        <w:rPr>
          <w:rFonts w:hint="eastAsia" w:ascii="宋体" w:hAnsi="宋体" w:eastAsia="宋体" w:cs="Times New Roman"/>
          <w:color w:val="auto"/>
          <w:szCs w:val="21"/>
          <w:highlight w:val="none"/>
        </w:rPr>
        <w:t>人民币。</w:t>
      </w:r>
    </w:p>
    <w:p w14:paraId="0CE5C6A9">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12、投标保证金：本项目不收取</w:t>
      </w:r>
    </w:p>
    <w:p w14:paraId="3586BD38">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13、投标有效期</w:t>
      </w:r>
    </w:p>
    <w:p w14:paraId="0B62A0A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14.投标有效期见“参选人须知前附表”的规定。</w:t>
      </w:r>
    </w:p>
    <w:p w14:paraId="1DDD230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14.1、在投标有效期内，参选人不得要求撤销或修改其参选文件。</w:t>
      </w:r>
    </w:p>
    <w:p w14:paraId="50653705">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14.2、投标有效期从投标截止之日算起。</w:t>
      </w:r>
    </w:p>
    <w:p w14:paraId="3EF269B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3188B4BE">
      <w:pPr>
        <w:spacing w:line="500" w:lineRule="exact"/>
        <w:ind w:firstLine="422" w:firstLineChars="200"/>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15、参选文件的签署</w:t>
      </w:r>
    </w:p>
    <w:p w14:paraId="700E673C">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15.1、参选人应按“参选人须知前附表”约定的份数和比选文件约定的格式，编制并提交参选文件。</w:t>
      </w:r>
    </w:p>
    <w:p w14:paraId="4CC17DE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15.2、参选文件应由参选人的法定代表人或个体工商户经营者或授权委托人签署，并加盖单位公章。</w:t>
      </w:r>
    </w:p>
    <w:p w14:paraId="3066998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15.3、参选文件不得行间插字、涂改或增删。如有修改错漏处，必须由参选人的法定代表人或个体工商户经营者或授权委托人签字，并加盖单位公章。</w:t>
      </w:r>
    </w:p>
    <w:p w14:paraId="14FAD05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15CA510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15.5、参选文件封面、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内容及质量要求不符合比选文件要求的，视为无效标。由授权委托人签字或盖章的在参选文件中须同时提交授权书。</w:t>
      </w:r>
    </w:p>
    <w:p w14:paraId="62A3E027">
      <w:pPr>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71393212">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31" w:name="_Toc12503"/>
      <w:bookmarkStart w:id="32" w:name="_Toc4481594"/>
      <w:bookmarkStart w:id="33" w:name="_Toc25319"/>
      <w:bookmarkStart w:id="34" w:name="_Toc479622046"/>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三</w:t>
      </w:r>
      <w:r>
        <w:rPr>
          <w:rFonts w:hint="eastAsia" w:ascii="Arial" w:hAnsi="Arial" w:eastAsia="宋体" w:cs="Times New Roman"/>
          <w:b/>
          <w:color w:val="auto"/>
          <w:kern w:val="0"/>
          <w:sz w:val="32"/>
          <w:szCs w:val="20"/>
          <w:highlight w:val="none"/>
        </w:rPr>
        <w:t>）参选文件的提交</w:t>
      </w:r>
      <w:bookmarkEnd w:id="31"/>
      <w:bookmarkEnd w:id="32"/>
      <w:bookmarkEnd w:id="33"/>
      <w:bookmarkEnd w:id="34"/>
    </w:p>
    <w:p w14:paraId="61C83187">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16、参选文件的装订、密封和标记</w:t>
      </w:r>
    </w:p>
    <w:p w14:paraId="35CBBBA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16.1、参选文件正本和副本均需胶装成册并标明页码，不得采用活页或容易拆解的装订形式。</w:t>
      </w:r>
    </w:p>
    <w:p w14:paraId="2FD1D15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16.2、参选人应将参选文件的正本和副本同时装于一个袋内。包装密封，并于密封袋上加盖单位公章。</w:t>
      </w:r>
    </w:p>
    <w:p w14:paraId="50FD1CD3">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16.3、密封袋上应写明：项目名称、参选单位名称、项目编号（加盖单位公章），详见参选人须知前附表。</w:t>
      </w:r>
    </w:p>
    <w:p w14:paraId="362CA91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16.4、未按参选人须知要求装订、密封和标记的参选文件，将认定为投标无效。</w:t>
      </w:r>
    </w:p>
    <w:p w14:paraId="198EAC8A">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16.5、查验证件</w:t>
      </w:r>
    </w:p>
    <w:p w14:paraId="5D8057F9">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16.5.1、采购人审查参选人以下证件，若证件不全或不符合要求，则查验不合格。</w:t>
      </w:r>
    </w:p>
    <w:p w14:paraId="04A522AC">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法定代表人或个体工商户经营者应出示有效二代居民身份证、授权委托人应出示有效二代居民身份证、授权书；（授权书格式见附件）。</w:t>
      </w:r>
    </w:p>
    <w:p w14:paraId="107165FF">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17、</w:t>
      </w:r>
      <w:r>
        <w:rPr>
          <w:rFonts w:hint="eastAsia" w:ascii="宋体" w:hAnsi="宋体" w:cs="Times New Roman"/>
          <w:b/>
          <w:color w:val="auto"/>
          <w:szCs w:val="21"/>
          <w:highlight w:val="none"/>
          <w:lang w:eastAsia="zh-CN"/>
        </w:rPr>
        <w:t>参选</w:t>
      </w:r>
      <w:r>
        <w:rPr>
          <w:rFonts w:hint="eastAsia" w:ascii="宋体" w:hAnsi="宋体" w:eastAsia="宋体" w:cs="Times New Roman"/>
          <w:b/>
          <w:color w:val="auto"/>
          <w:szCs w:val="21"/>
          <w:highlight w:val="none"/>
        </w:rPr>
        <w:t>截止时间</w:t>
      </w:r>
    </w:p>
    <w:p w14:paraId="6BAF96F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17.1、参选人应在参选人须知前附表中约定的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截止时间前将参选文件提交至指定地点。逾期送达的或者未按要求送达指定地点的参选文件，采购单位不予受理。</w:t>
      </w:r>
    </w:p>
    <w:p w14:paraId="2FD58DBD">
      <w:pPr>
        <w:widowControl/>
        <w:spacing w:line="500" w:lineRule="exact"/>
        <w:ind w:firstLine="420" w:firstLineChars="200"/>
        <w:jc w:val="left"/>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17.2、采购人有权按本须知的约定，通过修改比选文件相关条款以延长</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截止时间。在此情况下，采购人和参选人受</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截止时间制约的所有权利和义务均应延长至新的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w:t>
      </w:r>
    </w:p>
    <w:p w14:paraId="392E6AAE">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18、参选文件的修改与撤回</w:t>
      </w:r>
    </w:p>
    <w:p w14:paraId="34D1B547">
      <w:pPr>
        <w:widowControl/>
        <w:spacing w:line="500" w:lineRule="exact"/>
        <w:ind w:firstLine="420" w:firstLineChars="200"/>
        <w:jc w:val="left"/>
        <w:rPr>
          <w:rFonts w:ascii="宋体" w:hAnsi="宋体" w:eastAsia="宋体" w:cs="Times New Roman"/>
          <w:color w:val="auto"/>
          <w:szCs w:val="21"/>
          <w:highlight w:val="none"/>
        </w:rPr>
      </w:pPr>
      <w:bookmarkStart w:id="35" w:name="_Toc479622047"/>
      <w:bookmarkStart w:id="36" w:name="_Toc23598"/>
      <w:r>
        <w:rPr>
          <w:rFonts w:hint="eastAsia" w:ascii="宋体" w:hAnsi="宋体" w:eastAsia="宋体" w:cs="Times New Roman"/>
          <w:color w:val="auto"/>
          <w:szCs w:val="21"/>
          <w:highlight w:val="none"/>
        </w:rPr>
        <w:t>18.1、参选人提交参选文件以后，在约定的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截止时间之前，可以以书面形式补充修改或撤回已提交的参选文件，并以书面形式通知采购人。补充、修改的内容为参选文件的组成部分。</w:t>
      </w:r>
    </w:p>
    <w:p w14:paraId="2E069A7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6898C4A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18.3、在</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截止时间之后，参选人不得对其参选文件做任何修改。</w:t>
      </w:r>
    </w:p>
    <w:p w14:paraId="673E9176">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19、在规定的投标有效期内，参选人不得撤回其参选文件。</w:t>
      </w:r>
    </w:p>
    <w:p w14:paraId="0975E92F">
      <w:pPr>
        <w:widowControl/>
        <w:spacing w:line="500" w:lineRule="exact"/>
        <w:ind w:firstLine="420" w:firstLineChars="200"/>
        <w:jc w:val="left"/>
        <w:rPr>
          <w:rFonts w:ascii="宋体" w:hAnsi="宋体" w:eastAsia="宋体" w:cs="Times New Roman"/>
          <w:color w:val="auto"/>
          <w:szCs w:val="21"/>
          <w:highlight w:val="none"/>
        </w:rPr>
      </w:pPr>
    </w:p>
    <w:p w14:paraId="65E1DFFE">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37" w:name="_Toc4481595"/>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四</w:t>
      </w:r>
      <w:r>
        <w:rPr>
          <w:rFonts w:hint="eastAsia" w:ascii="Arial" w:hAnsi="Arial" w:eastAsia="宋体" w:cs="Times New Roman"/>
          <w:b/>
          <w:color w:val="auto"/>
          <w:kern w:val="0"/>
          <w:sz w:val="32"/>
          <w:szCs w:val="20"/>
          <w:highlight w:val="none"/>
        </w:rPr>
        <w:t>）开标</w:t>
      </w:r>
      <w:bookmarkEnd w:id="35"/>
      <w:bookmarkEnd w:id="36"/>
      <w:bookmarkEnd w:id="37"/>
    </w:p>
    <w:p w14:paraId="0B9D1232">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20、开标时间和地点：</w:t>
      </w:r>
      <w:r>
        <w:rPr>
          <w:rFonts w:hint="eastAsia" w:ascii="宋体" w:hAnsi="宋体" w:eastAsia="宋体" w:cs="Times New Roman"/>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F4324E5">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21、开标程序</w:t>
      </w:r>
    </w:p>
    <w:p w14:paraId="745B82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0BB470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767F298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6D73A45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s="Times New Roman"/>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6F2D95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2AF278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7A852D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s="Times New Roman"/>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F39EF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C061F19">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69E0DD9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s="Times New Roman"/>
          <w:color w:val="auto"/>
          <w:szCs w:val="21"/>
          <w:highlight w:val="none"/>
        </w:rPr>
        <w:t>人必须对其参选文件中所有资料的真实性负责。若发现参选人有弄虚作假行为的，投标无效，由相关管理部门按照比选文件相应条款对其做相应处罚。</w:t>
      </w:r>
    </w:p>
    <w:p w14:paraId="42743F2B">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22、参选文件的有效性</w:t>
      </w:r>
    </w:p>
    <w:p w14:paraId="136074F3">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 xml:space="preserve">22.1、参选文件有下列情形之一的，将不予受理： </w:t>
      </w:r>
    </w:p>
    <w:p w14:paraId="162F486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（1）逾期送达的或者未送达至指定地点的； </w:t>
      </w:r>
    </w:p>
    <w:p w14:paraId="2454087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（2）未按比选文件要求包装、密封的。</w:t>
      </w:r>
    </w:p>
    <w:p w14:paraId="17AB587F">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22.2、开标过程中发现有下列情况的，由评标委员会评审后，认定为投标无效：</w:t>
      </w:r>
    </w:p>
    <w:p w14:paraId="387886D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22.2.1、参选人未按要求参加开标会、未按要求出示材料供现场查验或经查验不合格的、参选文件份数少于比选文件要求；</w:t>
      </w:r>
    </w:p>
    <w:p w14:paraId="4B8D852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22.2.2、未按约定格式提供、填写参选文件封面、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内容及质量要求或参选文件封面、</w:t>
      </w:r>
      <w:r>
        <w:rPr>
          <w:rFonts w:hint="eastAsia" w:ascii="宋体" w:hAnsi="宋体" w:eastAsia="宋体" w:cs="Times New Roman"/>
          <w:color w:val="auto"/>
          <w:szCs w:val="21"/>
          <w:highlight w:val="none"/>
          <w:lang w:eastAsia="zh-CN"/>
        </w:rPr>
        <w:t>参选函</w:t>
      </w:r>
      <w:r>
        <w:rPr>
          <w:rFonts w:hint="eastAsia" w:ascii="宋体" w:hAnsi="宋体" w:eastAsia="宋体" w:cs="Times New Roman"/>
          <w:color w:val="auto"/>
          <w:szCs w:val="21"/>
          <w:highlight w:val="none"/>
        </w:rPr>
        <w:t>、报价表、</w:t>
      </w:r>
      <w:r>
        <w:rPr>
          <w:rFonts w:hint="eastAsia" w:ascii="宋体" w:hAnsi="宋体" w:eastAsia="宋体" w:cs="Times New Roman"/>
          <w:color w:val="auto"/>
          <w:szCs w:val="21"/>
          <w:highlight w:val="none"/>
          <w:lang w:eastAsia="zh-CN"/>
        </w:rPr>
        <w:t>项目</w:t>
      </w:r>
      <w:r>
        <w:rPr>
          <w:rFonts w:hint="eastAsia" w:ascii="宋体" w:hAnsi="宋体" w:eastAsia="宋体" w:cs="Times New Roman"/>
          <w:color w:val="auto"/>
          <w:szCs w:val="21"/>
          <w:highlight w:val="none"/>
        </w:rPr>
        <w:t>内容及质量要求未加盖参选人公章并经法定代表人或个体工商户经营者或授权委托人签字或加盖印章；</w:t>
      </w:r>
    </w:p>
    <w:p w14:paraId="04837FC7">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22.2.3、参选报价高于最高投标</w:t>
      </w:r>
      <w:r>
        <w:rPr>
          <w:rFonts w:hint="eastAsia" w:ascii="宋体" w:hAnsi="宋体" w:cs="Times New Roman"/>
          <w:color w:val="auto"/>
          <w:szCs w:val="21"/>
          <w:highlight w:val="none"/>
          <w:lang w:eastAsia="zh-CN"/>
        </w:rPr>
        <w:t>限价</w:t>
      </w:r>
      <w:r>
        <w:rPr>
          <w:rFonts w:hint="eastAsia" w:ascii="宋体" w:hAnsi="宋体" w:eastAsia="宋体" w:cs="Times New Roman"/>
          <w:color w:val="auto"/>
          <w:szCs w:val="21"/>
          <w:highlight w:val="none"/>
        </w:rPr>
        <w:t>的；</w:t>
      </w:r>
    </w:p>
    <w:p w14:paraId="07B3E632">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22.2.4、法律法规及比选文件规定的其他情形。</w:t>
      </w:r>
    </w:p>
    <w:p w14:paraId="43A4E229">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22.3、参选人存在下列情形之一，经评标委员会评审后，为参选无效：</w:t>
      </w:r>
    </w:p>
    <w:p w14:paraId="02ECEA7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(1)被责令停业且处于有效期内的；</w:t>
      </w:r>
    </w:p>
    <w:p w14:paraId="6E849DF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(2)被安庆市行政区域内公共资源交易监管部门限制参选资格且处于有效期内；</w:t>
      </w:r>
    </w:p>
    <w:p w14:paraId="2418AFF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(3)财产被接管或冻结可能影响本项目正常实施的；</w:t>
      </w:r>
    </w:p>
    <w:p w14:paraId="57C85B49">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(4)法律法规规定及比选文件约定的其他情形。</w:t>
      </w:r>
    </w:p>
    <w:p w14:paraId="3C6124F0">
      <w:pPr>
        <w:rPr>
          <w:rFonts w:hint="eastAsia" w:ascii="宋体" w:hAnsi="宋体" w:eastAsia="宋体" w:cs="Times New Roman"/>
          <w:color w:val="auto"/>
          <w:szCs w:val="21"/>
          <w:highlight w:val="none"/>
        </w:rPr>
      </w:pPr>
    </w:p>
    <w:p w14:paraId="3D011EAA">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五</w:t>
      </w:r>
      <w:r>
        <w:rPr>
          <w:rFonts w:hint="eastAsia" w:ascii="Arial" w:hAnsi="Arial" w:eastAsia="宋体" w:cs="Times New Roman"/>
          <w:b/>
          <w:color w:val="auto"/>
          <w:kern w:val="0"/>
          <w:sz w:val="32"/>
          <w:szCs w:val="20"/>
          <w:highlight w:val="none"/>
        </w:rPr>
        <w:t>）评标</w:t>
      </w:r>
    </w:p>
    <w:p w14:paraId="6C85EDE3">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23、评标委员会</w:t>
      </w:r>
      <w:r>
        <w:rPr>
          <w:rFonts w:hint="eastAsia" w:ascii="宋体" w:hAnsi="宋体" w:eastAsia="宋体" w:cs="Times New Roman"/>
          <w:color w:val="auto"/>
          <w:szCs w:val="21"/>
          <w:highlight w:val="none"/>
        </w:rPr>
        <w:t>（以下简称“评委会”）：</w:t>
      </w:r>
      <w:r>
        <w:rPr>
          <w:rFonts w:hint="eastAsia" w:ascii="宋体" w:hAnsi="宋体" w:eastAsia="宋体" w:cs="宋体"/>
          <w:b w:val="0"/>
          <w:bCs w:val="0"/>
          <w:color w:val="auto"/>
          <w:sz w:val="21"/>
          <w:szCs w:val="21"/>
          <w:highlight w:val="none"/>
          <w:lang w:val="en-US" w:eastAsia="zh-CN"/>
        </w:rPr>
        <w:t>评委会依法组建。采购人代表不得担任评委会组长。评标由评委会进行，评委应坚持公正、公平、诚实守信、实事求是、独立评标的原则。</w:t>
      </w:r>
    </w:p>
    <w:p w14:paraId="3643590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Times New Roman"/>
          <w:b/>
          <w:color w:val="auto"/>
          <w:szCs w:val="21"/>
          <w:highlight w:val="none"/>
          <w:lang w:val="en-US" w:eastAsia="zh-CN"/>
        </w:rPr>
      </w:pPr>
      <w:r>
        <w:rPr>
          <w:rFonts w:hint="eastAsia" w:ascii="宋体" w:hAnsi="宋体" w:eastAsia="宋体" w:cs="Times New Roman"/>
          <w:b/>
          <w:color w:val="auto"/>
          <w:szCs w:val="21"/>
          <w:highlight w:val="none"/>
        </w:rPr>
        <w:t>24、评标方法：</w:t>
      </w:r>
      <w:r>
        <w:rPr>
          <w:rFonts w:hint="eastAsia" w:ascii="宋体" w:hAnsi="宋体" w:cs="Times New Roman"/>
          <w:b/>
          <w:color w:val="auto"/>
          <w:szCs w:val="21"/>
          <w:highlight w:val="none"/>
          <w:lang w:val="en-US" w:eastAsia="zh-CN"/>
        </w:rPr>
        <w:t>综合评分法</w:t>
      </w:r>
      <w:r>
        <w:rPr>
          <w:rFonts w:hint="eastAsia" w:ascii="宋体" w:hAnsi="宋体" w:eastAsia="宋体" w:cs="宋体"/>
          <w:b/>
          <w:bCs/>
          <w:color w:val="auto"/>
          <w:szCs w:val="21"/>
          <w:highlight w:val="none"/>
        </w:rPr>
        <w:t>（100分）</w:t>
      </w:r>
    </w:p>
    <w:p w14:paraId="30B08B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Times New Roman"/>
          <w:b/>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各评委成员按下列评分项目进行评判，评选委员会各成员应当独立对每个有效参选人的投标情况进行评价、打分，然后汇总每个参选人每项评分因素的得分。各参选人的最终得分为所有评委评分的平均值（平均值计算精确至小数点后二位，小数点后第三位四舍五入）</w:t>
      </w:r>
      <w:r>
        <w:rPr>
          <w:rFonts w:hint="eastAsia" w:ascii="宋体" w:hAnsi="宋体" w:eastAsia="宋体" w:cs="宋体"/>
          <w:b w:val="0"/>
          <w:bCs w:val="0"/>
          <w:color w:val="auto"/>
          <w:sz w:val="21"/>
          <w:szCs w:val="21"/>
          <w:highlight w:val="none"/>
          <w:lang w:val="zh-CN" w:eastAsia="zh-CN"/>
        </w:rPr>
        <w:t>。</w:t>
      </w:r>
    </w:p>
    <w:tbl>
      <w:tblPr>
        <w:tblStyle w:val="28"/>
        <w:tblW w:w="52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04"/>
        <w:gridCol w:w="6026"/>
        <w:gridCol w:w="1033"/>
      </w:tblGrid>
      <w:tr w14:paraId="37A0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8" w:type="pct"/>
            <w:tcBorders>
              <w:top w:val="single" w:color="auto" w:sz="4" w:space="0"/>
              <w:left w:val="single" w:color="auto" w:sz="4" w:space="0"/>
              <w:bottom w:val="single" w:color="auto" w:sz="4" w:space="0"/>
              <w:right w:val="single" w:color="auto" w:sz="4" w:space="0"/>
            </w:tcBorders>
            <w:vAlign w:val="center"/>
          </w:tcPr>
          <w:p w14:paraId="3C13D82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663" w:type="pct"/>
            <w:tcBorders>
              <w:top w:val="single" w:color="auto" w:sz="4" w:space="0"/>
              <w:left w:val="single" w:color="auto" w:sz="4" w:space="0"/>
              <w:bottom w:val="single" w:color="auto" w:sz="4" w:space="0"/>
              <w:right w:val="single" w:color="auto" w:sz="4" w:space="0"/>
            </w:tcBorders>
            <w:vAlign w:val="center"/>
          </w:tcPr>
          <w:p w14:paraId="0A0B171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3063" w:type="pct"/>
            <w:tcBorders>
              <w:top w:val="single" w:color="auto" w:sz="4" w:space="0"/>
              <w:left w:val="single" w:color="auto" w:sz="4" w:space="0"/>
              <w:bottom w:val="single" w:color="auto" w:sz="4" w:space="0"/>
              <w:right w:val="single" w:color="auto" w:sz="4" w:space="0"/>
            </w:tcBorders>
            <w:vAlign w:val="center"/>
          </w:tcPr>
          <w:p w14:paraId="7B25FA2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525" w:type="pct"/>
            <w:tcBorders>
              <w:top w:val="single" w:color="auto" w:sz="4" w:space="0"/>
              <w:left w:val="single" w:color="auto" w:sz="4" w:space="0"/>
              <w:bottom w:val="single" w:color="auto" w:sz="4" w:space="0"/>
              <w:right w:val="single" w:color="auto" w:sz="4" w:space="0"/>
            </w:tcBorders>
            <w:vAlign w:val="center"/>
          </w:tcPr>
          <w:p w14:paraId="63D1EDD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w:t>
            </w:r>
          </w:p>
        </w:tc>
      </w:tr>
      <w:tr w14:paraId="071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48" w:type="pct"/>
            <w:vMerge w:val="restart"/>
            <w:tcBorders>
              <w:top w:val="single" w:color="auto" w:sz="4" w:space="0"/>
              <w:left w:val="single" w:color="auto" w:sz="4" w:space="0"/>
              <w:right w:val="single" w:color="auto" w:sz="4" w:space="0"/>
            </w:tcBorders>
            <w:vAlign w:val="center"/>
          </w:tcPr>
          <w:p w14:paraId="050CA28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技术资信分</w:t>
            </w:r>
          </w:p>
          <w:p w14:paraId="0D27A86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85</w:t>
            </w:r>
            <w:r>
              <w:rPr>
                <w:rFonts w:hint="eastAsia" w:asciiTheme="minorEastAsia" w:hAnsiTheme="minorEastAsia" w:eastAsiaTheme="minorEastAsia" w:cstheme="minorEastAsia"/>
                <w:color w:val="auto"/>
                <w:sz w:val="21"/>
                <w:szCs w:val="21"/>
                <w:highlight w:val="none"/>
              </w:rPr>
              <w:t>分）</w:t>
            </w:r>
          </w:p>
        </w:tc>
        <w:tc>
          <w:tcPr>
            <w:tcW w:w="663" w:type="pct"/>
            <w:tcBorders>
              <w:top w:val="single" w:color="auto" w:sz="4" w:space="0"/>
              <w:left w:val="single" w:color="auto" w:sz="4" w:space="0"/>
              <w:right w:val="single" w:color="auto" w:sz="4" w:space="0"/>
            </w:tcBorders>
            <w:vAlign w:val="center"/>
          </w:tcPr>
          <w:p w14:paraId="38A5385C">
            <w:pPr>
              <w:keepNext w:val="0"/>
              <w:keepLines w:val="0"/>
              <w:suppressLineNumbers w:val="0"/>
              <w:spacing w:before="0" w:beforeAutospacing="0" w:after="0" w:afterAutospacing="0" w:line="360" w:lineRule="auto"/>
              <w:ind w:left="0" w:right="0"/>
              <w:rPr>
                <w:rFonts w:hint="default" w:ascii="Times New Roman" w:hAnsi="Times New Roman" w:eastAsia="宋体" w:cs="宋体"/>
                <w:color w:val="auto"/>
                <w:kern w:val="2"/>
                <w:sz w:val="21"/>
                <w:highlight w:val="none"/>
                <w:lang w:val="en-US" w:eastAsia="zh-CN" w:bidi="ar-SA"/>
              </w:rPr>
            </w:pPr>
            <w:r>
              <w:rPr>
                <w:rFonts w:hint="eastAsia" w:cs="宋体"/>
                <w:color w:val="auto"/>
                <w:kern w:val="2"/>
                <w:sz w:val="21"/>
                <w:highlight w:val="none"/>
                <w:lang w:val="en-US" w:eastAsia="zh-CN" w:bidi="ar-SA"/>
              </w:rPr>
              <w:t>参选人业绩</w:t>
            </w:r>
          </w:p>
        </w:tc>
        <w:tc>
          <w:tcPr>
            <w:tcW w:w="3063" w:type="pct"/>
            <w:tcBorders>
              <w:top w:val="single" w:color="auto" w:sz="4" w:space="0"/>
              <w:left w:val="single" w:color="auto" w:sz="4" w:space="0"/>
              <w:right w:val="single" w:color="auto" w:sz="4" w:space="0"/>
            </w:tcBorders>
            <w:vAlign w:val="top"/>
          </w:tcPr>
          <w:p w14:paraId="38F1A9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参选人</w:t>
            </w:r>
            <w:r>
              <w:rPr>
                <w:rFonts w:hint="eastAsia" w:ascii="宋体" w:hAnsi="宋体" w:eastAsia="宋体" w:cs="宋体"/>
                <w:b w:val="0"/>
                <w:bCs w:val="0"/>
                <w:color w:val="auto"/>
                <w:sz w:val="21"/>
                <w:szCs w:val="21"/>
                <w:highlight w:val="none"/>
              </w:rPr>
              <w:t>自20</w:t>
            </w:r>
            <w:r>
              <w:rPr>
                <w:rFonts w:hint="eastAsia" w:ascii="宋体" w:hAnsi="宋体" w:eastAsia="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rPr>
              <w:t>年1月1日（含）至投标截止之日（不含当日）</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，具有类似</w:t>
            </w:r>
            <w:r>
              <w:rPr>
                <w:rFonts w:hint="eastAsia" w:ascii="宋体" w:hAnsi="宋体" w:eastAsia="宋体" w:cs="宋体"/>
                <w:b w:val="0"/>
                <w:bCs w:val="0"/>
                <w:color w:val="auto"/>
                <w:sz w:val="21"/>
                <w:szCs w:val="21"/>
                <w:highlight w:val="none"/>
                <w:lang w:val="en-US" w:eastAsia="zh-CN"/>
              </w:rPr>
              <w:t>项目设计</w:t>
            </w:r>
            <w:r>
              <w:rPr>
                <w:rFonts w:hint="eastAsia" w:ascii="宋体" w:hAnsi="宋体" w:eastAsia="宋体" w:cs="宋体"/>
                <w:b w:val="0"/>
                <w:bCs w:val="0"/>
                <w:color w:val="auto"/>
                <w:sz w:val="21"/>
                <w:szCs w:val="21"/>
                <w:highlight w:val="none"/>
              </w:rPr>
              <w:t>业绩（类似</w:t>
            </w:r>
            <w:r>
              <w:rPr>
                <w:rFonts w:hint="eastAsia" w:ascii="宋体" w:hAnsi="宋体" w:eastAsia="宋体" w:cs="宋体"/>
                <w:b w:val="0"/>
                <w:bCs w:val="0"/>
                <w:color w:val="auto"/>
                <w:sz w:val="21"/>
                <w:szCs w:val="21"/>
                <w:highlight w:val="none"/>
                <w:lang w:val="en-US" w:eastAsia="zh-CN"/>
              </w:rPr>
              <w:t>项目设计</w:t>
            </w:r>
            <w:r>
              <w:rPr>
                <w:rFonts w:hint="eastAsia" w:ascii="宋体" w:hAnsi="宋体" w:eastAsia="宋体" w:cs="宋体"/>
                <w:b w:val="0"/>
                <w:bCs w:val="0"/>
                <w:color w:val="auto"/>
                <w:sz w:val="21"/>
                <w:szCs w:val="21"/>
                <w:highlight w:val="none"/>
              </w:rPr>
              <w:t>业绩指：标识标牌、文化宣传栏、文化灯箱、文化墙、文化小品、</w:t>
            </w:r>
            <w:r>
              <w:rPr>
                <w:rFonts w:hint="eastAsia" w:ascii="宋体" w:hAnsi="宋体" w:cs="宋体"/>
                <w:b w:val="0"/>
                <w:bCs w:val="0"/>
                <w:color w:val="auto"/>
                <w:sz w:val="21"/>
                <w:szCs w:val="21"/>
                <w:highlight w:val="none"/>
                <w:lang w:val="en-US" w:eastAsia="zh-CN"/>
              </w:rPr>
              <w:t>企业宣传、</w:t>
            </w:r>
            <w:r>
              <w:rPr>
                <w:rFonts w:hint="eastAsia" w:ascii="宋体" w:hAnsi="宋体" w:eastAsia="宋体" w:cs="宋体"/>
                <w:b w:val="0"/>
                <w:bCs w:val="0"/>
                <w:color w:val="auto"/>
                <w:sz w:val="21"/>
                <w:szCs w:val="21"/>
                <w:highlight w:val="none"/>
              </w:rPr>
              <w:t>展厅布展、装修装饰工程</w:t>
            </w:r>
            <w:r>
              <w:rPr>
                <w:rFonts w:hint="eastAsia" w:ascii="宋体" w:hAnsi="宋体" w:eastAsia="宋体" w:cs="宋体"/>
                <w:b w:val="0"/>
                <w:bCs w:val="0"/>
                <w:color w:val="auto"/>
                <w:sz w:val="21"/>
                <w:szCs w:val="21"/>
                <w:highlight w:val="none"/>
                <w:lang w:val="en-US" w:eastAsia="zh-CN"/>
              </w:rPr>
              <w:t>设计</w:t>
            </w:r>
            <w:r>
              <w:rPr>
                <w:rFonts w:hint="eastAsia" w:ascii="宋体" w:hAnsi="宋体" w:eastAsia="宋体" w:cs="宋体"/>
                <w:b w:val="0"/>
                <w:bCs w:val="0"/>
                <w:color w:val="auto"/>
                <w:sz w:val="21"/>
                <w:szCs w:val="21"/>
                <w:highlight w:val="none"/>
              </w:rPr>
              <w:t>业绩中任一项），每提供1个业绩</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分，满分</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052430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default" w:ascii="Times New Roman" w:hAnsi="Times New Roman" w:eastAsia="宋体" w:cs="Times New Roman"/>
                <w:color w:val="auto"/>
                <w:kern w:val="2"/>
                <w:sz w:val="21"/>
                <w:highlight w:val="none"/>
                <w:lang w:val="en-US" w:eastAsia="zh-CN" w:bidi="ar-SA"/>
              </w:rPr>
            </w:pPr>
            <w:r>
              <w:rPr>
                <w:rFonts w:hint="eastAsia" w:ascii="宋体" w:hAnsi="宋体" w:eastAsia="宋体" w:cs="宋体"/>
                <w:b/>
                <w:bCs/>
                <w:color w:val="auto"/>
                <w:sz w:val="21"/>
                <w:szCs w:val="21"/>
                <w:highlight w:val="none"/>
                <w:lang w:eastAsia="zh-CN"/>
              </w:rPr>
              <w:t>注：</w:t>
            </w:r>
            <w:r>
              <w:rPr>
                <w:rFonts w:hint="eastAsia" w:ascii="宋体" w:hAnsi="宋体" w:cs="宋体"/>
                <w:b/>
                <w:bCs/>
                <w:color w:val="auto"/>
                <w:sz w:val="21"/>
                <w:szCs w:val="21"/>
                <w:highlight w:val="none"/>
                <w:lang w:val="en-US" w:eastAsia="zh-CN"/>
              </w:rPr>
              <w:t>参选</w:t>
            </w:r>
            <w:r>
              <w:rPr>
                <w:rFonts w:hint="eastAsia" w:ascii="宋体" w:hAnsi="宋体" w:eastAsia="宋体" w:cs="宋体"/>
                <w:b/>
                <w:bCs/>
                <w:color w:val="auto"/>
                <w:sz w:val="21"/>
                <w:szCs w:val="21"/>
                <w:highlight w:val="none"/>
                <w:lang w:eastAsia="zh-CN"/>
              </w:rPr>
              <w:t>文件中</w:t>
            </w:r>
            <w:r>
              <w:rPr>
                <w:rFonts w:hint="eastAsia" w:ascii="宋体" w:hAnsi="宋体" w:eastAsia="宋体" w:cs="宋体"/>
                <w:b/>
                <w:bCs/>
                <w:color w:val="auto"/>
                <w:sz w:val="21"/>
                <w:szCs w:val="21"/>
                <w:highlight w:val="none"/>
                <w:lang w:val="en-US" w:eastAsia="zh-CN"/>
              </w:rPr>
              <w:t>需</w:t>
            </w:r>
            <w:r>
              <w:rPr>
                <w:rFonts w:hint="eastAsia" w:ascii="宋体" w:hAnsi="宋体" w:eastAsia="宋体" w:cs="宋体"/>
                <w:b/>
                <w:bCs/>
                <w:color w:val="auto"/>
                <w:sz w:val="21"/>
                <w:szCs w:val="21"/>
                <w:highlight w:val="none"/>
                <w:lang w:eastAsia="zh-CN"/>
              </w:rPr>
              <w:t>提供合同</w:t>
            </w:r>
            <w:r>
              <w:rPr>
                <w:rFonts w:hint="eastAsia" w:ascii="宋体" w:hAnsi="宋体" w:eastAsia="宋体" w:cs="宋体"/>
                <w:b/>
                <w:bCs/>
                <w:color w:val="auto"/>
                <w:sz w:val="21"/>
                <w:szCs w:val="21"/>
                <w:highlight w:val="none"/>
                <w:lang w:val="en-US" w:eastAsia="zh-CN"/>
              </w:rPr>
              <w:t>扫描件，合同须能体现关键评审因素，否则另附业主单位（合同甲方） 出具的证明材料扫描件。</w:t>
            </w:r>
          </w:p>
        </w:tc>
        <w:tc>
          <w:tcPr>
            <w:tcW w:w="525" w:type="pct"/>
            <w:tcBorders>
              <w:top w:val="single" w:color="auto" w:sz="4" w:space="0"/>
              <w:left w:val="single" w:color="auto" w:sz="4" w:space="0"/>
              <w:bottom w:val="single" w:color="auto" w:sz="4" w:space="0"/>
              <w:right w:val="single" w:color="auto" w:sz="4" w:space="0"/>
            </w:tcBorders>
            <w:vAlign w:val="center"/>
          </w:tcPr>
          <w:p w14:paraId="23900FA9">
            <w:pPr>
              <w:keepNext w:val="0"/>
              <w:keepLines w:val="0"/>
              <w:suppressLineNumbers w:val="0"/>
              <w:spacing w:before="0" w:beforeAutospacing="0" w:after="0" w:afterAutospacing="0" w:line="360" w:lineRule="auto"/>
              <w:ind w:left="0" w:right="0" w:firstLine="211" w:firstLineChars="100"/>
              <w:jc w:val="both"/>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15</w:t>
            </w:r>
          </w:p>
        </w:tc>
      </w:tr>
      <w:tr w14:paraId="5E1E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48" w:type="pct"/>
            <w:vMerge w:val="continue"/>
            <w:tcBorders>
              <w:left w:val="single" w:color="auto" w:sz="4" w:space="0"/>
              <w:right w:val="single" w:color="auto" w:sz="4" w:space="0"/>
            </w:tcBorders>
            <w:vAlign w:val="center"/>
          </w:tcPr>
          <w:p w14:paraId="3E39B5AD">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cstheme="minorEastAsia"/>
                <w:b/>
                <w:bCs/>
                <w:color w:val="auto"/>
                <w:sz w:val="21"/>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BC48E53">
            <w:pPr>
              <w:keepNext w:val="0"/>
              <w:keepLines w:val="0"/>
              <w:suppressLineNumbers w:val="0"/>
              <w:spacing w:before="0" w:beforeAutospacing="0" w:after="0" w:afterAutospacing="0" w:line="360" w:lineRule="auto"/>
              <w:ind w:left="0" w:right="0"/>
              <w:rPr>
                <w:rFonts w:hint="default" w:ascii="宋体" w:hAnsi="宋体" w:eastAsia="宋体" w:cs="宋体"/>
                <w:bCs/>
                <w:color w:val="auto"/>
                <w:szCs w:val="21"/>
                <w:highlight w:val="none"/>
                <w:lang w:val="en-US" w:eastAsia="zh-CN"/>
              </w:rPr>
            </w:pPr>
            <w:r>
              <w:rPr>
                <w:rFonts w:hint="eastAsia" w:ascii="宋体" w:hAnsi="宋体" w:eastAsia="宋体" w:cs="宋体"/>
                <w:b w:val="0"/>
                <w:bCs w:val="0"/>
                <w:color w:val="auto"/>
                <w:sz w:val="21"/>
                <w:szCs w:val="21"/>
                <w:highlight w:val="none"/>
              </w:rPr>
              <w:t>设计方案</w:t>
            </w:r>
          </w:p>
        </w:tc>
        <w:tc>
          <w:tcPr>
            <w:tcW w:w="3063" w:type="pct"/>
            <w:tcBorders>
              <w:top w:val="single" w:color="auto" w:sz="4" w:space="0"/>
              <w:left w:val="single" w:color="auto" w:sz="4" w:space="0"/>
              <w:bottom w:val="single" w:color="auto" w:sz="4" w:space="0"/>
              <w:right w:val="single" w:color="auto" w:sz="4" w:space="0"/>
            </w:tcBorders>
            <w:vAlign w:val="top"/>
          </w:tcPr>
          <w:p w14:paraId="4610B9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参选</w:t>
            </w:r>
            <w:r>
              <w:rPr>
                <w:rFonts w:hint="eastAsia" w:ascii="宋体" w:hAnsi="宋体" w:eastAsia="宋体" w:cs="宋体"/>
                <w:b w:val="0"/>
                <w:bCs w:val="0"/>
                <w:color w:val="auto"/>
                <w:sz w:val="21"/>
                <w:szCs w:val="21"/>
                <w:highlight w:val="none"/>
                <w:lang w:val="en-US" w:eastAsia="zh-CN"/>
              </w:rPr>
              <w:t>人提供的设计方案内容，由评</w:t>
            </w:r>
            <w:r>
              <w:rPr>
                <w:rFonts w:hint="eastAsia" w:ascii="宋体" w:hAnsi="宋体" w:cs="宋体"/>
                <w:b w:val="0"/>
                <w:bCs w:val="0"/>
                <w:color w:val="auto"/>
                <w:sz w:val="21"/>
                <w:szCs w:val="21"/>
                <w:highlight w:val="none"/>
                <w:lang w:val="en-US" w:eastAsia="zh-CN"/>
              </w:rPr>
              <w:t>选</w:t>
            </w:r>
            <w:r>
              <w:rPr>
                <w:rFonts w:hint="eastAsia" w:ascii="宋体" w:hAnsi="宋体" w:eastAsia="宋体" w:cs="宋体"/>
                <w:b w:val="0"/>
                <w:bCs w:val="0"/>
                <w:color w:val="auto"/>
                <w:sz w:val="21"/>
                <w:szCs w:val="21"/>
                <w:highlight w:val="none"/>
                <w:lang w:val="en-US" w:eastAsia="zh-CN"/>
              </w:rPr>
              <w:t>委员会进行综合评审：</w:t>
            </w:r>
          </w:p>
          <w:p w14:paraId="0F9B13D1">
            <w:pPr>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设计创意</w:t>
            </w:r>
            <w:r>
              <w:rPr>
                <w:rFonts w:hint="eastAsia" w:ascii="宋体" w:hAnsi="宋体" w:cs="宋体"/>
                <w:b/>
                <w:bCs/>
                <w:color w:val="auto"/>
                <w:sz w:val="21"/>
                <w:szCs w:val="21"/>
                <w:highlight w:val="none"/>
                <w:lang w:val="en-US" w:eastAsia="zh-CN"/>
              </w:rPr>
              <w:t>（10分）</w:t>
            </w:r>
            <w:r>
              <w:rPr>
                <w:rFonts w:hint="eastAsia" w:ascii="宋体" w:hAnsi="宋体" w:eastAsia="宋体" w:cs="宋体"/>
                <w:b/>
                <w:bCs/>
                <w:color w:val="auto"/>
                <w:sz w:val="21"/>
                <w:szCs w:val="21"/>
                <w:highlight w:val="none"/>
                <w:lang w:val="en-US" w:eastAsia="zh-CN"/>
              </w:rPr>
              <w:t>：</w:t>
            </w:r>
          </w:p>
          <w:p w14:paraId="645A35A6">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设计理念新颖，造型具有科技特色，创意十足，得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A0EEC0A">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设计理念较为新颖，造型比较具有科技特色，得</w:t>
            </w:r>
            <w:r>
              <w:rPr>
                <w:rFonts w:hint="eastAsia" w:ascii="宋体" w:hAnsi="宋体" w:cs="宋体"/>
                <w:b w:val="0"/>
                <w:bCs w:val="0"/>
                <w:color w:val="auto"/>
                <w:sz w:val="21"/>
                <w:szCs w:val="21"/>
                <w:highlight w:val="none"/>
                <w:lang w:val="en-US" w:eastAsia="zh-CN"/>
              </w:rPr>
              <w:t>8（含）~10（不含）</w:t>
            </w:r>
            <w:r>
              <w:rPr>
                <w:rFonts w:hint="eastAsia" w:ascii="宋体" w:hAnsi="宋体" w:eastAsia="宋体" w:cs="宋体"/>
                <w:b w:val="0"/>
                <w:bCs w:val="0"/>
                <w:color w:val="auto"/>
                <w:sz w:val="21"/>
                <w:szCs w:val="21"/>
                <w:highlight w:val="none"/>
                <w:lang w:val="en-US" w:eastAsia="zh-CN"/>
              </w:rPr>
              <w:t>分；</w:t>
            </w:r>
          </w:p>
          <w:p w14:paraId="7BB53739">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内容有待完善的，得</w:t>
            </w:r>
            <w:r>
              <w:rPr>
                <w:rFonts w:hint="eastAsia" w:ascii="宋体" w:hAnsi="宋体" w:cs="宋体"/>
                <w:b w:val="0"/>
                <w:bCs w:val="0"/>
                <w:color w:val="auto"/>
                <w:sz w:val="21"/>
                <w:szCs w:val="21"/>
                <w:highlight w:val="none"/>
                <w:lang w:val="en-US" w:eastAsia="zh-CN"/>
              </w:rPr>
              <w:t>6（含）~8（不含）</w:t>
            </w:r>
            <w:r>
              <w:rPr>
                <w:rFonts w:hint="eastAsia" w:ascii="宋体" w:hAnsi="宋体" w:eastAsia="宋体" w:cs="宋体"/>
                <w:b w:val="0"/>
                <w:bCs w:val="0"/>
                <w:color w:val="auto"/>
                <w:sz w:val="21"/>
                <w:szCs w:val="21"/>
                <w:highlight w:val="none"/>
                <w:lang w:val="en-US" w:eastAsia="zh-CN"/>
              </w:rPr>
              <w:t>分；</w:t>
            </w:r>
          </w:p>
          <w:p w14:paraId="0C8B2671">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差或未提供的不得分。</w:t>
            </w:r>
          </w:p>
          <w:p w14:paraId="57C95D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2.方案与项目特色的契合程度</w:t>
            </w:r>
            <w:r>
              <w:rPr>
                <w:rFonts w:hint="eastAsia" w:ascii="宋体" w:hAnsi="宋体" w:cs="宋体"/>
                <w:b/>
                <w:bCs/>
                <w:color w:val="auto"/>
                <w:sz w:val="21"/>
                <w:szCs w:val="21"/>
                <w:highlight w:val="none"/>
                <w:lang w:val="en-US" w:eastAsia="zh-CN"/>
              </w:rPr>
              <w:t>（10分）</w:t>
            </w:r>
            <w:r>
              <w:rPr>
                <w:rFonts w:hint="eastAsia" w:ascii="宋体" w:hAnsi="宋体" w:eastAsia="宋体" w:cs="宋体"/>
                <w:b/>
                <w:bCs/>
                <w:color w:val="auto"/>
                <w:sz w:val="21"/>
                <w:szCs w:val="21"/>
                <w:highlight w:val="none"/>
                <w:lang w:val="en-US" w:eastAsia="zh-CN"/>
              </w:rPr>
              <w:t>：</w:t>
            </w:r>
          </w:p>
          <w:p w14:paraId="5C6BAB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方案对项目把握精准，契合项目需要，功能定位准确，得 </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060097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方案对项目把握较为精准，较为契合项目需要，功能定位较为准确，得</w:t>
            </w:r>
            <w:r>
              <w:rPr>
                <w:rFonts w:hint="eastAsia" w:ascii="宋体" w:hAnsi="宋体" w:cs="宋体"/>
                <w:b w:val="0"/>
                <w:bCs w:val="0"/>
                <w:color w:val="auto"/>
                <w:sz w:val="21"/>
                <w:szCs w:val="21"/>
                <w:highlight w:val="none"/>
                <w:lang w:val="en-US" w:eastAsia="zh-CN"/>
              </w:rPr>
              <w:t>8（含）~10（不含）</w:t>
            </w:r>
            <w:r>
              <w:rPr>
                <w:rFonts w:hint="eastAsia" w:ascii="宋体" w:hAnsi="宋体" w:eastAsia="宋体" w:cs="宋体"/>
                <w:b w:val="0"/>
                <w:bCs w:val="0"/>
                <w:color w:val="auto"/>
                <w:sz w:val="21"/>
                <w:szCs w:val="21"/>
                <w:highlight w:val="none"/>
                <w:lang w:val="en-US" w:eastAsia="zh-CN"/>
              </w:rPr>
              <w:t>分；</w:t>
            </w:r>
          </w:p>
          <w:p w14:paraId="21FF48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内容有待完善的，得</w:t>
            </w:r>
            <w:r>
              <w:rPr>
                <w:rFonts w:hint="eastAsia" w:ascii="宋体" w:hAnsi="宋体" w:cs="宋体"/>
                <w:b w:val="0"/>
                <w:bCs w:val="0"/>
                <w:color w:val="auto"/>
                <w:sz w:val="21"/>
                <w:szCs w:val="21"/>
                <w:highlight w:val="none"/>
                <w:lang w:val="en-US" w:eastAsia="zh-CN"/>
              </w:rPr>
              <w:t>6（含）~8（不含）</w:t>
            </w:r>
            <w:r>
              <w:rPr>
                <w:rFonts w:hint="eastAsia" w:ascii="宋体" w:hAnsi="宋体" w:eastAsia="宋体" w:cs="宋体"/>
                <w:b w:val="0"/>
                <w:bCs w:val="0"/>
                <w:color w:val="auto"/>
                <w:sz w:val="21"/>
                <w:szCs w:val="21"/>
                <w:highlight w:val="none"/>
                <w:lang w:val="en-US" w:eastAsia="zh-CN"/>
              </w:rPr>
              <w:t>分；</w:t>
            </w:r>
          </w:p>
          <w:p w14:paraId="6C60C0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差或未提供的不得分。</w:t>
            </w:r>
          </w:p>
          <w:p w14:paraId="69A8E30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方案的完整性</w:t>
            </w:r>
            <w:r>
              <w:rPr>
                <w:rFonts w:hint="eastAsia" w:ascii="宋体" w:hAnsi="宋体" w:cs="宋体"/>
                <w:b/>
                <w:bCs/>
                <w:color w:val="auto"/>
                <w:sz w:val="21"/>
                <w:szCs w:val="21"/>
                <w:highlight w:val="none"/>
                <w:lang w:val="en-US" w:eastAsia="zh-CN"/>
              </w:rPr>
              <w:t>（10分）</w:t>
            </w:r>
            <w:r>
              <w:rPr>
                <w:rFonts w:hint="eastAsia" w:ascii="宋体" w:hAnsi="宋体" w:eastAsia="宋体" w:cs="宋体"/>
                <w:b/>
                <w:bCs/>
                <w:color w:val="auto"/>
                <w:sz w:val="21"/>
                <w:szCs w:val="21"/>
                <w:highlight w:val="none"/>
                <w:lang w:val="en-US" w:eastAsia="zh-CN"/>
              </w:rPr>
              <w:t>：</w:t>
            </w:r>
          </w:p>
          <w:p w14:paraId="5555A2A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内容全面</w:t>
            </w:r>
            <w:r>
              <w:rPr>
                <w:rFonts w:hint="eastAsia" w:ascii="宋体" w:hAnsi="宋体" w:cs="宋体"/>
                <w:b w:val="0"/>
                <w:bCs w:val="0"/>
                <w:color w:val="auto"/>
                <w:sz w:val="21"/>
                <w:szCs w:val="21"/>
                <w:highlight w:val="none"/>
                <w:lang w:val="en-US" w:eastAsia="zh-CN"/>
              </w:rPr>
              <w:t>、具有可操作性的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23D12C9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内容较为全面</w:t>
            </w:r>
            <w:r>
              <w:rPr>
                <w:rFonts w:hint="eastAsia" w:ascii="宋体" w:hAnsi="宋体" w:cs="宋体"/>
                <w:b w:val="0"/>
                <w:bCs w:val="0"/>
                <w:color w:val="auto"/>
                <w:sz w:val="21"/>
                <w:szCs w:val="21"/>
                <w:highlight w:val="none"/>
                <w:lang w:val="en-US" w:eastAsia="zh-CN"/>
              </w:rPr>
              <w:t>、具有可操作性</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8（含）~10（不含）</w:t>
            </w:r>
            <w:r>
              <w:rPr>
                <w:rFonts w:hint="eastAsia" w:ascii="宋体" w:hAnsi="宋体" w:eastAsia="宋体" w:cs="宋体"/>
                <w:b w:val="0"/>
                <w:bCs w:val="0"/>
                <w:color w:val="auto"/>
                <w:sz w:val="21"/>
                <w:szCs w:val="21"/>
                <w:highlight w:val="none"/>
                <w:lang w:val="en-US" w:eastAsia="zh-CN"/>
              </w:rPr>
              <w:t>分；</w:t>
            </w:r>
          </w:p>
          <w:p w14:paraId="3177155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内容有待完善的，得</w:t>
            </w:r>
            <w:r>
              <w:rPr>
                <w:rFonts w:hint="eastAsia" w:ascii="宋体" w:hAnsi="宋体" w:cs="宋体"/>
                <w:b w:val="0"/>
                <w:bCs w:val="0"/>
                <w:color w:val="auto"/>
                <w:sz w:val="21"/>
                <w:szCs w:val="21"/>
                <w:highlight w:val="none"/>
                <w:lang w:val="en-US" w:eastAsia="zh-CN"/>
              </w:rPr>
              <w:t>6（含）~8（不含）</w:t>
            </w:r>
            <w:r>
              <w:rPr>
                <w:rFonts w:hint="eastAsia" w:ascii="宋体" w:hAnsi="宋体" w:eastAsia="宋体" w:cs="宋体"/>
                <w:b w:val="0"/>
                <w:bCs w:val="0"/>
                <w:color w:val="auto"/>
                <w:sz w:val="21"/>
                <w:szCs w:val="21"/>
                <w:highlight w:val="none"/>
                <w:lang w:val="en-US" w:eastAsia="zh-CN"/>
              </w:rPr>
              <w:t>分；</w:t>
            </w:r>
          </w:p>
          <w:p w14:paraId="6482163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差或未提供的不得分。</w:t>
            </w:r>
          </w:p>
          <w:p w14:paraId="2529E6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.效果图呈现</w:t>
            </w:r>
            <w:r>
              <w:rPr>
                <w:rFonts w:hint="eastAsia" w:ascii="宋体" w:hAnsi="宋体" w:cs="宋体"/>
                <w:b/>
                <w:bCs/>
                <w:color w:val="auto"/>
                <w:sz w:val="21"/>
                <w:szCs w:val="21"/>
                <w:highlight w:val="none"/>
                <w:lang w:val="en-US" w:eastAsia="zh-CN"/>
              </w:rPr>
              <w:t>（20分）</w:t>
            </w:r>
            <w:r>
              <w:rPr>
                <w:rFonts w:hint="eastAsia" w:ascii="宋体" w:hAnsi="宋体" w:eastAsia="宋体" w:cs="宋体"/>
                <w:b/>
                <w:bCs/>
                <w:color w:val="auto"/>
                <w:sz w:val="21"/>
                <w:szCs w:val="21"/>
                <w:highlight w:val="none"/>
                <w:lang w:val="en-US" w:eastAsia="zh-CN"/>
              </w:rPr>
              <w:t>：</w:t>
            </w:r>
          </w:p>
          <w:p w14:paraId="633201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能够与现场环境完美融合，多角度立体呈现</w:t>
            </w:r>
            <w:r>
              <w:rPr>
                <w:rFonts w:hint="eastAsia" w:ascii="宋体" w:hAnsi="宋体" w:cs="宋体"/>
                <w:b w:val="0"/>
                <w:bCs w:val="0"/>
                <w:color w:val="auto"/>
                <w:sz w:val="21"/>
                <w:szCs w:val="21"/>
                <w:highlight w:val="none"/>
                <w:lang w:val="en-US" w:eastAsia="zh-CN"/>
              </w:rPr>
              <w:t>、图纸完整清晰的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17（含）~20（含）</w:t>
            </w:r>
            <w:r>
              <w:rPr>
                <w:rFonts w:hint="eastAsia" w:ascii="宋体" w:hAnsi="宋体" w:eastAsia="宋体" w:cs="宋体"/>
                <w:b w:val="0"/>
                <w:bCs w:val="0"/>
                <w:color w:val="auto"/>
                <w:sz w:val="21"/>
                <w:szCs w:val="21"/>
                <w:highlight w:val="none"/>
                <w:lang w:val="en-US" w:eastAsia="zh-CN"/>
              </w:rPr>
              <w:t>分；</w:t>
            </w:r>
          </w:p>
          <w:p w14:paraId="1221F5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与现场环境较为融合，体现角度较为全面</w:t>
            </w:r>
            <w:r>
              <w:rPr>
                <w:rFonts w:hint="eastAsia" w:ascii="宋体" w:hAnsi="宋体" w:cs="宋体"/>
                <w:b w:val="0"/>
                <w:bCs w:val="0"/>
                <w:color w:val="auto"/>
                <w:sz w:val="21"/>
                <w:szCs w:val="21"/>
                <w:highlight w:val="none"/>
                <w:lang w:val="en-US" w:eastAsia="zh-CN"/>
              </w:rPr>
              <w:t>、图纸较为完整清晰的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14（含）~17（不含）</w:t>
            </w:r>
            <w:r>
              <w:rPr>
                <w:rFonts w:hint="eastAsia" w:ascii="宋体" w:hAnsi="宋体" w:eastAsia="宋体" w:cs="宋体"/>
                <w:b w:val="0"/>
                <w:bCs w:val="0"/>
                <w:color w:val="auto"/>
                <w:sz w:val="21"/>
                <w:szCs w:val="21"/>
                <w:highlight w:val="none"/>
                <w:lang w:val="en-US" w:eastAsia="zh-CN"/>
              </w:rPr>
              <w:t>分；</w:t>
            </w:r>
          </w:p>
          <w:p w14:paraId="4775A4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内容有待完善的，得</w:t>
            </w:r>
            <w:r>
              <w:rPr>
                <w:rFonts w:hint="eastAsia" w:ascii="宋体" w:hAnsi="宋体" w:cs="宋体"/>
                <w:b w:val="0"/>
                <w:bCs w:val="0"/>
                <w:color w:val="auto"/>
                <w:sz w:val="21"/>
                <w:szCs w:val="21"/>
                <w:highlight w:val="none"/>
                <w:lang w:val="en-US" w:eastAsia="zh-CN"/>
              </w:rPr>
              <w:t>12（含）~14（不含）</w:t>
            </w:r>
            <w:r>
              <w:rPr>
                <w:rFonts w:hint="eastAsia" w:ascii="宋体" w:hAnsi="宋体" w:eastAsia="宋体" w:cs="宋体"/>
                <w:b w:val="0"/>
                <w:bCs w:val="0"/>
                <w:color w:val="auto"/>
                <w:sz w:val="21"/>
                <w:szCs w:val="21"/>
                <w:highlight w:val="none"/>
                <w:lang w:val="en-US" w:eastAsia="zh-CN"/>
              </w:rPr>
              <w:t>分；</w:t>
            </w:r>
          </w:p>
          <w:p w14:paraId="3E78ADED">
            <w:pPr>
              <w:keepNext w:val="0"/>
              <w:keepLines w:val="0"/>
              <w:suppressLineNumbers w:val="0"/>
              <w:spacing w:before="0" w:beforeAutospacing="0" w:after="0" w:afterAutospacing="0" w:line="360" w:lineRule="auto"/>
              <w:ind w:left="0" w:right="0"/>
              <w:rPr>
                <w:rFonts w:hint="default"/>
                <w:color w:val="auto"/>
                <w:highlight w:val="none"/>
                <w:lang w:val="en-US"/>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差或未提供的不得分。</w:t>
            </w:r>
          </w:p>
        </w:tc>
        <w:tc>
          <w:tcPr>
            <w:tcW w:w="525" w:type="pct"/>
            <w:tcBorders>
              <w:top w:val="single" w:color="auto" w:sz="4" w:space="0"/>
              <w:left w:val="single" w:color="auto" w:sz="4" w:space="0"/>
              <w:bottom w:val="single" w:color="auto" w:sz="4" w:space="0"/>
              <w:right w:val="single" w:color="auto" w:sz="4" w:space="0"/>
            </w:tcBorders>
            <w:vAlign w:val="center"/>
          </w:tcPr>
          <w:p w14:paraId="2D16432E">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50</w:t>
            </w:r>
          </w:p>
        </w:tc>
      </w:tr>
      <w:tr w14:paraId="2A0D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48" w:type="pct"/>
            <w:vMerge w:val="continue"/>
            <w:tcBorders>
              <w:left w:val="single" w:color="auto" w:sz="4" w:space="0"/>
              <w:right w:val="single" w:color="auto" w:sz="4" w:space="0"/>
            </w:tcBorders>
            <w:vAlign w:val="center"/>
          </w:tcPr>
          <w:p w14:paraId="1B141259">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cstheme="minorEastAsia"/>
                <w:b/>
                <w:bCs/>
                <w:color w:val="auto"/>
                <w:sz w:val="21"/>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12FA5196">
            <w:pPr>
              <w:keepNext w:val="0"/>
              <w:keepLines w:val="0"/>
              <w:suppressLineNumbers w:val="0"/>
              <w:spacing w:before="0" w:beforeAutospacing="0" w:after="0" w:afterAutospacing="0" w:line="360" w:lineRule="auto"/>
              <w:ind w:left="0" w:right="0"/>
              <w:rPr>
                <w:rFonts w:hint="default" w:ascii="Times New Roman" w:hAnsi="Times New Roman" w:eastAsia="宋体" w:cs="宋体"/>
                <w:color w:val="auto"/>
                <w:kern w:val="2"/>
                <w:sz w:val="21"/>
                <w:highlight w:val="none"/>
                <w:lang w:val="en-US" w:eastAsia="zh-CN" w:bidi="ar-SA"/>
              </w:rPr>
            </w:pPr>
            <w:r>
              <w:rPr>
                <w:rFonts w:hint="eastAsia" w:cs="宋体"/>
                <w:color w:val="auto"/>
                <w:kern w:val="2"/>
                <w:sz w:val="21"/>
                <w:highlight w:val="none"/>
                <w:lang w:val="en-US" w:eastAsia="zh-CN" w:bidi="ar-SA"/>
              </w:rPr>
              <w:t>施工方案</w:t>
            </w:r>
          </w:p>
        </w:tc>
        <w:tc>
          <w:tcPr>
            <w:tcW w:w="3063" w:type="pct"/>
            <w:tcBorders>
              <w:top w:val="single" w:color="auto" w:sz="4" w:space="0"/>
              <w:left w:val="single" w:color="auto" w:sz="4" w:space="0"/>
              <w:bottom w:val="single" w:color="auto" w:sz="4" w:space="0"/>
              <w:right w:val="single" w:color="auto" w:sz="4" w:space="0"/>
            </w:tcBorders>
            <w:vAlign w:val="top"/>
          </w:tcPr>
          <w:p w14:paraId="11BD9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方案内容详实、完整、条理清晰；</w:t>
            </w:r>
            <w:r>
              <w:rPr>
                <w:rFonts w:hint="eastAsia" w:ascii="宋体" w:hAnsi="宋体" w:cs="宋体"/>
                <w:b w:val="0"/>
                <w:bCs w:val="0"/>
                <w:color w:val="auto"/>
                <w:sz w:val="21"/>
                <w:szCs w:val="21"/>
                <w:highlight w:val="none"/>
                <w:lang w:val="en-US" w:eastAsia="zh-CN"/>
              </w:rPr>
              <w:t>实用性强的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17（含）~20（含）</w:t>
            </w:r>
            <w:r>
              <w:rPr>
                <w:rFonts w:hint="eastAsia" w:ascii="宋体" w:hAnsi="宋体" w:eastAsia="宋体" w:cs="宋体"/>
                <w:b w:val="0"/>
                <w:bCs w:val="0"/>
                <w:color w:val="auto"/>
                <w:sz w:val="21"/>
                <w:szCs w:val="21"/>
                <w:highlight w:val="none"/>
                <w:lang w:val="en-US" w:eastAsia="zh-CN"/>
              </w:rPr>
              <w:t>分；</w:t>
            </w:r>
          </w:p>
          <w:p w14:paraId="6875F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方案内容较为</w:t>
            </w:r>
            <w:r>
              <w:rPr>
                <w:rFonts w:hint="eastAsia" w:ascii="宋体" w:hAnsi="宋体" w:cs="宋体"/>
                <w:b w:val="0"/>
                <w:bCs w:val="0"/>
                <w:color w:val="auto"/>
                <w:sz w:val="21"/>
                <w:szCs w:val="21"/>
                <w:highlight w:val="none"/>
                <w:lang w:val="en-US" w:eastAsia="zh-CN"/>
              </w:rPr>
              <w:t>详实</w:t>
            </w:r>
            <w:r>
              <w:rPr>
                <w:rFonts w:hint="eastAsia" w:ascii="宋体" w:hAnsi="宋体" w:eastAsia="宋体" w:cs="宋体"/>
                <w:b w:val="0"/>
                <w:bCs w:val="0"/>
                <w:color w:val="auto"/>
                <w:sz w:val="21"/>
                <w:szCs w:val="21"/>
                <w:highlight w:val="none"/>
                <w:lang w:val="en-US" w:eastAsia="zh-CN"/>
              </w:rPr>
              <w:t>完整、有</w:t>
            </w:r>
            <w:r>
              <w:rPr>
                <w:rFonts w:hint="eastAsia" w:ascii="宋体" w:hAnsi="宋体" w:cs="宋体"/>
                <w:b w:val="0"/>
                <w:bCs w:val="0"/>
                <w:color w:val="auto"/>
                <w:sz w:val="21"/>
                <w:szCs w:val="21"/>
                <w:highlight w:val="none"/>
                <w:lang w:val="en-US" w:eastAsia="zh-CN"/>
              </w:rPr>
              <w:t>条理</w:t>
            </w:r>
            <w:r>
              <w:rPr>
                <w:rFonts w:hint="eastAsia" w:ascii="宋体" w:hAnsi="宋体" w:eastAsia="宋体" w:cs="宋体"/>
                <w:b w:val="0"/>
                <w:bCs w:val="0"/>
                <w:color w:val="auto"/>
                <w:sz w:val="21"/>
                <w:szCs w:val="21"/>
                <w:highlight w:val="none"/>
                <w:lang w:val="en-US" w:eastAsia="zh-CN"/>
              </w:rPr>
              <w:t>的，实用性</w:t>
            </w:r>
            <w:r>
              <w:rPr>
                <w:rFonts w:hint="eastAsia" w:ascii="宋体" w:hAnsi="宋体" w:cs="宋体"/>
                <w:b w:val="0"/>
                <w:bCs w:val="0"/>
                <w:color w:val="auto"/>
                <w:sz w:val="21"/>
                <w:szCs w:val="21"/>
                <w:highlight w:val="none"/>
                <w:lang w:val="en-US" w:eastAsia="zh-CN"/>
              </w:rPr>
              <w:t>较</w:t>
            </w:r>
            <w:r>
              <w:rPr>
                <w:rFonts w:hint="eastAsia" w:ascii="宋体" w:hAnsi="宋体" w:eastAsia="宋体" w:cs="宋体"/>
                <w:b w:val="0"/>
                <w:bCs w:val="0"/>
                <w:color w:val="auto"/>
                <w:sz w:val="21"/>
                <w:szCs w:val="21"/>
                <w:highlight w:val="none"/>
                <w:lang w:val="en-US" w:eastAsia="zh-CN"/>
              </w:rPr>
              <w:t>强的得</w:t>
            </w:r>
            <w:r>
              <w:rPr>
                <w:rFonts w:hint="eastAsia" w:ascii="宋体" w:hAnsi="宋体" w:cs="宋体"/>
                <w:b w:val="0"/>
                <w:bCs w:val="0"/>
                <w:color w:val="auto"/>
                <w:sz w:val="21"/>
                <w:szCs w:val="21"/>
                <w:highlight w:val="none"/>
                <w:lang w:val="en-US" w:eastAsia="zh-CN"/>
              </w:rPr>
              <w:t>14（含）~17（不含）</w:t>
            </w:r>
            <w:r>
              <w:rPr>
                <w:rFonts w:hint="eastAsia" w:ascii="宋体" w:hAnsi="宋体" w:eastAsia="宋体" w:cs="宋体"/>
                <w:b w:val="0"/>
                <w:bCs w:val="0"/>
                <w:color w:val="auto"/>
                <w:sz w:val="21"/>
                <w:szCs w:val="21"/>
                <w:highlight w:val="none"/>
                <w:lang w:val="en-US" w:eastAsia="zh-CN"/>
              </w:rPr>
              <w:t>分；</w:t>
            </w:r>
          </w:p>
          <w:p w14:paraId="48119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方案内容齐全，条理有待完善的，</w:t>
            </w:r>
            <w:r>
              <w:rPr>
                <w:rFonts w:hint="eastAsia" w:ascii="宋体" w:hAnsi="宋体" w:cs="宋体"/>
                <w:b w:val="0"/>
                <w:bCs w:val="0"/>
                <w:color w:val="auto"/>
                <w:sz w:val="21"/>
                <w:szCs w:val="21"/>
                <w:highlight w:val="none"/>
                <w:lang w:val="en-US" w:eastAsia="zh-CN"/>
              </w:rPr>
              <w:t>实用性有待完善的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12（含）~14（不含）</w:t>
            </w:r>
            <w:r>
              <w:rPr>
                <w:rFonts w:hint="eastAsia" w:ascii="宋体" w:hAnsi="宋体" w:eastAsia="宋体" w:cs="宋体"/>
                <w:b w:val="0"/>
                <w:bCs w:val="0"/>
                <w:color w:val="auto"/>
                <w:sz w:val="21"/>
                <w:szCs w:val="21"/>
                <w:highlight w:val="none"/>
                <w:lang w:val="en-US" w:eastAsia="zh-CN"/>
              </w:rPr>
              <w:t>分；</w:t>
            </w:r>
          </w:p>
          <w:p w14:paraId="3A0DC165">
            <w:pPr>
              <w:keepNext w:val="0"/>
              <w:keepLines w:val="0"/>
              <w:suppressLineNumbers w:val="0"/>
              <w:spacing w:before="0" w:beforeAutospacing="0" w:after="0" w:afterAutospacing="0" w:line="360" w:lineRule="auto"/>
              <w:ind w:left="0" w:right="0"/>
              <w:rPr>
                <w:rFonts w:hint="eastAsia"/>
                <w:color w:val="auto"/>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施工方案差或未提供的不得分</w:t>
            </w:r>
            <w:r>
              <w:rPr>
                <w:rFonts w:hint="eastAsia" w:ascii="宋体" w:hAnsi="宋体" w:eastAsia="宋体" w:cs="宋体"/>
                <w:b w:val="0"/>
                <w:bCs w:val="0"/>
                <w:color w:val="auto"/>
                <w:kern w:val="0"/>
                <w:sz w:val="21"/>
                <w:szCs w:val="21"/>
                <w:highlight w:val="none"/>
                <w:lang w:val="en-US" w:eastAsia="zh-CN" w:bidi="ar"/>
              </w:rPr>
              <w:t>。</w:t>
            </w:r>
          </w:p>
        </w:tc>
        <w:tc>
          <w:tcPr>
            <w:tcW w:w="525" w:type="pct"/>
            <w:tcBorders>
              <w:top w:val="single" w:color="auto" w:sz="4" w:space="0"/>
              <w:left w:val="single" w:color="auto" w:sz="4" w:space="0"/>
              <w:bottom w:val="single" w:color="auto" w:sz="4" w:space="0"/>
              <w:right w:val="single" w:color="auto" w:sz="4" w:space="0"/>
            </w:tcBorders>
            <w:vAlign w:val="center"/>
          </w:tcPr>
          <w:p w14:paraId="42223FC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highlight w:val="none"/>
                <w:lang w:val="en-US" w:eastAsia="zh-CN" w:bidi="ar-SA"/>
              </w:rPr>
              <w:t>20</w:t>
            </w:r>
          </w:p>
        </w:tc>
      </w:tr>
      <w:tr w14:paraId="3D29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tcBorders>
              <w:left w:val="single" w:color="auto" w:sz="4" w:space="0"/>
              <w:right w:val="single" w:color="auto" w:sz="4" w:space="0"/>
            </w:tcBorders>
            <w:vAlign w:val="center"/>
          </w:tcPr>
          <w:p w14:paraId="7156960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价格分</w:t>
            </w:r>
          </w:p>
          <w:p w14:paraId="33A66EC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15</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分）</w:t>
            </w:r>
          </w:p>
        </w:tc>
        <w:tc>
          <w:tcPr>
            <w:tcW w:w="4251" w:type="pct"/>
            <w:gridSpan w:val="3"/>
            <w:tcBorders>
              <w:top w:val="single" w:color="auto" w:sz="4" w:space="0"/>
              <w:left w:val="single" w:color="auto" w:sz="4" w:space="0"/>
              <w:bottom w:val="single" w:color="auto" w:sz="4" w:space="0"/>
              <w:right w:val="single" w:color="auto" w:sz="4" w:space="0"/>
            </w:tcBorders>
            <w:vAlign w:val="center"/>
          </w:tcPr>
          <w:p w14:paraId="45E6ABBF">
            <w:pPr>
              <w:keepNext w:val="0"/>
              <w:keepLines w:val="0"/>
              <w:suppressLineNumbers w:val="0"/>
              <w:spacing w:before="0" w:beforeAutospacing="0" w:after="0" w:afterAutospacing="0"/>
              <w:ind w:left="0" w:right="0"/>
              <w:jc w:val="both"/>
              <w:rPr>
                <w:rFonts w:hint="eastAsia"/>
                <w:color w:val="auto"/>
                <w:highlight w:val="none"/>
                <w:vertAlign w:val="baseline"/>
              </w:rPr>
            </w:pPr>
            <w:r>
              <w:rPr>
                <w:rFonts w:hint="eastAsia"/>
                <w:color w:val="auto"/>
                <w:highlight w:val="none"/>
                <w:vertAlign w:val="baseline"/>
              </w:rPr>
              <w:t>价格分统一采用低价优先法，即满足</w:t>
            </w:r>
            <w:r>
              <w:rPr>
                <w:rFonts w:hint="eastAsia"/>
                <w:color w:val="auto"/>
                <w:highlight w:val="none"/>
                <w:vertAlign w:val="baseline"/>
                <w:lang w:eastAsia="zh-CN"/>
              </w:rPr>
              <w:t>比选文件</w:t>
            </w:r>
            <w:r>
              <w:rPr>
                <w:rFonts w:hint="eastAsia"/>
                <w:color w:val="auto"/>
                <w:highlight w:val="none"/>
                <w:vertAlign w:val="baseline"/>
              </w:rPr>
              <w:t>要求且投标价格最低的投标报价为评标基准价，其价格分为满分</w:t>
            </w:r>
            <w:r>
              <w:rPr>
                <w:rFonts w:hint="eastAsia"/>
                <w:color w:val="auto"/>
                <w:highlight w:val="none"/>
                <w:vertAlign w:val="baseline"/>
                <w:lang w:val="en-US" w:eastAsia="zh-CN"/>
              </w:rPr>
              <w:t>15</w:t>
            </w:r>
            <w:r>
              <w:rPr>
                <w:rFonts w:hint="eastAsia"/>
                <w:color w:val="auto"/>
                <w:highlight w:val="none"/>
                <w:vertAlign w:val="baseline"/>
              </w:rPr>
              <w:t>分。其他</w:t>
            </w:r>
            <w:r>
              <w:rPr>
                <w:rFonts w:hint="eastAsia"/>
                <w:color w:val="auto"/>
                <w:highlight w:val="none"/>
                <w:vertAlign w:val="baseline"/>
                <w:lang w:val="en-US" w:eastAsia="zh-CN"/>
              </w:rPr>
              <w:t>参选</w:t>
            </w:r>
            <w:r>
              <w:rPr>
                <w:rFonts w:hint="eastAsia"/>
                <w:color w:val="auto"/>
                <w:highlight w:val="none"/>
                <w:vertAlign w:val="baseline"/>
              </w:rPr>
              <w:t>人的价格分统一按照下列公式计算，若有投标报价扣除，以扣除后价格参与评审：</w:t>
            </w:r>
          </w:p>
          <w:p w14:paraId="6CEDF5F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rPr>
            </w:pPr>
            <w:r>
              <w:rPr>
                <w:rFonts w:hint="eastAsia"/>
                <w:color w:val="auto"/>
                <w:highlight w:val="none"/>
                <w:vertAlign w:val="baseline"/>
              </w:rPr>
              <w:t xml:space="preserve">投标报价得分＝（评标基准价/投标报价）× </w:t>
            </w:r>
            <w:r>
              <w:rPr>
                <w:rFonts w:hint="eastAsia"/>
                <w:color w:val="auto"/>
                <w:highlight w:val="none"/>
                <w:vertAlign w:val="baseline"/>
                <w:lang w:val="en-US" w:eastAsia="zh-CN"/>
              </w:rPr>
              <w:t>15</w:t>
            </w:r>
            <w:r>
              <w:rPr>
                <w:rFonts w:hint="eastAsia"/>
                <w:color w:val="auto"/>
                <w:highlight w:val="none"/>
                <w:vertAlign w:val="baseline"/>
              </w:rPr>
              <w:t>%× 100</w:t>
            </w:r>
          </w:p>
        </w:tc>
      </w:tr>
    </w:tbl>
    <w:p w14:paraId="16476AAF">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p w14:paraId="0C8FF286">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（1）以上评分汇总分精确至小数点后二位、小数点后第三位四舍五入。</w:t>
      </w:r>
    </w:p>
    <w:p w14:paraId="119E75BC">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Times New Roman"/>
          <w:b/>
          <w:bCs/>
          <w:color w:val="auto"/>
          <w:szCs w:val="21"/>
          <w:highlight w:val="none"/>
        </w:rPr>
      </w:pPr>
      <w:r>
        <w:rPr>
          <w:rFonts w:hint="eastAsia" w:ascii="宋体" w:hAnsi="宋体" w:eastAsia="宋体" w:cs="宋体"/>
          <w:b w:val="0"/>
          <w:bCs w:val="0"/>
          <w:color w:val="auto"/>
          <w:sz w:val="21"/>
          <w:szCs w:val="21"/>
          <w:highlight w:val="none"/>
          <w:lang w:val="en-US" w:eastAsia="zh-CN"/>
        </w:rPr>
        <w:t>（2）参选人提供的证明材料要能清晰反映评分的实质内容，如因材料模糊不清，导致评标委员会无法辨认的，评标委员会可以不予认可该材料，一切后果由参选人自行承担。</w:t>
      </w:r>
    </w:p>
    <w:p w14:paraId="267C052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Times New Roman"/>
          <w:b/>
          <w:bCs/>
          <w:color w:val="auto"/>
          <w:szCs w:val="21"/>
          <w:highlight w:val="none"/>
        </w:rPr>
        <w:t>25、评标程序</w:t>
      </w:r>
      <w:r>
        <w:rPr>
          <w:rFonts w:hint="eastAsia" w:ascii="宋体" w:hAnsi="宋体" w:eastAsia="宋体" w:cs="Times New Roman"/>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51A0AA2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25.1、参选文件符合性审查，包括但不限于以下内容：</w:t>
      </w:r>
    </w:p>
    <w:p w14:paraId="12DE6B0B">
      <w:pPr>
        <w:spacing w:line="500" w:lineRule="exact"/>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1）参选人资格是否符合比选文件要求；</w:t>
      </w:r>
    </w:p>
    <w:p w14:paraId="77DA439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335EB7D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97687A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2385023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2891DE2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7602865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D47DDD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3DFFB4FA">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25.2、</w:t>
      </w:r>
      <w:r>
        <w:rPr>
          <w:rFonts w:hint="eastAsia" w:ascii="宋体" w:hAnsi="宋体" w:eastAsia="宋体" w:cs="宋体"/>
          <w:b w:val="0"/>
          <w:bCs w:val="0"/>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53975D7A">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25.3、报价评审：</w:t>
      </w:r>
      <w:r>
        <w:rPr>
          <w:rFonts w:hint="eastAsia" w:ascii="宋体" w:hAnsi="宋体" w:eastAsia="宋体" w:cs="Times New Roman"/>
          <w:b/>
          <w:bCs/>
          <w:color w:val="auto"/>
          <w:szCs w:val="21"/>
          <w:highlight w:val="none"/>
        </w:rPr>
        <w:t>参选人报价不得高于最高投标</w:t>
      </w:r>
      <w:r>
        <w:rPr>
          <w:rFonts w:hint="eastAsia" w:ascii="宋体" w:hAnsi="宋体" w:cs="Times New Roman"/>
          <w:b/>
          <w:bCs/>
          <w:color w:val="auto"/>
          <w:szCs w:val="21"/>
          <w:highlight w:val="none"/>
          <w:lang w:eastAsia="zh-CN"/>
        </w:rPr>
        <w:t>限价</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否则为无效报价，即报价评审不通过</w:t>
      </w:r>
      <w:r>
        <w:rPr>
          <w:rFonts w:hint="eastAsia" w:ascii="宋体" w:hAnsi="宋体" w:eastAsia="宋体" w:cs="Times New Roman"/>
          <w:color w:val="auto"/>
          <w:szCs w:val="21"/>
          <w:highlight w:val="none"/>
        </w:rPr>
        <w:t>。</w:t>
      </w:r>
    </w:p>
    <w:p w14:paraId="122E36D4">
      <w:pPr>
        <w:widowControl/>
        <w:spacing w:line="48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25.4、报价中包含单价与总价的，应审核总价金额与按单价汇总金额是否一致。</w:t>
      </w:r>
    </w:p>
    <w:p w14:paraId="13705D97">
      <w:pPr>
        <w:widowControl/>
        <w:spacing w:line="48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37960804">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25.6、失信核查</w:t>
      </w:r>
    </w:p>
    <w:p w14:paraId="56DAD5FD">
      <w:pPr>
        <w:widowControl/>
        <w:spacing w:line="500" w:lineRule="exact"/>
        <w:ind w:firstLine="420"/>
        <w:jc w:val="both"/>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"http://www.creditchina.gov.cn/" </w:instrText>
      </w:r>
      <w:r>
        <w:rPr>
          <w:rFonts w:ascii="Times New Roman" w:hAnsi="Times New Roman" w:eastAsia="宋体" w:cs="Times New Roman"/>
          <w:color w:val="auto"/>
          <w:szCs w:val="20"/>
          <w:highlight w:val="none"/>
        </w:rPr>
        <w:fldChar w:fldCharType="separate"/>
      </w:r>
      <w:r>
        <w:rPr>
          <w:rStyle w:val="34"/>
          <w:rFonts w:hint="eastAsia" w:ascii="宋体" w:hAnsi="宋体" w:eastAsia="宋体" w:cs="Times New Roman"/>
          <w:color w:val="auto"/>
          <w:szCs w:val="21"/>
          <w:highlight w:val="none"/>
        </w:rPr>
        <w:t>http://www.creditchina.gov.cn/</w:t>
      </w:r>
      <w:r>
        <w:rPr>
          <w:rStyle w:val="34"/>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w:t>
      </w:r>
      <w:r>
        <w:rPr>
          <w:rFonts w:ascii="Times New Roman" w:hAnsi="Times New Roman" w:eastAsia="宋体" w:cs="Times New Roman"/>
          <w:color w:val="auto"/>
          <w:szCs w:val="20"/>
          <w:highlight w:val="none"/>
        </w:rPr>
        <w:fldChar w:fldCharType="begin"/>
      </w:r>
      <w:r>
        <w:rPr>
          <w:rFonts w:ascii="Times New Roman" w:hAnsi="Times New Roman" w:eastAsia="宋体" w:cs="Times New Roman"/>
          <w:color w:val="auto"/>
          <w:szCs w:val="20"/>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color w:val="auto"/>
          <w:szCs w:val="20"/>
          <w:highlight w:val="none"/>
        </w:rPr>
        <w:fldChar w:fldCharType="separate"/>
      </w:r>
      <w:r>
        <w:rPr>
          <w:rStyle w:val="34"/>
          <w:rFonts w:hint="eastAsia" w:ascii="宋体" w:hAnsi="Times New Roman" w:eastAsia="宋体" w:cs="Times New Roman"/>
          <w:color w:val="auto"/>
          <w:szCs w:val="21"/>
          <w:highlight w:val="none"/>
        </w:rPr>
        <w:t>http://www.ccgp.gov.cn/）</w:t>
      </w:r>
      <w:r>
        <w:rPr>
          <w:rStyle w:val="34"/>
          <w:rFonts w:hint="eastAsia" w:ascii="宋体" w:hAnsi="Times New Roman" w:eastAsia="宋体" w:cs="Times New Roman"/>
          <w:color w:val="auto"/>
          <w:szCs w:val="21"/>
          <w:highlight w:val="none"/>
          <w:u w:val="none"/>
        </w:rPr>
        <w:t>，若核查存在</w:t>
      </w:r>
      <w:r>
        <w:rPr>
          <w:rStyle w:val="34"/>
          <w:rFonts w:hint="eastAsia" w:ascii="宋体" w:hAnsi="宋体" w:eastAsia="宋体" w:cs="Times New Roman"/>
          <w:color w:val="auto"/>
          <w:szCs w:val="21"/>
          <w:highlight w:val="none"/>
          <w:u w:val="none"/>
        </w:rPr>
        <w:t>政府采购严重违法</w:t>
      </w:r>
      <w:r>
        <w:rPr>
          <w:rStyle w:val="34"/>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34"/>
          <w:rFonts w:hint="eastAsia" w:ascii="宋体" w:hAnsi="Times New Roman" w:eastAsia="宋体" w:cs="Times New Roman"/>
          <w:color w:val="auto"/>
          <w:szCs w:val="21"/>
          <w:highlight w:val="none"/>
          <w:u w:val="none"/>
        </w:rPr>
        <w:fldChar w:fldCharType="end"/>
      </w:r>
    </w:p>
    <w:p w14:paraId="53C0E4C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color w:val="auto"/>
          <w:szCs w:val="21"/>
          <w:highlight w:val="none"/>
        </w:rPr>
        <w:t>则由采购人采取现场随机抽取的方式确定中标候选人排序。</w:t>
      </w:r>
    </w:p>
    <w:p w14:paraId="1CBE910B">
      <w:pPr>
        <w:widowControl/>
        <w:spacing w:line="500" w:lineRule="exact"/>
        <w:ind w:firstLine="422" w:firstLineChars="20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26、开标评标异常情况处理</w:t>
      </w:r>
    </w:p>
    <w:p w14:paraId="1FAE803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26.1、在招标采购中，出现下列情况之一的，应予废标，采购单位重新组织采购：</w:t>
      </w:r>
    </w:p>
    <w:p w14:paraId="31D0B20B">
      <w:pPr>
        <w:widowControl/>
        <w:spacing w:line="500" w:lineRule="exact"/>
        <w:ind w:firstLine="422" w:firstLineChars="200"/>
        <w:jc w:val="left"/>
        <w:rPr>
          <w:rFonts w:hint="eastAsia" w:ascii="宋体" w:hAnsi="宋体" w:cs="Times New Roman"/>
          <w:b/>
          <w:bCs/>
          <w:color w:val="auto"/>
          <w:szCs w:val="21"/>
          <w:highlight w:val="none"/>
          <w:lang w:eastAsia="zh-CN"/>
        </w:rPr>
      </w:pPr>
      <w:r>
        <w:rPr>
          <w:rFonts w:hint="eastAsia" w:ascii="宋体" w:hAnsi="宋体" w:eastAsia="宋体" w:cs="Times New Roman"/>
          <w:b/>
          <w:bCs/>
          <w:color w:val="auto"/>
          <w:szCs w:val="21"/>
          <w:highlight w:val="none"/>
        </w:rPr>
        <w:t>(1)提交参选文件的参选人不足</w:t>
      </w: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rPr>
        <w:t>家的</w:t>
      </w:r>
      <w:r>
        <w:rPr>
          <w:rFonts w:hint="eastAsia" w:ascii="宋体" w:hAnsi="宋体" w:cs="Times New Roman"/>
          <w:b/>
          <w:bCs/>
          <w:color w:val="auto"/>
          <w:szCs w:val="21"/>
          <w:highlight w:val="none"/>
          <w:lang w:eastAsia="zh-CN"/>
        </w:rPr>
        <w:t>；</w:t>
      </w:r>
    </w:p>
    <w:p w14:paraId="664EC299">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)出现影响采购公正的违法、违规行为的；</w:t>
      </w:r>
    </w:p>
    <w:p w14:paraId="5BB4F37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)参选人的报价均高于最高投标</w:t>
      </w:r>
      <w:r>
        <w:rPr>
          <w:rFonts w:hint="eastAsia" w:ascii="宋体" w:hAnsi="宋体" w:cs="Times New Roman"/>
          <w:color w:val="auto"/>
          <w:szCs w:val="21"/>
          <w:highlight w:val="none"/>
          <w:lang w:eastAsia="zh-CN"/>
        </w:rPr>
        <w:t>限价</w:t>
      </w:r>
      <w:r>
        <w:rPr>
          <w:rFonts w:hint="eastAsia" w:ascii="宋体" w:hAnsi="宋体" w:eastAsia="宋体" w:cs="Times New Roman"/>
          <w:color w:val="auto"/>
          <w:szCs w:val="21"/>
          <w:highlight w:val="none"/>
        </w:rPr>
        <w:t>的；</w:t>
      </w:r>
    </w:p>
    <w:p w14:paraId="6ACA7F33">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)因重大变故，采购任务取消的。</w:t>
      </w:r>
    </w:p>
    <w:p w14:paraId="02900A94">
      <w:pPr>
        <w:widowControl/>
        <w:spacing w:line="500" w:lineRule="exact"/>
        <w:ind w:firstLine="405"/>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27、评标过程的保密性</w:t>
      </w:r>
    </w:p>
    <w:p w14:paraId="1330344F">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27.1、</w:t>
      </w:r>
      <w:bookmarkStart w:id="38" w:name="_Toc417655921"/>
      <w:bookmarkStart w:id="39" w:name="_Toc418517858"/>
      <w:bookmarkStart w:id="40" w:name="_Toc15032"/>
      <w:r>
        <w:rPr>
          <w:rFonts w:hint="eastAsia" w:ascii="宋体" w:hAnsi="宋体" w:eastAsia="宋体" w:cs="Times New Roman"/>
          <w:color w:val="auto"/>
          <w:szCs w:val="21"/>
          <w:highlight w:val="none"/>
        </w:rPr>
        <w:t>开标后，直到授予中标人合同止，凡是与参选文件审查、澄清、评价、比较以及授标建议等评审方面的情况，均不得向参选人或其他无关的人员透露。</w:t>
      </w:r>
    </w:p>
    <w:p w14:paraId="4CD2613B">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27.2、在评标过程中，参选人如向评委会成员施加任何影响，都将会导致其参选文件被拒绝。</w:t>
      </w:r>
    </w:p>
    <w:p w14:paraId="59659941">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16FE7D2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27.4、中标通知书</w:t>
      </w:r>
      <w:bookmarkEnd w:id="38"/>
      <w:bookmarkEnd w:id="39"/>
      <w:bookmarkEnd w:id="40"/>
    </w:p>
    <w:p w14:paraId="51730B34">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szCs w:val="20"/>
          <w:highlight w:val="none"/>
        </w:rPr>
        <w:t>中标候选人确定后，采购单位将在安庆市交通控股集团有限公司集采平台（http：//jc.zh0556.com/）上公示，参选人如有异议，必须在公示期内向有关部门提出。</w:t>
      </w:r>
    </w:p>
    <w:p w14:paraId="53E2A0EF">
      <w:pPr>
        <w:spacing w:line="360" w:lineRule="auto"/>
        <w:ind w:firstLine="420" w:firstLineChars="200"/>
        <w:rPr>
          <w:rFonts w:ascii="Times New Roman" w:hAnsi="宋体" w:eastAsia="宋体" w:cs="宋体"/>
          <w:b/>
          <w:color w:val="auto"/>
          <w:szCs w:val="24"/>
          <w:highlight w:val="none"/>
        </w:rPr>
      </w:pPr>
      <w:bookmarkStart w:id="41" w:name="_Toc456882340"/>
      <w:bookmarkStart w:id="42" w:name="_Toc433721697"/>
      <w:bookmarkStart w:id="43" w:name="_Toc457998294"/>
      <w:bookmarkStart w:id="44" w:name="_Toc31095"/>
      <w:bookmarkStart w:id="45" w:name="_Toc10987"/>
      <w:bookmarkStart w:id="46" w:name="_Toc10586"/>
      <w:bookmarkStart w:id="47" w:name="_Toc19876"/>
      <w:bookmarkStart w:id="48" w:name="_Toc478821422"/>
      <w:r>
        <w:rPr>
          <w:rFonts w:ascii="Times New Roman" w:hAnsi="宋体" w:eastAsia="宋体" w:cs="宋体"/>
          <w:color w:val="auto"/>
          <w:szCs w:val="24"/>
          <w:highlight w:val="none"/>
        </w:rPr>
        <w:t>公示期满无异议，且未发现中标人在</w:t>
      </w:r>
      <w:r>
        <w:rPr>
          <w:rFonts w:hint="eastAsia" w:ascii="Times New Roman" w:hAnsi="宋体" w:eastAsia="宋体" w:cs="宋体"/>
          <w:color w:val="auto"/>
          <w:szCs w:val="24"/>
          <w:highlight w:val="none"/>
        </w:rPr>
        <w:t>比选</w:t>
      </w:r>
      <w:r>
        <w:rPr>
          <w:rFonts w:ascii="Times New Roman" w:hAnsi="宋体" w:eastAsia="宋体" w:cs="宋体"/>
          <w:color w:val="auto"/>
          <w:szCs w:val="24"/>
          <w:highlight w:val="none"/>
        </w:rPr>
        <w:t>活动中有违法行为的，</w:t>
      </w:r>
      <w:r>
        <w:rPr>
          <w:rFonts w:hint="eastAsia" w:ascii="Times New Roman" w:hAnsi="宋体" w:eastAsia="宋体" w:cs="宋体"/>
          <w:color w:val="auto"/>
          <w:szCs w:val="24"/>
          <w:highlight w:val="none"/>
        </w:rPr>
        <w:t>采购人</w:t>
      </w:r>
      <w:r>
        <w:rPr>
          <w:rFonts w:ascii="Times New Roman" w:hAnsi="宋体" w:eastAsia="宋体" w:cs="宋体"/>
          <w:color w:val="auto"/>
          <w:szCs w:val="24"/>
          <w:highlight w:val="none"/>
        </w:rPr>
        <w:t>将向中标人发出中标通知书。</w:t>
      </w:r>
      <w:bookmarkEnd w:id="41"/>
      <w:bookmarkEnd w:id="42"/>
      <w:bookmarkEnd w:id="43"/>
      <w:bookmarkEnd w:id="44"/>
      <w:bookmarkEnd w:id="45"/>
      <w:bookmarkEnd w:id="46"/>
      <w:bookmarkEnd w:id="47"/>
      <w:bookmarkEnd w:id="48"/>
    </w:p>
    <w:p w14:paraId="1CE8165A">
      <w:pPr>
        <w:keepNext/>
        <w:keepLines/>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rPr>
      </w:pPr>
      <w:bookmarkStart w:id="49" w:name="_Toc4481597"/>
      <w:r>
        <w:rPr>
          <w:rFonts w:hint="eastAsia" w:ascii="Arial" w:hAnsi="Arial" w:eastAsia="宋体" w:cs="Times New Roman"/>
          <w:b/>
          <w:color w:val="auto"/>
          <w:kern w:val="0"/>
          <w:sz w:val="32"/>
          <w:szCs w:val="20"/>
          <w:highlight w:val="none"/>
        </w:rPr>
        <w:t>（</w:t>
      </w:r>
      <w:r>
        <w:rPr>
          <w:rFonts w:hint="eastAsia" w:ascii="Arial" w:hAnsi="Arial" w:cs="Times New Roman"/>
          <w:b/>
          <w:color w:val="auto"/>
          <w:kern w:val="0"/>
          <w:sz w:val="32"/>
          <w:szCs w:val="20"/>
          <w:highlight w:val="none"/>
          <w:lang w:val="en-US" w:eastAsia="zh-CN"/>
        </w:rPr>
        <w:t>六</w:t>
      </w:r>
      <w:r>
        <w:rPr>
          <w:rFonts w:hint="eastAsia" w:ascii="Arial" w:hAnsi="Arial" w:eastAsia="宋体" w:cs="Times New Roman"/>
          <w:b/>
          <w:color w:val="auto"/>
          <w:kern w:val="0"/>
          <w:sz w:val="32"/>
          <w:szCs w:val="20"/>
          <w:highlight w:val="none"/>
        </w:rPr>
        <w:t>）合同授予</w:t>
      </w:r>
      <w:bookmarkEnd w:id="49"/>
    </w:p>
    <w:p w14:paraId="266590D4">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w:t>
      </w:r>
      <w:bookmarkStart w:id="50" w:name="_Toc417655923"/>
      <w:bookmarkStart w:id="51" w:name="_Toc21358"/>
      <w:bookmarkStart w:id="52" w:name="_Toc418517860"/>
      <w:r>
        <w:rPr>
          <w:rFonts w:hint="eastAsia" w:ascii="宋体" w:hAnsi="宋体" w:eastAsia="宋体" w:cs="Times New Roman"/>
          <w:color w:val="auto"/>
          <w:szCs w:val="21"/>
          <w:highlight w:val="none"/>
        </w:rPr>
        <w:t>签订合同</w:t>
      </w:r>
      <w:bookmarkEnd w:id="50"/>
      <w:bookmarkEnd w:id="51"/>
      <w:bookmarkEnd w:id="52"/>
    </w:p>
    <w:p w14:paraId="056B6447">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28.1.1、中标人的中标价即为合同价款。</w:t>
      </w:r>
    </w:p>
    <w:p w14:paraId="1CD35430">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28.1.2、中标人应在中标通知书发出之日起30日内，根据比选文件和中标人的</w:t>
      </w:r>
      <w:r>
        <w:rPr>
          <w:rFonts w:hint="eastAsia" w:ascii="宋体" w:hAnsi="宋体" w:cs="Times New Roman"/>
          <w:color w:val="auto"/>
          <w:szCs w:val="21"/>
          <w:highlight w:val="none"/>
          <w:lang w:eastAsia="zh-CN"/>
        </w:rPr>
        <w:t>参选</w:t>
      </w:r>
      <w:r>
        <w:rPr>
          <w:rFonts w:hint="eastAsia" w:ascii="宋体" w:hAnsi="宋体" w:eastAsia="宋体" w:cs="Times New Roman"/>
          <w:color w:val="auto"/>
          <w:szCs w:val="21"/>
          <w:highlight w:val="none"/>
        </w:rPr>
        <w:t>文件签订书面合同。中标人无正当理由拒签合同,在签订合同时向</w:t>
      </w:r>
      <w:r>
        <w:rPr>
          <w:rFonts w:hint="eastAsia" w:ascii="宋体" w:hAnsi="宋体" w:cs="Times New Roman"/>
          <w:color w:val="auto"/>
          <w:szCs w:val="21"/>
          <w:highlight w:val="none"/>
          <w:lang w:eastAsia="zh-CN"/>
        </w:rPr>
        <w:t>采购人</w:t>
      </w:r>
      <w:r>
        <w:rPr>
          <w:rFonts w:hint="eastAsia" w:ascii="宋体" w:hAnsi="宋体" w:eastAsia="宋体" w:cs="Times New Roman"/>
          <w:color w:val="auto"/>
          <w:szCs w:val="21"/>
          <w:highlight w:val="none"/>
        </w:rPr>
        <w:t>提出附加条件,或不按照招标文件要求提交履约保证金的，采购人有权取消其中标资格。</w:t>
      </w:r>
    </w:p>
    <w:p w14:paraId="71930969">
      <w:pPr>
        <w:widowControl/>
        <w:spacing w:line="500" w:lineRule="exact"/>
        <w:ind w:firstLine="420" w:firstLineChars="200"/>
        <w:jc w:val="left"/>
        <w:rPr>
          <w:rFonts w:ascii="Times New Roman" w:hAnsi="宋体" w:eastAsia="宋体" w:cs="Times New Roman"/>
          <w:b/>
          <w:color w:val="auto"/>
          <w:szCs w:val="21"/>
          <w:highlight w:val="none"/>
        </w:rPr>
      </w:pPr>
      <w:r>
        <w:rPr>
          <w:rFonts w:hint="eastAsia" w:ascii="宋体" w:hAnsi="宋体" w:eastAsia="宋体" w:cs="Times New Roman"/>
          <w:color w:val="auto"/>
          <w:szCs w:val="21"/>
          <w:highlight w:val="none"/>
        </w:rPr>
        <w:t>28.1.3、中标人（中标候选人）被取消中标资格的，采购人可以按照评标委员会提出的中标候选人名单排序依次确定其他中标候选人为中标人，或重新组织采购。</w:t>
      </w:r>
      <w:r>
        <w:rPr>
          <w:rFonts w:ascii="Times New Roman" w:hAnsi="宋体" w:eastAsia="宋体" w:cs="Times New Roman"/>
          <w:b/>
          <w:color w:val="auto"/>
          <w:szCs w:val="21"/>
          <w:highlight w:val="none"/>
        </w:rPr>
        <w:br w:type="page"/>
      </w:r>
    </w:p>
    <w:bookmarkEnd w:id="25"/>
    <w:bookmarkEnd w:id="26"/>
    <w:p w14:paraId="0D04989A">
      <w:pPr>
        <w:pStyle w:val="2"/>
        <w:numPr>
          <w:ilvl w:val="0"/>
          <w:numId w:val="0"/>
        </w:numPr>
        <w:ind w:left="1275" w:leftChars="0" w:hanging="1275" w:firstLineChars="0"/>
        <w:rPr>
          <w:color w:val="auto"/>
          <w:highlight w:val="none"/>
        </w:rPr>
      </w:pPr>
      <w:r>
        <w:rPr>
          <w:rFonts w:hint="default" w:ascii="Times New Roman" w:hAnsi="Times New Roman" w:eastAsia="宋体" w:cs="Times New Roman"/>
          <w:b/>
          <w:bCs/>
          <w:color w:val="auto"/>
          <w:kern w:val="44"/>
          <w:sz w:val="32"/>
          <w:szCs w:val="44"/>
          <w:highlight w:val="none"/>
          <w:lang w:val="en-US" w:eastAsia="zh-CN" w:bidi="ar-SA"/>
        </w:rPr>
        <w:t>第三章</w:t>
      </w:r>
      <w:r>
        <w:rPr>
          <w:rFonts w:hint="eastAsia"/>
          <w:color w:val="auto"/>
          <w:highlight w:val="none"/>
          <w:lang w:eastAsia="zh-CN"/>
        </w:rPr>
        <w:t>服务需求及技术要求</w:t>
      </w:r>
    </w:p>
    <w:p w14:paraId="6379D2E5">
      <w:pPr>
        <w:spacing w:line="360" w:lineRule="auto"/>
        <w:ind w:firstLine="422" w:firstLineChars="200"/>
        <w:contextualSpacing/>
        <w:rPr>
          <w:rFonts w:hint="eastAsia" w:ascii="宋体" w:hAnsi="宋体" w:cs="宋体"/>
          <w:b/>
          <w:color w:val="auto"/>
          <w:szCs w:val="21"/>
          <w:highlight w:val="none"/>
        </w:rPr>
      </w:pPr>
      <w:bookmarkStart w:id="53" w:name="_Toc26873"/>
      <w:bookmarkStart w:id="54" w:name="_Toc4481600"/>
      <w:r>
        <w:rPr>
          <w:rFonts w:hint="eastAsia" w:ascii="宋体" w:hAnsi="宋体" w:cs="宋体"/>
          <w:b/>
          <w:color w:val="auto"/>
          <w:szCs w:val="21"/>
          <w:highlight w:val="none"/>
        </w:rPr>
        <w:t>一、项目概况</w:t>
      </w:r>
    </w:p>
    <w:p w14:paraId="31C569E2">
      <w:pPr>
        <w:widowControl/>
        <w:spacing w:line="360" w:lineRule="auto"/>
        <w:ind w:firstLine="420" w:firstLineChars="200"/>
        <w:jc w:val="left"/>
        <w:rPr>
          <w:color w:val="auto"/>
          <w:highlight w:val="none"/>
        </w:rPr>
      </w:pPr>
      <w:r>
        <w:rPr>
          <w:rFonts w:hint="eastAsia" w:ascii="宋体" w:hAnsi="宋体" w:cs="宋体"/>
          <w:color w:val="auto"/>
          <w:szCs w:val="21"/>
          <w:highlight w:val="none"/>
          <w:lang w:eastAsia="zh-CN"/>
        </w:rPr>
        <w:t>皖河新港</w:t>
      </w:r>
      <w:r>
        <w:rPr>
          <w:rFonts w:hint="eastAsia" w:ascii="宋体" w:hAnsi="宋体" w:cs="宋体"/>
          <w:color w:val="auto"/>
          <w:szCs w:val="21"/>
          <w:highlight w:val="none"/>
          <w:lang w:val="en-US" w:eastAsia="zh-CN"/>
        </w:rPr>
        <w:t>是安庆市首座万吨级的码头，属于</w:t>
      </w:r>
      <w:r>
        <w:rPr>
          <w:rFonts w:hint="eastAsia" w:ascii="宋体" w:hAnsi="宋体" w:cs="宋体"/>
          <w:color w:val="auto"/>
          <w:szCs w:val="21"/>
          <w:highlight w:val="none"/>
        </w:rPr>
        <w:t>安庆港中心港区皖河农场作业区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可以满足粮油加工、粮食　农产品等临港产业发展；承担煤炭、原料和产成品的大进大出运输功能。还能满足腹地中转集装箱、大宗货物等重要物资的运输需求。现</w:t>
      </w:r>
      <w:r>
        <w:rPr>
          <w:rFonts w:hint="eastAsia" w:ascii="宋体" w:hAnsi="宋体" w:cs="宋体"/>
          <w:color w:val="auto"/>
          <w:szCs w:val="21"/>
          <w:highlight w:val="none"/>
          <w:lang w:eastAsia="zh-CN"/>
        </w:rPr>
        <w:t>皖河新港</w:t>
      </w:r>
      <w:r>
        <w:rPr>
          <w:rFonts w:hint="eastAsia" w:ascii="宋体" w:hAnsi="宋体" w:cs="宋体"/>
          <w:color w:val="auto"/>
          <w:szCs w:val="21"/>
          <w:highlight w:val="none"/>
          <w:lang w:val="en-US" w:eastAsia="zh-CN"/>
        </w:rPr>
        <w:t>一期综合楼进行企业文化设计与文化墙施工。</w:t>
      </w:r>
    </w:p>
    <w:p w14:paraId="52532A0D">
      <w:pPr>
        <w:spacing w:line="360" w:lineRule="auto"/>
        <w:ind w:firstLine="422" w:firstLineChars="200"/>
        <w:contextualSpacing/>
        <w:rPr>
          <w:rFonts w:hint="eastAsia" w:ascii="宋体" w:hAnsi="宋体" w:cs="宋体"/>
          <w:b/>
          <w:color w:val="auto"/>
          <w:szCs w:val="21"/>
          <w:highlight w:val="none"/>
        </w:rPr>
      </w:pPr>
      <w:r>
        <w:rPr>
          <w:rFonts w:hint="eastAsia" w:ascii="宋体" w:hAnsi="宋体" w:cs="宋体"/>
          <w:b/>
          <w:color w:val="auto"/>
          <w:szCs w:val="21"/>
          <w:highlight w:val="none"/>
        </w:rPr>
        <w:t>二、设计范围</w:t>
      </w:r>
    </w:p>
    <w:p w14:paraId="68F642F9">
      <w:pPr>
        <w:pStyle w:val="38"/>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1.皖河新港企业宣传（港口公司综合部提供配合）；</w:t>
      </w:r>
    </w:p>
    <w:p w14:paraId="72ABD2EB">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2.皖河新港一期综合办公楼企业文化装修设计方案文件：</w:t>
      </w:r>
    </w:p>
    <w:p w14:paraId="49EC9867">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（1）各区域文化墙彩色效果图；</w:t>
      </w:r>
    </w:p>
    <w:p w14:paraId="03D90853">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（2）设计说明（含主题理念、港口元素融入思路、材料选型理由）；</w:t>
      </w:r>
    </w:p>
    <w:p w14:paraId="7DA10F93">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3.施工方案文件：</w:t>
      </w:r>
    </w:p>
    <w:p w14:paraId="3DB2901A">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（1）施工组织计划（含工期安排、人员配置、安全保障措施）；</w:t>
      </w:r>
    </w:p>
    <w:p w14:paraId="18E6B15C">
      <w:pPr>
        <w:widowControl/>
        <w:spacing w:line="360" w:lineRule="auto"/>
        <w:ind w:firstLine="420" w:firstLineChars="200"/>
        <w:jc w:val="left"/>
        <w:rPr>
          <w:rFonts w:hint="default" w:ascii="宋体" w:hAnsi="宋体" w:cs="宋体"/>
          <w:b/>
          <w:color w:val="auto"/>
          <w:szCs w:val="21"/>
          <w:highlight w:val="none"/>
          <w:lang w:val="en-US" w:eastAsia="zh-CN"/>
        </w:rPr>
      </w:pPr>
      <w:r>
        <w:rPr>
          <w:rFonts w:hint="eastAsia" w:ascii="宋体" w:hAnsi="宋体" w:eastAsia="宋体" w:cs="宋体"/>
          <w:color w:val="auto"/>
          <w:szCs w:val="21"/>
          <w:highlight w:val="none"/>
          <w:lang w:val="en-US" w:eastAsia="zh-CN"/>
        </w:rPr>
        <w:t>（2）施工报价单（含材料采购、人工、安装等费用，总价包干）；</w:t>
      </w:r>
    </w:p>
    <w:p w14:paraId="451E0DA1">
      <w:pPr>
        <w:spacing w:line="360" w:lineRule="auto"/>
        <w:ind w:firstLine="422" w:firstLineChars="200"/>
        <w:contextualSpacing/>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、项目服务要求</w:t>
      </w:r>
    </w:p>
    <w:p w14:paraId="00707805">
      <w:pPr>
        <w:widowControl/>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各投标单位需前往皖河新港综合楼现场勘察设计。</w:t>
      </w:r>
    </w:p>
    <w:p w14:paraId="1036113C">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参选人自行踏勘现场。参选人应认真对现场环境进行踏勘，对项目环境和影响等素，做出理性的判断和估价。成交后签订合同时和服务过程中，参选人不得以不完全了解或不了解现场情况为由，提出任何形式的增加费用或索赔的要求。</w:t>
      </w:r>
    </w:p>
    <w:p w14:paraId="6E709794">
      <w:pPr>
        <w:spacing w:line="360" w:lineRule="auto"/>
        <w:ind w:firstLine="422" w:firstLineChars="200"/>
        <w:contextualSpacing/>
        <w:rPr>
          <w:rFonts w:ascii="宋体" w:hAnsi="宋体" w:cs="宋体"/>
          <w:b/>
          <w:color w:val="auto"/>
          <w:kern w:val="0"/>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w:t>
      </w:r>
      <w:r>
        <w:rPr>
          <w:rFonts w:hint="eastAsia" w:ascii="宋体" w:hAnsi="宋体" w:cs="宋体"/>
          <w:b/>
          <w:color w:val="auto"/>
          <w:kern w:val="0"/>
          <w:szCs w:val="21"/>
          <w:highlight w:val="none"/>
        </w:rPr>
        <w:t>成果文件的提交</w:t>
      </w:r>
    </w:p>
    <w:p w14:paraId="163EB10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成交人须按采购人要求提供各阶段中间成果文件和最终成果纸质文件，同时满足采购人需求的份数。</w:t>
      </w:r>
    </w:p>
    <w:p w14:paraId="76A0EECC">
      <w:pPr>
        <w:pStyle w:val="9"/>
        <w:rPr>
          <w:color w:val="auto"/>
          <w:highlight w:val="none"/>
        </w:rPr>
      </w:pPr>
    </w:p>
    <w:p w14:paraId="6F7B09B7">
      <w:pPr>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p w14:paraId="325D0FCD">
      <w:pPr>
        <w:pStyle w:val="2"/>
        <w:spacing w:beforeLines="0" w:afterLines="0"/>
        <w:jc w:val="center"/>
        <w:rPr>
          <w:rFonts w:hint="eastAsia"/>
          <w:color w:val="auto"/>
          <w:sz w:val="32"/>
          <w:szCs w:val="32"/>
          <w:highlight w:val="none"/>
        </w:rPr>
      </w:pPr>
      <w:r>
        <w:rPr>
          <w:rFonts w:hint="eastAsia" w:ascii="Arial" w:hAnsi="Arial"/>
          <w:color w:val="auto"/>
          <w:kern w:val="2"/>
          <w:sz w:val="32"/>
          <w:szCs w:val="32"/>
          <w:highlight w:val="none"/>
        </w:rPr>
        <w:t>第四章</w:t>
      </w:r>
      <w:r>
        <w:rPr>
          <w:rFonts w:ascii="Arial" w:hAnsi="Arial"/>
          <w:color w:val="auto"/>
          <w:kern w:val="2"/>
          <w:sz w:val="32"/>
          <w:szCs w:val="32"/>
          <w:highlight w:val="none"/>
        </w:rPr>
        <w:t xml:space="preserve">     </w:t>
      </w:r>
      <w:r>
        <w:rPr>
          <w:rFonts w:hint="eastAsia"/>
          <w:color w:val="auto"/>
          <w:sz w:val="32"/>
          <w:szCs w:val="32"/>
          <w:highlight w:val="none"/>
        </w:rPr>
        <w:t>合同文本及主要条款</w:t>
      </w:r>
    </w:p>
    <w:bookmarkEnd w:id="53"/>
    <w:bookmarkEnd w:id="54"/>
    <w:p w14:paraId="4D446025">
      <w:pPr>
        <w:tabs>
          <w:tab w:val="left" w:pos="3640"/>
        </w:tabs>
        <w:autoSpaceDE w:val="0"/>
        <w:autoSpaceDN w:val="0"/>
        <w:spacing w:line="360" w:lineRule="auto"/>
        <w:rPr>
          <w:rFonts w:ascii="宋体" w:hAnsi="宋体" w:cs="宋体"/>
          <w:color w:val="auto"/>
          <w:szCs w:val="21"/>
          <w:highlight w:val="none"/>
          <w:u w:val="single"/>
        </w:rPr>
      </w:pPr>
      <w:bookmarkStart w:id="55" w:name="_Toc10107"/>
      <w:r>
        <w:rPr>
          <w:rFonts w:hint="eastAsia" w:ascii="宋体" w:hAnsi="宋体" w:cs="宋体"/>
          <w:color w:val="auto"/>
          <w:szCs w:val="21"/>
          <w:highlight w:val="none"/>
        </w:rPr>
        <w:t>买方（采购人）：</w:t>
      </w:r>
      <w:r>
        <w:rPr>
          <w:rFonts w:hint="eastAsia" w:ascii="宋体" w:hAnsi="宋体" w:cs="宋体"/>
          <w:color w:val="auto"/>
          <w:szCs w:val="21"/>
          <w:highlight w:val="none"/>
          <w:u w:val="single"/>
        </w:rPr>
        <w:t xml:space="preserve">                           </w:t>
      </w:r>
    </w:p>
    <w:p w14:paraId="752294BE">
      <w:pPr>
        <w:tabs>
          <w:tab w:val="left" w:pos="3640"/>
        </w:tabs>
        <w:autoSpaceDE w:val="0"/>
        <w:autoSpaceDN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卖方（</w:t>
      </w:r>
      <w:r>
        <w:rPr>
          <w:rFonts w:hint="eastAsia" w:ascii="宋体" w:hAnsi="宋体" w:cs="宋体"/>
          <w:b w:val="0"/>
          <w:bCs/>
          <w:color w:val="auto"/>
          <w:szCs w:val="21"/>
          <w:highlight w:val="none"/>
        </w:rPr>
        <w:t>成交人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C7BC70A">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根据《中华人民共和国民法典》及</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参选</w:t>
      </w:r>
      <w:r>
        <w:rPr>
          <w:rFonts w:hint="eastAsia" w:ascii="宋体" w:hAnsi="宋体" w:cs="宋体"/>
          <w:color w:val="auto"/>
          <w:szCs w:val="21"/>
          <w:highlight w:val="none"/>
        </w:rPr>
        <w:t>文件等，买、卖双方经协商一致，签订如下合同条款，并共同遵守。</w:t>
      </w:r>
    </w:p>
    <w:p w14:paraId="302B1870">
      <w:pPr>
        <w:numPr>
          <w:ilvl w:val="0"/>
          <w:numId w:val="4"/>
        </w:numPr>
        <w:tabs>
          <w:tab w:val="left" w:pos="3640"/>
        </w:tabs>
        <w:autoSpaceDE w:val="0"/>
        <w:autoSpaceDN w:val="0"/>
        <w:spacing w:line="360" w:lineRule="auto"/>
        <w:ind w:firstLine="422" w:firstLineChars="200"/>
        <w:rPr>
          <w:rFonts w:ascii="宋体" w:hAnsi="宋体" w:cs="宋体"/>
          <w:b/>
          <w:color w:val="auto"/>
          <w:spacing w:val="8"/>
          <w:szCs w:val="21"/>
          <w:highlight w:val="none"/>
        </w:rPr>
      </w:pPr>
      <w:r>
        <w:rPr>
          <w:rFonts w:hint="eastAsia" w:ascii="宋体" w:hAnsi="宋体" w:cs="宋体"/>
          <w:b/>
          <w:color w:val="auto"/>
          <w:szCs w:val="21"/>
          <w:highlight w:val="none"/>
        </w:rPr>
        <w:t>服务内容</w:t>
      </w:r>
    </w:p>
    <w:p w14:paraId="6AA7986D">
      <w:pPr>
        <w:tabs>
          <w:tab w:val="left" w:pos="3640"/>
        </w:tabs>
        <w:autoSpaceDE w:val="0"/>
        <w:autoSpaceDN w:val="0"/>
        <w:spacing w:line="360" w:lineRule="auto"/>
        <w:ind w:left="422"/>
        <w:rPr>
          <w:rFonts w:ascii="宋体" w:hAnsi="宋体" w:cs="宋体"/>
          <w:b/>
          <w:color w:val="auto"/>
          <w:spacing w:val="8"/>
          <w:szCs w:val="21"/>
          <w:highlight w:val="none"/>
        </w:rPr>
      </w:pPr>
      <w:r>
        <w:rPr>
          <w:rFonts w:hint="eastAsia" w:ascii="宋体" w:hAnsi="宋体" w:cs="宋体"/>
          <w:b/>
          <w:color w:val="auto"/>
          <w:szCs w:val="21"/>
          <w:highlight w:val="none"/>
        </w:rPr>
        <w:t>服务内容：</w:t>
      </w:r>
    </w:p>
    <w:p w14:paraId="7B479AFE">
      <w:pPr>
        <w:tabs>
          <w:tab w:val="left" w:pos="3640"/>
        </w:tabs>
        <w:autoSpaceDE w:val="0"/>
        <w:autoSpaceDN w:val="0"/>
        <w:spacing w:line="360" w:lineRule="auto"/>
        <w:ind w:left="422"/>
        <w:rPr>
          <w:rFonts w:ascii="宋体" w:hAnsi="宋体" w:cs="宋体"/>
          <w:b/>
          <w:color w:val="auto"/>
          <w:spacing w:val="8"/>
          <w:szCs w:val="21"/>
          <w:highlight w:val="none"/>
        </w:rPr>
      </w:pPr>
      <w:r>
        <w:rPr>
          <w:rFonts w:hint="eastAsia" w:ascii="宋体" w:hAnsi="宋体" w:cs="宋体"/>
          <w:b/>
          <w:color w:val="auto"/>
          <w:szCs w:val="21"/>
          <w:highlight w:val="none"/>
        </w:rPr>
        <w:t>合同金额：</w:t>
      </w:r>
    </w:p>
    <w:p w14:paraId="50F7A845">
      <w:pPr>
        <w:tabs>
          <w:tab w:val="left" w:pos="3640"/>
        </w:tabs>
        <w:autoSpaceDE w:val="0"/>
        <w:autoSpaceDN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二、服务期：</w:t>
      </w:r>
    </w:p>
    <w:p w14:paraId="55CB37D3">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三、服务人员配备：</w:t>
      </w:r>
    </w:p>
    <w:p w14:paraId="64A863AF">
      <w:pPr>
        <w:tabs>
          <w:tab w:val="left" w:pos="3640"/>
        </w:tabs>
        <w:autoSpaceDE w:val="0"/>
        <w:autoSpaceDN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四、服务地点：</w:t>
      </w:r>
    </w:p>
    <w:p w14:paraId="2110D447">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五、验收：</w:t>
      </w:r>
    </w:p>
    <w:p w14:paraId="4F01333F">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六、付款方式：</w:t>
      </w:r>
    </w:p>
    <w:p w14:paraId="196212AD">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七、履约保证金退还：</w:t>
      </w:r>
    </w:p>
    <w:p w14:paraId="5C514BC1">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八、违约责任</w:t>
      </w:r>
    </w:p>
    <w:p w14:paraId="08134F0F">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1、买方无正当理由拒绝接受服务，买方向卖方偿付合同价的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w:t>
      </w:r>
      <w:r>
        <w:rPr>
          <w:rFonts w:hint="eastAsia" w:ascii="宋体" w:hAnsi="宋体" w:cs="宋体"/>
          <w:color w:val="auto"/>
          <w:szCs w:val="21"/>
          <w:highlight w:val="none"/>
        </w:rPr>
        <w:t>的违约金；</w:t>
      </w:r>
    </w:p>
    <w:p w14:paraId="6C6B86F3">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2、买方无正当理由逾期付款的，买方向卖方每日偿付合同价的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zCs w:val="21"/>
          <w:highlight w:val="none"/>
        </w:rPr>
        <w:t>‰的违约金；</w:t>
      </w:r>
    </w:p>
    <w:p w14:paraId="5F64C0B6">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3、卖方不能提供服务的，卖方向买方支付合同价的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41C90630">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4、卖方逾期提供服务的，卖方向买方每日偿付合同价的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14:paraId="0B01BB4E">
      <w:pPr>
        <w:spacing w:line="500" w:lineRule="exact"/>
        <w:ind w:left="-178" w:leftChars="-85" w:firstLine="583" w:firstLineChars="257"/>
        <w:rPr>
          <w:rFonts w:ascii="宋体" w:hAnsi="宋体" w:cs="宋体"/>
          <w:b/>
          <w:color w:val="auto"/>
          <w:spacing w:val="8"/>
          <w:szCs w:val="21"/>
          <w:highlight w:val="none"/>
        </w:rPr>
      </w:pPr>
      <w:r>
        <w:rPr>
          <w:rFonts w:hint="eastAsia" w:ascii="宋体" w:hAnsi="宋体" w:cs="宋体"/>
          <w:b/>
          <w:color w:val="auto"/>
          <w:spacing w:val="8"/>
          <w:szCs w:val="21"/>
          <w:highlight w:val="none"/>
        </w:rPr>
        <w:t>九、解决合同纠纷方式</w:t>
      </w:r>
    </w:p>
    <w:p w14:paraId="5B8254ED">
      <w:pPr>
        <w:tabs>
          <w:tab w:val="left" w:pos="3640"/>
        </w:tabs>
        <w:autoSpaceDE w:val="0"/>
        <w:autoSpaceDN w:val="0"/>
        <w:spacing w:line="500" w:lineRule="exact"/>
        <w:ind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本合同如发生纠纷，买卖双方应当及时协商解决，协商不成时，按以下第（</w:t>
      </w:r>
      <w:r>
        <w:rPr>
          <w:rFonts w:hint="eastAsia" w:ascii="宋体" w:hAnsi="宋体"/>
          <w:color w:val="auto"/>
          <w:spacing w:val="8"/>
          <w:szCs w:val="21"/>
          <w:highlight w:val="none"/>
        </w:rPr>
        <w:t>②</w:t>
      </w:r>
      <w:r>
        <w:rPr>
          <w:rFonts w:hint="eastAsia" w:ascii="宋体" w:hAnsi="宋体" w:cs="宋体"/>
          <w:color w:val="auto"/>
          <w:spacing w:val="8"/>
          <w:szCs w:val="21"/>
          <w:highlight w:val="none"/>
        </w:rPr>
        <w:t>）项方式处理：①根据《中华人民共和国仲裁法》的规定向 安庆仲裁委员会 申请仲裁。②向</w:t>
      </w:r>
      <w:r>
        <w:rPr>
          <w:rFonts w:hint="eastAsia" w:ascii="宋体" w:hAnsi="宋体" w:cs="宋体"/>
          <w:color w:val="auto"/>
          <w:spacing w:val="8"/>
          <w:szCs w:val="21"/>
          <w:highlight w:val="none"/>
          <w:u w:val="single"/>
          <w:lang w:val="en-US" w:eastAsia="zh-CN"/>
        </w:rPr>
        <w:t>合同履行地</w:t>
      </w:r>
      <w:r>
        <w:rPr>
          <w:rFonts w:hint="eastAsia" w:ascii="宋体" w:hAnsi="宋体" w:cs="宋体"/>
          <w:color w:val="auto"/>
          <w:spacing w:val="8"/>
          <w:szCs w:val="21"/>
          <w:highlight w:val="none"/>
        </w:rPr>
        <w:t>人民法院起诉。</w:t>
      </w:r>
    </w:p>
    <w:p w14:paraId="378363FE">
      <w:pPr>
        <w:spacing w:line="360" w:lineRule="auto"/>
        <w:ind w:left="-178" w:leftChars="-85" w:firstLine="583" w:firstLineChars="257"/>
        <w:rPr>
          <w:rFonts w:ascii="宋体" w:hAnsi="宋体"/>
          <w:b/>
          <w:color w:val="auto"/>
          <w:spacing w:val="8"/>
          <w:szCs w:val="21"/>
          <w:highlight w:val="none"/>
        </w:rPr>
      </w:pPr>
      <w:r>
        <w:rPr>
          <w:rFonts w:hint="eastAsia" w:ascii="宋体" w:hAnsi="宋体"/>
          <w:b/>
          <w:color w:val="auto"/>
          <w:spacing w:val="8"/>
          <w:szCs w:val="21"/>
          <w:highlight w:val="none"/>
        </w:rPr>
        <w:t>十、</w:t>
      </w:r>
      <w:r>
        <w:rPr>
          <w:rFonts w:hint="eastAsia" w:ascii="宋体" w:hAnsi="宋体" w:cs="宋体"/>
          <w:b/>
          <w:color w:val="auto"/>
          <w:szCs w:val="21"/>
          <w:highlight w:val="none"/>
        </w:rPr>
        <w:t>本合同组成及解释先后顺序：</w:t>
      </w:r>
    </w:p>
    <w:p w14:paraId="1BB033A4">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14:paraId="4684FCD5">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w:t>
      </w:r>
    </w:p>
    <w:p w14:paraId="0A87C93E">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3、本合同文本；</w:t>
      </w:r>
    </w:p>
    <w:p w14:paraId="531F8F7E">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4、成交人的</w:t>
      </w:r>
      <w:r>
        <w:rPr>
          <w:rFonts w:hint="eastAsia" w:ascii="宋体" w:hAnsi="宋体" w:cs="宋体"/>
          <w:color w:val="auto"/>
          <w:szCs w:val="21"/>
          <w:highlight w:val="none"/>
          <w:lang w:val="en-US" w:eastAsia="zh-CN"/>
        </w:rPr>
        <w:t>参选</w:t>
      </w:r>
      <w:r>
        <w:rPr>
          <w:rFonts w:hint="eastAsia" w:ascii="宋体" w:hAnsi="宋体" w:cs="宋体"/>
          <w:color w:val="auto"/>
          <w:szCs w:val="21"/>
          <w:highlight w:val="none"/>
        </w:rPr>
        <w:t>文件；　</w:t>
      </w:r>
    </w:p>
    <w:p w14:paraId="1FCD9A0A">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5、其他补充约定事项。</w:t>
      </w:r>
    </w:p>
    <w:p w14:paraId="231B2CF2">
      <w:pPr>
        <w:spacing w:line="360" w:lineRule="auto"/>
        <w:ind w:firstLine="413" w:firstLineChars="196"/>
        <w:rPr>
          <w:rFonts w:ascii="宋体" w:hAnsi="宋体"/>
          <w:b/>
          <w:color w:val="auto"/>
          <w:spacing w:val="8"/>
          <w:szCs w:val="21"/>
          <w:highlight w:val="none"/>
          <w:u w:val="single"/>
        </w:rPr>
      </w:pPr>
      <w:r>
        <w:rPr>
          <w:rFonts w:hint="eastAsia" w:ascii="宋体" w:hAnsi="宋体" w:cs="宋体"/>
          <w:b/>
          <w:color w:val="auto"/>
          <w:szCs w:val="21"/>
          <w:highlight w:val="none"/>
        </w:rPr>
        <w:t>十一、其他约定事项：</w:t>
      </w:r>
      <w:r>
        <w:rPr>
          <w:rFonts w:hint="eastAsia" w:ascii="宋体" w:hAnsi="宋体"/>
          <w:color w:val="auto"/>
          <w:spacing w:val="8"/>
          <w:szCs w:val="21"/>
          <w:highlight w:val="none"/>
          <w:u w:val="single"/>
        </w:rPr>
        <w:t xml:space="preserve"> 　　　　　　　　　　　  </w:t>
      </w:r>
      <w:r>
        <w:rPr>
          <w:rFonts w:hint="eastAsia" w:ascii="宋体" w:hAnsi="宋体"/>
          <w:b/>
          <w:color w:val="auto"/>
          <w:spacing w:val="8"/>
          <w:szCs w:val="21"/>
          <w:highlight w:val="none"/>
          <w:u w:val="single"/>
        </w:rPr>
        <w:t xml:space="preserve">                               </w:t>
      </w:r>
    </w:p>
    <w:p w14:paraId="719E7FDB">
      <w:pPr>
        <w:spacing w:line="360" w:lineRule="auto"/>
        <w:ind w:left="-178" w:leftChars="-85" w:firstLine="177" w:firstLineChars="78"/>
        <w:rPr>
          <w:rFonts w:ascii="宋体" w:hAnsi="宋体"/>
          <w:color w:val="auto"/>
          <w:spacing w:val="8"/>
          <w:szCs w:val="21"/>
          <w:highlight w:val="none"/>
          <w:u w:val="single"/>
        </w:rPr>
      </w:pPr>
      <w:r>
        <w:rPr>
          <w:rFonts w:hint="eastAsia" w:ascii="宋体" w:hAnsi="宋体"/>
          <w:b/>
          <w:color w:val="auto"/>
          <w:spacing w:val="8"/>
          <w:szCs w:val="21"/>
          <w:highlight w:val="none"/>
          <w:u w:val="single"/>
        </w:rPr>
        <w:t xml:space="preserve">                                                       </w:t>
      </w:r>
      <w:r>
        <w:rPr>
          <w:rFonts w:hint="eastAsia" w:ascii="宋体" w:hAnsi="宋体"/>
          <w:color w:val="auto"/>
          <w:spacing w:val="8"/>
          <w:szCs w:val="21"/>
          <w:highlight w:val="none"/>
          <w:u w:val="single"/>
        </w:rPr>
        <w:t xml:space="preserve">                    </w:t>
      </w:r>
    </w:p>
    <w:p w14:paraId="0A00FA19">
      <w:pPr>
        <w:spacing w:line="360" w:lineRule="auto"/>
        <w:ind w:left="-178" w:leftChars="-85" w:firstLine="176" w:firstLineChars="78"/>
        <w:rPr>
          <w:rFonts w:ascii="宋体" w:hAnsi="宋体"/>
          <w:color w:val="auto"/>
          <w:spacing w:val="8"/>
          <w:szCs w:val="21"/>
          <w:highlight w:val="none"/>
          <w:u w:val="single"/>
        </w:rPr>
      </w:pPr>
      <w:r>
        <w:rPr>
          <w:rFonts w:hint="eastAsia" w:ascii="宋体" w:hAnsi="宋体"/>
          <w:color w:val="auto"/>
          <w:spacing w:val="8"/>
          <w:szCs w:val="21"/>
          <w:highlight w:val="none"/>
          <w:u w:val="single"/>
        </w:rPr>
        <w:t xml:space="preserve">                                                                           </w:t>
      </w:r>
    </w:p>
    <w:p w14:paraId="3C52AD02">
      <w:pPr>
        <w:spacing w:line="360" w:lineRule="auto"/>
        <w:ind w:left="-178" w:leftChars="-85" w:firstLine="176" w:firstLineChars="78"/>
        <w:rPr>
          <w:rFonts w:ascii="宋体" w:hAnsi="宋体" w:cs="宋体"/>
          <w:color w:val="auto"/>
          <w:spacing w:val="8"/>
          <w:szCs w:val="21"/>
          <w:highlight w:val="none"/>
          <w:u w:val="single"/>
        </w:rPr>
      </w:pPr>
    </w:p>
    <w:p w14:paraId="4BB1D50F">
      <w:pPr>
        <w:tabs>
          <w:tab w:val="left" w:pos="3640"/>
        </w:tabs>
        <w:autoSpaceDE w:val="0"/>
        <w:autoSpaceDN w:val="0"/>
        <w:spacing w:line="360" w:lineRule="auto"/>
        <w:ind w:firstLine="420" w:firstLineChars="200"/>
        <w:rPr>
          <w:rFonts w:ascii="宋体" w:hAnsi="宋体" w:cs="宋体"/>
          <w:color w:val="auto"/>
          <w:szCs w:val="21"/>
          <w:highlight w:val="none"/>
        </w:rPr>
      </w:pPr>
    </w:p>
    <w:p w14:paraId="2AE1DF5A">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买  方                       卖   方                         </w:t>
      </w:r>
    </w:p>
    <w:p w14:paraId="4D7187A4">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采购人（盖章）：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成交人（盖章）：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B64F55">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法人代表：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76DB9A6">
      <w:pPr>
        <w:tabs>
          <w:tab w:val="left" w:pos="3640"/>
        </w:tabs>
        <w:autoSpaceDE w:val="0"/>
        <w:autoSpaceDN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8A1752F">
      <w:pPr>
        <w:tabs>
          <w:tab w:val="left" w:pos="3640"/>
        </w:tabs>
        <w:autoSpaceDE w:val="0"/>
        <w:autoSpaceDN w:val="0"/>
        <w:spacing w:line="48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3A7C0B5">
      <w:pPr>
        <w:tabs>
          <w:tab w:val="left" w:pos="3640"/>
        </w:tabs>
        <w:autoSpaceDE w:val="0"/>
        <w:autoSpaceDN w:val="0"/>
        <w:spacing w:line="480" w:lineRule="auto"/>
        <w:ind w:firstLine="420" w:firstLineChars="200"/>
        <w:rPr>
          <w:rFonts w:hint="eastAsia"/>
          <w:color w:val="auto"/>
          <w:highlight w:val="none"/>
        </w:rPr>
      </w:pPr>
      <w:r>
        <w:rPr>
          <w:rFonts w:hint="eastAsia" w:ascii="宋体" w:hAnsi="宋体" w:cs="宋体"/>
          <w:color w:val="auto"/>
          <w:szCs w:val="21"/>
          <w:highlight w:val="none"/>
        </w:rPr>
        <w:t xml:space="preserve">年   月    日                年   月    日                   </w:t>
      </w:r>
    </w:p>
    <w:p w14:paraId="5CE32E91">
      <w:pPr>
        <w:rPr>
          <w:rFonts w:hint="eastAsia" w:ascii="宋体" w:hAnsi="宋体" w:cs="宋体"/>
          <w:b/>
          <w:bCs/>
          <w:color w:val="auto"/>
          <w:szCs w:val="21"/>
          <w:highlight w:val="none"/>
        </w:rPr>
      </w:pPr>
    </w:p>
    <w:p w14:paraId="717B34DC">
      <w:pPr>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7DFC5FD3">
      <w:pPr>
        <w:rPr>
          <w:color w:val="auto"/>
          <w:highlight w:val="none"/>
        </w:rPr>
      </w:pPr>
      <w:r>
        <w:rPr>
          <w:rFonts w:hint="eastAsia" w:ascii="宋体" w:hAnsi="宋体" w:cs="宋体"/>
          <w:color w:val="auto"/>
          <w:szCs w:val="21"/>
          <w:highlight w:val="none"/>
        </w:rPr>
        <w:br w:type="page"/>
      </w:r>
    </w:p>
    <w:bookmarkEnd w:id="55"/>
    <w:p w14:paraId="38316775">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Start w:id="56" w:name="_Toc54884158"/>
      <w:r>
        <w:rPr>
          <w:rFonts w:hint="eastAsia" w:ascii="Arial" w:hAnsi="Arial"/>
          <w:color w:val="auto"/>
          <w:kern w:val="2"/>
          <w:sz w:val="32"/>
          <w:szCs w:val="32"/>
          <w:highlight w:val="none"/>
        </w:rPr>
        <w:t>参选文件格式</w:t>
      </w:r>
      <w:bookmarkEnd w:id="56"/>
    </w:p>
    <w:p w14:paraId="49945C73">
      <w:pPr>
        <w:spacing w:line="360" w:lineRule="auto"/>
        <w:jc w:val="center"/>
        <w:rPr>
          <w:rFonts w:ascii="仿宋" w:hAnsi="仿宋" w:eastAsia="仿宋"/>
          <w:b/>
          <w:color w:val="auto"/>
          <w:spacing w:val="20"/>
          <w:sz w:val="36"/>
          <w:szCs w:val="36"/>
          <w:highlight w:val="none"/>
          <w:u w:val="single"/>
        </w:rPr>
      </w:pPr>
    </w:p>
    <w:p w14:paraId="0A6D3AD2">
      <w:pPr>
        <w:spacing w:line="360" w:lineRule="auto"/>
        <w:jc w:val="center"/>
        <w:rPr>
          <w:rFonts w:hint="eastAsia" w:ascii="仿宋" w:hAnsi="仿宋" w:eastAsia="仿宋"/>
          <w:b/>
          <w:color w:val="auto"/>
          <w:spacing w:val="20"/>
          <w:sz w:val="36"/>
          <w:szCs w:val="36"/>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79C70CF1">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38"/>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38"/>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0A901EA9">
      <w:pPr>
        <w:widowControl/>
        <w:jc w:val="left"/>
        <w:rPr>
          <w:rFonts w:ascii="宋体" w:hAnsi="宋体" w:eastAsia="宋体" w:cs="Times New Roman"/>
          <w:b/>
          <w:color w:val="auto"/>
          <w:sz w:val="30"/>
          <w:szCs w:val="30"/>
          <w:highlight w:val="none"/>
        </w:rPr>
      </w:pPr>
    </w:p>
    <w:p w14:paraId="163D6CE9">
      <w:pPr>
        <w:widowControl/>
        <w:jc w:val="left"/>
        <w:rPr>
          <w:rFonts w:ascii="宋体" w:hAnsi="宋体"/>
          <w:b/>
          <w:color w:val="auto"/>
          <w:sz w:val="30"/>
          <w:szCs w:val="30"/>
          <w:highlight w:val="none"/>
        </w:rPr>
      </w:pPr>
      <w:r>
        <w:rPr>
          <w:rFonts w:ascii="宋体" w:hAnsi="宋体"/>
          <w:b/>
          <w:color w:val="auto"/>
          <w:sz w:val="30"/>
          <w:szCs w:val="30"/>
          <w:highlight w:val="none"/>
        </w:rPr>
        <w:br w:type="page"/>
      </w:r>
    </w:p>
    <w:p w14:paraId="7C8BCE3F">
      <w:pPr>
        <w:jc w:val="center"/>
        <w:rPr>
          <w:b/>
          <w:color w:val="auto"/>
          <w:sz w:val="30"/>
          <w:szCs w:val="30"/>
          <w:highlight w:val="none"/>
        </w:rPr>
      </w:pPr>
      <w:r>
        <w:rPr>
          <w:rFonts w:hint="eastAsia"/>
          <w:b/>
          <w:color w:val="auto"/>
          <w:sz w:val="30"/>
          <w:szCs w:val="30"/>
          <w:highlight w:val="none"/>
        </w:rPr>
        <w:t>目 录</w:t>
      </w:r>
    </w:p>
    <w:p w14:paraId="031BCFB3">
      <w:pPr>
        <w:numPr>
          <w:ilvl w:val="0"/>
          <w:numId w:val="5"/>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参选函</w:t>
      </w:r>
    </w:p>
    <w:p w14:paraId="43E83ED9">
      <w:pPr>
        <w:numPr>
          <w:ilvl w:val="0"/>
          <w:numId w:val="5"/>
        </w:numPr>
        <w:spacing w:line="480" w:lineRule="auto"/>
        <w:ind w:firstLine="480" w:firstLineChars="200"/>
        <w:rPr>
          <w:rFonts w:ascii="宋体" w:cs="宋体"/>
          <w:color w:val="auto"/>
          <w:sz w:val="24"/>
          <w:highlight w:val="none"/>
        </w:rPr>
      </w:pPr>
      <w:r>
        <w:rPr>
          <w:rFonts w:hint="eastAsia" w:ascii="宋体" w:hAnsi="宋体"/>
          <w:color w:val="auto"/>
          <w:sz w:val="24"/>
          <w:highlight w:val="none"/>
          <w:lang w:val="en-US" w:eastAsia="zh-CN"/>
        </w:rPr>
        <w:t>报价表</w:t>
      </w:r>
    </w:p>
    <w:p w14:paraId="1042D471">
      <w:pPr>
        <w:numPr>
          <w:ilvl w:val="0"/>
          <w:numId w:val="5"/>
        </w:numPr>
        <w:spacing w:line="480" w:lineRule="auto"/>
        <w:ind w:firstLine="480" w:firstLineChars="200"/>
        <w:rPr>
          <w:rFonts w:ascii="宋体" w:cs="宋体"/>
          <w:color w:val="auto"/>
          <w:sz w:val="24"/>
          <w:highlight w:val="none"/>
        </w:rPr>
      </w:pPr>
      <w:r>
        <w:rPr>
          <w:rFonts w:hint="eastAsia" w:ascii="宋体" w:cs="宋体"/>
          <w:color w:val="auto"/>
          <w:sz w:val="24"/>
          <w:highlight w:val="none"/>
        </w:rPr>
        <w:t>服务及技术方案</w:t>
      </w:r>
    </w:p>
    <w:p w14:paraId="2BC89470">
      <w:pPr>
        <w:numPr>
          <w:ilvl w:val="0"/>
          <w:numId w:val="5"/>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诚信投标承诺书</w:t>
      </w:r>
    </w:p>
    <w:p w14:paraId="7FCFC670">
      <w:pPr>
        <w:numPr>
          <w:ilvl w:val="0"/>
          <w:numId w:val="5"/>
        </w:numPr>
        <w:spacing w:line="480" w:lineRule="auto"/>
        <w:ind w:firstLine="480" w:firstLineChars="200"/>
        <w:rPr>
          <w:rFonts w:ascii="宋体" w:cs="宋体"/>
          <w:color w:val="auto"/>
          <w:sz w:val="24"/>
          <w:highlight w:val="none"/>
        </w:rPr>
      </w:pPr>
      <w:r>
        <w:rPr>
          <w:rFonts w:hint="eastAsia" w:ascii="宋体" w:cs="宋体"/>
          <w:color w:val="auto"/>
          <w:sz w:val="24"/>
          <w:highlight w:val="none"/>
          <w:lang w:val="en-US" w:eastAsia="zh-CN"/>
        </w:rPr>
        <w:t>相关证明文件</w:t>
      </w:r>
    </w:p>
    <w:p w14:paraId="64959129">
      <w:pPr>
        <w:widowControl/>
        <w:jc w:val="left"/>
        <w:rPr>
          <w:rFonts w:ascii="宋体" w:hAnsi="宋体"/>
          <w:color w:val="auto"/>
          <w:sz w:val="24"/>
          <w:highlight w:val="none"/>
        </w:rPr>
      </w:pPr>
      <w:r>
        <w:rPr>
          <w:rFonts w:ascii="宋体" w:hAnsi="宋体"/>
          <w:color w:val="auto"/>
          <w:sz w:val="24"/>
          <w:highlight w:val="none"/>
        </w:rPr>
        <w:br w:type="page"/>
      </w:r>
    </w:p>
    <w:p w14:paraId="3D1126FD">
      <w:pPr>
        <w:keepNext/>
        <w:keepLines/>
        <w:widowControl w:val="0"/>
        <w:shd w:val="clear" w:color="auto" w:fill="FFFFFF"/>
        <w:wordWrap w:val="0"/>
        <w:spacing w:line="360" w:lineRule="exact"/>
        <w:jc w:val="center"/>
        <w:outlineLvl w:val="2"/>
        <w:rPr>
          <w:rFonts w:hint="default" w:ascii="宋体" w:hAnsi="Times New Roman" w:eastAsia="宋体" w:cs="Times New Roman"/>
          <w:b/>
          <w:color w:val="auto"/>
          <w:kern w:val="0"/>
          <w:sz w:val="32"/>
          <w:szCs w:val="32"/>
          <w:highlight w:val="none"/>
          <w:lang w:val="en-US" w:eastAsia="zh-CN" w:bidi="ar-SA"/>
        </w:rPr>
      </w:pPr>
      <w:bookmarkStart w:id="57" w:name="_Toc7462"/>
      <w:bookmarkStart w:id="58" w:name="_Toc54941342"/>
      <w:bookmarkStart w:id="59" w:name="_Toc476584433"/>
      <w:bookmarkStart w:id="60" w:name="_Toc4481605"/>
      <w:bookmarkStart w:id="61" w:name="_Toc25547"/>
      <w:r>
        <w:rPr>
          <w:rFonts w:hint="eastAsia" w:ascii="宋体" w:hAnsi="Times New Roman" w:eastAsia="宋体" w:cs="Times New Roman"/>
          <w:b/>
          <w:color w:val="auto"/>
          <w:kern w:val="0"/>
          <w:sz w:val="32"/>
          <w:szCs w:val="32"/>
          <w:highlight w:val="none"/>
          <w:lang w:val="en-US" w:eastAsia="zh-CN" w:bidi="ar-SA"/>
        </w:rPr>
        <w:t>一、</w:t>
      </w:r>
      <w:bookmarkEnd w:id="57"/>
      <w:bookmarkEnd w:id="58"/>
      <w:bookmarkEnd w:id="59"/>
      <w:r>
        <w:rPr>
          <w:rFonts w:hint="eastAsia" w:ascii="宋体" w:cs="Times New Roman"/>
          <w:b/>
          <w:color w:val="auto"/>
          <w:kern w:val="0"/>
          <w:sz w:val="32"/>
          <w:szCs w:val="32"/>
          <w:highlight w:val="none"/>
          <w:lang w:val="en-US" w:eastAsia="zh-CN" w:bidi="ar-SA"/>
        </w:rPr>
        <w:t>参选函</w:t>
      </w:r>
    </w:p>
    <w:p w14:paraId="0CA876F0">
      <w:pPr>
        <w:tabs>
          <w:tab w:val="left" w:pos="5580"/>
        </w:tabs>
        <w:spacing w:before="120" w:line="360" w:lineRule="auto"/>
        <w:rPr>
          <w:rFonts w:hint="eastAsia" w:ascii="宋体" w:hAnsi="宋体" w:eastAsia="宋体" w:cs="Times New Roman"/>
          <w:color w:val="auto"/>
          <w:szCs w:val="21"/>
          <w:highlight w:val="none"/>
        </w:rPr>
      </w:pPr>
    </w:p>
    <w:p w14:paraId="3D6049F6">
      <w:pPr>
        <w:tabs>
          <w:tab w:val="left" w:pos="5580"/>
        </w:tabs>
        <w:spacing w:before="120" w:line="360"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hint="eastAsia" w:ascii="宋体" w:hAnsi="宋体" w:eastAsia="宋体" w:cs="Times New Roman"/>
          <w:color w:val="auto"/>
          <w:szCs w:val="21"/>
          <w:highlight w:val="none"/>
          <w:u w:val="single"/>
        </w:rPr>
        <w:t xml:space="preserve">       （采购人名称）</w:t>
      </w:r>
    </w:p>
    <w:p w14:paraId="11AB95C3">
      <w:pPr>
        <w:widowControl w:val="0"/>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1、根据贵方比选公告，我方决定参加贵方组织的</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lang w:val="en-US" w:eastAsia="zh-CN"/>
        </w:rPr>
        <w:t>皖河新港一期综合办公楼企业文化设计及施工方案项目</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21396A45">
      <w:pPr>
        <w:widowControl w:val="0"/>
        <w:tabs>
          <w:tab w:val="left" w:pos="5580"/>
        </w:tabs>
        <w:spacing w:line="360" w:lineRule="auto"/>
        <w:ind w:firstLine="420" w:firstLineChars="200"/>
        <w:jc w:val="both"/>
        <w:rPr>
          <w:rFonts w:hint="eastAsia"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2、我方愿意按照</w:t>
      </w:r>
      <w:r>
        <w:rPr>
          <w:rFonts w:hint="eastAsia" w:ascii="宋体" w:hAnsi="宋体" w:cs="Courier New"/>
          <w:color w:val="auto"/>
          <w:kern w:val="2"/>
          <w:sz w:val="21"/>
          <w:szCs w:val="21"/>
          <w:highlight w:val="none"/>
          <w:lang w:val="en-US" w:eastAsia="zh-CN" w:bidi="ar-SA"/>
        </w:rPr>
        <w:t>比选</w:t>
      </w:r>
      <w:r>
        <w:rPr>
          <w:rFonts w:hint="eastAsia" w:ascii="宋体" w:hAnsi="宋体" w:eastAsia="宋体" w:cs="Courier New"/>
          <w:color w:val="auto"/>
          <w:kern w:val="2"/>
          <w:sz w:val="21"/>
          <w:szCs w:val="21"/>
          <w:highlight w:val="none"/>
          <w:lang w:val="en-US" w:eastAsia="zh-CN" w:bidi="ar-SA"/>
        </w:rPr>
        <w:t>文件规定的各项要求，向</w:t>
      </w:r>
      <w:r>
        <w:rPr>
          <w:rFonts w:hint="eastAsia" w:ascii="宋体" w:hAnsi="宋体" w:cs="Courier New"/>
          <w:color w:val="auto"/>
          <w:kern w:val="2"/>
          <w:sz w:val="21"/>
          <w:szCs w:val="21"/>
          <w:highlight w:val="none"/>
          <w:lang w:val="en-US" w:eastAsia="zh-CN" w:bidi="ar-SA"/>
        </w:rPr>
        <w:t>采购</w:t>
      </w:r>
      <w:r>
        <w:rPr>
          <w:rFonts w:hint="eastAsia" w:ascii="宋体" w:hAnsi="宋体" w:eastAsia="宋体" w:cs="Courier New"/>
          <w:color w:val="auto"/>
          <w:kern w:val="2"/>
          <w:sz w:val="21"/>
          <w:szCs w:val="21"/>
          <w:highlight w:val="none"/>
          <w:lang w:val="en-US" w:eastAsia="zh-CN" w:bidi="ar-SA"/>
        </w:rPr>
        <w:t>人提供所需的服务，</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398312CD">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3、一旦我方成交，我方将严格履行合同规定的责任和义务，保证该项目服务期为</w:t>
      </w:r>
      <w:r>
        <w:rPr>
          <w:rFonts w:hint="eastAsia" w:ascii="宋体" w:hAnsi="宋体" w:eastAsia="宋体" w:cs="Courier New"/>
          <w:color w:val="auto"/>
          <w:kern w:val="2"/>
          <w:sz w:val="21"/>
          <w:szCs w:val="21"/>
          <w:highlight w:val="none"/>
          <w:u w:val="single"/>
          <w:lang w:val="en-US" w:eastAsia="zh-CN" w:bidi="ar-SA"/>
        </w:rPr>
        <w:t xml:space="preserve">            </w:t>
      </w:r>
    </w:p>
    <w:p w14:paraId="7400FF8A">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5DA58FAB">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23C0D05E">
      <w:pPr>
        <w:widowControl w:val="0"/>
        <w:tabs>
          <w:tab w:val="left" w:pos="5580"/>
        </w:tabs>
        <w:spacing w:line="360" w:lineRule="auto"/>
        <w:ind w:firstLine="420" w:firstLineChars="199"/>
        <w:jc w:val="both"/>
        <w:rPr>
          <w:rFonts w:ascii="宋体" w:hAnsi="宋体" w:eastAsia="宋体" w:cs="Courier New"/>
          <w:b/>
          <w:bCs/>
          <w:color w:val="auto"/>
          <w:kern w:val="2"/>
          <w:sz w:val="21"/>
          <w:szCs w:val="21"/>
          <w:highlight w:val="none"/>
          <w:lang w:val="en-US" w:eastAsia="zh-CN" w:bidi="ar-SA"/>
        </w:rPr>
      </w:pPr>
      <w:r>
        <w:rPr>
          <w:rFonts w:hint="eastAsia" w:ascii="宋体" w:hAnsi="宋体" w:cs="Courier New"/>
          <w:b/>
          <w:bCs/>
          <w:color w:val="auto"/>
          <w:kern w:val="2"/>
          <w:sz w:val="21"/>
          <w:szCs w:val="21"/>
          <w:highlight w:val="none"/>
          <w:lang w:val="en-US" w:eastAsia="zh-CN" w:bidi="ar-SA"/>
        </w:rPr>
        <w:t>6</w:t>
      </w:r>
      <w:r>
        <w:rPr>
          <w:rFonts w:hint="eastAsia" w:ascii="宋体" w:hAnsi="宋体" w:eastAsia="宋体" w:cs="Courier New"/>
          <w:b/>
          <w:bCs/>
          <w:color w:val="auto"/>
          <w:kern w:val="2"/>
          <w:sz w:val="21"/>
          <w:szCs w:val="21"/>
          <w:highlight w:val="none"/>
          <w:lang w:val="en-US" w:eastAsia="zh-CN" w:bidi="ar-SA"/>
        </w:rPr>
        <w:t>、我方承诺</w:t>
      </w:r>
      <w:r>
        <w:rPr>
          <w:rFonts w:hint="eastAsia" w:ascii="宋体" w:hAnsi="宋体" w:cs="Courier New"/>
          <w:b/>
          <w:bCs/>
          <w:color w:val="auto"/>
          <w:kern w:val="2"/>
          <w:sz w:val="21"/>
          <w:szCs w:val="21"/>
          <w:highlight w:val="none"/>
          <w:lang w:val="en-US" w:eastAsia="zh-CN" w:bidi="ar-SA"/>
        </w:rPr>
        <w:t>成交</w:t>
      </w:r>
      <w:r>
        <w:rPr>
          <w:rFonts w:hint="eastAsia" w:ascii="宋体" w:hAnsi="宋体" w:eastAsia="宋体" w:cs="Courier New"/>
          <w:b/>
          <w:bCs/>
          <w:color w:val="auto"/>
          <w:kern w:val="2"/>
          <w:sz w:val="21"/>
          <w:szCs w:val="21"/>
          <w:highlight w:val="none"/>
          <w:lang w:val="en-US" w:eastAsia="zh-CN" w:bidi="ar-SA"/>
        </w:rPr>
        <w:t>后提供的服务完全响应本项目需求，否则将接受采购人取消</w:t>
      </w:r>
      <w:r>
        <w:rPr>
          <w:rFonts w:hint="eastAsia" w:ascii="宋体" w:hAnsi="宋体" w:cs="Courier New"/>
          <w:b/>
          <w:bCs/>
          <w:color w:val="auto"/>
          <w:kern w:val="2"/>
          <w:sz w:val="21"/>
          <w:szCs w:val="21"/>
          <w:highlight w:val="none"/>
          <w:lang w:val="en-US" w:eastAsia="zh-CN" w:bidi="ar-SA"/>
        </w:rPr>
        <w:t>成交</w:t>
      </w:r>
      <w:r>
        <w:rPr>
          <w:rFonts w:hint="eastAsia" w:ascii="宋体" w:hAnsi="宋体" w:eastAsia="宋体" w:cs="Courier New"/>
          <w:b/>
          <w:bCs/>
          <w:color w:val="auto"/>
          <w:kern w:val="2"/>
          <w:sz w:val="21"/>
          <w:szCs w:val="21"/>
          <w:highlight w:val="none"/>
          <w:lang w:val="en-US" w:eastAsia="zh-CN" w:bidi="ar-SA"/>
        </w:rPr>
        <w:t>资格等一切处罚。</w:t>
      </w:r>
    </w:p>
    <w:p w14:paraId="5CBBEF21">
      <w:pPr>
        <w:widowControl w:val="0"/>
        <w:tabs>
          <w:tab w:val="left" w:pos="5580"/>
        </w:tabs>
        <w:spacing w:line="360" w:lineRule="auto"/>
        <w:ind w:firstLine="417" w:firstLineChars="199"/>
        <w:jc w:val="both"/>
        <w:rPr>
          <w:rFonts w:hint="default" w:ascii="宋体" w:hAnsi="宋体" w:eastAsia="宋体" w:cs="Courier New"/>
          <w:color w:val="auto"/>
          <w:kern w:val="2"/>
          <w:sz w:val="21"/>
          <w:szCs w:val="21"/>
          <w:highlight w:val="none"/>
          <w:lang w:val="en-US" w:eastAsia="zh-CN" w:bidi="ar-SA"/>
        </w:rPr>
      </w:pPr>
    </w:p>
    <w:p w14:paraId="556D9A28">
      <w:pPr>
        <w:widowControl w:val="0"/>
        <w:tabs>
          <w:tab w:val="left" w:pos="5580"/>
        </w:tabs>
        <w:spacing w:line="360" w:lineRule="auto"/>
        <w:ind w:firstLine="420" w:firstLineChars="199"/>
        <w:jc w:val="both"/>
        <w:rPr>
          <w:rFonts w:ascii="宋体" w:hAnsi="宋体" w:eastAsia="宋体" w:cs="Courier New"/>
          <w:b/>
          <w:bCs/>
          <w:color w:val="auto"/>
          <w:kern w:val="2"/>
          <w:sz w:val="21"/>
          <w:szCs w:val="21"/>
          <w:highlight w:val="none"/>
          <w:lang w:val="en-US" w:eastAsia="zh-CN" w:bidi="ar-SA"/>
        </w:rPr>
      </w:pPr>
    </w:p>
    <w:p w14:paraId="10379840">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p>
    <w:p w14:paraId="7724EA7D">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51AD609A">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52AB7E5F">
      <w:pPr>
        <w:widowControl w:val="0"/>
        <w:tabs>
          <w:tab w:val="left" w:pos="5580"/>
        </w:tabs>
        <w:spacing w:line="360" w:lineRule="auto"/>
        <w:ind w:right="360" w:firstLine="3570" w:firstLineChars="1700"/>
        <w:jc w:val="both"/>
        <w:rPr>
          <w:rFonts w:ascii="宋体" w:hAnsi="宋体" w:eastAsia="宋体" w:cs="Courier New"/>
          <w:color w:val="auto"/>
          <w:kern w:val="2"/>
          <w:sz w:val="21"/>
          <w:szCs w:val="21"/>
          <w:highlight w:val="none"/>
          <w:lang w:val="en-US" w:eastAsia="zh-CN" w:bidi="ar-SA"/>
        </w:rPr>
      </w:pPr>
    </w:p>
    <w:p w14:paraId="1E0355FE">
      <w:pPr>
        <w:widowControl w:val="0"/>
        <w:tabs>
          <w:tab w:val="left" w:pos="5580"/>
        </w:tabs>
        <w:spacing w:line="480" w:lineRule="auto"/>
        <w:ind w:right="360" w:firstLine="3570" w:firstLineChars="1700"/>
        <w:jc w:val="both"/>
        <w:rPr>
          <w:rFonts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参选人：</w:t>
      </w:r>
      <w:r>
        <w:rPr>
          <w:rFonts w:hint="eastAsia" w:ascii="宋体" w:hAnsi="宋体" w:eastAsia="宋体" w:cs="Courier New"/>
          <w:color w:val="auto"/>
          <w:kern w:val="2"/>
          <w:sz w:val="21"/>
          <w:szCs w:val="21"/>
          <w:highlight w:val="none"/>
          <w:u w:val="single"/>
          <w:lang w:val="en-US" w:eastAsia="zh-CN" w:bidi="ar-SA"/>
        </w:rPr>
        <w:t xml:space="preserve">                           （盖章） </w:t>
      </w:r>
    </w:p>
    <w:p w14:paraId="2319E3F6">
      <w:pPr>
        <w:widowControl w:val="0"/>
        <w:tabs>
          <w:tab w:val="left" w:pos="5580"/>
        </w:tabs>
        <w:spacing w:line="480" w:lineRule="auto"/>
        <w:ind w:firstLine="420" w:firstLineChars="200"/>
        <w:jc w:val="both"/>
        <w:rPr>
          <w:rFonts w:hint="eastAsia" w:ascii="宋体" w:hAnsi="宋体" w:eastAsia="宋体" w:cs="Courier New"/>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 xml:space="preserve">                              单位地址：</w:t>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ab/>
      </w:r>
      <w:r>
        <w:rPr>
          <w:rFonts w:hint="eastAsia" w:ascii="宋体" w:hAnsi="宋体" w:eastAsia="宋体" w:cs="Courier New"/>
          <w:color w:val="auto"/>
          <w:kern w:val="2"/>
          <w:sz w:val="21"/>
          <w:szCs w:val="21"/>
          <w:highlight w:val="none"/>
          <w:u w:val="single"/>
          <w:lang w:val="en-US" w:eastAsia="zh-CN" w:bidi="ar-SA"/>
        </w:rPr>
        <w:t xml:space="preserve">    </w:t>
      </w:r>
    </w:p>
    <w:p w14:paraId="7293A089">
      <w:pPr>
        <w:widowControl w:val="0"/>
        <w:tabs>
          <w:tab w:val="left" w:pos="5580"/>
        </w:tabs>
        <w:spacing w:line="480" w:lineRule="auto"/>
        <w:ind w:firstLine="3570" w:firstLineChars="1700"/>
        <w:jc w:val="both"/>
        <w:rPr>
          <w:rFonts w:ascii="宋体" w:hAnsi="宋体" w:eastAsia="宋体" w:cs="Courier New"/>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法定代表人或委托代理人：</w:t>
      </w:r>
      <w:r>
        <w:rPr>
          <w:rFonts w:hint="eastAsia" w:ascii="宋体" w:hAnsi="宋体" w:eastAsia="宋体" w:cs="宋体"/>
          <w:color w:val="auto"/>
          <w:kern w:val="2"/>
          <w:sz w:val="21"/>
          <w:szCs w:val="21"/>
          <w:highlight w:val="none"/>
          <w:u w:val="single"/>
          <w:lang w:val="en-US" w:eastAsia="zh-CN" w:bidi="ar-SA"/>
        </w:rPr>
        <w:t xml:space="preserve">   （签字或盖章）</w:t>
      </w:r>
    </w:p>
    <w:p w14:paraId="2163CC1A">
      <w:pPr>
        <w:pStyle w:val="36"/>
        <w:ind w:left="0" w:leftChars="0" w:firstLine="0" w:firstLineChars="0"/>
        <w:rPr>
          <w:color w:val="auto"/>
          <w:highlight w:val="none"/>
        </w:rPr>
      </w:pPr>
      <w:bookmarkStart w:id="62" w:name="_Toc388283751"/>
    </w:p>
    <w:p w14:paraId="52EA80D8">
      <w:pPr>
        <w:pStyle w:val="36"/>
        <w:ind w:left="0" w:leftChars="0" w:firstLine="0" w:firstLineChars="0"/>
        <w:rPr>
          <w:color w:val="auto"/>
          <w:highlight w:val="none"/>
        </w:rPr>
      </w:pPr>
    </w:p>
    <w:p w14:paraId="1B35E68B">
      <w:pPr>
        <w:pStyle w:val="36"/>
        <w:ind w:left="0" w:leftChars="0" w:firstLine="0" w:firstLineChars="0"/>
        <w:rPr>
          <w:color w:val="auto"/>
          <w:highlight w:val="none"/>
        </w:rPr>
      </w:pPr>
    </w:p>
    <w:bookmarkEnd w:id="62"/>
    <w:p w14:paraId="4E0D8EE0">
      <w:pPr>
        <w:pStyle w:val="3"/>
        <w:numPr>
          <w:ilvl w:val="0"/>
          <w:numId w:val="0"/>
        </w:numPr>
        <w:jc w:val="center"/>
        <w:rPr>
          <w:rFonts w:hint="eastAsia" w:eastAsia="宋体"/>
          <w:color w:val="auto"/>
          <w:highlight w:val="none"/>
          <w:lang w:val="en-US" w:eastAsia="zh-CN"/>
        </w:rPr>
      </w:pPr>
      <w:bookmarkStart w:id="63" w:name="_Toc25208"/>
      <w:r>
        <w:rPr>
          <w:rFonts w:hint="eastAsia" w:eastAsia="宋体"/>
          <w:color w:val="auto"/>
          <w:highlight w:val="none"/>
          <w:lang w:val="en-US" w:eastAsia="zh-CN"/>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7875"/>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w:t>
      </w:r>
      <w:r>
        <w:rPr>
          <w:rFonts w:hint="eastAsia" w:ascii="宋体" w:hAnsi="宋体" w:cs="Times New Roman"/>
          <w:b/>
          <w:color w:val="auto"/>
          <w:sz w:val="21"/>
          <w:szCs w:val="21"/>
          <w:highlight w:val="none"/>
          <w:lang w:val="en-US" w:eastAsia="zh-CN"/>
        </w:rPr>
        <w:t>参选</w:t>
      </w:r>
      <w:r>
        <w:rPr>
          <w:rFonts w:hint="eastAsia" w:ascii="宋体" w:hAnsi="宋体" w:cs="Times New Roman"/>
          <w:b/>
          <w:color w:val="auto"/>
          <w:sz w:val="21"/>
          <w:szCs w:val="21"/>
          <w:highlight w:val="none"/>
        </w:rPr>
        <w:t>人公章）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ascii="宋体" w:hAnsi="宋体" w:eastAsia="宋体" w:cs="Times New Roman"/>
          <w:color w:val="auto"/>
          <w:szCs w:val="21"/>
          <w:highlight w:val="none"/>
          <w:lang w:val="en-US" w:eastAsia="zh-CN"/>
        </w:rPr>
        <w:t>参选</w:t>
      </w:r>
      <w:r>
        <w:rPr>
          <w:rFonts w:hint="eastAsia" w:ascii="宋体" w:hAnsi="宋体" w:eastAsia="宋体" w:cs="Times New Roman"/>
          <w:color w:val="auto"/>
          <w:szCs w:val="21"/>
          <w:highlight w:val="none"/>
        </w:rPr>
        <w:t>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63"/>
    <w:p w14:paraId="42E33BEF">
      <w:pPr>
        <w:widowControl/>
        <w:jc w:val="left"/>
        <w:rPr>
          <w:rFonts w:hint="default" w:ascii="Times New Roman" w:hAnsi="Times New Roman" w:eastAsia="宋体" w:cs="Times New Roman"/>
          <w:b/>
          <w:bCs/>
          <w:color w:val="auto"/>
          <w:szCs w:val="21"/>
          <w:highlight w:val="none"/>
          <w:lang w:val="en-US" w:eastAsia="zh-CN"/>
        </w:rPr>
      </w:pPr>
    </w:p>
    <w:p w14:paraId="3C7AC213">
      <w:pPr>
        <w:widowControl/>
        <w:jc w:val="left"/>
        <w:rPr>
          <w:rFonts w:hint="eastAsia"/>
          <w:color w:val="auto"/>
          <w:highlight w:val="none"/>
        </w:rPr>
      </w:pPr>
      <w:r>
        <w:rPr>
          <w:rFonts w:ascii="Times New Roman" w:hAnsi="Times New Roman" w:eastAsia="宋体" w:cs="Times New Roman"/>
          <w:color w:val="auto"/>
          <w:szCs w:val="21"/>
          <w:highlight w:val="none"/>
        </w:rPr>
        <w:br w:type="page"/>
      </w:r>
    </w:p>
    <w:bookmarkEnd w:id="60"/>
    <w:bookmarkEnd w:id="61"/>
    <w:p w14:paraId="1A940521">
      <w:pPr>
        <w:pStyle w:val="3"/>
        <w:numPr>
          <w:ilvl w:val="0"/>
          <w:numId w:val="0"/>
        </w:numPr>
        <w:jc w:val="center"/>
        <w:rPr>
          <w:rFonts w:hint="eastAsia" w:eastAsia="宋体"/>
          <w:color w:val="auto"/>
          <w:highlight w:val="none"/>
          <w:lang w:val="en-US" w:eastAsia="zh-CN"/>
        </w:rPr>
      </w:pPr>
      <w:bookmarkStart w:id="64" w:name="_Toc22272"/>
      <w:bookmarkStart w:id="65" w:name="_Toc4481606"/>
      <w:r>
        <w:rPr>
          <w:rFonts w:hint="eastAsia" w:eastAsia="宋体"/>
          <w:color w:val="auto"/>
          <w:highlight w:val="none"/>
          <w:lang w:val="en-US" w:eastAsia="zh-CN"/>
        </w:rPr>
        <w:t>三、服务及技术方案</w:t>
      </w:r>
    </w:p>
    <w:p w14:paraId="7DB87C9B">
      <w:pPr>
        <w:numPr>
          <w:ilvl w:val="0"/>
          <w:numId w:val="0"/>
        </w:numPr>
        <w:ind w:leftChars="0"/>
        <w:rPr>
          <w:rFonts w:hint="default"/>
          <w:color w:val="auto"/>
          <w:szCs w:val="20"/>
          <w:highlight w:val="none"/>
          <w:lang w:val="en-US" w:eastAsia="zh-CN"/>
        </w:rPr>
      </w:pPr>
    </w:p>
    <w:p w14:paraId="0C2F6D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参选人</w:t>
      </w:r>
      <w:r>
        <w:rPr>
          <w:rFonts w:hint="eastAsia" w:ascii="宋体" w:hAnsi="宋体" w:cs="宋体"/>
          <w:color w:val="auto"/>
          <w:szCs w:val="21"/>
          <w:highlight w:val="none"/>
        </w:rPr>
        <w:t>依据第三章“</w:t>
      </w:r>
      <w:r>
        <w:rPr>
          <w:rFonts w:hint="eastAsia" w:ascii="宋体" w:hAnsi="宋体" w:cs="宋体"/>
          <w:color w:val="auto"/>
          <w:szCs w:val="21"/>
          <w:highlight w:val="none"/>
          <w:lang w:val="en-US" w:eastAsia="zh-CN"/>
        </w:rPr>
        <w:t>服务需求及技术要求</w:t>
      </w:r>
      <w:r>
        <w:rPr>
          <w:rFonts w:hint="eastAsia" w:ascii="宋体" w:hAnsi="宋体" w:cs="宋体"/>
          <w:color w:val="auto"/>
          <w:szCs w:val="21"/>
          <w:highlight w:val="none"/>
        </w:rPr>
        <w:t>”自行提供。</w:t>
      </w:r>
    </w:p>
    <w:p w14:paraId="5F16FD72">
      <w:pPr>
        <w:rPr>
          <w:rFonts w:hint="eastAsia"/>
          <w:color w:val="auto"/>
          <w:highlight w:val="none"/>
        </w:rPr>
      </w:pPr>
      <w:r>
        <w:rPr>
          <w:rFonts w:hint="eastAsia"/>
          <w:color w:val="auto"/>
          <w:highlight w:val="none"/>
        </w:rPr>
        <w:br w:type="page"/>
      </w:r>
    </w:p>
    <w:p w14:paraId="38D87B5F">
      <w:pPr>
        <w:keepNext/>
        <w:keepLines/>
        <w:widowControl w:val="0"/>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lang w:val="en-US" w:eastAsia="zh-CN" w:bidi="ar-SA"/>
        </w:rPr>
      </w:pPr>
      <w:bookmarkStart w:id="66" w:name="_Toc26931"/>
      <w:r>
        <w:rPr>
          <w:rFonts w:hint="eastAsia" w:ascii="Arial" w:hAnsi="Arial" w:cs="Times New Roman"/>
          <w:b/>
          <w:color w:val="auto"/>
          <w:kern w:val="0"/>
          <w:sz w:val="32"/>
          <w:szCs w:val="20"/>
          <w:highlight w:val="none"/>
          <w:lang w:val="en-US" w:eastAsia="zh-CN" w:bidi="ar-SA"/>
        </w:rPr>
        <w:t>四</w:t>
      </w:r>
      <w:r>
        <w:rPr>
          <w:rFonts w:hint="eastAsia" w:ascii="Arial" w:hAnsi="Arial" w:eastAsia="宋体" w:cs="Times New Roman"/>
          <w:b/>
          <w:color w:val="auto"/>
          <w:kern w:val="0"/>
          <w:sz w:val="32"/>
          <w:szCs w:val="20"/>
          <w:highlight w:val="none"/>
          <w:lang w:val="en-US" w:eastAsia="zh-CN" w:bidi="ar-SA"/>
        </w:rPr>
        <w:t>、诚信</w:t>
      </w:r>
      <w:r>
        <w:rPr>
          <w:rFonts w:hint="eastAsia" w:ascii="Arial" w:hAnsi="Arial" w:cs="Times New Roman"/>
          <w:b/>
          <w:color w:val="auto"/>
          <w:kern w:val="0"/>
          <w:sz w:val="32"/>
          <w:szCs w:val="20"/>
          <w:highlight w:val="none"/>
          <w:lang w:val="en-US" w:eastAsia="zh-CN" w:bidi="ar-SA"/>
        </w:rPr>
        <w:t>参选</w:t>
      </w:r>
      <w:r>
        <w:rPr>
          <w:rFonts w:hint="eastAsia" w:ascii="Arial" w:hAnsi="Arial" w:eastAsia="宋体" w:cs="Times New Roman"/>
          <w:b/>
          <w:color w:val="auto"/>
          <w:kern w:val="0"/>
          <w:sz w:val="32"/>
          <w:szCs w:val="20"/>
          <w:highlight w:val="none"/>
          <w:lang w:val="en-US" w:eastAsia="zh-CN" w:bidi="ar-SA"/>
        </w:rPr>
        <w:t>承诺书</w:t>
      </w:r>
      <w:bookmarkEnd w:id="66"/>
    </w:p>
    <w:p w14:paraId="24BCF1FA">
      <w:pPr>
        <w:rPr>
          <w:rFonts w:ascii="仿宋" w:hAnsi="仿宋" w:eastAsia="仿宋" w:cs="仿宋"/>
          <w:b/>
          <w:bCs/>
          <w:color w:val="auto"/>
          <w:sz w:val="24"/>
          <w:highlight w:val="none"/>
        </w:rPr>
      </w:pPr>
    </w:p>
    <w:p w14:paraId="7AEBF7F2">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本人以企业法定代表人的身份郑重承诺：</w:t>
      </w:r>
    </w:p>
    <w:p w14:paraId="3CA96C70">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一、将遵循公开、公正和诚实信用的原则自愿参加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项目的</w:t>
      </w:r>
      <w:r>
        <w:rPr>
          <w:rFonts w:hint="eastAsia" w:ascii="仿宋" w:hAnsi="仿宋" w:eastAsia="仿宋" w:cs="仿宋"/>
          <w:b/>
          <w:bCs/>
          <w:color w:val="auto"/>
          <w:sz w:val="24"/>
          <w:highlight w:val="none"/>
          <w:lang w:eastAsia="zh-CN"/>
        </w:rPr>
        <w:t>比选</w:t>
      </w:r>
      <w:r>
        <w:rPr>
          <w:rFonts w:hint="eastAsia" w:ascii="仿宋" w:hAnsi="仿宋" w:eastAsia="仿宋" w:cs="仿宋"/>
          <w:b/>
          <w:bCs/>
          <w:color w:val="auto"/>
          <w:sz w:val="24"/>
          <w:highlight w:val="none"/>
          <w:lang w:val="en-US" w:eastAsia="zh-CN"/>
        </w:rPr>
        <w:t>招标</w:t>
      </w:r>
      <w:r>
        <w:rPr>
          <w:rFonts w:hint="eastAsia" w:ascii="仿宋" w:hAnsi="仿宋" w:eastAsia="仿宋" w:cs="仿宋"/>
          <w:b/>
          <w:bCs/>
          <w:color w:val="auto"/>
          <w:sz w:val="24"/>
          <w:highlight w:val="none"/>
        </w:rPr>
        <w:t>；</w:t>
      </w:r>
    </w:p>
    <w:p w14:paraId="76173C37">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二、所提供的一切材料都是真实、有效、合法的；  </w:t>
      </w:r>
    </w:p>
    <w:p w14:paraId="523AC3F1">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三、不出借、转让资质证书，不让他人挂靠</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，不以他人名义</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或者以其他方式弄虚作假，骗取</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 xml:space="preserve">；  </w:t>
      </w:r>
    </w:p>
    <w:p w14:paraId="29E9570F">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四、不与其他</w:t>
      </w:r>
      <w:r>
        <w:rPr>
          <w:rFonts w:hint="eastAsia" w:ascii="仿宋" w:hAnsi="仿宋" w:eastAsia="仿宋" w:cs="仿宋"/>
          <w:b/>
          <w:bCs/>
          <w:color w:val="auto"/>
          <w:sz w:val="24"/>
          <w:highlight w:val="none"/>
          <w:lang w:eastAsia="zh-CN"/>
        </w:rPr>
        <w:t>参选人</w:t>
      </w:r>
      <w:r>
        <w:rPr>
          <w:rFonts w:hint="eastAsia" w:ascii="仿宋" w:hAnsi="仿宋" w:eastAsia="仿宋" w:cs="仿宋"/>
          <w:b/>
          <w:bCs/>
          <w:color w:val="auto"/>
          <w:sz w:val="24"/>
          <w:highlight w:val="none"/>
        </w:rPr>
        <w:t>相互串通</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报价，不排挤其他</w:t>
      </w:r>
      <w:r>
        <w:rPr>
          <w:rFonts w:hint="eastAsia" w:ascii="仿宋" w:hAnsi="仿宋" w:eastAsia="仿宋" w:cs="仿宋"/>
          <w:b/>
          <w:bCs/>
          <w:color w:val="auto"/>
          <w:sz w:val="24"/>
          <w:highlight w:val="none"/>
          <w:lang w:eastAsia="zh-CN"/>
        </w:rPr>
        <w:t>参选人</w:t>
      </w:r>
      <w:r>
        <w:rPr>
          <w:rFonts w:hint="eastAsia" w:ascii="仿宋" w:hAnsi="仿宋" w:eastAsia="仿宋" w:cs="仿宋"/>
          <w:b/>
          <w:bCs/>
          <w:color w:val="auto"/>
          <w:sz w:val="24"/>
          <w:highlight w:val="none"/>
        </w:rPr>
        <w:t>的公平竞争、损害</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 xml:space="preserve">的合法权益；  </w:t>
      </w:r>
    </w:p>
    <w:p w14:paraId="225DB3E9">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五、不与采购单位或其他</w:t>
      </w:r>
      <w:r>
        <w:rPr>
          <w:rFonts w:hint="eastAsia" w:ascii="仿宋" w:hAnsi="仿宋" w:eastAsia="仿宋" w:cs="仿宋"/>
          <w:b/>
          <w:bCs/>
          <w:color w:val="auto"/>
          <w:sz w:val="24"/>
          <w:highlight w:val="none"/>
          <w:lang w:eastAsia="zh-CN"/>
        </w:rPr>
        <w:t>参选人</w:t>
      </w:r>
      <w:r>
        <w:rPr>
          <w:rFonts w:hint="eastAsia" w:ascii="仿宋" w:hAnsi="仿宋" w:eastAsia="仿宋" w:cs="仿宋"/>
          <w:b/>
          <w:bCs/>
          <w:color w:val="auto"/>
          <w:sz w:val="24"/>
          <w:highlight w:val="none"/>
        </w:rPr>
        <w:t>串通</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 xml:space="preserve">，损害国家利益、社会公共利益或者他人的合法权益；  </w:t>
      </w:r>
    </w:p>
    <w:p w14:paraId="284AE6C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六、严格遵守开标现场纪律，服从监管人员管理；  </w:t>
      </w:r>
    </w:p>
    <w:p w14:paraId="315A9E76">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七、保证</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后不转包，若有合法分包征得</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同意；</w:t>
      </w:r>
    </w:p>
    <w:p w14:paraId="7B1F5C02">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八、保证</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之后，按照</w:t>
      </w:r>
      <w:r>
        <w:rPr>
          <w:rFonts w:hint="eastAsia" w:ascii="仿宋" w:hAnsi="仿宋" w:eastAsia="仿宋" w:cs="仿宋"/>
          <w:b/>
          <w:bCs/>
          <w:color w:val="auto"/>
          <w:sz w:val="24"/>
          <w:highlight w:val="none"/>
          <w:lang w:eastAsia="zh-CN"/>
        </w:rPr>
        <w:t>参选文件</w:t>
      </w:r>
      <w:r>
        <w:rPr>
          <w:rFonts w:hint="eastAsia" w:ascii="仿宋" w:hAnsi="仿宋" w:eastAsia="仿宋" w:cs="仿宋"/>
          <w:b/>
          <w:bCs/>
          <w:color w:val="auto"/>
          <w:sz w:val="24"/>
          <w:highlight w:val="none"/>
        </w:rPr>
        <w:t>承诺提供货物、服务及派驻人员</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券使用期限自生效之日起不少于36个月</w:t>
      </w:r>
      <w:r>
        <w:rPr>
          <w:rFonts w:hint="eastAsia" w:ascii="仿宋" w:hAnsi="仿宋" w:eastAsia="仿宋" w:cs="仿宋"/>
          <w:b/>
          <w:bCs/>
          <w:color w:val="auto"/>
          <w:sz w:val="24"/>
          <w:highlight w:val="none"/>
        </w:rPr>
        <w:t>；</w:t>
      </w:r>
    </w:p>
    <w:p w14:paraId="3729736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九、保证企业及所属相关人员在本次</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中无行贿等犯罪行为；</w:t>
      </w:r>
    </w:p>
    <w:p w14:paraId="4FA77178">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十、如在</w:t>
      </w:r>
      <w:r>
        <w:rPr>
          <w:rFonts w:hint="eastAsia" w:ascii="仿宋" w:hAnsi="仿宋" w:eastAsia="仿宋" w:cs="仿宋"/>
          <w:b/>
          <w:bCs/>
          <w:color w:val="auto"/>
          <w:sz w:val="24"/>
          <w:highlight w:val="none"/>
          <w:lang w:eastAsia="zh-CN"/>
        </w:rPr>
        <w:t>参选</w:t>
      </w:r>
      <w:r>
        <w:rPr>
          <w:rFonts w:hint="eastAsia" w:ascii="仿宋" w:hAnsi="仿宋" w:eastAsia="仿宋" w:cs="仿宋"/>
          <w:b/>
          <w:bCs/>
          <w:color w:val="auto"/>
          <w:sz w:val="24"/>
          <w:highlight w:val="none"/>
        </w:rPr>
        <w:t>过程和评标结果公告异议期内发生投诉行为，保证按</w:t>
      </w:r>
      <w:r>
        <w:rPr>
          <w:rFonts w:hint="eastAsia" w:ascii="仿宋" w:hAnsi="仿宋" w:eastAsia="仿宋" w:cs="仿宋"/>
          <w:b/>
          <w:bCs/>
          <w:color w:val="auto"/>
          <w:sz w:val="24"/>
          <w:highlight w:val="none"/>
          <w:lang w:val="en-US" w:eastAsia="zh-CN"/>
        </w:rPr>
        <w:t>相关</w:t>
      </w:r>
      <w:r>
        <w:rPr>
          <w:rFonts w:hint="eastAsia" w:ascii="仿宋" w:hAnsi="仿宋" w:eastAsia="仿宋" w:cs="仿宋"/>
          <w:b/>
          <w:bCs/>
          <w:color w:val="auto"/>
          <w:sz w:val="24"/>
          <w:highlight w:val="none"/>
        </w:rPr>
        <w:t>要求进行。投诉内容符合要求，投诉材料加盖企业公章或由法定代表人</w:t>
      </w:r>
      <w:r>
        <w:rPr>
          <w:rFonts w:hint="eastAsia" w:ascii="仿宋" w:hAnsi="仿宋" w:eastAsia="仿宋" w:cs="仿宋"/>
          <w:b/>
          <w:bCs/>
          <w:color w:val="auto"/>
          <w:sz w:val="24"/>
          <w:highlight w:val="none"/>
          <w:lang w:val="en-US" w:eastAsia="zh-CN"/>
        </w:rPr>
        <w:t>或</w:t>
      </w:r>
      <w:r>
        <w:rPr>
          <w:rFonts w:hint="eastAsia" w:ascii="仿宋" w:hAnsi="仿宋" w:eastAsia="仿宋" w:cs="仿宋"/>
          <w:b/>
          <w:bCs/>
          <w:color w:val="auto"/>
          <w:sz w:val="24"/>
          <w:highlight w:val="none"/>
        </w:rPr>
        <w:t>个体工商户经营者或其</w:t>
      </w:r>
      <w:r>
        <w:rPr>
          <w:rFonts w:hint="eastAsia" w:ascii="仿宋" w:hAnsi="仿宋" w:eastAsia="仿宋" w:cs="仿宋"/>
          <w:b/>
          <w:bCs/>
          <w:color w:val="auto"/>
          <w:sz w:val="24"/>
          <w:highlight w:val="none"/>
          <w:lang w:eastAsia="zh-CN"/>
        </w:rPr>
        <w:t>授权委托人</w:t>
      </w:r>
      <w:r>
        <w:rPr>
          <w:rFonts w:hint="eastAsia" w:ascii="仿宋" w:hAnsi="仿宋" w:eastAsia="仿宋" w:cs="仿宋"/>
          <w:b/>
          <w:bCs/>
          <w:color w:val="auto"/>
          <w:sz w:val="24"/>
          <w:highlight w:val="none"/>
        </w:rPr>
        <w:t xml:space="preserve">签字，并附有关身份证明。不恶意投诉，对本公司提供的投诉线索的真实性负责。 </w:t>
      </w:r>
    </w:p>
    <w:p w14:paraId="4368660B">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一</w:t>
      </w:r>
      <w:r>
        <w:rPr>
          <w:rFonts w:hint="eastAsia" w:ascii="仿宋" w:hAnsi="仿宋" w:eastAsia="仿宋" w:cs="仿宋"/>
          <w:b/>
          <w:bCs/>
          <w:color w:val="auto"/>
          <w:sz w:val="24"/>
          <w:highlight w:val="none"/>
        </w:rPr>
        <w:t>、我方保证对本次招标活动有任何疑问或投诉，都依法在规定的时间内提出。否则，不针对本次招标活动提出任何异议或投诉。</w:t>
      </w:r>
    </w:p>
    <w:p w14:paraId="41E6BAB1">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以上内容我已仔细阅读，本公司若有违反承诺内容的行为，自愿承担</w:t>
      </w:r>
      <w:r>
        <w:rPr>
          <w:rFonts w:hint="eastAsia" w:ascii="仿宋" w:hAnsi="仿宋" w:eastAsia="仿宋" w:cs="仿宋"/>
          <w:b/>
          <w:bCs/>
          <w:color w:val="auto"/>
          <w:sz w:val="24"/>
          <w:highlight w:val="none"/>
          <w:lang w:eastAsia="zh-CN"/>
        </w:rPr>
        <w:t>比选文件</w:t>
      </w:r>
      <w:r>
        <w:rPr>
          <w:rFonts w:hint="eastAsia" w:ascii="仿宋" w:hAnsi="仿宋" w:eastAsia="仿宋" w:cs="仿宋"/>
          <w:b/>
          <w:bCs/>
          <w:color w:val="auto"/>
          <w:sz w:val="24"/>
          <w:highlight w:val="none"/>
        </w:rPr>
        <w:t>确定的责任和法律责任并接受相关行政部门给予的处理和处罚。给</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造成损失的，依法承担赔偿责任。</w:t>
      </w:r>
    </w:p>
    <w:p w14:paraId="18ADA01B">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6154E11E">
      <w:pPr>
        <w:rPr>
          <w:rFonts w:ascii="仿宋" w:hAnsi="仿宋" w:eastAsia="仿宋" w:cs="仿宋"/>
          <w:b/>
          <w:bCs/>
          <w:color w:val="auto"/>
          <w:sz w:val="22"/>
          <w:szCs w:val="22"/>
          <w:highlight w:val="none"/>
        </w:rPr>
      </w:pPr>
    </w:p>
    <w:p w14:paraId="2C014080">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val="en-US" w:eastAsia="zh-CN"/>
        </w:rPr>
        <w:t>参选</w:t>
      </w:r>
      <w:r>
        <w:rPr>
          <w:rFonts w:hint="eastAsia" w:ascii="仿宋" w:hAnsi="仿宋" w:eastAsia="仿宋" w:cs="仿宋"/>
          <w:b/>
          <w:bCs/>
          <w:color w:val="auto"/>
          <w:sz w:val="24"/>
          <w:highlight w:val="none"/>
        </w:rPr>
        <w:t>单位（盖章）：</w:t>
      </w:r>
    </w:p>
    <w:p w14:paraId="2720E6C8">
      <w:pPr>
        <w:jc w:val="right"/>
        <w:rPr>
          <w:rFonts w:ascii="仿宋" w:hAnsi="仿宋" w:eastAsia="仿宋" w:cs="仿宋"/>
          <w:b/>
          <w:bCs/>
          <w:color w:val="auto"/>
          <w:sz w:val="24"/>
          <w:highlight w:val="none"/>
        </w:rPr>
      </w:pPr>
    </w:p>
    <w:p w14:paraId="180CCB94">
      <w:pPr>
        <w:jc w:val="right"/>
        <w:rPr>
          <w:rFonts w:ascii="仿宋" w:hAnsi="仿宋" w:eastAsia="仿宋" w:cs="仿宋"/>
          <w:b/>
          <w:bCs/>
          <w:color w:val="auto"/>
          <w:sz w:val="24"/>
          <w:highlight w:val="none"/>
        </w:rPr>
      </w:pPr>
    </w:p>
    <w:p w14:paraId="5DA08B9B">
      <w:pPr>
        <w:ind w:right="480"/>
        <w:jc w:val="righ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日期：_____年____月____日</w:t>
      </w:r>
    </w:p>
    <w:p w14:paraId="656FDB0E">
      <w:pPr>
        <w:spacing w:line="360" w:lineRule="auto"/>
        <w:ind w:firstLine="3570" w:firstLineChars="1700"/>
        <w:rPr>
          <w:rFonts w:hint="eastAsia" w:ascii="Times New Roman" w:hAnsi="Times New Roman" w:eastAsia="宋体" w:cs="Times New Roman"/>
          <w:color w:val="auto"/>
          <w:szCs w:val="21"/>
          <w:highlight w:val="none"/>
          <w:lang w:val="en-US" w:eastAsia="zh-CN"/>
        </w:rPr>
      </w:pPr>
    </w:p>
    <w:p w14:paraId="33AB2787">
      <w:pPr>
        <w:pStyle w:val="3"/>
        <w:numPr>
          <w:ilvl w:val="0"/>
          <w:numId w:val="0"/>
        </w:numPr>
        <w:jc w:val="center"/>
        <w:rPr>
          <w:rFonts w:hint="eastAsia"/>
          <w:color w:val="auto"/>
          <w:highlight w:val="none"/>
        </w:rPr>
      </w:pPr>
      <w:r>
        <w:rPr>
          <w:rFonts w:hint="eastAsia"/>
          <w:color w:val="auto"/>
          <w:highlight w:val="none"/>
          <w:lang w:val="en-US" w:eastAsia="zh-CN"/>
        </w:rPr>
        <w:t>五、相关</w:t>
      </w:r>
      <w:r>
        <w:rPr>
          <w:rFonts w:hint="eastAsia"/>
          <w:color w:val="auto"/>
          <w:highlight w:val="none"/>
        </w:rPr>
        <w:t>证明文件</w:t>
      </w:r>
      <w:bookmarkEnd w:id="64"/>
      <w:bookmarkEnd w:id="65"/>
    </w:p>
    <w:p w14:paraId="375A5C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参选人须按下列清单在参选文件中提供相关证明材料：</w:t>
      </w:r>
    </w:p>
    <w:p w14:paraId="49FA0A27">
      <w:pPr>
        <w:spacing w:line="360" w:lineRule="auto"/>
        <w:ind w:firstLine="420" w:firstLineChars="200"/>
        <w:rPr>
          <w:rFonts w:asci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olor w:val="auto"/>
          <w:szCs w:val="21"/>
          <w:highlight w:val="none"/>
        </w:rPr>
        <w:t>营业执照副本复印件；</w:t>
      </w:r>
    </w:p>
    <w:p w14:paraId="60A01C92">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、税务登记证副本复印件；（如为三证合一的，只需提供三证合一的营业执照复印件） </w:t>
      </w:r>
    </w:p>
    <w:p w14:paraId="2FCF2B16">
      <w:pPr>
        <w:spacing w:line="360" w:lineRule="auto"/>
        <w:ind w:firstLine="420" w:firstLineChars="200"/>
        <w:rPr>
          <w:rFonts w:asci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法定代表人身份证明书（格式见附件）及其有效二代居民身份证；</w:t>
      </w:r>
    </w:p>
    <w:p w14:paraId="6AB00A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、法定代表人授权委托书（格式见附件）及委托代理人有效二代居民身份证，若法定代表人本人参与比选则不需此件；</w:t>
      </w:r>
    </w:p>
    <w:p w14:paraId="0A12BFC5">
      <w:pPr>
        <w:spacing w:line="360" w:lineRule="auto"/>
        <w:ind w:left="420"/>
        <w:rPr>
          <w:rFonts w:ascii="宋体" w:hAnsi="宋体" w:cs="宋体"/>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参选人</w:t>
      </w:r>
      <w:r>
        <w:rPr>
          <w:rFonts w:hint="eastAsia" w:ascii="宋体" w:hAnsi="宋体" w:cs="宋体"/>
          <w:b/>
          <w:bCs/>
          <w:color w:val="auto"/>
          <w:szCs w:val="21"/>
          <w:highlight w:val="none"/>
        </w:rPr>
        <w:t>业绩一览表</w:t>
      </w:r>
      <w:r>
        <w:rPr>
          <w:rFonts w:hint="eastAsia" w:ascii="宋体" w:hAnsi="宋体" w:cs="宋体"/>
          <w:color w:val="auto"/>
          <w:szCs w:val="21"/>
          <w:highlight w:val="none"/>
        </w:rPr>
        <w:t>（填写下表，根据综合评分中的要求表后附相关证明材料，不够可自行增添或修改表格）。</w:t>
      </w:r>
    </w:p>
    <w:tbl>
      <w:tblPr>
        <w:tblStyle w:val="28"/>
        <w:tblW w:w="51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4"/>
        <w:gridCol w:w="1805"/>
        <w:gridCol w:w="2909"/>
      </w:tblGrid>
      <w:tr w14:paraId="04C0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2544" w:type="pct"/>
            <w:vAlign w:val="center"/>
          </w:tcPr>
          <w:p w14:paraId="7C1D9F3D">
            <w:pPr>
              <w:keepNext w:val="0"/>
              <w:keepLines w:val="0"/>
              <w:suppressLineNumbers w:val="0"/>
              <w:spacing w:before="100" w:beforeAutospacing="1" w:after="100" w:afterAutospacing="1" w:line="240" w:lineRule="atLeast"/>
              <w:ind w:left="0" w:right="0"/>
              <w:jc w:val="center"/>
              <w:rPr>
                <w:rFonts w:hint="default" w:ascii="宋体" w:cs="宋体"/>
                <w:color w:val="auto"/>
                <w:szCs w:val="21"/>
                <w:highlight w:val="none"/>
              </w:rPr>
            </w:pPr>
            <w:r>
              <w:rPr>
                <w:rFonts w:hint="eastAsia" w:ascii="宋体" w:cs="宋体"/>
                <w:color w:val="auto"/>
                <w:szCs w:val="21"/>
                <w:highlight w:val="none"/>
              </w:rPr>
              <w:t>合同名称</w:t>
            </w:r>
          </w:p>
        </w:tc>
        <w:tc>
          <w:tcPr>
            <w:tcW w:w="940" w:type="pct"/>
            <w:vAlign w:val="center"/>
          </w:tcPr>
          <w:p w14:paraId="27136AE2">
            <w:pPr>
              <w:keepNext w:val="0"/>
              <w:keepLines w:val="0"/>
              <w:suppressLineNumbers w:val="0"/>
              <w:spacing w:before="100" w:beforeAutospacing="1" w:after="100" w:afterAutospacing="1" w:line="240" w:lineRule="atLeast"/>
              <w:ind w:left="0" w:right="0"/>
              <w:jc w:val="center"/>
              <w:rPr>
                <w:rFonts w:hint="default"/>
                <w:color w:val="auto"/>
                <w:highlight w:val="none"/>
              </w:rPr>
            </w:pPr>
            <w:r>
              <w:rPr>
                <w:rFonts w:hint="eastAsia"/>
                <w:color w:val="auto"/>
                <w:highlight w:val="none"/>
              </w:rPr>
              <w:t>合同签订时间</w:t>
            </w:r>
          </w:p>
        </w:tc>
        <w:tc>
          <w:tcPr>
            <w:tcW w:w="1515" w:type="pct"/>
            <w:vAlign w:val="center"/>
          </w:tcPr>
          <w:p w14:paraId="61031265">
            <w:pPr>
              <w:keepNext w:val="0"/>
              <w:keepLines w:val="0"/>
              <w:suppressLineNumbers w:val="0"/>
              <w:spacing w:before="100" w:beforeAutospacing="1" w:after="100" w:afterAutospacing="1" w:line="240" w:lineRule="atLeast"/>
              <w:ind w:left="0" w:right="0"/>
              <w:jc w:val="center"/>
              <w:rPr>
                <w:rFonts w:hint="default"/>
                <w:color w:val="auto"/>
                <w:highlight w:val="none"/>
              </w:rPr>
            </w:pPr>
            <w:r>
              <w:rPr>
                <w:rFonts w:hint="eastAsia"/>
                <w:color w:val="auto"/>
                <w:highlight w:val="none"/>
              </w:rPr>
              <w:t>委托单位</w:t>
            </w:r>
          </w:p>
        </w:tc>
      </w:tr>
      <w:tr w14:paraId="53EE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544" w:type="pct"/>
            <w:vAlign w:val="center"/>
          </w:tcPr>
          <w:p w14:paraId="3845C54D">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c>
          <w:tcPr>
            <w:tcW w:w="940" w:type="pct"/>
            <w:vAlign w:val="center"/>
          </w:tcPr>
          <w:p w14:paraId="0E03B307">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c>
          <w:tcPr>
            <w:tcW w:w="1515" w:type="pct"/>
            <w:vAlign w:val="center"/>
          </w:tcPr>
          <w:p w14:paraId="5158CC4D">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r>
      <w:tr w14:paraId="262D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544" w:type="pct"/>
            <w:vAlign w:val="center"/>
          </w:tcPr>
          <w:p w14:paraId="3A71870A">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c>
          <w:tcPr>
            <w:tcW w:w="940" w:type="pct"/>
            <w:vAlign w:val="center"/>
          </w:tcPr>
          <w:p w14:paraId="08BBE143">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c>
          <w:tcPr>
            <w:tcW w:w="1515" w:type="pct"/>
            <w:vAlign w:val="center"/>
          </w:tcPr>
          <w:p w14:paraId="59C06ECA">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r>
      <w:tr w14:paraId="0387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2544" w:type="pct"/>
            <w:vAlign w:val="center"/>
          </w:tcPr>
          <w:p w14:paraId="5F8C2E57">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c>
          <w:tcPr>
            <w:tcW w:w="940" w:type="pct"/>
            <w:vAlign w:val="center"/>
          </w:tcPr>
          <w:p w14:paraId="4A9167FB">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c>
          <w:tcPr>
            <w:tcW w:w="1515" w:type="pct"/>
            <w:vAlign w:val="center"/>
          </w:tcPr>
          <w:p w14:paraId="57350455">
            <w:pPr>
              <w:keepNext w:val="0"/>
              <w:keepLines w:val="0"/>
              <w:widowControl/>
              <w:suppressLineNumbers w:val="0"/>
              <w:spacing w:before="0" w:beforeAutospacing="0" w:after="0" w:afterAutospacing="0" w:line="240" w:lineRule="atLeast"/>
              <w:ind w:left="0" w:right="0"/>
              <w:jc w:val="center"/>
              <w:textAlignment w:val="center"/>
              <w:rPr>
                <w:rFonts w:hint="default" w:ascii="宋体" w:hAnsi="宋体" w:cs="宋体"/>
                <w:color w:val="auto"/>
                <w:szCs w:val="21"/>
                <w:highlight w:val="none"/>
              </w:rPr>
            </w:pPr>
          </w:p>
        </w:tc>
      </w:tr>
    </w:tbl>
    <w:p w14:paraId="5712FBD2">
      <w:pPr>
        <w:pStyle w:val="38"/>
        <w:spacing w:beforeLines="0" w:after="0"/>
        <w:ind w:firstLine="0" w:firstLineChars="0"/>
        <w:rPr>
          <w:b/>
          <w:bCs/>
          <w:color w:val="auto"/>
          <w:sz w:val="21"/>
          <w:szCs w:val="21"/>
          <w:highlight w:val="none"/>
        </w:rPr>
      </w:pPr>
    </w:p>
    <w:p w14:paraId="3923322B">
      <w:pPr>
        <w:spacing w:line="360" w:lineRule="auto"/>
        <w:ind w:firstLine="422" w:firstLineChars="200"/>
        <w:rPr>
          <w:rFonts w:ascii="宋体" w:hAnsi="宋体" w:eastAsia="宋体" w:cs="Times New Roman"/>
          <w:color w:val="auto"/>
          <w:szCs w:val="21"/>
          <w:highlight w:val="none"/>
        </w:rPr>
      </w:pPr>
      <w:r>
        <w:rPr>
          <w:rFonts w:hint="eastAsia"/>
          <w:b/>
          <w:bCs/>
          <w:color w:val="auto"/>
          <w:sz w:val="21"/>
          <w:szCs w:val="21"/>
          <w:highlight w:val="none"/>
          <w:lang w:val="en-US" w:eastAsia="zh-CN"/>
        </w:rPr>
        <w:t>7</w:t>
      </w:r>
      <w:r>
        <w:rPr>
          <w:rFonts w:hint="eastAsia"/>
          <w:b/>
          <w:bCs/>
          <w:color w:val="auto"/>
          <w:sz w:val="21"/>
          <w:szCs w:val="21"/>
          <w:highlight w:val="none"/>
        </w:rPr>
        <w:t>、其他涉及评分要求的材料或参选人认为需要提供的其他材料。</w:t>
      </w:r>
    </w:p>
    <w:p w14:paraId="2A08F0A5">
      <w:pPr>
        <w:spacing w:line="360" w:lineRule="auto"/>
        <w:ind w:firstLine="420" w:firstLineChars="200"/>
        <w:rPr>
          <w:rFonts w:ascii="宋体" w:hAnsi="宋体" w:eastAsia="宋体" w:cs="Times New Roman"/>
          <w:color w:val="auto"/>
          <w:szCs w:val="21"/>
          <w:highlight w:val="none"/>
        </w:rPr>
      </w:pPr>
    </w:p>
    <w:p w14:paraId="2219C7ED">
      <w:pPr>
        <w:spacing w:line="360" w:lineRule="auto"/>
        <w:ind w:firstLine="420" w:firstLineChars="200"/>
        <w:rPr>
          <w:rFonts w:ascii="宋体" w:hAnsi="宋体" w:eastAsia="宋体" w:cs="Times New Roman"/>
          <w:color w:val="auto"/>
          <w:szCs w:val="21"/>
          <w:highlight w:val="none"/>
        </w:rPr>
      </w:pPr>
    </w:p>
    <w:p w14:paraId="50772E85">
      <w:pPr>
        <w:spacing w:line="360" w:lineRule="auto"/>
        <w:ind w:firstLine="420" w:firstLineChars="200"/>
        <w:rPr>
          <w:rFonts w:ascii="宋体" w:hAnsi="宋体" w:eastAsia="宋体" w:cs="Times New Roman"/>
          <w:color w:val="auto"/>
          <w:szCs w:val="21"/>
          <w:highlight w:val="none"/>
        </w:rPr>
      </w:pPr>
    </w:p>
    <w:p w14:paraId="7EDC410C">
      <w:pPr>
        <w:spacing w:line="360" w:lineRule="auto"/>
        <w:ind w:firstLine="420" w:firstLineChars="200"/>
        <w:rPr>
          <w:rFonts w:ascii="宋体" w:hAnsi="宋体" w:eastAsia="宋体" w:cs="Times New Roman"/>
          <w:color w:val="auto"/>
          <w:szCs w:val="21"/>
          <w:highlight w:val="none"/>
        </w:rPr>
      </w:pPr>
    </w:p>
    <w:p w14:paraId="65604419">
      <w:pPr>
        <w:spacing w:line="360" w:lineRule="auto"/>
        <w:ind w:firstLine="420" w:firstLineChars="200"/>
        <w:rPr>
          <w:rFonts w:ascii="宋体" w:hAnsi="宋体" w:eastAsia="宋体" w:cs="Times New Roman"/>
          <w:color w:val="auto"/>
          <w:szCs w:val="21"/>
          <w:highlight w:val="none"/>
        </w:rPr>
      </w:pPr>
    </w:p>
    <w:p w14:paraId="582628AB">
      <w:pPr>
        <w:spacing w:line="360" w:lineRule="auto"/>
        <w:ind w:firstLine="420" w:firstLineChars="200"/>
        <w:rPr>
          <w:rFonts w:hint="eastAsia" w:ascii="宋体" w:hAnsi="宋体"/>
          <w:color w:val="auto"/>
          <w:szCs w:val="21"/>
          <w:highlight w:val="none"/>
        </w:rPr>
      </w:pPr>
    </w:p>
    <w:p w14:paraId="7362FF3F">
      <w:pPr>
        <w:spacing w:line="360" w:lineRule="auto"/>
        <w:ind w:firstLine="420" w:firstLineChars="200"/>
        <w:rPr>
          <w:rFonts w:hint="eastAsia" w:ascii="宋体" w:hAnsi="宋体"/>
          <w:color w:val="auto"/>
          <w:szCs w:val="21"/>
          <w:highlight w:val="none"/>
        </w:rPr>
      </w:pPr>
    </w:p>
    <w:p w14:paraId="18D30A55">
      <w:pPr>
        <w:spacing w:line="360" w:lineRule="auto"/>
        <w:ind w:firstLine="420" w:firstLineChars="200"/>
        <w:rPr>
          <w:rFonts w:hint="eastAsia" w:ascii="宋体" w:hAnsi="宋体"/>
          <w:color w:val="auto"/>
          <w:szCs w:val="21"/>
          <w:highlight w:val="none"/>
        </w:rPr>
      </w:pPr>
    </w:p>
    <w:p w14:paraId="01D7FDC4">
      <w:pPr>
        <w:spacing w:line="360" w:lineRule="auto"/>
        <w:ind w:firstLine="420" w:firstLineChars="200"/>
        <w:rPr>
          <w:rFonts w:hint="eastAsia" w:ascii="宋体" w:hAnsi="宋体"/>
          <w:color w:val="auto"/>
          <w:szCs w:val="21"/>
          <w:highlight w:val="none"/>
        </w:rPr>
      </w:pPr>
    </w:p>
    <w:p w14:paraId="3FE6C1E3">
      <w:pPr>
        <w:spacing w:line="360" w:lineRule="auto"/>
        <w:ind w:firstLine="420" w:firstLineChars="200"/>
        <w:rPr>
          <w:rFonts w:hint="eastAsia" w:ascii="宋体" w:hAnsi="宋体"/>
          <w:color w:val="auto"/>
          <w:szCs w:val="21"/>
          <w:highlight w:val="none"/>
        </w:rPr>
      </w:pPr>
    </w:p>
    <w:p w14:paraId="1C5DE9D6">
      <w:pPr>
        <w:spacing w:line="360" w:lineRule="auto"/>
        <w:ind w:firstLine="420" w:firstLineChars="200"/>
        <w:rPr>
          <w:rFonts w:hint="eastAsia" w:ascii="宋体" w:hAnsi="宋体"/>
          <w:color w:val="auto"/>
          <w:szCs w:val="21"/>
          <w:highlight w:val="none"/>
        </w:rPr>
      </w:pPr>
    </w:p>
    <w:p w14:paraId="55E9741E">
      <w:pPr>
        <w:spacing w:line="360" w:lineRule="auto"/>
        <w:ind w:firstLine="420" w:firstLineChars="200"/>
        <w:rPr>
          <w:rFonts w:hint="eastAsia" w:ascii="宋体" w:hAnsi="宋体"/>
          <w:color w:val="auto"/>
          <w:szCs w:val="21"/>
          <w:highlight w:val="none"/>
        </w:rPr>
      </w:pPr>
    </w:p>
    <w:p w14:paraId="58058AD2">
      <w:pPr>
        <w:spacing w:line="360" w:lineRule="auto"/>
        <w:ind w:firstLine="420" w:firstLineChars="200"/>
        <w:rPr>
          <w:rFonts w:hint="eastAsia" w:ascii="宋体" w:hAnsi="宋体"/>
          <w:color w:val="auto"/>
          <w:szCs w:val="21"/>
          <w:highlight w:val="none"/>
        </w:rPr>
      </w:pPr>
    </w:p>
    <w:p w14:paraId="5661C46E">
      <w:pPr>
        <w:spacing w:line="360" w:lineRule="auto"/>
        <w:ind w:firstLine="420" w:firstLineChars="200"/>
        <w:rPr>
          <w:rFonts w:hint="eastAsia" w:ascii="宋体" w:hAnsi="宋体"/>
          <w:color w:val="auto"/>
          <w:szCs w:val="21"/>
          <w:highlight w:val="none"/>
        </w:rPr>
      </w:pPr>
    </w:p>
    <w:p w14:paraId="2AEF26E6">
      <w:pPr>
        <w:spacing w:line="360" w:lineRule="auto"/>
        <w:jc w:val="left"/>
        <w:rPr>
          <w:rFonts w:hint="eastAsia" w:ascii="宋体" w:hAnsi="宋体"/>
          <w:b/>
          <w:bCs/>
          <w:color w:val="auto"/>
          <w:highlight w:val="none"/>
        </w:rPr>
      </w:pPr>
    </w:p>
    <w:p w14:paraId="6BC81DF1">
      <w:pPr>
        <w:spacing w:line="360" w:lineRule="auto"/>
        <w:jc w:val="left"/>
        <w:rPr>
          <w:rFonts w:ascii="宋体" w:hAnsi="宋体" w:cs="Times New Roman"/>
          <w:b/>
          <w:bCs/>
          <w:color w:val="auto"/>
          <w:szCs w:val="21"/>
          <w:highlight w:val="none"/>
        </w:rPr>
      </w:pPr>
      <w:r>
        <w:rPr>
          <w:rFonts w:hint="eastAsia" w:ascii="宋体" w:hAnsi="宋体"/>
          <w:b/>
          <w:bCs/>
          <w:color w:val="auto"/>
          <w:highlight w:val="none"/>
        </w:rPr>
        <w:t>附件：</w:t>
      </w:r>
    </w:p>
    <w:p w14:paraId="19B2FCAC">
      <w:pPr>
        <w:spacing w:line="360" w:lineRule="auto"/>
        <w:ind w:firstLine="413" w:firstLineChars="196"/>
        <w:jc w:val="center"/>
        <w:rPr>
          <w:rFonts w:hint="eastAsia" w:ascii="宋体" w:hAnsi="宋体" w:eastAsia="宋体" w:cs="宋体"/>
          <w:b/>
          <w:color w:val="auto"/>
          <w:szCs w:val="21"/>
          <w:highlight w:val="none"/>
        </w:rPr>
      </w:pPr>
    </w:p>
    <w:p w14:paraId="746A205F">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00EC92E0">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612F3869">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F7DE1F3">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DEC58E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50063E3D">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043491A5">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E705F65">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5C6CF213">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0B711F2A">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6A30640">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6DA4662F">
      <w:pPr>
        <w:pStyle w:val="38"/>
        <w:ind w:left="0" w:leftChars="0" w:firstLine="0" w:firstLineChars="0"/>
        <w:rPr>
          <w:color w:val="auto"/>
          <w:highlight w:val="none"/>
        </w:rPr>
      </w:pPr>
    </w:p>
    <w:p w14:paraId="1E4E5459">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1501B334">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皖河新港一期综合办公楼企业文化设计及施工方案项目</w:t>
      </w:r>
      <w:r>
        <w:rPr>
          <w:rFonts w:hint="eastAsia" w:ascii="宋体" w:hAnsi="宋体" w:eastAsia="宋体" w:cs="宋体"/>
          <w:color w:val="auto"/>
          <w:szCs w:val="21"/>
          <w:highlight w:val="none"/>
          <w:u w:val="none"/>
        </w:rPr>
        <w:t>参</w:t>
      </w:r>
      <w:r>
        <w:rPr>
          <w:rFonts w:hint="eastAsia" w:ascii="宋体" w:hAnsi="宋体" w:eastAsia="宋体" w:cs="宋体"/>
          <w:color w:val="auto"/>
          <w:szCs w:val="21"/>
          <w:highlight w:val="none"/>
        </w:rPr>
        <w:t>选文件、签订合同等一切事宜，其法律后果由我方承担。</w:t>
      </w:r>
    </w:p>
    <w:p w14:paraId="39FBB3B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340E018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54525721">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0F39F30">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FCD4A8D">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33EFF204">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B29926B">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5E9DF3FE">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4CA56A22">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323F97D1">
      <w:pPr>
        <w:pStyle w:val="4"/>
        <w:rPr>
          <w:rFonts w:hint="eastAsia"/>
          <w:color w:val="auto"/>
          <w:highlight w:val="none"/>
          <w:lang w:val="en-US" w:eastAsia="zh-CN"/>
        </w:rPr>
      </w:pPr>
    </w:p>
    <w:sectPr>
      <w:headerReference r:id="rId6" w:type="default"/>
      <w:footerReference r:id="rId7" w:type="default"/>
      <w:pgSz w:w="11906" w:h="16838"/>
      <w:pgMar w:top="1418" w:right="1418" w:bottom="1418"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82E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76E9">
    <w:pPr>
      <w:pStyle w:val="19"/>
      <w:pBdr>
        <w:top w:val="single" w:color="auto" w:sz="4" w:space="1"/>
      </w:pBdr>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326D3">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7326D3">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739C">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DDF8">
    <w:pPr>
      <w:widowControl w:val="0"/>
      <w:pBdr>
        <w:bottom w:val="none" w:color="auto" w:sz="0" w:space="1"/>
      </w:pBdr>
      <w:snapToGrid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D5B6">
    <w:pPr>
      <w:pStyle w:val="20"/>
      <w:pBdr>
        <w:bottom w:val="single" w:color="auto" w:sz="4" w:space="1"/>
      </w:pBdr>
      <w:jc w:val="right"/>
      <w:rPr>
        <w:rFonts w:hint="eastAsia" w:eastAsia="宋体"/>
        <w:sz w:val="18"/>
        <w:szCs w:val="18"/>
        <w:lang w:val="en-US" w:eastAsia="zh-CN"/>
      </w:rPr>
    </w:pPr>
    <w:r>
      <w:rPr>
        <w:rFonts w:hint="eastAsia" w:cs="Times New Roman"/>
        <w:sz w:val="18"/>
        <w:szCs w:val="18"/>
        <w:lang w:val="en-US" w:eastAsia="zh-CN"/>
      </w:rPr>
      <w:t>皖河新港一期综合办公楼企业文化设计及施工方案项目</w:t>
    </w:r>
    <w:r>
      <w:rPr>
        <w:rFonts w:hint="eastAsia"/>
        <w:sz w:val="18"/>
        <w:szCs w:val="18"/>
        <w:lang w:val="en-US" w:eastAsia="zh-CN"/>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641E4"/>
    <w:multiLevelType w:val="singleLevel"/>
    <w:tmpl w:val="BD3641E4"/>
    <w:lvl w:ilvl="0" w:tentative="0">
      <w:start w:val="1"/>
      <w:numFmt w:val="decimal"/>
      <w:lvlText w:val="%1."/>
      <w:lvlJc w:val="left"/>
      <w:pPr>
        <w:tabs>
          <w:tab w:val="left" w:pos="312"/>
        </w:tabs>
      </w:pPr>
    </w:lvl>
  </w:abstractNum>
  <w:abstractNum w:abstractNumId="1">
    <w:nsid w:val="D8D1F49B"/>
    <w:multiLevelType w:val="singleLevel"/>
    <w:tmpl w:val="D8D1F49B"/>
    <w:lvl w:ilvl="0" w:tentative="0">
      <w:start w:val="1"/>
      <w:numFmt w:val="decimal"/>
      <w:suff w:val="nothing"/>
      <w:lvlText w:val="（%1）"/>
      <w:lvlJc w:val="left"/>
    </w:lvl>
  </w:abstractNum>
  <w:abstractNum w:abstractNumId="2">
    <w:nsid w:val="E8A165CF"/>
    <w:multiLevelType w:val="singleLevel"/>
    <w:tmpl w:val="E8A165CF"/>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3">
    <w:nsid w:val="0000000C"/>
    <w:multiLevelType w:val="singleLevel"/>
    <w:tmpl w:val="0000000C"/>
    <w:lvl w:ilvl="0" w:tentative="0">
      <w:start w:val="1"/>
      <w:numFmt w:val="chineseCounting"/>
      <w:suff w:val="nothing"/>
      <w:lvlText w:val="%1、"/>
      <w:lvlJc w:val="left"/>
      <w:rPr>
        <w:rFonts w:cs="Times New Roman"/>
      </w:rPr>
    </w:lvl>
  </w:abstractNum>
  <w:abstractNum w:abstractNumId="4">
    <w:nsid w:val="55DBBED0"/>
    <w:multiLevelType w:val="singleLevel"/>
    <w:tmpl w:val="55DBBED0"/>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MDkzMWFiYmQ1ZTkxOGJhMmRhMjQ2ODZkNzRiOGIifQ=="/>
  </w:docVars>
  <w:rsids>
    <w:rsidRoot w:val="00172A27"/>
    <w:rsid w:val="00002114"/>
    <w:rsid w:val="000028B9"/>
    <w:rsid w:val="000030E6"/>
    <w:rsid w:val="000058BC"/>
    <w:rsid w:val="00006FF8"/>
    <w:rsid w:val="00016110"/>
    <w:rsid w:val="000372C2"/>
    <w:rsid w:val="00055669"/>
    <w:rsid w:val="000572CD"/>
    <w:rsid w:val="00060188"/>
    <w:rsid w:val="000626F3"/>
    <w:rsid w:val="00070EDC"/>
    <w:rsid w:val="000743A8"/>
    <w:rsid w:val="00084249"/>
    <w:rsid w:val="00085E3C"/>
    <w:rsid w:val="000A60DA"/>
    <w:rsid w:val="000A6CEE"/>
    <w:rsid w:val="000B226F"/>
    <w:rsid w:val="000C1A5E"/>
    <w:rsid w:val="000C6F3F"/>
    <w:rsid w:val="000D6DD0"/>
    <w:rsid w:val="000D7A4B"/>
    <w:rsid w:val="000E666D"/>
    <w:rsid w:val="000F6B6E"/>
    <w:rsid w:val="00121CC7"/>
    <w:rsid w:val="00121EC2"/>
    <w:rsid w:val="00134054"/>
    <w:rsid w:val="00136777"/>
    <w:rsid w:val="00150063"/>
    <w:rsid w:val="0017470C"/>
    <w:rsid w:val="0017624E"/>
    <w:rsid w:val="001802C2"/>
    <w:rsid w:val="00180744"/>
    <w:rsid w:val="0018411E"/>
    <w:rsid w:val="00187395"/>
    <w:rsid w:val="001967F2"/>
    <w:rsid w:val="001A50E8"/>
    <w:rsid w:val="001B4184"/>
    <w:rsid w:val="001C0260"/>
    <w:rsid w:val="001D77D9"/>
    <w:rsid w:val="001F1C78"/>
    <w:rsid w:val="00203664"/>
    <w:rsid w:val="00210A7B"/>
    <w:rsid w:val="002304E4"/>
    <w:rsid w:val="00237E4D"/>
    <w:rsid w:val="002440B4"/>
    <w:rsid w:val="00245594"/>
    <w:rsid w:val="002618C6"/>
    <w:rsid w:val="00265483"/>
    <w:rsid w:val="002666B5"/>
    <w:rsid w:val="00270BE8"/>
    <w:rsid w:val="00273182"/>
    <w:rsid w:val="002775DD"/>
    <w:rsid w:val="002A051F"/>
    <w:rsid w:val="002A2962"/>
    <w:rsid w:val="002A591A"/>
    <w:rsid w:val="002C3E0C"/>
    <w:rsid w:val="002C5380"/>
    <w:rsid w:val="002D514F"/>
    <w:rsid w:val="002D684B"/>
    <w:rsid w:val="002E38DB"/>
    <w:rsid w:val="002E62AB"/>
    <w:rsid w:val="002F26A5"/>
    <w:rsid w:val="0030669B"/>
    <w:rsid w:val="00306771"/>
    <w:rsid w:val="00307C99"/>
    <w:rsid w:val="00316D85"/>
    <w:rsid w:val="0031798E"/>
    <w:rsid w:val="003328EB"/>
    <w:rsid w:val="00351CF0"/>
    <w:rsid w:val="003574F4"/>
    <w:rsid w:val="00361C49"/>
    <w:rsid w:val="003656C7"/>
    <w:rsid w:val="003805D7"/>
    <w:rsid w:val="0038511B"/>
    <w:rsid w:val="00385B42"/>
    <w:rsid w:val="00386D00"/>
    <w:rsid w:val="0039650F"/>
    <w:rsid w:val="003A4D60"/>
    <w:rsid w:val="003A5907"/>
    <w:rsid w:val="003B01AA"/>
    <w:rsid w:val="003B3313"/>
    <w:rsid w:val="003C6D2D"/>
    <w:rsid w:val="003D11EC"/>
    <w:rsid w:val="003E25FE"/>
    <w:rsid w:val="003E4AFC"/>
    <w:rsid w:val="003E609C"/>
    <w:rsid w:val="003F10EC"/>
    <w:rsid w:val="003F285D"/>
    <w:rsid w:val="00404E75"/>
    <w:rsid w:val="00412C7A"/>
    <w:rsid w:val="00432B8F"/>
    <w:rsid w:val="004422CA"/>
    <w:rsid w:val="00442B63"/>
    <w:rsid w:val="00451E26"/>
    <w:rsid w:val="004613CC"/>
    <w:rsid w:val="0047026C"/>
    <w:rsid w:val="00473D41"/>
    <w:rsid w:val="0047503C"/>
    <w:rsid w:val="00475C50"/>
    <w:rsid w:val="00486C81"/>
    <w:rsid w:val="004916E1"/>
    <w:rsid w:val="0049527C"/>
    <w:rsid w:val="00495EB3"/>
    <w:rsid w:val="004B0A63"/>
    <w:rsid w:val="004B4279"/>
    <w:rsid w:val="004B5E40"/>
    <w:rsid w:val="004C38A5"/>
    <w:rsid w:val="004C5A10"/>
    <w:rsid w:val="004F67FC"/>
    <w:rsid w:val="004F790B"/>
    <w:rsid w:val="00504A12"/>
    <w:rsid w:val="00510DD4"/>
    <w:rsid w:val="00512A8A"/>
    <w:rsid w:val="00520E01"/>
    <w:rsid w:val="00543990"/>
    <w:rsid w:val="00550FBE"/>
    <w:rsid w:val="0055735C"/>
    <w:rsid w:val="00561375"/>
    <w:rsid w:val="00563854"/>
    <w:rsid w:val="0056747E"/>
    <w:rsid w:val="005731C9"/>
    <w:rsid w:val="00574FE3"/>
    <w:rsid w:val="00581391"/>
    <w:rsid w:val="005873CA"/>
    <w:rsid w:val="00592881"/>
    <w:rsid w:val="005A2693"/>
    <w:rsid w:val="005A55FD"/>
    <w:rsid w:val="005B19CD"/>
    <w:rsid w:val="005C3F2B"/>
    <w:rsid w:val="005D1419"/>
    <w:rsid w:val="005D1E9C"/>
    <w:rsid w:val="005D3573"/>
    <w:rsid w:val="005D4810"/>
    <w:rsid w:val="005D7829"/>
    <w:rsid w:val="005D7FA9"/>
    <w:rsid w:val="005E46A4"/>
    <w:rsid w:val="005F0EE4"/>
    <w:rsid w:val="005F1E73"/>
    <w:rsid w:val="005F30EE"/>
    <w:rsid w:val="0060329A"/>
    <w:rsid w:val="00622249"/>
    <w:rsid w:val="006275C9"/>
    <w:rsid w:val="00652A37"/>
    <w:rsid w:val="006531D8"/>
    <w:rsid w:val="006809F5"/>
    <w:rsid w:val="00686205"/>
    <w:rsid w:val="00692F7A"/>
    <w:rsid w:val="00693900"/>
    <w:rsid w:val="0069795A"/>
    <w:rsid w:val="006B0EB2"/>
    <w:rsid w:val="006B7C75"/>
    <w:rsid w:val="006C1E83"/>
    <w:rsid w:val="006C4E2D"/>
    <w:rsid w:val="006F4484"/>
    <w:rsid w:val="006F7E46"/>
    <w:rsid w:val="00710CFF"/>
    <w:rsid w:val="007145D5"/>
    <w:rsid w:val="007227EF"/>
    <w:rsid w:val="007257DD"/>
    <w:rsid w:val="00740EBD"/>
    <w:rsid w:val="007436AB"/>
    <w:rsid w:val="00751A0A"/>
    <w:rsid w:val="00761A5E"/>
    <w:rsid w:val="00764F65"/>
    <w:rsid w:val="007676E2"/>
    <w:rsid w:val="00777195"/>
    <w:rsid w:val="00784610"/>
    <w:rsid w:val="00787768"/>
    <w:rsid w:val="00791219"/>
    <w:rsid w:val="007951FF"/>
    <w:rsid w:val="007A619B"/>
    <w:rsid w:val="007B000B"/>
    <w:rsid w:val="007B2DFA"/>
    <w:rsid w:val="007B3616"/>
    <w:rsid w:val="007B77F1"/>
    <w:rsid w:val="007D3952"/>
    <w:rsid w:val="007E6B70"/>
    <w:rsid w:val="007F240F"/>
    <w:rsid w:val="007F4330"/>
    <w:rsid w:val="007F4A33"/>
    <w:rsid w:val="007F5D19"/>
    <w:rsid w:val="00801743"/>
    <w:rsid w:val="00810524"/>
    <w:rsid w:val="00831CC3"/>
    <w:rsid w:val="00835ADE"/>
    <w:rsid w:val="0084413D"/>
    <w:rsid w:val="00845E4A"/>
    <w:rsid w:val="00847284"/>
    <w:rsid w:val="00851D86"/>
    <w:rsid w:val="008527CA"/>
    <w:rsid w:val="0085524E"/>
    <w:rsid w:val="00855EE3"/>
    <w:rsid w:val="00857E8A"/>
    <w:rsid w:val="008636FB"/>
    <w:rsid w:val="00863F45"/>
    <w:rsid w:val="00873828"/>
    <w:rsid w:val="008739F9"/>
    <w:rsid w:val="00880D5E"/>
    <w:rsid w:val="008848E6"/>
    <w:rsid w:val="00897B76"/>
    <w:rsid w:val="008A6BF0"/>
    <w:rsid w:val="008B2F97"/>
    <w:rsid w:val="008B5D80"/>
    <w:rsid w:val="008B61FA"/>
    <w:rsid w:val="008B7C53"/>
    <w:rsid w:val="008C1B42"/>
    <w:rsid w:val="008D1166"/>
    <w:rsid w:val="008E6032"/>
    <w:rsid w:val="008E763E"/>
    <w:rsid w:val="008F113F"/>
    <w:rsid w:val="008F7FBA"/>
    <w:rsid w:val="00900A9C"/>
    <w:rsid w:val="00941C2B"/>
    <w:rsid w:val="0094502D"/>
    <w:rsid w:val="00974403"/>
    <w:rsid w:val="009840A4"/>
    <w:rsid w:val="009958CA"/>
    <w:rsid w:val="009A2415"/>
    <w:rsid w:val="009B0609"/>
    <w:rsid w:val="009B0FD8"/>
    <w:rsid w:val="009B150D"/>
    <w:rsid w:val="009C1A7B"/>
    <w:rsid w:val="009C260B"/>
    <w:rsid w:val="009C2F0F"/>
    <w:rsid w:val="009E014B"/>
    <w:rsid w:val="009E1698"/>
    <w:rsid w:val="009F583C"/>
    <w:rsid w:val="00A01EA7"/>
    <w:rsid w:val="00A20072"/>
    <w:rsid w:val="00A32E53"/>
    <w:rsid w:val="00A33645"/>
    <w:rsid w:val="00A34882"/>
    <w:rsid w:val="00A456A4"/>
    <w:rsid w:val="00A5289F"/>
    <w:rsid w:val="00A57D54"/>
    <w:rsid w:val="00A60F47"/>
    <w:rsid w:val="00AB1604"/>
    <w:rsid w:val="00AC7939"/>
    <w:rsid w:val="00AD4E87"/>
    <w:rsid w:val="00AE26F4"/>
    <w:rsid w:val="00AF04B6"/>
    <w:rsid w:val="00B01501"/>
    <w:rsid w:val="00B10997"/>
    <w:rsid w:val="00B124EC"/>
    <w:rsid w:val="00B24882"/>
    <w:rsid w:val="00B31773"/>
    <w:rsid w:val="00B35AE5"/>
    <w:rsid w:val="00B36FCF"/>
    <w:rsid w:val="00B6141C"/>
    <w:rsid w:val="00B675B1"/>
    <w:rsid w:val="00B75BA9"/>
    <w:rsid w:val="00B80B85"/>
    <w:rsid w:val="00B97F80"/>
    <w:rsid w:val="00BA1825"/>
    <w:rsid w:val="00BC18F8"/>
    <w:rsid w:val="00BC757B"/>
    <w:rsid w:val="00BC7EA0"/>
    <w:rsid w:val="00BD1FF2"/>
    <w:rsid w:val="00BE13C7"/>
    <w:rsid w:val="00BE1F6F"/>
    <w:rsid w:val="00BE2DF1"/>
    <w:rsid w:val="00BE4298"/>
    <w:rsid w:val="00BF12E6"/>
    <w:rsid w:val="00BF5AFD"/>
    <w:rsid w:val="00C0565D"/>
    <w:rsid w:val="00C15665"/>
    <w:rsid w:val="00C17DD7"/>
    <w:rsid w:val="00C27214"/>
    <w:rsid w:val="00C27680"/>
    <w:rsid w:val="00C443BD"/>
    <w:rsid w:val="00C56B8A"/>
    <w:rsid w:val="00C57654"/>
    <w:rsid w:val="00C60E49"/>
    <w:rsid w:val="00C758A9"/>
    <w:rsid w:val="00C912B8"/>
    <w:rsid w:val="00C91E65"/>
    <w:rsid w:val="00C97895"/>
    <w:rsid w:val="00CA3ACD"/>
    <w:rsid w:val="00CB464C"/>
    <w:rsid w:val="00CC379D"/>
    <w:rsid w:val="00CC74AB"/>
    <w:rsid w:val="00CD5AEB"/>
    <w:rsid w:val="00CF4DE4"/>
    <w:rsid w:val="00CF6D80"/>
    <w:rsid w:val="00D0031B"/>
    <w:rsid w:val="00D17074"/>
    <w:rsid w:val="00D34564"/>
    <w:rsid w:val="00D365E5"/>
    <w:rsid w:val="00D51251"/>
    <w:rsid w:val="00D53DCA"/>
    <w:rsid w:val="00D550FB"/>
    <w:rsid w:val="00D57E04"/>
    <w:rsid w:val="00D613CE"/>
    <w:rsid w:val="00D61FA1"/>
    <w:rsid w:val="00D6224F"/>
    <w:rsid w:val="00D64968"/>
    <w:rsid w:val="00D97E95"/>
    <w:rsid w:val="00DA2DEE"/>
    <w:rsid w:val="00DB3AA2"/>
    <w:rsid w:val="00DD0A94"/>
    <w:rsid w:val="00DD2A4E"/>
    <w:rsid w:val="00DE00EF"/>
    <w:rsid w:val="00DE1478"/>
    <w:rsid w:val="00DE1AFA"/>
    <w:rsid w:val="00DE2D9C"/>
    <w:rsid w:val="00DF14BB"/>
    <w:rsid w:val="00E11370"/>
    <w:rsid w:val="00E12B21"/>
    <w:rsid w:val="00E168DA"/>
    <w:rsid w:val="00E25A6A"/>
    <w:rsid w:val="00E25DEC"/>
    <w:rsid w:val="00E414F4"/>
    <w:rsid w:val="00E427D4"/>
    <w:rsid w:val="00E50EEB"/>
    <w:rsid w:val="00E537A8"/>
    <w:rsid w:val="00E62B08"/>
    <w:rsid w:val="00E63D8B"/>
    <w:rsid w:val="00E65A7B"/>
    <w:rsid w:val="00E72562"/>
    <w:rsid w:val="00E92086"/>
    <w:rsid w:val="00EA1C8E"/>
    <w:rsid w:val="00EA4495"/>
    <w:rsid w:val="00EA5AB0"/>
    <w:rsid w:val="00EA5D3B"/>
    <w:rsid w:val="00EB3221"/>
    <w:rsid w:val="00EB747E"/>
    <w:rsid w:val="00EC01BB"/>
    <w:rsid w:val="00EC6077"/>
    <w:rsid w:val="00ED053D"/>
    <w:rsid w:val="00ED1987"/>
    <w:rsid w:val="00F06A11"/>
    <w:rsid w:val="00F06BE4"/>
    <w:rsid w:val="00F2135A"/>
    <w:rsid w:val="00F220DA"/>
    <w:rsid w:val="00F2436A"/>
    <w:rsid w:val="00F24AAC"/>
    <w:rsid w:val="00F34455"/>
    <w:rsid w:val="00F41433"/>
    <w:rsid w:val="00F44C60"/>
    <w:rsid w:val="00F46893"/>
    <w:rsid w:val="00F52EB5"/>
    <w:rsid w:val="00F63ECC"/>
    <w:rsid w:val="00F72A4B"/>
    <w:rsid w:val="00F82380"/>
    <w:rsid w:val="00F82D04"/>
    <w:rsid w:val="00F83357"/>
    <w:rsid w:val="00F8342B"/>
    <w:rsid w:val="00F879CF"/>
    <w:rsid w:val="00F901D6"/>
    <w:rsid w:val="00F91C37"/>
    <w:rsid w:val="00FA609C"/>
    <w:rsid w:val="00FA71F3"/>
    <w:rsid w:val="00FC4A38"/>
    <w:rsid w:val="00FD15D8"/>
    <w:rsid w:val="00FE2788"/>
    <w:rsid w:val="00FF201B"/>
    <w:rsid w:val="00FF4A64"/>
    <w:rsid w:val="00FF5F2E"/>
    <w:rsid w:val="0131510F"/>
    <w:rsid w:val="013A57F9"/>
    <w:rsid w:val="01442B0D"/>
    <w:rsid w:val="01825859"/>
    <w:rsid w:val="01887983"/>
    <w:rsid w:val="019D0DE9"/>
    <w:rsid w:val="01EF182C"/>
    <w:rsid w:val="02046181"/>
    <w:rsid w:val="02181129"/>
    <w:rsid w:val="021E6024"/>
    <w:rsid w:val="02381D9F"/>
    <w:rsid w:val="023D21C5"/>
    <w:rsid w:val="02520316"/>
    <w:rsid w:val="025C199D"/>
    <w:rsid w:val="026E5EEE"/>
    <w:rsid w:val="02767240"/>
    <w:rsid w:val="028849F3"/>
    <w:rsid w:val="028B655D"/>
    <w:rsid w:val="02912576"/>
    <w:rsid w:val="029E6A9B"/>
    <w:rsid w:val="02A216FD"/>
    <w:rsid w:val="02A459A9"/>
    <w:rsid w:val="02BD3661"/>
    <w:rsid w:val="02C06C91"/>
    <w:rsid w:val="02F60D4C"/>
    <w:rsid w:val="03003FDA"/>
    <w:rsid w:val="039A01DA"/>
    <w:rsid w:val="03C31432"/>
    <w:rsid w:val="03D04666"/>
    <w:rsid w:val="03D25117"/>
    <w:rsid w:val="03F10EFE"/>
    <w:rsid w:val="0404335F"/>
    <w:rsid w:val="04294F27"/>
    <w:rsid w:val="04380CAB"/>
    <w:rsid w:val="046A3C9B"/>
    <w:rsid w:val="0496644C"/>
    <w:rsid w:val="049D76C3"/>
    <w:rsid w:val="05056530"/>
    <w:rsid w:val="050E6095"/>
    <w:rsid w:val="052D3172"/>
    <w:rsid w:val="053C133E"/>
    <w:rsid w:val="053D78F3"/>
    <w:rsid w:val="05571F68"/>
    <w:rsid w:val="056C6C20"/>
    <w:rsid w:val="05837341"/>
    <w:rsid w:val="05992CBC"/>
    <w:rsid w:val="0634388A"/>
    <w:rsid w:val="06346D33"/>
    <w:rsid w:val="06406BE1"/>
    <w:rsid w:val="068D0225"/>
    <w:rsid w:val="068D6391"/>
    <w:rsid w:val="06A84D57"/>
    <w:rsid w:val="07347C63"/>
    <w:rsid w:val="076B0765"/>
    <w:rsid w:val="07923C41"/>
    <w:rsid w:val="07E15B19"/>
    <w:rsid w:val="08495105"/>
    <w:rsid w:val="086B006F"/>
    <w:rsid w:val="08862D6C"/>
    <w:rsid w:val="08872616"/>
    <w:rsid w:val="08C629F5"/>
    <w:rsid w:val="08D86F1C"/>
    <w:rsid w:val="093D4AE0"/>
    <w:rsid w:val="09636287"/>
    <w:rsid w:val="097C596A"/>
    <w:rsid w:val="09975029"/>
    <w:rsid w:val="09F41E08"/>
    <w:rsid w:val="09FE29B2"/>
    <w:rsid w:val="0A034005"/>
    <w:rsid w:val="0A3B4909"/>
    <w:rsid w:val="0A97316B"/>
    <w:rsid w:val="0AD6783C"/>
    <w:rsid w:val="0AE54A50"/>
    <w:rsid w:val="0AEF76BB"/>
    <w:rsid w:val="0B016D61"/>
    <w:rsid w:val="0B0D42F2"/>
    <w:rsid w:val="0B7813D0"/>
    <w:rsid w:val="0B9A72CD"/>
    <w:rsid w:val="0BAB55C5"/>
    <w:rsid w:val="0BC976A9"/>
    <w:rsid w:val="0BFA6134"/>
    <w:rsid w:val="0C8052C3"/>
    <w:rsid w:val="0CA15E18"/>
    <w:rsid w:val="0CAA7A10"/>
    <w:rsid w:val="0CAD0D80"/>
    <w:rsid w:val="0CD05636"/>
    <w:rsid w:val="0D21232F"/>
    <w:rsid w:val="0D322E51"/>
    <w:rsid w:val="0D3E1438"/>
    <w:rsid w:val="0D580F63"/>
    <w:rsid w:val="0D7160A1"/>
    <w:rsid w:val="0D776C9C"/>
    <w:rsid w:val="0DFE792F"/>
    <w:rsid w:val="0E3C4776"/>
    <w:rsid w:val="0EB94E27"/>
    <w:rsid w:val="0F1B645A"/>
    <w:rsid w:val="0F221281"/>
    <w:rsid w:val="0F56503F"/>
    <w:rsid w:val="0F634B4C"/>
    <w:rsid w:val="0FA178A3"/>
    <w:rsid w:val="0FB2759B"/>
    <w:rsid w:val="0FD7742E"/>
    <w:rsid w:val="10050446"/>
    <w:rsid w:val="101C02E7"/>
    <w:rsid w:val="10BC1444"/>
    <w:rsid w:val="10C53A3E"/>
    <w:rsid w:val="10E0565F"/>
    <w:rsid w:val="11472E91"/>
    <w:rsid w:val="118E7881"/>
    <w:rsid w:val="11DA4B48"/>
    <w:rsid w:val="12406A1B"/>
    <w:rsid w:val="12416F26"/>
    <w:rsid w:val="124D01B4"/>
    <w:rsid w:val="126B2998"/>
    <w:rsid w:val="128C72BE"/>
    <w:rsid w:val="13020339"/>
    <w:rsid w:val="13545468"/>
    <w:rsid w:val="136D07C6"/>
    <w:rsid w:val="13751835"/>
    <w:rsid w:val="13CD363D"/>
    <w:rsid w:val="14632D00"/>
    <w:rsid w:val="14720E5A"/>
    <w:rsid w:val="148B452E"/>
    <w:rsid w:val="14B720DC"/>
    <w:rsid w:val="14B94033"/>
    <w:rsid w:val="14F65FFC"/>
    <w:rsid w:val="15001A89"/>
    <w:rsid w:val="151D6BB7"/>
    <w:rsid w:val="15304812"/>
    <w:rsid w:val="15416466"/>
    <w:rsid w:val="1544742C"/>
    <w:rsid w:val="155449B8"/>
    <w:rsid w:val="156B47D3"/>
    <w:rsid w:val="15744470"/>
    <w:rsid w:val="158407CF"/>
    <w:rsid w:val="15D2701E"/>
    <w:rsid w:val="15F2690E"/>
    <w:rsid w:val="167B097A"/>
    <w:rsid w:val="16A52E63"/>
    <w:rsid w:val="16DF0089"/>
    <w:rsid w:val="17747697"/>
    <w:rsid w:val="178951F0"/>
    <w:rsid w:val="18087BE7"/>
    <w:rsid w:val="187C769B"/>
    <w:rsid w:val="19001463"/>
    <w:rsid w:val="19206658"/>
    <w:rsid w:val="192D0833"/>
    <w:rsid w:val="1933475D"/>
    <w:rsid w:val="193B125C"/>
    <w:rsid w:val="1964685A"/>
    <w:rsid w:val="19AE1FD6"/>
    <w:rsid w:val="19F43960"/>
    <w:rsid w:val="1A6A4BF6"/>
    <w:rsid w:val="1A8A3DEE"/>
    <w:rsid w:val="1AC81EF5"/>
    <w:rsid w:val="1ADA051F"/>
    <w:rsid w:val="1AF6599F"/>
    <w:rsid w:val="1B105741"/>
    <w:rsid w:val="1B3F6B26"/>
    <w:rsid w:val="1B46229A"/>
    <w:rsid w:val="1BA01C03"/>
    <w:rsid w:val="1BCB4235"/>
    <w:rsid w:val="1C153337"/>
    <w:rsid w:val="1C2D05F5"/>
    <w:rsid w:val="1C923322"/>
    <w:rsid w:val="1CAB52FD"/>
    <w:rsid w:val="1CC240C1"/>
    <w:rsid w:val="1D850295"/>
    <w:rsid w:val="1DA945F0"/>
    <w:rsid w:val="1DA94AF9"/>
    <w:rsid w:val="1DB70517"/>
    <w:rsid w:val="1DDF7D0D"/>
    <w:rsid w:val="1E5B519F"/>
    <w:rsid w:val="1E9351FC"/>
    <w:rsid w:val="1F203D0C"/>
    <w:rsid w:val="1F3A4ABE"/>
    <w:rsid w:val="1F8E6B3E"/>
    <w:rsid w:val="1FA453E9"/>
    <w:rsid w:val="1FC02A2B"/>
    <w:rsid w:val="1FCE364E"/>
    <w:rsid w:val="1FDA12DD"/>
    <w:rsid w:val="201638A4"/>
    <w:rsid w:val="205738CF"/>
    <w:rsid w:val="20612034"/>
    <w:rsid w:val="20856736"/>
    <w:rsid w:val="208860CA"/>
    <w:rsid w:val="20CC7DDC"/>
    <w:rsid w:val="20E6497A"/>
    <w:rsid w:val="210A6E0C"/>
    <w:rsid w:val="217067CC"/>
    <w:rsid w:val="218C4576"/>
    <w:rsid w:val="21BB3D78"/>
    <w:rsid w:val="221C2E2D"/>
    <w:rsid w:val="222D1A38"/>
    <w:rsid w:val="22446B48"/>
    <w:rsid w:val="22647B55"/>
    <w:rsid w:val="22743897"/>
    <w:rsid w:val="229C140E"/>
    <w:rsid w:val="22A61C0F"/>
    <w:rsid w:val="22C27E25"/>
    <w:rsid w:val="22F666DF"/>
    <w:rsid w:val="230E236D"/>
    <w:rsid w:val="23460D56"/>
    <w:rsid w:val="23637118"/>
    <w:rsid w:val="237F493E"/>
    <w:rsid w:val="238658F6"/>
    <w:rsid w:val="23896DE7"/>
    <w:rsid w:val="238F32CD"/>
    <w:rsid w:val="23C557C9"/>
    <w:rsid w:val="23F531E8"/>
    <w:rsid w:val="23FA691B"/>
    <w:rsid w:val="247A488F"/>
    <w:rsid w:val="24AC1531"/>
    <w:rsid w:val="24AC333C"/>
    <w:rsid w:val="24DF7D0E"/>
    <w:rsid w:val="25005262"/>
    <w:rsid w:val="251F0E25"/>
    <w:rsid w:val="252D7E66"/>
    <w:rsid w:val="2552357F"/>
    <w:rsid w:val="25807BFC"/>
    <w:rsid w:val="25BF7042"/>
    <w:rsid w:val="25CA136C"/>
    <w:rsid w:val="25D05E58"/>
    <w:rsid w:val="25EE058A"/>
    <w:rsid w:val="2609257A"/>
    <w:rsid w:val="26175642"/>
    <w:rsid w:val="26556A53"/>
    <w:rsid w:val="26911E31"/>
    <w:rsid w:val="269A7BB5"/>
    <w:rsid w:val="26B2243F"/>
    <w:rsid w:val="26CB59D4"/>
    <w:rsid w:val="271C0B5B"/>
    <w:rsid w:val="272524CF"/>
    <w:rsid w:val="272A34E7"/>
    <w:rsid w:val="274A6DF2"/>
    <w:rsid w:val="2750511F"/>
    <w:rsid w:val="279D33B3"/>
    <w:rsid w:val="27D029E9"/>
    <w:rsid w:val="28471CB7"/>
    <w:rsid w:val="285062B5"/>
    <w:rsid w:val="285B04EA"/>
    <w:rsid w:val="28630C81"/>
    <w:rsid w:val="28791174"/>
    <w:rsid w:val="28795BCE"/>
    <w:rsid w:val="28C21FF1"/>
    <w:rsid w:val="28C2644D"/>
    <w:rsid w:val="28C72F7B"/>
    <w:rsid w:val="290226DB"/>
    <w:rsid w:val="2926000C"/>
    <w:rsid w:val="292B2F55"/>
    <w:rsid w:val="293F0416"/>
    <w:rsid w:val="295E6B72"/>
    <w:rsid w:val="299F0644"/>
    <w:rsid w:val="29A268A5"/>
    <w:rsid w:val="29AA01EA"/>
    <w:rsid w:val="29B72BC8"/>
    <w:rsid w:val="29C15EAE"/>
    <w:rsid w:val="2A031439"/>
    <w:rsid w:val="2A943EC2"/>
    <w:rsid w:val="2AD815A3"/>
    <w:rsid w:val="2AFE6B80"/>
    <w:rsid w:val="2B170859"/>
    <w:rsid w:val="2B353539"/>
    <w:rsid w:val="2B605D7F"/>
    <w:rsid w:val="2B620B29"/>
    <w:rsid w:val="2BB478A4"/>
    <w:rsid w:val="2BD84756"/>
    <w:rsid w:val="2BFB6436"/>
    <w:rsid w:val="2C1264B3"/>
    <w:rsid w:val="2C181647"/>
    <w:rsid w:val="2C33467E"/>
    <w:rsid w:val="2C7A3743"/>
    <w:rsid w:val="2CD733E2"/>
    <w:rsid w:val="2D0354F2"/>
    <w:rsid w:val="2D2740C7"/>
    <w:rsid w:val="2D53200B"/>
    <w:rsid w:val="2D6466B7"/>
    <w:rsid w:val="2D9575F5"/>
    <w:rsid w:val="2DD4478B"/>
    <w:rsid w:val="2DE1379D"/>
    <w:rsid w:val="2E3C21CA"/>
    <w:rsid w:val="2E546A92"/>
    <w:rsid w:val="2E760F18"/>
    <w:rsid w:val="2F7A2576"/>
    <w:rsid w:val="2FD914B3"/>
    <w:rsid w:val="2FEB2E61"/>
    <w:rsid w:val="302A165D"/>
    <w:rsid w:val="30744721"/>
    <w:rsid w:val="309F1F4A"/>
    <w:rsid w:val="30BF2491"/>
    <w:rsid w:val="30E36586"/>
    <w:rsid w:val="31046B01"/>
    <w:rsid w:val="313A750A"/>
    <w:rsid w:val="317B0775"/>
    <w:rsid w:val="31BA47AF"/>
    <w:rsid w:val="3249087D"/>
    <w:rsid w:val="327E4269"/>
    <w:rsid w:val="328961F5"/>
    <w:rsid w:val="328E181F"/>
    <w:rsid w:val="329F5DEA"/>
    <w:rsid w:val="32A77837"/>
    <w:rsid w:val="32AE6350"/>
    <w:rsid w:val="331210F9"/>
    <w:rsid w:val="331632C1"/>
    <w:rsid w:val="332D18A5"/>
    <w:rsid w:val="33331364"/>
    <w:rsid w:val="33D459F4"/>
    <w:rsid w:val="33D467B5"/>
    <w:rsid w:val="33E80D95"/>
    <w:rsid w:val="3404762C"/>
    <w:rsid w:val="34102C8C"/>
    <w:rsid w:val="342B3044"/>
    <w:rsid w:val="343455CA"/>
    <w:rsid w:val="346A737A"/>
    <w:rsid w:val="346E5D72"/>
    <w:rsid w:val="347D7417"/>
    <w:rsid w:val="347D7A40"/>
    <w:rsid w:val="34892BC5"/>
    <w:rsid w:val="34EA3966"/>
    <w:rsid w:val="351F683A"/>
    <w:rsid w:val="3548453C"/>
    <w:rsid w:val="354C26BB"/>
    <w:rsid w:val="35804783"/>
    <w:rsid w:val="358B15BB"/>
    <w:rsid w:val="35F51B80"/>
    <w:rsid w:val="35F945F7"/>
    <w:rsid w:val="36281CAA"/>
    <w:rsid w:val="362C25D2"/>
    <w:rsid w:val="364254FA"/>
    <w:rsid w:val="36532FF4"/>
    <w:rsid w:val="366E63EF"/>
    <w:rsid w:val="369E3DCC"/>
    <w:rsid w:val="36B55EC3"/>
    <w:rsid w:val="36B6112E"/>
    <w:rsid w:val="36CA7B72"/>
    <w:rsid w:val="37785C10"/>
    <w:rsid w:val="37951670"/>
    <w:rsid w:val="37B06DEE"/>
    <w:rsid w:val="37B3452D"/>
    <w:rsid w:val="37C34ACD"/>
    <w:rsid w:val="37C60648"/>
    <w:rsid w:val="37DF0271"/>
    <w:rsid w:val="38627047"/>
    <w:rsid w:val="38ED2EF0"/>
    <w:rsid w:val="391F58AD"/>
    <w:rsid w:val="39414473"/>
    <w:rsid w:val="394B5035"/>
    <w:rsid w:val="395E71A4"/>
    <w:rsid w:val="396308E2"/>
    <w:rsid w:val="3A173CD4"/>
    <w:rsid w:val="3A3F515A"/>
    <w:rsid w:val="3A596215"/>
    <w:rsid w:val="3A5C6D9D"/>
    <w:rsid w:val="3AA161A6"/>
    <w:rsid w:val="3AB21739"/>
    <w:rsid w:val="3ADC5D80"/>
    <w:rsid w:val="3B3B749B"/>
    <w:rsid w:val="3B4770E1"/>
    <w:rsid w:val="3B630FC3"/>
    <w:rsid w:val="3B7D11E3"/>
    <w:rsid w:val="3BA06AB3"/>
    <w:rsid w:val="3BC44143"/>
    <w:rsid w:val="3BCF198D"/>
    <w:rsid w:val="3BE95482"/>
    <w:rsid w:val="3BEE1FD7"/>
    <w:rsid w:val="3BF932AF"/>
    <w:rsid w:val="3C037B1F"/>
    <w:rsid w:val="3C4B021E"/>
    <w:rsid w:val="3CA13EAD"/>
    <w:rsid w:val="3CA97AA1"/>
    <w:rsid w:val="3CE7290C"/>
    <w:rsid w:val="3CFB07EE"/>
    <w:rsid w:val="3CFF7EA9"/>
    <w:rsid w:val="3D1419BA"/>
    <w:rsid w:val="3D245BF8"/>
    <w:rsid w:val="3D2A015A"/>
    <w:rsid w:val="3DDF73DD"/>
    <w:rsid w:val="3DF01A04"/>
    <w:rsid w:val="3E0A40D4"/>
    <w:rsid w:val="3E77397C"/>
    <w:rsid w:val="3E7762B4"/>
    <w:rsid w:val="3E7C661A"/>
    <w:rsid w:val="3EAC28A1"/>
    <w:rsid w:val="3EBF0DB2"/>
    <w:rsid w:val="3EC203FB"/>
    <w:rsid w:val="3EC9355F"/>
    <w:rsid w:val="3ECC6EE3"/>
    <w:rsid w:val="3F0615B6"/>
    <w:rsid w:val="3FEF3E66"/>
    <w:rsid w:val="4004001B"/>
    <w:rsid w:val="40094D7D"/>
    <w:rsid w:val="404C471D"/>
    <w:rsid w:val="405368AD"/>
    <w:rsid w:val="409105AF"/>
    <w:rsid w:val="40A150B6"/>
    <w:rsid w:val="40A92971"/>
    <w:rsid w:val="40D307F1"/>
    <w:rsid w:val="40F3228D"/>
    <w:rsid w:val="412865BD"/>
    <w:rsid w:val="41A1305D"/>
    <w:rsid w:val="41B14847"/>
    <w:rsid w:val="41BB6E00"/>
    <w:rsid w:val="41CD10FE"/>
    <w:rsid w:val="41E11FB7"/>
    <w:rsid w:val="41EA06AC"/>
    <w:rsid w:val="42116A20"/>
    <w:rsid w:val="423E280C"/>
    <w:rsid w:val="42636759"/>
    <w:rsid w:val="42BF647C"/>
    <w:rsid w:val="42CF4D4C"/>
    <w:rsid w:val="42FA0BF3"/>
    <w:rsid w:val="42FF5C8C"/>
    <w:rsid w:val="431A5501"/>
    <w:rsid w:val="43302ED5"/>
    <w:rsid w:val="43430E64"/>
    <w:rsid w:val="43664AFA"/>
    <w:rsid w:val="439C0F97"/>
    <w:rsid w:val="43B67997"/>
    <w:rsid w:val="43BE1603"/>
    <w:rsid w:val="43D84E40"/>
    <w:rsid w:val="442E5B81"/>
    <w:rsid w:val="44374878"/>
    <w:rsid w:val="44705CD5"/>
    <w:rsid w:val="44E52849"/>
    <w:rsid w:val="44F21D67"/>
    <w:rsid w:val="45121AA7"/>
    <w:rsid w:val="456F6318"/>
    <w:rsid w:val="457C25CC"/>
    <w:rsid w:val="45A54224"/>
    <w:rsid w:val="45CE48A3"/>
    <w:rsid w:val="46124EE8"/>
    <w:rsid w:val="464B4EE0"/>
    <w:rsid w:val="4650751B"/>
    <w:rsid w:val="465A20BB"/>
    <w:rsid w:val="466250E9"/>
    <w:rsid w:val="4665549A"/>
    <w:rsid w:val="468D244A"/>
    <w:rsid w:val="46F47361"/>
    <w:rsid w:val="472001C1"/>
    <w:rsid w:val="47A70E11"/>
    <w:rsid w:val="47A76B47"/>
    <w:rsid w:val="47D76015"/>
    <w:rsid w:val="47E8258E"/>
    <w:rsid w:val="480D0FE9"/>
    <w:rsid w:val="480D33D5"/>
    <w:rsid w:val="48344D78"/>
    <w:rsid w:val="48460CF2"/>
    <w:rsid w:val="489052A0"/>
    <w:rsid w:val="48A077F0"/>
    <w:rsid w:val="48A33500"/>
    <w:rsid w:val="48B13034"/>
    <w:rsid w:val="48CF22C1"/>
    <w:rsid w:val="491B083D"/>
    <w:rsid w:val="49274E19"/>
    <w:rsid w:val="49501355"/>
    <w:rsid w:val="4A7B6405"/>
    <w:rsid w:val="4B0E200C"/>
    <w:rsid w:val="4B5D2CD5"/>
    <w:rsid w:val="4BCA69A0"/>
    <w:rsid w:val="4BE24B63"/>
    <w:rsid w:val="4BEE0719"/>
    <w:rsid w:val="4C3C55DB"/>
    <w:rsid w:val="4C5E1DB7"/>
    <w:rsid w:val="4C6B570C"/>
    <w:rsid w:val="4CA877CB"/>
    <w:rsid w:val="4CDF0E6E"/>
    <w:rsid w:val="4D294230"/>
    <w:rsid w:val="4D8E5F20"/>
    <w:rsid w:val="4D935AC5"/>
    <w:rsid w:val="4DC31516"/>
    <w:rsid w:val="4DC55B7E"/>
    <w:rsid w:val="4DD32919"/>
    <w:rsid w:val="4DDA0479"/>
    <w:rsid w:val="4E530686"/>
    <w:rsid w:val="4E7D7917"/>
    <w:rsid w:val="4E8C055A"/>
    <w:rsid w:val="4E98017C"/>
    <w:rsid w:val="4EC75355"/>
    <w:rsid w:val="4EF747BD"/>
    <w:rsid w:val="4F404B61"/>
    <w:rsid w:val="4F417B53"/>
    <w:rsid w:val="4F920731"/>
    <w:rsid w:val="4F9660D0"/>
    <w:rsid w:val="4F9F1352"/>
    <w:rsid w:val="4FFA742A"/>
    <w:rsid w:val="500373B2"/>
    <w:rsid w:val="502B4DAC"/>
    <w:rsid w:val="506B65BA"/>
    <w:rsid w:val="506C5351"/>
    <w:rsid w:val="50742DDD"/>
    <w:rsid w:val="50B213CE"/>
    <w:rsid w:val="50B6100E"/>
    <w:rsid w:val="50BB55F1"/>
    <w:rsid w:val="50CF7A05"/>
    <w:rsid w:val="50E7544D"/>
    <w:rsid w:val="51197390"/>
    <w:rsid w:val="511C6973"/>
    <w:rsid w:val="512E4EF8"/>
    <w:rsid w:val="513B290A"/>
    <w:rsid w:val="514313F7"/>
    <w:rsid w:val="51947157"/>
    <w:rsid w:val="51C93704"/>
    <w:rsid w:val="51E63A25"/>
    <w:rsid w:val="51F2728C"/>
    <w:rsid w:val="51FD5C6A"/>
    <w:rsid w:val="520D378A"/>
    <w:rsid w:val="52170BFC"/>
    <w:rsid w:val="5222314F"/>
    <w:rsid w:val="52320CBA"/>
    <w:rsid w:val="52607CC6"/>
    <w:rsid w:val="52CF608B"/>
    <w:rsid w:val="52DA483F"/>
    <w:rsid w:val="52F76B0E"/>
    <w:rsid w:val="530813F5"/>
    <w:rsid w:val="53285BE5"/>
    <w:rsid w:val="53376D35"/>
    <w:rsid w:val="535248BD"/>
    <w:rsid w:val="53997856"/>
    <w:rsid w:val="53B62F43"/>
    <w:rsid w:val="53E44857"/>
    <w:rsid w:val="53E65288"/>
    <w:rsid w:val="53EB26B3"/>
    <w:rsid w:val="53F9105B"/>
    <w:rsid w:val="54543C3D"/>
    <w:rsid w:val="548A01B3"/>
    <w:rsid w:val="548C59E6"/>
    <w:rsid w:val="54E52323"/>
    <w:rsid w:val="559E01B3"/>
    <w:rsid w:val="55A05B3F"/>
    <w:rsid w:val="55D56C74"/>
    <w:rsid w:val="55DC05B3"/>
    <w:rsid w:val="55E72D6A"/>
    <w:rsid w:val="56325360"/>
    <w:rsid w:val="565C7C56"/>
    <w:rsid w:val="567D676E"/>
    <w:rsid w:val="56A624B2"/>
    <w:rsid w:val="56E14E9F"/>
    <w:rsid w:val="57354F0E"/>
    <w:rsid w:val="574C00E7"/>
    <w:rsid w:val="577144DA"/>
    <w:rsid w:val="577B39A1"/>
    <w:rsid w:val="5785631F"/>
    <w:rsid w:val="57A83D7D"/>
    <w:rsid w:val="57B9285A"/>
    <w:rsid w:val="57CD3F76"/>
    <w:rsid w:val="57CE6D3A"/>
    <w:rsid w:val="58220DF2"/>
    <w:rsid w:val="58235328"/>
    <w:rsid w:val="58550FBC"/>
    <w:rsid w:val="58612D77"/>
    <w:rsid w:val="58792C3E"/>
    <w:rsid w:val="588845F7"/>
    <w:rsid w:val="58A14202"/>
    <w:rsid w:val="58D73DB9"/>
    <w:rsid w:val="59120160"/>
    <w:rsid w:val="59315A68"/>
    <w:rsid w:val="59334611"/>
    <w:rsid w:val="593D23D7"/>
    <w:rsid w:val="594E1FCC"/>
    <w:rsid w:val="597B2352"/>
    <w:rsid w:val="5A125E5F"/>
    <w:rsid w:val="5A6D4BA8"/>
    <w:rsid w:val="5A773374"/>
    <w:rsid w:val="5A773AA3"/>
    <w:rsid w:val="5A996CEC"/>
    <w:rsid w:val="5AA37859"/>
    <w:rsid w:val="5AC85203"/>
    <w:rsid w:val="5AE432C2"/>
    <w:rsid w:val="5AE768A6"/>
    <w:rsid w:val="5AED237F"/>
    <w:rsid w:val="5B6C3508"/>
    <w:rsid w:val="5B7A24A0"/>
    <w:rsid w:val="5BB96560"/>
    <w:rsid w:val="5BE05E9F"/>
    <w:rsid w:val="5BE14F50"/>
    <w:rsid w:val="5BE33F37"/>
    <w:rsid w:val="5BF45DD9"/>
    <w:rsid w:val="5C0666C7"/>
    <w:rsid w:val="5C1951E6"/>
    <w:rsid w:val="5C43453E"/>
    <w:rsid w:val="5C560411"/>
    <w:rsid w:val="5C70466E"/>
    <w:rsid w:val="5CE123DB"/>
    <w:rsid w:val="5CE7257F"/>
    <w:rsid w:val="5CEE378D"/>
    <w:rsid w:val="5D562E76"/>
    <w:rsid w:val="5D586285"/>
    <w:rsid w:val="5D626F06"/>
    <w:rsid w:val="5DA33F6C"/>
    <w:rsid w:val="5DE5615B"/>
    <w:rsid w:val="5DF57664"/>
    <w:rsid w:val="5DF97E07"/>
    <w:rsid w:val="5E2F3029"/>
    <w:rsid w:val="5E360778"/>
    <w:rsid w:val="5E7950C0"/>
    <w:rsid w:val="5EB90D7C"/>
    <w:rsid w:val="5EF30C29"/>
    <w:rsid w:val="5EF34DC9"/>
    <w:rsid w:val="5EF70F05"/>
    <w:rsid w:val="5EFF366F"/>
    <w:rsid w:val="5F4666F5"/>
    <w:rsid w:val="5F49114F"/>
    <w:rsid w:val="5F9D3902"/>
    <w:rsid w:val="5FCF261A"/>
    <w:rsid w:val="60247966"/>
    <w:rsid w:val="6028449B"/>
    <w:rsid w:val="602C7B6E"/>
    <w:rsid w:val="603801BB"/>
    <w:rsid w:val="603F0DF1"/>
    <w:rsid w:val="60B13CA3"/>
    <w:rsid w:val="611C6864"/>
    <w:rsid w:val="612421AE"/>
    <w:rsid w:val="61292232"/>
    <w:rsid w:val="616A6759"/>
    <w:rsid w:val="6176670E"/>
    <w:rsid w:val="61B95299"/>
    <w:rsid w:val="61EC1DD9"/>
    <w:rsid w:val="61EF1618"/>
    <w:rsid w:val="620552D2"/>
    <w:rsid w:val="62284B60"/>
    <w:rsid w:val="623C1027"/>
    <w:rsid w:val="62854849"/>
    <w:rsid w:val="628B5E5B"/>
    <w:rsid w:val="62A82123"/>
    <w:rsid w:val="62AB167D"/>
    <w:rsid w:val="62B34977"/>
    <w:rsid w:val="62CC0050"/>
    <w:rsid w:val="62CC6472"/>
    <w:rsid w:val="62F6517E"/>
    <w:rsid w:val="63146B1C"/>
    <w:rsid w:val="636C0EF5"/>
    <w:rsid w:val="63756944"/>
    <w:rsid w:val="63C33CD7"/>
    <w:rsid w:val="6408287A"/>
    <w:rsid w:val="640935A1"/>
    <w:rsid w:val="64237073"/>
    <w:rsid w:val="64CE28D5"/>
    <w:rsid w:val="64CE4375"/>
    <w:rsid w:val="651F6E93"/>
    <w:rsid w:val="6523746B"/>
    <w:rsid w:val="653005C4"/>
    <w:rsid w:val="653B59DE"/>
    <w:rsid w:val="65762404"/>
    <w:rsid w:val="65E15E84"/>
    <w:rsid w:val="662966D5"/>
    <w:rsid w:val="66535BDD"/>
    <w:rsid w:val="66A10A78"/>
    <w:rsid w:val="670D4F5E"/>
    <w:rsid w:val="675E59B4"/>
    <w:rsid w:val="678444D4"/>
    <w:rsid w:val="678C4E6A"/>
    <w:rsid w:val="68390741"/>
    <w:rsid w:val="685157DF"/>
    <w:rsid w:val="68521268"/>
    <w:rsid w:val="688E1BB9"/>
    <w:rsid w:val="69007FDD"/>
    <w:rsid w:val="69145C6A"/>
    <w:rsid w:val="69231689"/>
    <w:rsid w:val="693A725B"/>
    <w:rsid w:val="6955083C"/>
    <w:rsid w:val="697435B0"/>
    <w:rsid w:val="69A5153A"/>
    <w:rsid w:val="69BB2B27"/>
    <w:rsid w:val="69DF390E"/>
    <w:rsid w:val="6A22716C"/>
    <w:rsid w:val="6A3677D3"/>
    <w:rsid w:val="6A383DBC"/>
    <w:rsid w:val="6A7A50C0"/>
    <w:rsid w:val="6A9A441C"/>
    <w:rsid w:val="6AA34C50"/>
    <w:rsid w:val="6AA90AA8"/>
    <w:rsid w:val="6AB26742"/>
    <w:rsid w:val="6AF036F4"/>
    <w:rsid w:val="6B1C1A0A"/>
    <w:rsid w:val="6B370954"/>
    <w:rsid w:val="6B3B2EC9"/>
    <w:rsid w:val="6B6D542A"/>
    <w:rsid w:val="6B7C375D"/>
    <w:rsid w:val="6B846FAC"/>
    <w:rsid w:val="6B8C4BA1"/>
    <w:rsid w:val="6B99345E"/>
    <w:rsid w:val="6BB71F44"/>
    <w:rsid w:val="6C1748A4"/>
    <w:rsid w:val="6C1A4636"/>
    <w:rsid w:val="6C2115ED"/>
    <w:rsid w:val="6C331860"/>
    <w:rsid w:val="6C9409AB"/>
    <w:rsid w:val="6CB264C8"/>
    <w:rsid w:val="6CCC1033"/>
    <w:rsid w:val="6D023176"/>
    <w:rsid w:val="6D13193B"/>
    <w:rsid w:val="6D327BAF"/>
    <w:rsid w:val="6D7C1759"/>
    <w:rsid w:val="6D7F0C5B"/>
    <w:rsid w:val="6DBD0003"/>
    <w:rsid w:val="6DC2511D"/>
    <w:rsid w:val="6DF730CA"/>
    <w:rsid w:val="6E080C1A"/>
    <w:rsid w:val="6E3E4E25"/>
    <w:rsid w:val="6E430D24"/>
    <w:rsid w:val="6E5B4E2D"/>
    <w:rsid w:val="6EB02546"/>
    <w:rsid w:val="6EF55A96"/>
    <w:rsid w:val="6F6450A3"/>
    <w:rsid w:val="6F68184A"/>
    <w:rsid w:val="6FC17F30"/>
    <w:rsid w:val="701831E0"/>
    <w:rsid w:val="70431419"/>
    <w:rsid w:val="70806CC3"/>
    <w:rsid w:val="71036877"/>
    <w:rsid w:val="712B76C6"/>
    <w:rsid w:val="713700CC"/>
    <w:rsid w:val="714E299B"/>
    <w:rsid w:val="714F0C57"/>
    <w:rsid w:val="71D268FB"/>
    <w:rsid w:val="71ED77DF"/>
    <w:rsid w:val="71F011AB"/>
    <w:rsid w:val="72053B52"/>
    <w:rsid w:val="72266E1E"/>
    <w:rsid w:val="7228696C"/>
    <w:rsid w:val="72470C0B"/>
    <w:rsid w:val="72496D2C"/>
    <w:rsid w:val="7251337B"/>
    <w:rsid w:val="725B1CB5"/>
    <w:rsid w:val="7315110B"/>
    <w:rsid w:val="739D0810"/>
    <w:rsid w:val="73A14C64"/>
    <w:rsid w:val="73B30004"/>
    <w:rsid w:val="73DA7F5D"/>
    <w:rsid w:val="73E74316"/>
    <w:rsid w:val="73F7239D"/>
    <w:rsid w:val="73FA60C7"/>
    <w:rsid w:val="742300DB"/>
    <w:rsid w:val="7434641A"/>
    <w:rsid w:val="74796BCA"/>
    <w:rsid w:val="74834A5B"/>
    <w:rsid w:val="74A1484D"/>
    <w:rsid w:val="74BB58F5"/>
    <w:rsid w:val="74CA4F72"/>
    <w:rsid w:val="74EA023B"/>
    <w:rsid w:val="74EC6047"/>
    <w:rsid w:val="75314977"/>
    <w:rsid w:val="755B449E"/>
    <w:rsid w:val="75752F7C"/>
    <w:rsid w:val="759F72F3"/>
    <w:rsid w:val="75CE4F96"/>
    <w:rsid w:val="761F68A2"/>
    <w:rsid w:val="76595867"/>
    <w:rsid w:val="76807F25"/>
    <w:rsid w:val="76810483"/>
    <w:rsid w:val="76B218A6"/>
    <w:rsid w:val="76B96002"/>
    <w:rsid w:val="76D42597"/>
    <w:rsid w:val="772D2C56"/>
    <w:rsid w:val="773E37FB"/>
    <w:rsid w:val="779C337E"/>
    <w:rsid w:val="77AE1B8C"/>
    <w:rsid w:val="77AE203F"/>
    <w:rsid w:val="77C364C0"/>
    <w:rsid w:val="77E07F67"/>
    <w:rsid w:val="77E7204E"/>
    <w:rsid w:val="780040B9"/>
    <w:rsid w:val="783842C9"/>
    <w:rsid w:val="785C0B47"/>
    <w:rsid w:val="78AE6287"/>
    <w:rsid w:val="78C31BBE"/>
    <w:rsid w:val="78DF0B08"/>
    <w:rsid w:val="791665C1"/>
    <w:rsid w:val="79493E90"/>
    <w:rsid w:val="79494912"/>
    <w:rsid w:val="79757761"/>
    <w:rsid w:val="79812963"/>
    <w:rsid w:val="798518FB"/>
    <w:rsid w:val="799740B7"/>
    <w:rsid w:val="79A05504"/>
    <w:rsid w:val="79B2382E"/>
    <w:rsid w:val="79F42801"/>
    <w:rsid w:val="7A006898"/>
    <w:rsid w:val="7A094F79"/>
    <w:rsid w:val="7A0C403F"/>
    <w:rsid w:val="7A115EBC"/>
    <w:rsid w:val="7A293BFF"/>
    <w:rsid w:val="7A3D2684"/>
    <w:rsid w:val="7A9D6F19"/>
    <w:rsid w:val="7B8D0F2A"/>
    <w:rsid w:val="7BA91035"/>
    <w:rsid w:val="7BC61133"/>
    <w:rsid w:val="7C1D17F6"/>
    <w:rsid w:val="7C2125B7"/>
    <w:rsid w:val="7C227B31"/>
    <w:rsid w:val="7C781C55"/>
    <w:rsid w:val="7C833AFF"/>
    <w:rsid w:val="7C975798"/>
    <w:rsid w:val="7CA103C5"/>
    <w:rsid w:val="7CA4122A"/>
    <w:rsid w:val="7CB404EA"/>
    <w:rsid w:val="7CC67EB6"/>
    <w:rsid w:val="7CF404F4"/>
    <w:rsid w:val="7D29489F"/>
    <w:rsid w:val="7D2A7753"/>
    <w:rsid w:val="7D3B3524"/>
    <w:rsid w:val="7D556687"/>
    <w:rsid w:val="7DA16847"/>
    <w:rsid w:val="7E1A0CC5"/>
    <w:rsid w:val="7E392711"/>
    <w:rsid w:val="7E696E79"/>
    <w:rsid w:val="7ED97A07"/>
    <w:rsid w:val="7EF56356"/>
    <w:rsid w:val="7F0D4482"/>
    <w:rsid w:val="7F363046"/>
    <w:rsid w:val="7F530467"/>
    <w:rsid w:val="7F7B2885"/>
    <w:rsid w:val="7F7F65CA"/>
    <w:rsid w:val="7F9363C7"/>
    <w:rsid w:val="7FB5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autoRedefine/>
    <w:qFormat/>
    <w:uiPriority w:val="0"/>
    <w:pPr>
      <w:keepNext/>
      <w:keepLines/>
      <w:spacing w:before="100" w:after="100"/>
      <w:jc w:val="center"/>
      <w:outlineLvl w:val="0"/>
    </w:pPr>
    <w:rPr>
      <w:b/>
      <w:bCs/>
      <w:kern w:val="44"/>
      <w:sz w:val="32"/>
      <w:szCs w:val="44"/>
    </w:rPr>
  </w:style>
  <w:style w:type="paragraph" w:styleId="3">
    <w:name w:val="heading 2"/>
    <w:basedOn w:val="1"/>
    <w:next w:val="4"/>
    <w:link w:val="52"/>
    <w:autoRedefine/>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1"/>
    <w:link w:val="54"/>
    <w:autoRedefine/>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link w:val="53"/>
    <w:autoRedefine/>
    <w:qFormat/>
    <w:uiPriority w:val="0"/>
    <w:pPr>
      <w:autoSpaceDE w:val="0"/>
      <w:autoSpaceDN w:val="0"/>
      <w:adjustRightInd w:val="0"/>
      <w:ind w:firstLine="420"/>
      <w:jc w:val="left"/>
    </w:pPr>
    <w:rPr>
      <w:rFonts w:ascii="宋体"/>
      <w:kern w:val="0"/>
      <w:sz w:val="24"/>
      <w:szCs w:val="20"/>
    </w:rPr>
  </w:style>
  <w:style w:type="paragraph" w:styleId="5">
    <w:name w:val="Plain Text"/>
    <w:basedOn w:val="1"/>
    <w:next w:val="1"/>
    <w:link w:val="51"/>
    <w:autoRedefine/>
    <w:qFormat/>
    <w:uiPriority w:val="99"/>
    <w:rPr>
      <w:rFonts w:ascii="宋体" w:hAnsi="Courier New"/>
      <w:kern w:val="0"/>
      <w:sz w:val="20"/>
      <w:szCs w:val="20"/>
    </w:rPr>
  </w:style>
  <w:style w:type="paragraph" w:styleId="7">
    <w:name w:val="Document Map"/>
    <w:basedOn w:val="1"/>
    <w:link w:val="56"/>
    <w:autoRedefine/>
    <w:qFormat/>
    <w:uiPriority w:val="0"/>
    <w:rPr>
      <w:rFonts w:ascii="宋体" w:hAnsi="Calibri"/>
      <w:kern w:val="0"/>
      <w:sz w:val="18"/>
      <w:szCs w:val="18"/>
    </w:rPr>
  </w:style>
  <w:style w:type="paragraph" w:styleId="8">
    <w:name w:val="annotation text"/>
    <w:basedOn w:val="1"/>
    <w:link w:val="59"/>
    <w:autoRedefine/>
    <w:qFormat/>
    <w:uiPriority w:val="99"/>
    <w:pPr>
      <w:jc w:val="left"/>
    </w:pPr>
    <w:rPr>
      <w:rFonts w:ascii="Calibri" w:hAnsi="Calibri"/>
      <w:kern w:val="0"/>
      <w:sz w:val="20"/>
    </w:rPr>
  </w:style>
  <w:style w:type="paragraph" w:styleId="9">
    <w:name w:val="Body Text"/>
    <w:basedOn w:val="1"/>
    <w:next w:val="10"/>
    <w:link w:val="57"/>
    <w:autoRedefine/>
    <w:qFormat/>
    <w:uiPriority w:val="0"/>
    <w:pPr>
      <w:tabs>
        <w:tab w:val="left" w:pos="567"/>
      </w:tabs>
      <w:spacing w:before="120" w:line="22" w:lineRule="atLeast"/>
    </w:pPr>
    <w:rPr>
      <w:rFonts w:ascii="宋体" w:hAnsi="宋体"/>
      <w:sz w:val="24"/>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next w:val="12"/>
    <w:link w:val="58"/>
    <w:autoRedefine/>
    <w:qFormat/>
    <w:uiPriority w:val="0"/>
    <w:pPr>
      <w:spacing w:after="120"/>
      <w:ind w:left="420" w:leftChars="200"/>
    </w:pPr>
  </w:style>
  <w:style w:type="paragraph" w:styleId="12">
    <w:name w:val="envelope return"/>
    <w:basedOn w:val="1"/>
    <w:next w:val="13"/>
    <w:autoRedefine/>
    <w:unhideWhenUsed/>
    <w:qFormat/>
    <w:uiPriority w:val="99"/>
    <w:pPr>
      <w:snapToGrid w:val="0"/>
    </w:pPr>
    <w:rPr>
      <w:rFonts w:ascii="Arial" w:hAnsi="Arial"/>
    </w:rPr>
  </w:style>
  <w:style w:type="paragraph" w:styleId="13">
    <w:name w:val="Title"/>
    <w:basedOn w:val="1"/>
    <w:next w:val="1"/>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14">
    <w:name w:val="List Bullet 2"/>
    <w:basedOn w:val="1"/>
    <w:autoRedefine/>
    <w:semiHidden/>
    <w:unhideWhenUsed/>
    <w:qFormat/>
    <w:uiPriority w:val="99"/>
    <w:pPr>
      <w:numPr>
        <w:ilvl w:val="0"/>
        <w:numId w:val="1"/>
      </w:numPr>
    </w:pPr>
  </w:style>
  <w:style w:type="paragraph" w:styleId="15">
    <w:name w:val="toc 3"/>
    <w:basedOn w:val="1"/>
    <w:next w:val="1"/>
    <w:autoRedefine/>
    <w:qFormat/>
    <w:uiPriority w:val="39"/>
    <w:pPr>
      <w:spacing w:line="500" w:lineRule="exact"/>
      <w:ind w:left="400" w:leftChars="400"/>
    </w:pPr>
    <w:rPr>
      <w:sz w:val="24"/>
    </w:rPr>
  </w:style>
  <w:style w:type="paragraph" w:styleId="16">
    <w:name w:val="Date"/>
    <w:basedOn w:val="1"/>
    <w:next w:val="1"/>
    <w:link w:val="55"/>
    <w:autoRedefine/>
    <w:qFormat/>
    <w:uiPriority w:val="0"/>
    <w:pPr>
      <w:ind w:left="100" w:leftChars="2500"/>
    </w:pPr>
    <w:rPr>
      <w:rFonts w:ascii="Calibri" w:hAnsi="Calibri"/>
    </w:rPr>
  </w:style>
  <w:style w:type="paragraph" w:styleId="17">
    <w:name w:val="Body Text Indent 2"/>
    <w:basedOn w:val="1"/>
    <w:next w:val="1"/>
    <w:link w:val="48"/>
    <w:autoRedefine/>
    <w:qFormat/>
    <w:uiPriority w:val="0"/>
    <w:pPr>
      <w:spacing w:after="120" w:line="480" w:lineRule="auto"/>
      <w:ind w:left="420" w:leftChars="200"/>
    </w:pPr>
  </w:style>
  <w:style w:type="paragraph" w:styleId="18">
    <w:name w:val="Balloon Text"/>
    <w:basedOn w:val="1"/>
    <w:link w:val="49"/>
    <w:autoRedefine/>
    <w:unhideWhenUsed/>
    <w:qFormat/>
    <w:uiPriority w:val="99"/>
    <w:rPr>
      <w:sz w:val="18"/>
      <w:szCs w:val="18"/>
    </w:rPr>
  </w:style>
  <w:style w:type="paragraph" w:styleId="19">
    <w:name w:val="footer"/>
    <w:basedOn w:val="1"/>
    <w:link w:val="46"/>
    <w:autoRedefine/>
    <w:qFormat/>
    <w:uiPriority w:val="0"/>
    <w:pPr>
      <w:tabs>
        <w:tab w:val="center" w:pos="4153"/>
        <w:tab w:val="right" w:pos="8306"/>
      </w:tabs>
      <w:snapToGrid w:val="0"/>
      <w:jc w:val="left"/>
    </w:pPr>
    <w:rPr>
      <w:rFonts w:ascii="Calibri" w:hAnsi="Calibri"/>
      <w:sz w:val="18"/>
      <w:szCs w:val="18"/>
    </w:rPr>
  </w:style>
  <w:style w:type="paragraph" w:styleId="20">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left" w:pos="1260"/>
        <w:tab w:val="right" w:leader="dot" w:pos="9060"/>
      </w:tabs>
      <w:spacing w:line="500" w:lineRule="exact"/>
    </w:pPr>
    <w:rPr>
      <w:sz w:val="24"/>
    </w:rPr>
  </w:style>
  <w:style w:type="paragraph" w:styleId="22">
    <w:name w:val="toc 2"/>
    <w:basedOn w:val="1"/>
    <w:next w:val="1"/>
    <w:autoRedefine/>
    <w:qFormat/>
    <w:uiPriority w:val="39"/>
    <w:pPr>
      <w:spacing w:line="500" w:lineRule="exact"/>
      <w:ind w:left="200" w:leftChars="200"/>
    </w:pPr>
    <w:rPr>
      <w:sz w:val="24"/>
    </w:rPr>
  </w:style>
  <w:style w:type="paragraph" w:styleId="23">
    <w:name w:val="Normal (Web)"/>
    <w:basedOn w:val="1"/>
    <w:autoRedefine/>
    <w:qFormat/>
    <w:uiPriority w:val="0"/>
    <w:pPr>
      <w:spacing w:before="100" w:beforeAutospacing="1" w:after="100" w:afterAutospacing="1"/>
      <w:jc w:val="left"/>
    </w:pPr>
    <w:rPr>
      <w:kern w:val="0"/>
      <w:sz w:val="24"/>
    </w:rPr>
  </w:style>
  <w:style w:type="paragraph" w:styleId="24">
    <w:name w:val="index 1"/>
    <w:basedOn w:val="1"/>
    <w:next w:val="1"/>
    <w:autoRedefine/>
    <w:semiHidden/>
    <w:qFormat/>
    <w:uiPriority w:val="0"/>
    <w:rPr>
      <w:szCs w:val="20"/>
    </w:rPr>
  </w:style>
  <w:style w:type="paragraph" w:styleId="25">
    <w:name w:val="annotation subject"/>
    <w:basedOn w:val="8"/>
    <w:next w:val="8"/>
    <w:link w:val="73"/>
    <w:autoRedefine/>
    <w:semiHidden/>
    <w:unhideWhenUsed/>
    <w:qFormat/>
    <w:uiPriority w:val="99"/>
    <w:rPr>
      <w:rFonts w:ascii="Times New Roman" w:hAnsi="Times New Roman"/>
      <w:b/>
      <w:bCs/>
      <w:kern w:val="2"/>
      <w:sz w:val="21"/>
    </w:rPr>
  </w:style>
  <w:style w:type="paragraph" w:styleId="26">
    <w:name w:val="Body Text First Indent"/>
    <w:qFormat/>
    <w:uiPriority w:val="0"/>
    <w:pPr>
      <w:widowControl w:val="0"/>
      <w:spacing w:after="120"/>
      <w:ind w:firstLine="420" w:firstLineChars="100"/>
      <w:jc w:val="both"/>
    </w:pPr>
    <w:rPr>
      <w:rFonts w:ascii="Times New Roman" w:hAnsi="Times New Roman" w:eastAsia="宋体" w:cs="Times New Roman"/>
      <w:kern w:val="2"/>
      <w:sz w:val="24"/>
      <w:szCs w:val="24"/>
      <w:lang w:val="en-US" w:eastAsia="zh-CN" w:bidi="ar-SA"/>
    </w:rPr>
  </w:style>
  <w:style w:type="paragraph" w:styleId="27">
    <w:name w:val="Body Text First Indent 2"/>
    <w:basedOn w:val="11"/>
    <w:next w:val="4"/>
    <w:link w:val="74"/>
    <w:autoRedefine/>
    <w:qFormat/>
    <w:uiPriority w:val="0"/>
    <w:pPr>
      <w:ind w:firstLine="420" w:firstLineChars="200"/>
    </w:pPr>
  </w:style>
  <w:style w:type="table" w:styleId="29">
    <w:name w:val="Table Grid"/>
    <w:basedOn w:val="2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page number"/>
    <w:basedOn w:val="30"/>
    <w:autoRedefine/>
    <w:qFormat/>
    <w:uiPriority w:val="0"/>
  </w:style>
  <w:style w:type="character" w:styleId="33">
    <w:name w:val="FollowedHyperlink"/>
    <w:basedOn w:val="30"/>
    <w:autoRedefine/>
    <w:qFormat/>
    <w:uiPriority w:val="0"/>
    <w:rPr>
      <w:color w:val="800080"/>
      <w:u w:val="single"/>
    </w:rPr>
  </w:style>
  <w:style w:type="character" w:styleId="34">
    <w:name w:val="Hyperlink"/>
    <w:basedOn w:val="30"/>
    <w:autoRedefine/>
    <w:qFormat/>
    <w:uiPriority w:val="99"/>
    <w:rPr>
      <w:color w:val="0000FF"/>
      <w:u w:val="single"/>
    </w:rPr>
  </w:style>
  <w:style w:type="character" w:styleId="35">
    <w:name w:val="annotation reference"/>
    <w:autoRedefine/>
    <w:semiHidden/>
    <w:qFormat/>
    <w:uiPriority w:val="99"/>
    <w:rPr>
      <w:sz w:val="21"/>
      <w:szCs w:val="21"/>
    </w:rPr>
  </w:style>
  <w:style w:type="paragraph" w:customStyle="1" w:styleId="36">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37">
    <w:name w:val="目录 72"/>
    <w:basedOn w:val="1"/>
    <w:next w:val="1"/>
    <w:autoRedefine/>
    <w:qFormat/>
    <w:uiPriority w:val="39"/>
    <w:pPr>
      <w:ind w:left="1260"/>
    </w:pPr>
    <w:rPr>
      <w:sz w:val="18"/>
    </w:rPr>
  </w:style>
  <w:style w:type="paragraph" w:customStyle="1" w:styleId="38">
    <w:name w:val="模板普通正文"/>
    <w:basedOn w:val="11"/>
    <w:autoRedefine/>
    <w:qFormat/>
    <w:uiPriority w:val="0"/>
    <w:pPr>
      <w:spacing w:beforeLines="50" w:after="10"/>
      <w:ind w:firstLine="490" w:firstLineChars="175"/>
      <w:jc w:val="left"/>
    </w:pPr>
  </w:style>
  <w:style w:type="character" w:customStyle="1" w:styleId="39">
    <w:name w:val="批注文字 Char1"/>
    <w:basedOn w:val="30"/>
    <w:autoRedefine/>
    <w:semiHidden/>
    <w:qFormat/>
    <w:uiPriority w:val="99"/>
    <w:rPr>
      <w:rFonts w:ascii="Times New Roman" w:hAnsi="Times New Roman" w:eastAsia="宋体" w:cs="Times New Roman"/>
      <w:szCs w:val="24"/>
    </w:rPr>
  </w:style>
  <w:style w:type="character" w:customStyle="1" w:styleId="40">
    <w:name w:val="样式（正文） Char"/>
    <w:link w:val="41"/>
    <w:autoRedefine/>
    <w:qFormat/>
    <w:locked/>
    <w:uiPriority w:val="0"/>
    <w:rPr>
      <w:rFonts w:ascii="宋体" w:hAnsi="宋体" w:eastAsia="宋体"/>
      <w:sz w:val="24"/>
    </w:rPr>
  </w:style>
  <w:style w:type="paragraph" w:customStyle="1" w:styleId="41">
    <w:name w:val="样式（正文）"/>
    <w:basedOn w:val="1"/>
    <w:link w:val="40"/>
    <w:autoRedefine/>
    <w:qFormat/>
    <w:uiPriority w:val="0"/>
    <w:pPr>
      <w:spacing w:line="360" w:lineRule="auto"/>
      <w:ind w:firstLine="200" w:firstLineChars="200"/>
    </w:pPr>
    <w:rPr>
      <w:rFonts w:ascii="宋体" w:hAnsi="宋体"/>
      <w:kern w:val="0"/>
      <w:sz w:val="24"/>
      <w:szCs w:val="20"/>
    </w:rPr>
  </w:style>
  <w:style w:type="character" w:customStyle="1" w:styleId="42">
    <w:name w:val="日期 Char1"/>
    <w:basedOn w:val="30"/>
    <w:autoRedefine/>
    <w:semiHidden/>
    <w:qFormat/>
    <w:uiPriority w:val="99"/>
    <w:rPr>
      <w:rFonts w:ascii="Times New Roman" w:hAnsi="Times New Roman" w:eastAsia="宋体" w:cs="Times New Roman"/>
      <w:szCs w:val="24"/>
    </w:rPr>
  </w:style>
  <w:style w:type="character" w:customStyle="1" w:styleId="43">
    <w:name w:val="纯文本 Char1"/>
    <w:basedOn w:val="30"/>
    <w:autoRedefine/>
    <w:semiHidden/>
    <w:qFormat/>
    <w:uiPriority w:val="99"/>
    <w:rPr>
      <w:rFonts w:ascii="宋体" w:hAnsi="Courier New" w:eastAsia="宋体" w:cs="Courier New"/>
      <w:szCs w:val="21"/>
    </w:rPr>
  </w:style>
  <w:style w:type="character" w:customStyle="1" w:styleId="44">
    <w:name w:val="页眉 字符"/>
    <w:basedOn w:val="30"/>
    <w:link w:val="20"/>
    <w:autoRedefine/>
    <w:qFormat/>
    <w:uiPriority w:val="0"/>
    <w:rPr>
      <w:rFonts w:ascii="Times New Roman" w:hAnsi="Times New Roman" w:eastAsia="宋体" w:cs="Times New Roman"/>
      <w:sz w:val="18"/>
      <w:szCs w:val="18"/>
    </w:rPr>
  </w:style>
  <w:style w:type="character" w:customStyle="1" w:styleId="45">
    <w:name w:val="页脚 Char"/>
    <w:basedOn w:val="30"/>
    <w:autoRedefine/>
    <w:qFormat/>
    <w:uiPriority w:val="0"/>
    <w:rPr>
      <w:sz w:val="18"/>
      <w:szCs w:val="18"/>
    </w:rPr>
  </w:style>
  <w:style w:type="character" w:customStyle="1" w:styleId="46">
    <w:name w:val="页脚 字符"/>
    <w:basedOn w:val="30"/>
    <w:link w:val="19"/>
    <w:autoRedefine/>
    <w:semiHidden/>
    <w:qFormat/>
    <w:uiPriority w:val="99"/>
    <w:rPr>
      <w:rFonts w:ascii="Times New Roman" w:hAnsi="Times New Roman" w:eastAsia="宋体" w:cs="Times New Roman"/>
      <w:sz w:val="18"/>
      <w:szCs w:val="18"/>
    </w:rPr>
  </w:style>
  <w:style w:type="character" w:customStyle="1" w:styleId="47">
    <w:name w:val="标题 1 字符"/>
    <w:basedOn w:val="30"/>
    <w:link w:val="2"/>
    <w:autoRedefine/>
    <w:qFormat/>
    <w:uiPriority w:val="0"/>
    <w:rPr>
      <w:rFonts w:ascii="Times New Roman" w:hAnsi="Times New Roman" w:eastAsia="宋体" w:cs="Times New Roman"/>
      <w:b/>
      <w:bCs/>
      <w:kern w:val="44"/>
      <w:sz w:val="32"/>
      <w:szCs w:val="44"/>
    </w:rPr>
  </w:style>
  <w:style w:type="character" w:customStyle="1" w:styleId="48">
    <w:name w:val="正文文本缩进 2 字符"/>
    <w:basedOn w:val="30"/>
    <w:link w:val="17"/>
    <w:autoRedefine/>
    <w:qFormat/>
    <w:uiPriority w:val="0"/>
    <w:rPr>
      <w:rFonts w:ascii="Times New Roman" w:hAnsi="Times New Roman" w:eastAsia="宋体" w:cs="Times New Roman"/>
      <w:szCs w:val="24"/>
    </w:rPr>
  </w:style>
  <w:style w:type="character" w:customStyle="1" w:styleId="49">
    <w:name w:val="批注框文本 字符"/>
    <w:basedOn w:val="30"/>
    <w:link w:val="18"/>
    <w:autoRedefine/>
    <w:semiHidden/>
    <w:qFormat/>
    <w:uiPriority w:val="99"/>
    <w:rPr>
      <w:rFonts w:ascii="Times New Roman" w:hAnsi="Times New Roman" w:eastAsia="宋体" w:cs="Times New Roman"/>
      <w:sz w:val="18"/>
      <w:szCs w:val="18"/>
    </w:rPr>
  </w:style>
  <w:style w:type="character" w:customStyle="1" w:styleId="50">
    <w:name w:val="文档结构图 Char1"/>
    <w:basedOn w:val="30"/>
    <w:autoRedefine/>
    <w:semiHidden/>
    <w:qFormat/>
    <w:uiPriority w:val="99"/>
    <w:rPr>
      <w:rFonts w:ascii="宋体" w:hAnsi="Times New Roman" w:eastAsia="宋体" w:cs="Times New Roman"/>
      <w:sz w:val="18"/>
      <w:szCs w:val="18"/>
    </w:rPr>
  </w:style>
  <w:style w:type="character" w:customStyle="1" w:styleId="51">
    <w:name w:val="纯文本 字符"/>
    <w:link w:val="5"/>
    <w:autoRedefine/>
    <w:qFormat/>
    <w:uiPriority w:val="99"/>
    <w:rPr>
      <w:rFonts w:ascii="宋体" w:hAnsi="Courier New"/>
    </w:rPr>
  </w:style>
  <w:style w:type="character" w:customStyle="1" w:styleId="52">
    <w:name w:val="标题 2 字符"/>
    <w:basedOn w:val="30"/>
    <w:link w:val="3"/>
    <w:autoRedefine/>
    <w:qFormat/>
    <w:uiPriority w:val="0"/>
    <w:rPr>
      <w:rFonts w:ascii="Arial" w:hAnsi="Arial" w:eastAsia="宋体" w:cs="Times New Roman"/>
      <w:b/>
      <w:kern w:val="0"/>
      <w:sz w:val="32"/>
      <w:szCs w:val="20"/>
    </w:rPr>
  </w:style>
  <w:style w:type="character" w:customStyle="1" w:styleId="53">
    <w:name w:val="正文缩进 字符"/>
    <w:link w:val="4"/>
    <w:autoRedefine/>
    <w:qFormat/>
    <w:uiPriority w:val="0"/>
    <w:rPr>
      <w:rFonts w:ascii="宋体" w:hAnsi="Times New Roman" w:eastAsia="宋体" w:cs="Times New Roman"/>
      <w:kern w:val="0"/>
      <w:sz w:val="24"/>
      <w:szCs w:val="20"/>
    </w:rPr>
  </w:style>
  <w:style w:type="character" w:customStyle="1" w:styleId="54">
    <w:name w:val="标题 3 字符"/>
    <w:basedOn w:val="30"/>
    <w:link w:val="6"/>
    <w:autoRedefine/>
    <w:qFormat/>
    <w:uiPriority w:val="0"/>
    <w:rPr>
      <w:rFonts w:ascii="宋体" w:hAnsi="Times New Roman" w:eastAsia="宋体" w:cs="Times New Roman"/>
      <w:b/>
      <w:kern w:val="0"/>
      <w:sz w:val="24"/>
      <w:szCs w:val="20"/>
    </w:rPr>
  </w:style>
  <w:style w:type="character" w:customStyle="1" w:styleId="55">
    <w:name w:val="日期 字符"/>
    <w:basedOn w:val="30"/>
    <w:link w:val="16"/>
    <w:autoRedefine/>
    <w:qFormat/>
    <w:uiPriority w:val="0"/>
    <w:rPr>
      <w:szCs w:val="24"/>
    </w:rPr>
  </w:style>
  <w:style w:type="character" w:customStyle="1" w:styleId="56">
    <w:name w:val="文档结构图 字符"/>
    <w:link w:val="7"/>
    <w:autoRedefine/>
    <w:qFormat/>
    <w:uiPriority w:val="0"/>
    <w:rPr>
      <w:rFonts w:ascii="宋体" w:eastAsia="宋体"/>
      <w:sz w:val="18"/>
      <w:szCs w:val="18"/>
    </w:rPr>
  </w:style>
  <w:style w:type="character" w:customStyle="1" w:styleId="57">
    <w:name w:val="正文文本 字符"/>
    <w:basedOn w:val="30"/>
    <w:link w:val="9"/>
    <w:autoRedefine/>
    <w:qFormat/>
    <w:uiPriority w:val="0"/>
    <w:rPr>
      <w:rFonts w:ascii="宋体" w:hAnsi="宋体" w:eastAsia="宋体" w:cs="Times New Roman"/>
      <w:sz w:val="24"/>
      <w:szCs w:val="24"/>
    </w:rPr>
  </w:style>
  <w:style w:type="character" w:customStyle="1" w:styleId="58">
    <w:name w:val="正文文本缩进 字符"/>
    <w:basedOn w:val="30"/>
    <w:link w:val="11"/>
    <w:autoRedefine/>
    <w:qFormat/>
    <w:uiPriority w:val="0"/>
    <w:rPr>
      <w:rFonts w:ascii="Times New Roman" w:hAnsi="Times New Roman" w:eastAsia="宋体" w:cs="Times New Roman"/>
      <w:szCs w:val="24"/>
    </w:rPr>
  </w:style>
  <w:style w:type="character" w:customStyle="1" w:styleId="59">
    <w:name w:val="批注文字 字符"/>
    <w:link w:val="8"/>
    <w:autoRedefine/>
    <w:qFormat/>
    <w:uiPriority w:val="99"/>
    <w:rPr>
      <w:rFonts w:eastAsia="宋体"/>
      <w:szCs w:val="24"/>
    </w:rPr>
  </w:style>
  <w:style w:type="paragraph" w:customStyle="1" w:styleId="60">
    <w:name w:val="样式 标题 2 + 段后: 156 磅"/>
    <w:basedOn w:val="3"/>
    <w:autoRedefine/>
    <w:qFormat/>
    <w:uiPriority w:val="0"/>
    <w:pPr>
      <w:spacing w:before="100" w:after="100" w:line="240" w:lineRule="auto"/>
    </w:pPr>
    <w:rPr>
      <w:rFonts w:cs="宋体"/>
      <w:bCs/>
      <w:sz w:val="30"/>
    </w:rPr>
  </w:style>
  <w:style w:type="paragraph" w:customStyle="1" w:styleId="6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表文"/>
    <w:basedOn w:val="1"/>
    <w:autoRedefine/>
    <w:qFormat/>
    <w:uiPriority w:val="0"/>
    <w:rPr>
      <w:rFonts w:ascii="宋体" w:hAnsi="宋体" w:cs="宋体"/>
      <w:color w:val="000000"/>
      <w:kern w:val="0"/>
      <w:szCs w:val="21"/>
    </w:rPr>
  </w:style>
  <w:style w:type="paragraph" w:customStyle="1" w:styleId="63">
    <w:name w:val="Char Char1"/>
    <w:basedOn w:val="1"/>
    <w:autoRedefine/>
    <w:qFormat/>
    <w:uiPriority w:val="0"/>
    <w:rPr>
      <w:szCs w:val="20"/>
    </w:rPr>
  </w:style>
  <w:style w:type="paragraph" w:customStyle="1" w:styleId="64">
    <w:name w:val="p0"/>
    <w:basedOn w:val="1"/>
    <w:autoRedefine/>
    <w:qFormat/>
    <w:uiPriority w:val="0"/>
    <w:pPr>
      <w:widowControl/>
      <w:snapToGrid w:val="0"/>
      <w:spacing w:after="200"/>
      <w:jc w:val="left"/>
    </w:pPr>
    <w:rPr>
      <w:rFonts w:ascii="Tahoma" w:hAnsi="Tahoma" w:cs="Tahoma"/>
      <w:kern w:val="0"/>
      <w:sz w:val="22"/>
      <w:szCs w:val="22"/>
    </w:rPr>
  </w:style>
  <w:style w:type="paragraph" w:customStyle="1" w:styleId="65">
    <w:name w:val="样式1"/>
    <w:basedOn w:val="6"/>
    <w:autoRedefine/>
    <w:qFormat/>
    <w:uiPriority w:val="0"/>
    <w:pPr>
      <w:jc w:val="center"/>
    </w:pPr>
  </w:style>
  <w:style w:type="paragraph" w:customStyle="1" w:styleId="66">
    <w:name w:val="Char"/>
    <w:basedOn w:val="1"/>
    <w:autoRedefine/>
    <w:qFormat/>
    <w:uiPriority w:val="0"/>
    <w:pPr>
      <w:tabs>
        <w:tab w:val="left" w:pos="432"/>
      </w:tabs>
      <w:spacing w:beforeLines="50" w:afterLines="50"/>
      <w:ind w:left="864" w:hanging="432"/>
    </w:pPr>
    <w:rPr>
      <w:sz w:val="24"/>
    </w:rPr>
  </w:style>
  <w:style w:type="paragraph" w:customStyle="1" w:styleId="67">
    <w:name w:val="Char2"/>
    <w:basedOn w:val="1"/>
    <w:next w:val="1"/>
    <w:autoRedefine/>
    <w:qFormat/>
    <w:uiPriority w:val="0"/>
    <w:pPr>
      <w:widowControl/>
      <w:spacing w:line="360" w:lineRule="auto"/>
      <w:jc w:val="left"/>
    </w:pPr>
    <w:rPr>
      <w:kern w:val="0"/>
      <w:szCs w:val="20"/>
      <w:lang w:eastAsia="en-US"/>
    </w:rPr>
  </w:style>
  <w:style w:type="paragraph" w:customStyle="1" w:styleId="68">
    <w:name w:val="Char11"/>
    <w:basedOn w:val="1"/>
    <w:autoRedefine/>
    <w:qFormat/>
    <w:uiPriority w:val="0"/>
    <w:rPr>
      <w:rFonts w:ascii="Tahoma" w:hAnsi="Tahoma"/>
      <w:sz w:val="24"/>
      <w:szCs w:val="20"/>
    </w:rPr>
  </w:style>
  <w:style w:type="paragraph" w:customStyle="1" w:styleId="69">
    <w:name w:val="Char1"/>
    <w:basedOn w:val="1"/>
    <w:autoRedefine/>
    <w:qFormat/>
    <w:uiPriority w:val="0"/>
    <w:rPr>
      <w:rFonts w:ascii="Tahoma" w:hAnsi="Tahoma"/>
      <w:sz w:val="24"/>
      <w:szCs w:val="20"/>
    </w:rPr>
  </w:style>
  <w:style w:type="paragraph" w:customStyle="1" w:styleId="70">
    <w:name w:val="Char Char11"/>
    <w:basedOn w:val="1"/>
    <w:autoRedefine/>
    <w:qFormat/>
    <w:uiPriority w:val="0"/>
  </w:style>
  <w:style w:type="paragraph" w:customStyle="1" w:styleId="7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列出段落1"/>
    <w:basedOn w:val="1"/>
    <w:autoRedefine/>
    <w:qFormat/>
    <w:uiPriority w:val="0"/>
    <w:pPr>
      <w:ind w:firstLine="420" w:firstLineChars="200"/>
    </w:pPr>
    <w:rPr>
      <w:rFonts w:ascii="Calibri" w:hAnsi="Calibri"/>
      <w:szCs w:val="22"/>
    </w:rPr>
  </w:style>
  <w:style w:type="character" w:customStyle="1" w:styleId="73">
    <w:name w:val="批注主题 字符"/>
    <w:basedOn w:val="59"/>
    <w:link w:val="25"/>
    <w:autoRedefine/>
    <w:semiHidden/>
    <w:qFormat/>
    <w:uiPriority w:val="99"/>
    <w:rPr>
      <w:rFonts w:ascii="Times New Roman" w:hAnsi="Times New Roman" w:eastAsia="宋体"/>
      <w:b/>
      <w:bCs/>
      <w:kern w:val="2"/>
      <w:sz w:val="21"/>
      <w:szCs w:val="24"/>
    </w:rPr>
  </w:style>
  <w:style w:type="character" w:customStyle="1" w:styleId="74">
    <w:name w:val="正文文本首行缩进 2 字符"/>
    <w:basedOn w:val="58"/>
    <w:link w:val="27"/>
    <w:autoRedefine/>
    <w:qFormat/>
    <w:uiPriority w:val="0"/>
    <w:rPr>
      <w:rFonts w:ascii="Times New Roman" w:hAnsi="Times New Roman" w:eastAsia="宋体" w:cs="Times New Roman"/>
      <w:kern w:val="2"/>
      <w:sz w:val="21"/>
      <w:szCs w:val="24"/>
    </w:rPr>
  </w:style>
  <w:style w:type="character" w:customStyle="1" w:styleId="75">
    <w:name w:val="font21"/>
    <w:basedOn w:val="30"/>
    <w:autoRedefine/>
    <w:qFormat/>
    <w:uiPriority w:val="0"/>
    <w:rPr>
      <w:rFonts w:hint="eastAsia" w:ascii="宋体" w:hAnsi="宋体" w:eastAsia="宋体" w:cs="宋体"/>
      <w:color w:val="000000"/>
      <w:sz w:val="36"/>
      <w:szCs w:val="36"/>
      <w:u w:val="none"/>
    </w:rPr>
  </w:style>
  <w:style w:type="paragraph" w:customStyle="1" w:styleId="76">
    <w:name w:val="表格文字"/>
    <w:basedOn w:val="1"/>
    <w:next w:val="9"/>
    <w:autoRedefine/>
    <w:qFormat/>
    <w:uiPriority w:val="0"/>
    <w:pPr>
      <w:adjustRightInd w:val="0"/>
      <w:spacing w:line="360" w:lineRule="auto"/>
      <w:ind w:firstLine="200" w:firstLineChars="200"/>
      <w:jc w:val="left"/>
      <w:textAlignment w:val="baseline"/>
    </w:pPr>
    <w:rPr>
      <w:rFonts w:ascii="Arial" w:hAnsi="Arial"/>
      <w:kern w:val="0"/>
      <w:sz w:val="24"/>
    </w:rPr>
  </w:style>
  <w:style w:type="table" w:customStyle="1" w:styleId="77">
    <w:name w:val="Table Normal"/>
    <w:autoRedefine/>
    <w:unhideWhenUsed/>
    <w:qFormat/>
    <w:uiPriority w:val="0"/>
    <w:tblPr>
      <w:tblCellMar>
        <w:top w:w="0" w:type="dxa"/>
        <w:left w:w="0" w:type="dxa"/>
        <w:bottom w:w="0" w:type="dxa"/>
        <w:right w:w="0" w:type="dxa"/>
      </w:tblCellMar>
    </w:tblPr>
  </w:style>
  <w:style w:type="paragraph" w:customStyle="1" w:styleId="78">
    <w:name w:val="ÕýÎÄ"/>
    <w:autoRedefine/>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6718</Words>
  <Characters>7229</Characters>
  <Lines>1</Lines>
  <Paragraphs>1</Paragraphs>
  <TotalTime>30</TotalTime>
  <ScaleCrop>false</ScaleCrop>
  <LinksUpToDate>false</LinksUpToDate>
  <CharactersWithSpaces>7378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2018-07-09T00:22:00Z</dcterms:created>
  <dc:creator>admin</dc:creator>
  <cp:lastModifiedBy>w</cp:lastModifiedBy>
  <cp:lastPrinted>2024-12-30T01:31:00Z</cp:lastPrinted>
  <dcterms:modified xsi:type="dcterms:W3CDTF">2026-03-16T06:36:48Z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924FF44E3CCD4BFD86455098A4053C06_13</vt:lpwstr>
  </property>
  <property fmtid="{D5CDD505-2E9C-101B-9397-08002B2CF9AE}" pid="4" name="KSOTemplateDocerSaveRecord">
    <vt:lpwstr>eyJoZGlkIjoiODg5OTFhMDZlNTRlMDA0MmIxOWM3MTZhYWRlMmFjYWMiLCJ1c2VySWQiOiI1MDM3OTU2NDYifQ==</vt:lpwstr>
  </property>
</Properties>
</file>