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BE0303">
      <w:pPr>
        <w:spacing w:line="480" w:lineRule="exact"/>
        <w:rPr>
          <w:rFonts w:ascii="宋体"/>
          <w:color w:val="auto"/>
          <w:sz w:val="36"/>
          <w:szCs w:val="36"/>
          <w:highlight w:val="none"/>
        </w:rPr>
      </w:pPr>
    </w:p>
    <w:p w14:paraId="6C2D914C">
      <w:pPr>
        <w:pStyle w:val="82"/>
        <w:ind w:left="0" w:leftChars="0" w:firstLine="0" w:firstLineChars="0"/>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8"/>
          <w:szCs w:val="48"/>
          <w:highlight w:val="none"/>
          <w:lang w:eastAsia="zh-CN"/>
        </w:rPr>
        <w:t>皖河新港引桥铁门采购</w:t>
      </w:r>
    </w:p>
    <w:p w14:paraId="46499E1F">
      <w:pPr>
        <w:pStyle w:val="82"/>
        <w:ind w:left="0" w:leftChars="0" w:firstLine="0" w:firstLineChars="0"/>
        <w:jc w:val="center"/>
        <w:rPr>
          <w:rFonts w:hint="default" w:ascii="仿宋_GB2312" w:hAnsi="宋体" w:eastAsia="仿宋_GB2312"/>
          <w:b/>
          <w:color w:val="auto"/>
          <w:sz w:val="48"/>
          <w:szCs w:val="48"/>
          <w:highlight w:val="none"/>
          <w:lang w:val="en-US" w:eastAsia="zh-CN"/>
        </w:rPr>
      </w:pPr>
    </w:p>
    <w:p w14:paraId="60105136">
      <w:pPr>
        <w:pStyle w:val="82"/>
        <w:ind w:left="0" w:leftChars="0" w:firstLine="0" w:firstLineChars="0"/>
        <w:rPr>
          <w:color w:val="auto"/>
          <w:highlight w:val="none"/>
        </w:rPr>
      </w:pPr>
    </w:p>
    <w:p w14:paraId="787A147B">
      <w:pPr>
        <w:pStyle w:val="82"/>
        <w:rPr>
          <w:color w:val="auto"/>
          <w:highlight w:val="none"/>
        </w:rPr>
      </w:pPr>
    </w:p>
    <w:p w14:paraId="02F51497">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2B0D1A93">
      <w:pPr>
        <w:pStyle w:val="82"/>
        <w:spacing w:before="120"/>
        <w:ind w:firstLine="350"/>
        <w:rPr>
          <w:color w:val="auto"/>
          <w:highlight w:val="none"/>
        </w:rPr>
      </w:pPr>
    </w:p>
    <w:p w14:paraId="0BFD8AFF">
      <w:pPr>
        <w:pStyle w:val="82"/>
        <w:spacing w:before="120"/>
        <w:ind w:firstLine="350"/>
        <w:rPr>
          <w:color w:val="auto"/>
          <w:highlight w:val="none"/>
        </w:rPr>
      </w:pPr>
    </w:p>
    <w:p w14:paraId="254EAC39">
      <w:pPr>
        <w:spacing w:line="480" w:lineRule="exact"/>
        <w:jc w:val="center"/>
        <w:rPr>
          <w:rFonts w:ascii="宋体" w:cs="宋体"/>
          <w:b/>
          <w:bCs/>
          <w:color w:val="auto"/>
          <w:sz w:val="48"/>
          <w:szCs w:val="48"/>
          <w:highlight w:val="none"/>
        </w:rPr>
      </w:pPr>
    </w:p>
    <w:p w14:paraId="4C518F46">
      <w:pPr>
        <w:pStyle w:val="82"/>
        <w:rPr>
          <w:color w:val="auto"/>
          <w:highlight w:val="none"/>
        </w:rPr>
      </w:pPr>
    </w:p>
    <w:p w14:paraId="1AF1C0AB">
      <w:pPr>
        <w:spacing w:line="480" w:lineRule="exact"/>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AQJK-CG-2026-011</w:t>
      </w:r>
    </w:p>
    <w:p w14:paraId="1DB83072">
      <w:pPr>
        <w:spacing w:line="480" w:lineRule="exact"/>
        <w:rPr>
          <w:rFonts w:ascii="宋体" w:hAnsi="宋体" w:cs="仿宋_GB2312"/>
          <w:color w:val="auto"/>
          <w:szCs w:val="21"/>
          <w:highlight w:val="none"/>
        </w:rPr>
      </w:pPr>
    </w:p>
    <w:p w14:paraId="11F5C3AF">
      <w:pPr>
        <w:pStyle w:val="82"/>
        <w:spacing w:before="120"/>
        <w:ind w:left="0" w:leftChars="0" w:firstLine="0" w:firstLineChars="0"/>
        <w:rPr>
          <w:rFonts w:hint="default" w:eastAsia="宋体"/>
          <w:color w:val="auto"/>
          <w:highlight w:val="none"/>
          <w:lang w:val="en-US" w:eastAsia="zh-CN"/>
        </w:rPr>
      </w:pPr>
    </w:p>
    <w:p w14:paraId="40723CE7">
      <w:pPr>
        <w:pStyle w:val="82"/>
        <w:spacing w:before="120"/>
        <w:ind w:left="0" w:leftChars="0" w:firstLine="0" w:firstLineChars="0"/>
        <w:rPr>
          <w:color w:val="auto"/>
          <w:highlight w:val="none"/>
        </w:rPr>
      </w:pPr>
    </w:p>
    <w:p w14:paraId="7BAF260B">
      <w:pPr>
        <w:pStyle w:val="82"/>
        <w:spacing w:before="120"/>
        <w:ind w:left="0" w:leftChars="0" w:firstLine="0" w:firstLineChars="0"/>
        <w:rPr>
          <w:color w:val="auto"/>
          <w:highlight w:val="none"/>
        </w:rPr>
      </w:pPr>
    </w:p>
    <w:p w14:paraId="11EEB18D">
      <w:pPr>
        <w:pStyle w:val="82"/>
        <w:spacing w:before="120"/>
        <w:ind w:left="0" w:leftChars="0" w:firstLine="0" w:firstLineChars="0"/>
        <w:rPr>
          <w:color w:val="auto"/>
          <w:highlight w:val="none"/>
        </w:rPr>
      </w:pPr>
    </w:p>
    <w:p w14:paraId="66A2C563">
      <w:pPr>
        <w:spacing w:line="480" w:lineRule="exact"/>
        <w:rPr>
          <w:rFonts w:ascii="宋体" w:hAnsi="宋体" w:cs="仿宋_GB2312"/>
          <w:color w:val="auto"/>
          <w:szCs w:val="21"/>
          <w:highlight w:val="none"/>
        </w:rPr>
      </w:pPr>
    </w:p>
    <w:p w14:paraId="0CD9CD21">
      <w:pPr>
        <w:spacing w:line="360" w:lineRule="auto"/>
        <w:jc w:val="center"/>
        <w:rPr>
          <w:rFonts w:hint="default" w:ascii="宋体" w:hAnsi="宋体" w:cs="仿宋_GB2312"/>
          <w:b/>
          <w:color w:val="auto"/>
          <w:szCs w:val="21"/>
          <w:highlight w:val="none"/>
          <w:lang w:val="en-US"/>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lang w:val="en-US" w:eastAsia="zh-CN"/>
        </w:rPr>
        <w:t xml:space="preserve">    安庆市安汇港务有限公司    </w:t>
      </w:r>
    </w:p>
    <w:p w14:paraId="0B34CDE1">
      <w:pPr>
        <w:pStyle w:val="82"/>
        <w:rPr>
          <w:color w:val="auto"/>
          <w:highlight w:val="none"/>
        </w:rPr>
      </w:pPr>
    </w:p>
    <w:p w14:paraId="0445A8EC">
      <w:pPr>
        <w:pStyle w:val="82"/>
        <w:rPr>
          <w:color w:val="auto"/>
          <w:highlight w:val="none"/>
        </w:rPr>
      </w:pPr>
    </w:p>
    <w:p w14:paraId="08914A7D">
      <w:pPr>
        <w:spacing w:line="360" w:lineRule="auto"/>
        <w:rPr>
          <w:rFonts w:ascii="宋体" w:hAnsi="宋体" w:cs="仿宋_GB2312"/>
          <w:b/>
          <w:color w:val="auto"/>
          <w:sz w:val="24"/>
          <w:highlight w:val="none"/>
        </w:rPr>
      </w:pPr>
    </w:p>
    <w:p w14:paraId="0E2640E8">
      <w:pPr>
        <w:spacing w:line="360" w:lineRule="auto"/>
        <w:jc w:val="center"/>
        <w:rPr>
          <w:rFonts w:ascii="宋体" w:hAnsi="宋体" w:cs="仿宋_GB2312"/>
          <w:b/>
          <w:color w:val="auto"/>
          <w:sz w:val="24"/>
          <w:highlight w:val="none"/>
          <w:u w:val="single"/>
        </w:rPr>
      </w:pPr>
      <w:r>
        <w:rPr>
          <w:rFonts w:hint="eastAsia" w:ascii="宋体" w:hAnsi="宋体" w:cs="仿宋_GB2312"/>
          <w:b/>
          <w:color w:val="auto"/>
          <w:sz w:val="30"/>
          <w:szCs w:val="30"/>
          <w:highlight w:val="none"/>
        </w:rPr>
        <w:t>安庆市交通控股集团有限公司集采中心</w:t>
      </w:r>
    </w:p>
    <w:p w14:paraId="382FC09A">
      <w:pPr>
        <w:spacing w:line="480" w:lineRule="exact"/>
        <w:rPr>
          <w:rFonts w:ascii="宋体" w:hAnsi="宋体" w:cs="仿宋_GB2312"/>
          <w:color w:val="auto"/>
          <w:szCs w:val="21"/>
          <w:highlight w:val="none"/>
        </w:rPr>
      </w:pPr>
    </w:p>
    <w:p w14:paraId="21C6E385">
      <w:pPr>
        <w:spacing w:line="480" w:lineRule="exact"/>
        <w:rPr>
          <w:rFonts w:ascii="宋体" w:hAnsi="宋体" w:cs="仿宋_GB2312"/>
          <w:color w:val="auto"/>
          <w:szCs w:val="21"/>
          <w:highlight w:val="none"/>
        </w:rPr>
      </w:pPr>
    </w:p>
    <w:p w14:paraId="28039A22">
      <w:pPr>
        <w:pStyle w:val="82"/>
        <w:ind w:left="0" w:leftChars="0" w:firstLine="0" w:firstLineChars="0"/>
        <w:rPr>
          <w:rFonts w:ascii="宋体" w:hAnsi="宋体" w:cs="仿宋_GB2312"/>
          <w:color w:val="auto"/>
          <w:szCs w:val="21"/>
          <w:highlight w:val="none"/>
        </w:rPr>
      </w:pPr>
    </w:p>
    <w:p w14:paraId="68993DCC">
      <w:pPr>
        <w:spacing w:line="480" w:lineRule="exact"/>
        <w:jc w:val="center"/>
        <w:rPr>
          <w:rFonts w:ascii="宋体" w:hAnsi="宋体" w:cs="仿宋_GB2312"/>
          <w:color w:val="auto"/>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六</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一</w:t>
      </w:r>
      <w:r>
        <w:rPr>
          <w:rFonts w:hint="eastAsia" w:ascii="宋体" w:hAnsi="宋体" w:cs="仿宋_GB2312"/>
          <w:color w:val="auto"/>
          <w:sz w:val="32"/>
          <w:szCs w:val="32"/>
          <w:highlight w:val="none"/>
        </w:rPr>
        <w:t>月</w:t>
      </w:r>
    </w:p>
    <w:p w14:paraId="6303069B">
      <w:pPr>
        <w:widowControl/>
        <w:jc w:val="left"/>
        <w:rPr>
          <w:rFonts w:ascii="宋体" w:hAnsi="宋体" w:cs="宋体"/>
          <w:b/>
          <w:color w:val="auto"/>
          <w:sz w:val="36"/>
          <w:szCs w:val="36"/>
          <w:highlight w:val="none"/>
        </w:rPr>
      </w:pPr>
    </w:p>
    <w:p w14:paraId="199E5D7C">
      <w:pPr>
        <w:spacing w:line="480" w:lineRule="auto"/>
        <w:jc w:val="center"/>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目</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lang w:val="zh-CN"/>
        </w:rPr>
        <w:t>录</w:t>
      </w:r>
    </w:p>
    <w:p w14:paraId="63A108E7">
      <w:pPr>
        <w:pStyle w:val="41"/>
        <w:tabs>
          <w:tab w:val="right" w:leader="dot" w:pos="9070"/>
        </w:tabs>
        <w:spacing w:line="480" w:lineRule="auto"/>
        <w:rPr>
          <w:color w:val="auto"/>
          <w:sz w:val="28"/>
          <w:szCs w:val="28"/>
          <w:highlight w:val="none"/>
        </w:rPr>
      </w:pPr>
      <w:bookmarkStart w:id="0" w:name="_Toc23467"/>
      <w:bookmarkStart w:id="1" w:name="_Toc21464"/>
      <w:bookmarkStart w:id="2" w:name="_Toc54941328"/>
      <w:bookmarkStart w:id="3" w:name="_Toc439316870"/>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highlight w:val="none"/>
        </w:rPr>
        <w:fldChar w:fldCharType="begin"/>
      </w:r>
      <w:r>
        <w:rPr>
          <w:color w:val="auto"/>
          <w:highlight w:val="none"/>
        </w:rPr>
        <w:instrText xml:space="preserve"> HYPERLINK \l "_Toc170" </w:instrText>
      </w:r>
      <w:r>
        <w:rPr>
          <w:color w:val="auto"/>
          <w:highlight w:val="none"/>
        </w:rPr>
        <w:fldChar w:fldCharType="separate"/>
      </w:r>
      <w:r>
        <w:rPr>
          <w:rFonts w:hint="eastAsia"/>
          <w:bCs/>
          <w:iCs/>
          <w:color w:val="auto"/>
          <w:sz w:val="28"/>
          <w:szCs w:val="28"/>
          <w:highlight w:val="none"/>
        </w:rPr>
        <w:t>第一章 比选公告</w:t>
      </w:r>
      <w:r>
        <w:rPr>
          <w:color w:val="auto"/>
          <w:sz w:val="28"/>
          <w:szCs w:val="28"/>
          <w:highlight w:val="none"/>
        </w:rPr>
        <w:tab/>
      </w:r>
      <w:r>
        <w:rPr>
          <w:rFonts w:hint="eastAsia"/>
          <w:color w:val="auto"/>
          <w:sz w:val="28"/>
          <w:szCs w:val="28"/>
          <w:highlight w:val="none"/>
        </w:rPr>
        <w:t>.</w:t>
      </w:r>
      <w:r>
        <w:rPr>
          <w:rFonts w:hint="eastAsia"/>
          <w:color w:val="auto"/>
          <w:sz w:val="28"/>
          <w:szCs w:val="28"/>
          <w:highlight w:val="none"/>
        </w:rPr>
        <w:fldChar w:fldCharType="end"/>
      </w:r>
      <w:r>
        <w:rPr>
          <w:rFonts w:hint="eastAsia"/>
          <w:color w:val="auto"/>
          <w:sz w:val="28"/>
          <w:szCs w:val="28"/>
          <w:highlight w:val="none"/>
        </w:rPr>
        <w:t>1</w:t>
      </w:r>
    </w:p>
    <w:p w14:paraId="2158EB6B">
      <w:pPr>
        <w:pStyle w:val="41"/>
        <w:tabs>
          <w:tab w:val="right" w:leader="dot" w:pos="9070"/>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"_Toc11223" </w:instrText>
      </w:r>
      <w:r>
        <w:rPr>
          <w:color w:val="auto"/>
          <w:highlight w:val="none"/>
        </w:rPr>
        <w:fldChar w:fldCharType="separate"/>
      </w:r>
      <w:r>
        <w:rPr>
          <w:rFonts w:hint="eastAsia" w:ascii="Arial" w:hAnsi="Arial"/>
          <w:color w:val="auto"/>
          <w:sz w:val="28"/>
          <w:szCs w:val="28"/>
          <w:highlight w:val="none"/>
        </w:rPr>
        <w:t>第二章 比选须知</w:t>
      </w:r>
      <w:r>
        <w:rPr>
          <w:color w:val="auto"/>
          <w:sz w:val="28"/>
          <w:szCs w:val="28"/>
          <w:highlight w:val="none"/>
        </w:rPr>
        <w:tab/>
      </w:r>
      <w:r>
        <w:rPr>
          <w:rFonts w:hint="eastAsia"/>
          <w:color w:val="auto"/>
          <w:sz w:val="28"/>
          <w:szCs w:val="28"/>
          <w:highlight w:val="none"/>
          <w:lang w:val="en-US" w:eastAsia="zh-CN"/>
        </w:rPr>
        <w:t>5</w:t>
      </w:r>
      <w:r>
        <w:rPr>
          <w:color w:val="auto"/>
          <w:sz w:val="28"/>
          <w:szCs w:val="28"/>
          <w:highlight w:val="none"/>
        </w:rPr>
        <w:fldChar w:fldCharType="end"/>
      </w:r>
    </w:p>
    <w:p w14:paraId="4AA5C1EC">
      <w:pPr>
        <w:pStyle w:val="41"/>
        <w:tabs>
          <w:tab w:val="right" w:leader="dot" w:pos="9070"/>
        </w:tabs>
        <w:spacing w:line="480" w:lineRule="auto"/>
        <w:rPr>
          <w:rFonts w:hint="default"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 xml:space="preserve">第三章 </w:t>
      </w:r>
      <w:r>
        <w:rPr>
          <w:rFonts w:hint="eastAsia" w:ascii="Arial" w:hAnsi="Arial"/>
          <w:color w:val="auto"/>
          <w:sz w:val="28"/>
          <w:szCs w:val="28"/>
          <w:highlight w:val="none"/>
          <w:lang w:eastAsia="zh-CN"/>
        </w:rPr>
        <w:t>项目需求</w:t>
      </w:r>
      <w:r>
        <w:rPr>
          <w:rFonts w:hint="eastAsia" w:ascii="Arial" w:hAnsi="Arial"/>
          <w:color w:val="auto"/>
          <w:sz w:val="28"/>
          <w:szCs w:val="28"/>
          <w:highlight w:val="none"/>
        </w:rPr>
        <w:t>及</w:t>
      </w:r>
      <w:r>
        <w:rPr>
          <w:rFonts w:hint="eastAsia" w:ascii="Arial" w:hAnsi="Arial"/>
          <w:color w:val="auto"/>
          <w:sz w:val="28"/>
          <w:szCs w:val="28"/>
          <w:highlight w:val="none"/>
          <w:lang w:val="zh-CN"/>
        </w:rPr>
        <w:t>技术要求</w:t>
      </w:r>
      <w:r>
        <w:rPr>
          <w:color w:val="auto"/>
          <w:sz w:val="28"/>
          <w:szCs w:val="28"/>
          <w:highlight w:val="none"/>
        </w:rPr>
        <w:tab/>
      </w:r>
      <w:r>
        <w:rPr>
          <w:rFonts w:hint="eastAsia"/>
          <w:color w:val="auto"/>
          <w:sz w:val="28"/>
          <w:szCs w:val="28"/>
          <w:highlight w:val="none"/>
        </w:rPr>
        <w:t>1</w:t>
      </w:r>
      <w:r>
        <w:rPr>
          <w:rFonts w:hint="eastAsia"/>
          <w:color w:val="auto"/>
          <w:sz w:val="28"/>
          <w:szCs w:val="28"/>
          <w:highlight w:val="none"/>
        </w:rPr>
        <w:fldChar w:fldCharType="end"/>
      </w:r>
      <w:r>
        <w:rPr>
          <w:rFonts w:hint="eastAsia"/>
          <w:color w:val="auto"/>
          <w:sz w:val="28"/>
          <w:szCs w:val="28"/>
          <w:highlight w:val="none"/>
          <w:lang w:val="en-US" w:eastAsia="zh-CN"/>
        </w:rPr>
        <w:t>6</w:t>
      </w:r>
    </w:p>
    <w:p w14:paraId="0449AD2A">
      <w:pPr>
        <w:pStyle w:val="41"/>
        <w:tabs>
          <w:tab w:val="right" w:leader="dot" w:pos="9070"/>
        </w:tabs>
        <w:spacing w:line="480" w:lineRule="auto"/>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第四章 合同主要条款</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lang w:val="en-US" w:eastAsia="zh-CN"/>
        </w:rPr>
        <w:t>18</w:t>
      </w:r>
    </w:p>
    <w:p w14:paraId="6499A261">
      <w:pPr>
        <w:pStyle w:val="41"/>
        <w:tabs>
          <w:tab w:val="right" w:leader="dot" w:pos="9070"/>
        </w:tabs>
        <w:spacing w:line="480" w:lineRule="auto"/>
        <w:rPr>
          <w:rFonts w:hint="default" w:eastAsia="宋体"/>
          <w:color w:val="auto"/>
          <w:sz w:val="28"/>
          <w:szCs w:val="28"/>
          <w:highlight w:val="none"/>
          <w:lang w:val="en-US" w:eastAsia="zh-CN"/>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start="0"/>
          <w:cols w:space="720" w:num="1"/>
          <w:docGrid w:linePitch="290" w:charSpace="0"/>
        </w:sectPr>
      </w:pPr>
      <w:r>
        <w:rPr>
          <w:color w:val="auto"/>
          <w:highlight w:val="none"/>
        </w:rPr>
        <w:fldChar w:fldCharType="begin"/>
      </w:r>
      <w:r>
        <w:rPr>
          <w:color w:val="auto"/>
          <w:highlight w:val="none"/>
        </w:rPr>
        <w:instrText xml:space="preserve"> HYPERLINK \l "_Toc25399" </w:instrText>
      </w:r>
      <w:r>
        <w:rPr>
          <w:color w:val="auto"/>
          <w:highlight w:val="none"/>
        </w:rPr>
        <w:fldChar w:fldCharType="separate"/>
      </w:r>
      <w:r>
        <w:rPr>
          <w:rFonts w:hint="eastAsia" w:ascii="Arial" w:hAnsi="Arial"/>
          <w:color w:val="auto"/>
          <w:sz w:val="28"/>
          <w:szCs w:val="28"/>
          <w:highlight w:val="none"/>
          <w:lang w:val="zh-CN"/>
        </w:rPr>
        <w:t>第</w:t>
      </w:r>
      <w:r>
        <w:rPr>
          <w:rFonts w:hint="eastAsia" w:ascii="Arial" w:hAnsi="Arial"/>
          <w:color w:val="auto"/>
          <w:sz w:val="28"/>
          <w:szCs w:val="28"/>
          <w:highlight w:val="none"/>
        </w:rPr>
        <w:t>五</w:t>
      </w:r>
      <w:r>
        <w:rPr>
          <w:rFonts w:hint="eastAsia" w:ascii="Arial" w:hAnsi="Arial"/>
          <w:color w:val="auto"/>
          <w:sz w:val="28"/>
          <w:szCs w:val="28"/>
          <w:highlight w:val="none"/>
          <w:lang w:val="zh-CN"/>
        </w:rPr>
        <w:t>章</w:t>
      </w:r>
      <w:r>
        <w:rPr>
          <w:rFonts w:hint="eastAsia" w:ascii="Arial" w:hAnsi="Arial"/>
          <w:color w:val="auto"/>
          <w:sz w:val="28"/>
          <w:szCs w:val="28"/>
          <w:highlight w:val="none"/>
        </w:rPr>
        <w:t xml:space="preserve"> 参选文件格式</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lang w:val="en-US" w:eastAsia="zh-CN"/>
        </w:rPr>
        <w:t>20</w:t>
      </w:r>
    </w:p>
    <w:p w14:paraId="65F528B4">
      <w:pPr>
        <w:pStyle w:val="30"/>
        <w:tabs>
          <w:tab w:val="right" w:leader="dot" w:pos="9060"/>
        </w:tabs>
        <w:spacing w:line="480" w:lineRule="auto"/>
        <w:ind w:left="0"/>
        <w:jc w:val="center"/>
        <w:rPr>
          <w:rFonts w:ascii="Arial" w:hAnsi="Arial" w:eastAsia="黑体"/>
          <w:b/>
          <w:i w:val="0"/>
          <w:color w:val="auto"/>
          <w:sz w:val="32"/>
          <w:szCs w:val="32"/>
          <w:highlight w:val="none"/>
        </w:rPr>
      </w:pPr>
      <w:r>
        <w:rPr>
          <w:color w:val="auto"/>
          <w:sz w:val="28"/>
          <w:szCs w:val="28"/>
          <w:highlight w:val="none"/>
        </w:rPr>
        <w:fldChar w:fldCharType="end"/>
      </w:r>
      <w:bookmarkEnd w:id="0"/>
      <w:bookmarkEnd w:id="1"/>
      <w:bookmarkEnd w:id="2"/>
      <w:r>
        <w:rPr>
          <w:rFonts w:hint="eastAsia" w:ascii="Arial" w:hAnsi="Arial" w:eastAsia="黑体"/>
          <w:b/>
          <w:i w:val="0"/>
          <w:color w:val="auto"/>
          <w:sz w:val="30"/>
          <w:szCs w:val="30"/>
          <w:highlight w:val="none"/>
        </w:rPr>
        <w:t>第一章</w:t>
      </w:r>
      <w:r>
        <w:rPr>
          <w:rFonts w:hint="eastAsia" w:ascii="Arial" w:hAnsi="Arial" w:eastAsia="黑体"/>
          <w:b/>
          <w:i w:val="0"/>
          <w:color w:val="auto"/>
          <w:sz w:val="30"/>
          <w:szCs w:val="30"/>
          <w:highlight w:val="none"/>
          <w:lang w:val="en-US" w:eastAsia="zh-CN"/>
        </w:rPr>
        <w:t xml:space="preserve"> 皖河新港引桥铁门采购</w:t>
      </w:r>
      <w:r>
        <w:rPr>
          <w:rFonts w:hint="eastAsia" w:ascii="Arial" w:hAnsi="Arial" w:eastAsia="黑体"/>
          <w:b/>
          <w:i w:val="0"/>
          <w:color w:val="auto"/>
          <w:sz w:val="30"/>
          <w:szCs w:val="30"/>
          <w:highlight w:val="none"/>
          <w:lang w:eastAsia="zh-CN"/>
        </w:rPr>
        <w:t>项目</w:t>
      </w:r>
      <w:r>
        <w:rPr>
          <w:rFonts w:hint="eastAsia" w:ascii="Arial" w:hAnsi="Arial" w:eastAsia="黑体"/>
          <w:b/>
          <w:i w:val="0"/>
          <w:color w:val="auto"/>
          <w:sz w:val="30"/>
          <w:szCs w:val="30"/>
          <w:highlight w:val="none"/>
        </w:rPr>
        <w:t>比选公告</w:t>
      </w:r>
    </w:p>
    <w:p w14:paraId="17ACEBCE">
      <w:pPr>
        <w:ind w:firstLine="560" w:firstLineChars="200"/>
        <w:rPr>
          <w:rFonts w:ascii="仿宋" w:hAnsi="仿宋" w:eastAsia="仿宋"/>
          <w:b/>
          <w:bCs/>
          <w:color w:val="auto"/>
          <w:sz w:val="28"/>
          <w:szCs w:val="28"/>
          <w:highlight w:val="none"/>
        </w:rPr>
      </w:pPr>
      <w:bookmarkStart w:id="4" w:name="_Toc35393798"/>
      <w:bookmarkStart w:id="5" w:name="_Toc28359089"/>
      <w:bookmarkStart w:id="6" w:name="_Toc35393629"/>
      <w:bookmarkStart w:id="7" w:name="_Toc28359012"/>
      <w:r>
        <w:rPr>
          <w:rFonts w:hint="eastAsia" w:ascii="仿宋" w:hAnsi="仿宋" w:eastAsia="仿宋"/>
          <w:color w:val="auto"/>
          <w:sz w:val="28"/>
          <w:szCs w:val="28"/>
          <w:highlight w:val="none"/>
        </w:rPr>
        <w:t>安庆市交通控股集团有限公司集采中心受</w:t>
      </w:r>
      <w:r>
        <w:rPr>
          <w:rFonts w:hint="eastAsia" w:ascii="仿宋" w:hAnsi="仿宋" w:eastAsia="仿宋"/>
          <w:color w:val="auto"/>
          <w:sz w:val="28"/>
          <w:szCs w:val="28"/>
          <w:highlight w:val="none"/>
          <w:lang w:eastAsia="zh-CN"/>
        </w:rPr>
        <w:t>安庆市安汇港务有限公司</w:t>
      </w:r>
      <w:r>
        <w:rPr>
          <w:rFonts w:hint="eastAsia" w:ascii="仿宋" w:hAnsi="仿宋" w:eastAsia="仿宋"/>
          <w:color w:val="auto"/>
          <w:sz w:val="28"/>
          <w:szCs w:val="28"/>
          <w:highlight w:val="none"/>
        </w:rPr>
        <w:t>委托，现对“</w:t>
      </w:r>
      <w:r>
        <w:rPr>
          <w:rFonts w:hint="eastAsia" w:ascii="仿宋" w:hAnsi="仿宋" w:eastAsia="仿宋"/>
          <w:color w:val="auto"/>
          <w:sz w:val="28"/>
          <w:szCs w:val="28"/>
          <w:highlight w:val="none"/>
          <w:lang w:eastAsia="zh-CN"/>
        </w:rPr>
        <w:t>皖河新港引桥铁门采购</w:t>
      </w: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AQJK-CG-2026-011</w:t>
      </w:r>
      <w:r>
        <w:rPr>
          <w:rFonts w:hint="eastAsia" w:ascii="仿宋" w:hAnsi="仿宋" w:eastAsia="仿宋"/>
          <w:color w:val="auto"/>
          <w:sz w:val="28"/>
          <w:szCs w:val="28"/>
          <w:highlight w:val="none"/>
        </w:rPr>
        <w:t>）进行比选。</w:t>
      </w:r>
    </w:p>
    <w:p w14:paraId="5A8966C3">
      <w:pPr>
        <w:spacing w:line="560" w:lineRule="exac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val="en-US" w:eastAsia="zh-CN"/>
        </w:rPr>
        <w:t>一、</w:t>
      </w:r>
      <w:r>
        <w:rPr>
          <w:rFonts w:hint="eastAsia" w:ascii="黑体" w:hAnsi="黑体" w:eastAsia="黑体" w:cs="宋体"/>
          <w:bCs/>
          <w:color w:val="auto"/>
          <w:sz w:val="28"/>
          <w:szCs w:val="28"/>
          <w:highlight w:val="none"/>
        </w:rPr>
        <w:t>项目基本情况</w:t>
      </w:r>
      <w:r>
        <w:rPr>
          <w:rFonts w:hint="eastAsia" w:ascii="黑体" w:hAnsi="黑体" w:eastAsia="黑体" w:cs="宋体"/>
          <w:bCs/>
          <w:color w:val="auto"/>
          <w:sz w:val="28"/>
          <w:szCs w:val="28"/>
          <w:highlight w:val="none"/>
          <w:lang w:eastAsia="zh-CN"/>
        </w:rPr>
        <w:t>：</w:t>
      </w:r>
    </w:p>
    <w:p w14:paraId="390BA1B3">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项目编号：AQJK-CG-2026-011</w:t>
      </w:r>
    </w:p>
    <w:p w14:paraId="5C3E01BB">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皖河新港引桥铁门采购</w:t>
      </w:r>
    </w:p>
    <w:p w14:paraId="7CE00C9D">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交付范围：含大门生产、运输、安装、调试及 1 年以上质保服务</w:t>
      </w:r>
    </w:p>
    <w:p w14:paraId="61A3A6D3">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评标办法：最低</w:t>
      </w:r>
      <w:r>
        <w:rPr>
          <w:rFonts w:hint="eastAsia" w:ascii="仿宋" w:hAnsi="仿宋" w:eastAsia="仿宋"/>
          <w:color w:val="auto"/>
          <w:sz w:val="28"/>
          <w:szCs w:val="28"/>
          <w:highlight w:val="none"/>
          <w:lang w:val="en-US" w:eastAsia="zh-CN"/>
        </w:rPr>
        <w:t>投</w:t>
      </w:r>
      <w:r>
        <w:rPr>
          <w:rFonts w:hint="eastAsia" w:ascii="仿宋" w:hAnsi="仿宋" w:eastAsia="仿宋"/>
          <w:color w:val="auto"/>
          <w:sz w:val="28"/>
          <w:szCs w:val="28"/>
          <w:highlight w:val="none"/>
        </w:rPr>
        <w:t>标价法</w:t>
      </w:r>
    </w:p>
    <w:p w14:paraId="6BDBA3F9">
      <w:pPr>
        <w:spacing w:line="480" w:lineRule="atLeast"/>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付款方式：验收合格后开具增值税专用发票一个月内付款</w:t>
      </w:r>
    </w:p>
    <w:p w14:paraId="6FC1E486">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最高投标限价：</w:t>
      </w:r>
      <w:r>
        <w:rPr>
          <w:rFonts w:hint="eastAsia" w:ascii="仿宋" w:hAnsi="仿宋" w:eastAsia="仿宋"/>
          <w:color w:val="auto"/>
          <w:sz w:val="28"/>
          <w:szCs w:val="28"/>
          <w:highlight w:val="none"/>
          <w:lang w:val="en-US" w:eastAsia="zh-CN"/>
        </w:rPr>
        <w:t>48000.00元</w:t>
      </w:r>
    </w:p>
    <w:p w14:paraId="124FB9D6">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资金来源：企业自筹</w:t>
      </w:r>
      <w:bookmarkStart w:id="71" w:name="_GoBack"/>
      <w:bookmarkEnd w:id="71"/>
    </w:p>
    <w:p w14:paraId="4E4A9A1E">
      <w:pPr>
        <w:spacing w:line="560" w:lineRule="exact"/>
        <w:ind w:firstLine="560" w:firstLineChars="200"/>
        <w:rPr>
          <w:rFonts w:ascii="仿宋" w:hAnsi="仿宋" w:eastAsia="仿宋"/>
          <w:color w:val="auto"/>
          <w:sz w:val="28"/>
          <w:szCs w:val="28"/>
          <w:highlight w:val="none"/>
        </w:rPr>
      </w:pPr>
      <w:r>
        <w:rPr>
          <w:rFonts w:hint="eastAsia" w:ascii="黑体" w:hAnsi="黑体" w:eastAsia="黑体" w:cs="宋体"/>
          <w:bCs/>
          <w:color w:val="auto"/>
          <w:sz w:val="28"/>
          <w:szCs w:val="28"/>
          <w:highlight w:val="none"/>
        </w:rPr>
        <w:t>二、参选人的资格要求：</w:t>
      </w:r>
    </w:p>
    <w:bookmarkEnd w:id="4"/>
    <w:bookmarkEnd w:id="5"/>
    <w:bookmarkEnd w:id="6"/>
    <w:bookmarkEnd w:id="7"/>
    <w:p w14:paraId="1B794385">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1.</w:t>
      </w:r>
      <w:r>
        <w:rPr>
          <w:rFonts w:hint="eastAsia" w:ascii="仿宋" w:hAnsi="仿宋" w:eastAsia="仿宋" w:cs="仿宋"/>
          <w:b w:val="0"/>
          <w:bCs w:val="0"/>
          <w:color w:val="auto"/>
          <w:kern w:val="0"/>
          <w:sz w:val="28"/>
          <w:szCs w:val="28"/>
          <w:highlight w:val="none"/>
        </w:rPr>
        <w:t>具有合法有效的营业执照</w:t>
      </w:r>
      <w:r>
        <w:rPr>
          <w:rFonts w:hint="eastAsia" w:ascii="仿宋" w:hAnsi="仿宋" w:eastAsia="仿宋" w:cs="仿宋"/>
          <w:b w:val="0"/>
          <w:bCs w:val="0"/>
          <w:color w:val="auto"/>
          <w:kern w:val="0"/>
          <w:sz w:val="28"/>
          <w:szCs w:val="28"/>
          <w:highlight w:val="none"/>
          <w:lang w:eastAsia="zh-CN"/>
        </w:rPr>
        <w:t>；</w:t>
      </w:r>
    </w:p>
    <w:p w14:paraId="4701332B">
      <w:pPr>
        <w:spacing w:line="480" w:lineRule="atLeast"/>
        <w:ind w:left="559" w:leftChars="266" w:firstLine="0" w:firstLineChars="0"/>
        <w:rPr>
          <w:rFonts w:hint="default"/>
          <w:color w:val="auto"/>
          <w:highlight w:val="none"/>
          <w:lang w:val="en-US" w:eastAsia="zh-CN"/>
        </w:rPr>
      </w:pPr>
      <w:r>
        <w:rPr>
          <w:rFonts w:hint="eastAsia" w:ascii="仿宋" w:hAnsi="仿宋" w:eastAsia="仿宋"/>
          <w:color w:val="auto"/>
          <w:sz w:val="28"/>
          <w:szCs w:val="28"/>
          <w:highlight w:val="none"/>
        </w:rPr>
        <w:t>2.本项目不接受联合体</w:t>
      </w:r>
      <w:r>
        <w:rPr>
          <w:rFonts w:hint="eastAsia" w:ascii="仿宋" w:hAnsi="仿宋" w:eastAsia="仿宋"/>
          <w:color w:val="auto"/>
          <w:sz w:val="28"/>
          <w:szCs w:val="28"/>
          <w:highlight w:val="none"/>
          <w:lang w:eastAsia="zh-CN"/>
        </w:rPr>
        <w:t>；</w:t>
      </w:r>
    </w:p>
    <w:p w14:paraId="14CB990D">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3.本项目不接受联合体参选。</w:t>
      </w:r>
    </w:p>
    <w:p w14:paraId="51016CCC">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olor w:val="auto"/>
          <w:sz w:val="28"/>
          <w:szCs w:val="28"/>
          <w:highlight w:val="none"/>
          <w:lang w:val="en-US" w:eastAsia="zh-CN"/>
        </w:rPr>
        <w:t>4.</w:t>
      </w:r>
      <w:r>
        <w:rPr>
          <w:rFonts w:hint="eastAsia" w:ascii="仿宋" w:hAnsi="仿宋" w:eastAsia="仿宋" w:cs="Times New Roman"/>
          <w:color w:val="auto"/>
          <w:kern w:val="2"/>
          <w:sz w:val="28"/>
          <w:szCs w:val="28"/>
          <w:highlight w:val="none"/>
          <w:lang w:val="en-US" w:eastAsia="zh-CN" w:bidi="ar-SA"/>
        </w:rPr>
        <w:t>参选人有以下情形不得参与本次比选活动：</w:t>
      </w:r>
    </w:p>
    <w:p w14:paraId="760578BD">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4.1被列入安庆市交通控股集团有限公司黑名单管理系统；</w:t>
      </w:r>
    </w:p>
    <w:p w14:paraId="4DAA4494">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4.2在安庆市交通控股集团有限公司处罚限制期限内的投标人或参选人；</w:t>
      </w:r>
    </w:p>
    <w:p w14:paraId="639E8A29">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4.3前期参与安庆市交通控股集团有限公司组织的招标采购活动获得中标候选人资格而放弃中标资格不签订合同的投标人或参选人，在处罚期内的投标人或参选人不得参与本次比选活动。</w:t>
      </w:r>
    </w:p>
    <w:p w14:paraId="05A75E5F">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475A83DD">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1.潜在参选人于</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日</w:t>
      </w:r>
      <w:r>
        <w:rPr>
          <w:rFonts w:hint="eastAsia" w:ascii="仿宋" w:hAnsi="仿宋" w:eastAsia="仿宋"/>
          <w:color w:val="auto"/>
          <w:sz w:val="28"/>
          <w:szCs w:val="28"/>
          <w:highlight w:val="none"/>
        </w:rPr>
        <w:t>17点30分前，每天上午8:00至12:00，下午14:30至17:30（北京时间，法定节假日除外）登录安庆市交通控股集团有限公司</w:t>
      </w:r>
      <w:r>
        <w:rPr>
          <w:rFonts w:hint="eastAsia" w:ascii="仿宋" w:hAnsi="仿宋" w:eastAsia="仿宋"/>
          <w:color w:val="auto"/>
          <w:sz w:val="28"/>
          <w:szCs w:val="28"/>
          <w:highlight w:val="none"/>
          <w:lang w:eastAsia="zh-CN"/>
        </w:rPr>
        <w:t>集采平台</w:t>
      </w:r>
      <w:r>
        <w:rPr>
          <w:rFonts w:hint="eastAsia" w:ascii="仿宋" w:hAnsi="仿宋" w:eastAsia="仿宋"/>
          <w:color w:val="auto"/>
          <w:sz w:val="28"/>
          <w:szCs w:val="28"/>
          <w:highlight w:val="none"/>
        </w:rPr>
        <w:t>（http://jc.zh0556.com/）获取比选文件。</w:t>
      </w:r>
    </w:p>
    <w:p w14:paraId="7A114992">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2.参选文件及相关资料工本费：不收取。</w:t>
      </w:r>
    </w:p>
    <w:p w14:paraId="575AA301">
      <w:pPr>
        <w:spacing w:line="480" w:lineRule="atLeast"/>
        <w:ind w:firstLine="560" w:firstLineChars="200"/>
        <w:rPr>
          <w:rFonts w:hint="eastAsia" w:ascii="仿宋" w:hAnsi="仿宋" w:eastAsia="仿宋"/>
          <w:color w:val="auto"/>
          <w:sz w:val="28"/>
          <w:szCs w:val="28"/>
          <w:highlight w:val="none"/>
          <w:u w:val="none"/>
        </w:rPr>
      </w:pPr>
      <w:r>
        <w:rPr>
          <w:rFonts w:hint="eastAsia" w:ascii="仿宋" w:hAnsi="仿宋" w:eastAsia="仿宋" w:cs="Times New Roman"/>
          <w:color w:val="auto"/>
          <w:sz w:val="28"/>
          <w:szCs w:val="28"/>
          <w:highlight w:val="none"/>
        </w:rPr>
        <w:t>3.报名方式：</w:t>
      </w:r>
      <w:r>
        <w:rPr>
          <w:rFonts w:hint="eastAsia" w:ascii="仿宋" w:hAnsi="仿宋" w:eastAsia="仿宋" w:cs="Times New Roman"/>
          <w:color w:val="auto"/>
          <w:sz w:val="28"/>
          <w:szCs w:val="28"/>
          <w:highlight w:val="none"/>
        </w:rPr>
        <w:fldChar w:fldCharType="begin"/>
      </w:r>
      <w:r>
        <w:rPr>
          <w:rFonts w:hint="eastAsia" w:ascii="仿宋" w:hAnsi="仿宋" w:eastAsia="仿宋" w:cs="Times New Roman"/>
          <w:color w:val="auto"/>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s="Times New Roman"/>
          <w:color w:val="auto"/>
          <w:sz w:val="28"/>
          <w:szCs w:val="28"/>
          <w:highlight w:val="none"/>
        </w:rPr>
        <w:fldChar w:fldCharType="separate"/>
      </w:r>
      <w:r>
        <w:rPr>
          <w:rFonts w:hint="eastAsia" w:ascii="仿宋" w:hAnsi="仿宋" w:eastAsia="仿宋" w:cs="Times New Roman"/>
          <w:color w:val="auto"/>
          <w:sz w:val="28"/>
          <w:szCs w:val="28"/>
          <w:highlight w:val="none"/>
        </w:rPr>
        <w:t>将“确定参与比选的函”盖供应商公章在</w:t>
      </w:r>
      <w:r>
        <w:rPr>
          <w:rFonts w:hint="eastAsia" w:ascii="仿宋" w:hAnsi="仿宋" w:eastAsia="仿宋" w:cs="Times New Roman"/>
          <w:color w:val="auto"/>
          <w:sz w:val="28"/>
          <w:szCs w:val="28"/>
          <w:highlight w:val="none"/>
          <w:lang w:eastAsia="zh-CN"/>
        </w:rPr>
        <w:t>2026年</w:t>
      </w: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lang w:eastAsia="zh-CN"/>
        </w:rPr>
        <w:t>月</w:t>
      </w: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lang w:eastAsia="zh-CN"/>
        </w:rPr>
        <w:t>日</w:t>
      </w:r>
      <w:r>
        <w:rPr>
          <w:rFonts w:hint="eastAsia" w:ascii="仿宋" w:hAnsi="仿宋" w:eastAsia="仿宋" w:cs="Times New Roman"/>
          <w:color w:val="auto"/>
          <w:sz w:val="28"/>
          <w:szCs w:val="28"/>
          <w:highlight w:val="none"/>
        </w:rPr>
        <w:t>17点30分前发邮箱</w:t>
      </w:r>
      <w:r>
        <w:rPr>
          <w:rFonts w:hint="eastAsia" w:ascii="仿宋" w:hAnsi="仿宋" w:eastAsia="仿宋" w:cs="Times New Roman"/>
          <w:color w:val="auto"/>
          <w:sz w:val="28"/>
          <w:szCs w:val="28"/>
          <w:highlight w:val="none"/>
          <w:lang w:val="en-US" w:eastAsia="zh-CN"/>
        </w:rPr>
        <w:t>1179928670</w:t>
      </w:r>
      <w:r>
        <w:rPr>
          <w:rFonts w:hint="eastAsia" w:ascii="仿宋" w:hAnsi="仿宋" w:eastAsia="仿宋" w:cs="Times New Roman"/>
          <w:color w:val="auto"/>
          <w:sz w:val="28"/>
          <w:szCs w:val="28"/>
          <w:highlight w:val="none"/>
        </w:rPr>
        <w:t>@qq.com（报名截止后发送，报名无效。）</w:t>
      </w:r>
      <w:r>
        <w:rPr>
          <w:rFonts w:hint="eastAsia" w:ascii="仿宋" w:hAnsi="仿宋" w:eastAsia="仿宋" w:cs="Times New Roman"/>
          <w:color w:val="auto"/>
          <w:sz w:val="28"/>
          <w:szCs w:val="28"/>
          <w:highlight w:val="none"/>
        </w:rPr>
        <w:fldChar w:fldCharType="end"/>
      </w:r>
    </w:p>
    <w:p w14:paraId="63F8F5C7">
      <w:pPr>
        <w:spacing w:line="480" w:lineRule="atLeast"/>
        <w:ind w:firstLine="560" w:firstLineChars="200"/>
        <w:rPr>
          <w:rFonts w:hint="eastAsia" w:eastAsia="仿宋"/>
          <w:color w:val="auto"/>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.已发确认参与函，而放弃参加比选的参选人，须在比选时间截止日前一天以公司名义向1179928670@qq.com发送放弃参与函（格式自拟）。否则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管理人将予拉入集团黑名单处理</w:t>
      </w:r>
      <w:r>
        <w:rPr>
          <w:rFonts w:hint="eastAsia" w:ascii="仿宋" w:hAnsi="仿宋" w:eastAsia="仿宋"/>
          <w:color w:val="auto"/>
          <w:sz w:val="28"/>
          <w:szCs w:val="28"/>
          <w:highlight w:val="none"/>
          <w:lang w:eastAsia="zh-CN"/>
        </w:rPr>
        <w:t>。</w:t>
      </w:r>
    </w:p>
    <w:p w14:paraId="5B72CC61">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四、比选时间及地点：</w:t>
      </w:r>
    </w:p>
    <w:p w14:paraId="5567007B">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lang w:eastAsia="zh-CN"/>
        </w:rPr>
        <w:t>日</w:t>
      </w:r>
      <w:r>
        <w:rPr>
          <w:rFonts w:hint="eastAsia" w:ascii="仿宋" w:hAnsi="仿宋" w:eastAsia="仿宋"/>
          <w:color w:val="auto"/>
          <w:sz w:val="28"/>
          <w:szCs w:val="28"/>
          <w:highlight w:val="none"/>
          <w:lang w:val="en-US" w:eastAsia="zh-CN"/>
        </w:rPr>
        <w:t>15</w:t>
      </w:r>
      <w:r>
        <w:rPr>
          <w:rFonts w:hint="eastAsia" w:ascii="仿宋" w:hAnsi="仿宋" w:eastAsia="仿宋"/>
          <w:color w:val="auto"/>
          <w:sz w:val="28"/>
          <w:szCs w:val="28"/>
          <w:highlight w:val="none"/>
          <w:lang w:eastAsia="zh-CN"/>
        </w:rPr>
        <w:t>点</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lang w:eastAsia="zh-CN"/>
        </w:rPr>
        <w:t>分</w:t>
      </w:r>
    </w:p>
    <w:p w14:paraId="40C6F95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地点：安庆市大观区宜园路16号安庆交控集团二号楼一楼开标室</w:t>
      </w:r>
    </w:p>
    <w:p w14:paraId="74A0638E">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五、其他补充事宜：</w:t>
      </w:r>
    </w:p>
    <w:p w14:paraId="38A795C6">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1.参选人的联系人电话(手机)、电子邮箱等通讯方式在比选过程中必须保持畅通，否则因上述原因造成的后果，责任自负。</w:t>
      </w:r>
    </w:p>
    <w:p w14:paraId="63352D7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2.本项目比选实行纸质参选，比选活动线下完成。比选时参选人需要按时到达比选现场进行签到</w:t>
      </w:r>
      <w:r>
        <w:rPr>
          <w:rFonts w:hint="eastAsia" w:ascii="仿宋" w:hAnsi="仿宋" w:eastAsia="仿宋"/>
          <w:color w:val="auto"/>
          <w:sz w:val="28"/>
          <w:szCs w:val="28"/>
          <w:highlight w:val="none"/>
          <w:lang w:val="en-US" w:eastAsia="zh-CN"/>
        </w:rPr>
        <w:t>并递交投标文件</w:t>
      </w:r>
      <w:r>
        <w:rPr>
          <w:rFonts w:hint="eastAsia" w:ascii="仿宋" w:hAnsi="仿宋" w:eastAsia="仿宋"/>
          <w:color w:val="auto"/>
          <w:sz w:val="28"/>
          <w:szCs w:val="28"/>
          <w:highlight w:val="none"/>
        </w:rPr>
        <w:t>，因参选人未按时</w:t>
      </w:r>
      <w:r>
        <w:rPr>
          <w:rFonts w:hint="eastAsia" w:ascii="仿宋" w:hAnsi="仿宋" w:eastAsia="仿宋"/>
          <w:color w:val="auto"/>
          <w:sz w:val="28"/>
          <w:szCs w:val="28"/>
          <w:highlight w:val="none"/>
          <w:lang w:eastAsia="zh-CN"/>
        </w:rPr>
        <w:t>到达</w:t>
      </w:r>
      <w:r>
        <w:rPr>
          <w:rFonts w:hint="eastAsia" w:ascii="仿宋" w:hAnsi="仿宋" w:eastAsia="仿宋"/>
          <w:color w:val="auto"/>
          <w:sz w:val="28"/>
          <w:szCs w:val="28"/>
          <w:highlight w:val="none"/>
        </w:rPr>
        <w:t>比选现场，则视为主动放弃，对比选造成的不利后果由其自行承担。</w:t>
      </w:r>
    </w:p>
    <w:p w14:paraId="41AB212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3.成交人应在采购人要求的时间内与采购人签订合同。</w:t>
      </w:r>
    </w:p>
    <w:p w14:paraId="7F1E45CD">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若项目有业绩要求的，</w:t>
      </w:r>
      <w:r>
        <w:rPr>
          <w:rFonts w:hint="eastAsia" w:ascii="仿宋" w:hAnsi="仿宋" w:eastAsia="仿宋"/>
          <w:color w:val="auto"/>
          <w:sz w:val="28"/>
          <w:szCs w:val="28"/>
          <w:highlight w:val="none"/>
        </w:rPr>
        <w:t>中标人签合同需提供投标时的业绩原件给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人核查，核查发现存在虚假业绩或不符合</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文件要求，</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人有权取消中标资格，</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人可以按照评标委员会提出的中标候选人名单</w:t>
      </w:r>
      <w:r>
        <w:rPr>
          <w:rFonts w:hint="eastAsia" w:ascii="仿宋" w:hAnsi="仿宋" w:eastAsia="仿宋"/>
          <w:color w:val="auto"/>
          <w:sz w:val="28"/>
          <w:szCs w:val="28"/>
          <w:highlight w:val="none"/>
          <w:lang w:val="en-US" w:eastAsia="zh-CN"/>
        </w:rPr>
        <w:t>顺序</w:t>
      </w:r>
      <w:r>
        <w:rPr>
          <w:rFonts w:hint="eastAsia" w:ascii="仿宋" w:hAnsi="仿宋" w:eastAsia="仿宋"/>
          <w:color w:val="auto"/>
          <w:sz w:val="28"/>
          <w:szCs w:val="28"/>
          <w:highlight w:val="none"/>
        </w:rPr>
        <w:t>依次确定其他中标候选人为中标人，或重新</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70436C35">
      <w:pPr>
        <w:spacing w:line="480" w:lineRule="atLeast"/>
        <w:ind w:firstLine="560" w:firstLineChars="200"/>
        <w:rPr>
          <w:rFonts w:ascii="黑体" w:hAnsi="黑体" w:eastAsia="黑体" w:cs="宋体"/>
          <w:bCs/>
          <w:color w:val="auto"/>
          <w:sz w:val="28"/>
          <w:szCs w:val="28"/>
          <w:highlight w:val="none"/>
        </w:rPr>
      </w:pPr>
      <w:bookmarkStart w:id="8" w:name="_Toc28359095"/>
      <w:bookmarkStart w:id="9" w:name="_Toc28359018"/>
      <w:bookmarkStart w:id="10" w:name="_Toc35393805"/>
      <w:bookmarkStart w:id="11" w:name="_Toc35393636"/>
      <w:r>
        <w:rPr>
          <w:rFonts w:hint="eastAsia" w:ascii="黑体" w:hAnsi="黑体" w:eastAsia="黑体" w:cs="宋体"/>
          <w:bCs/>
          <w:color w:val="auto"/>
          <w:sz w:val="28"/>
          <w:szCs w:val="28"/>
          <w:highlight w:val="none"/>
          <w:lang w:val="en-US" w:eastAsia="zh-CN"/>
        </w:rPr>
        <w:t>六</w:t>
      </w:r>
      <w:r>
        <w:rPr>
          <w:rFonts w:hint="eastAsia" w:ascii="黑体" w:hAnsi="黑体" w:eastAsia="黑体" w:cs="宋体"/>
          <w:bCs/>
          <w:color w:val="auto"/>
          <w:sz w:val="28"/>
          <w:szCs w:val="28"/>
          <w:highlight w:val="none"/>
        </w:rPr>
        <w:t>、凡对本次比选提出询问，请按以下方式联系</w:t>
      </w:r>
      <w:bookmarkEnd w:id="8"/>
      <w:bookmarkEnd w:id="9"/>
      <w:bookmarkEnd w:id="10"/>
      <w:bookmarkEnd w:id="11"/>
    </w:p>
    <w:p w14:paraId="38407D3A">
      <w:pPr>
        <w:spacing w:line="480" w:lineRule="atLeast"/>
        <w:ind w:firstLine="560" w:firstLineChars="200"/>
        <w:rPr>
          <w:rFonts w:ascii="仿宋" w:hAnsi="仿宋" w:eastAsia="仿宋"/>
          <w:color w:val="auto"/>
          <w:sz w:val="28"/>
          <w:szCs w:val="28"/>
          <w:highlight w:val="none"/>
        </w:rPr>
      </w:pPr>
      <w:bookmarkStart w:id="12" w:name="_Toc35393806"/>
      <w:bookmarkStart w:id="13" w:name="_Toc35393637"/>
      <w:bookmarkStart w:id="14" w:name="_Toc28359096"/>
      <w:bookmarkStart w:id="15" w:name="_Toc28359019"/>
      <w:r>
        <w:rPr>
          <w:rFonts w:hint="eastAsia" w:ascii="仿宋" w:hAnsi="仿宋" w:eastAsia="仿宋"/>
          <w:color w:val="auto"/>
          <w:sz w:val="28"/>
          <w:szCs w:val="28"/>
          <w:highlight w:val="none"/>
        </w:rPr>
        <w:t>1.采购人信息</w:t>
      </w:r>
      <w:bookmarkEnd w:id="12"/>
      <w:bookmarkEnd w:id="13"/>
      <w:bookmarkEnd w:id="14"/>
      <w:bookmarkEnd w:id="15"/>
    </w:p>
    <w:p w14:paraId="05A6F6A9">
      <w:pPr>
        <w:ind w:firstLine="56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bCs/>
          <w:color w:val="auto"/>
          <w:sz w:val="28"/>
          <w:szCs w:val="28"/>
          <w:highlight w:val="none"/>
          <w:lang w:val="en-US" w:eastAsia="zh-CN"/>
        </w:rPr>
        <w:t>名    称：</w:t>
      </w:r>
      <w:r>
        <w:rPr>
          <w:rFonts w:hint="eastAsia" w:ascii="仿宋" w:hAnsi="仿宋" w:eastAsia="仿宋" w:cs="仿宋"/>
          <w:color w:val="auto"/>
          <w:sz w:val="30"/>
          <w:szCs w:val="30"/>
          <w:highlight w:val="none"/>
          <w:lang w:val="en-US" w:eastAsia="zh-CN"/>
        </w:rPr>
        <w:t>安庆市安汇港务有限公司</w:t>
      </w:r>
    </w:p>
    <w:p w14:paraId="0A8F22D3">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址：安徽省安庆市大观区宜园路6号</w:t>
      </w:r>
    </w:p>
    <w:p w14:paraId="3578F221">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人：江浩</w:t>
      </w:r>
    </w:p>
    <w:p w14:paraId="0EF95A6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联系方式：18788835571</w:t>
      </w:r>
    </w:p>
    <w:p w14:paraId="3623976D">
      <w:pPr>
        <w:pStyle w:val="23"/>
        <w:rPr>
          <w:rFonts w:hint="default"/>
          <w:color w:val="auto"/>
          <w:highlight w:val="none"/>
          <w:lang w:val="en-US" w:eastAsia="zh-CN"/>
        </w:rPr>
      </w:pPr>
    </w:p>
    <w:p w14:paraId="7FF7295A">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2.采购管理部门信息</w:t>
      </w:r>
    </w:p>
    <w:p w14:paraId="21298C0E">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称：安庆市交通控股集团有限公司集采中心</w:t>
      </w:r>
    </w:p>
    <w:p w14:paraId="31EB3112">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址：安庆市大观区宜园路16号2号楼一层</w:t>
      </w:r>
    </w:p>
    <w:p w14:paraId="515E52F5">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人：王欣怡</w:t>
      </w:r>
    </w:p>
    <w:p w14:paraId="5902015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联系方式：0556-5990510</w:t>
      </w:r>
    </w:p>
    <w:p w14:paraId="4BD6B1D2">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60CEFF95">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auto"/>
          <w:sz w:val="32"/>
          <w:szCs w:val="32"/>
          <w:highlight w:val="none"/>
          <w:u w:val="none"/>
          <w:lang w:val="en-US" w:eastAsia="zh-CN"/>
        </w:rPr>
      </w:pPr>
    </w:p>
    <w:p w14:paraId="46F479A2">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67631714">
      <w:pPr>
        <w:keepNext/>
        <w:keepLines/>
        <w:widowControl w:val="0"/>
        <w:spacing w:before="340" w:after="330" w:line="578" w:lineRule="auto"/>
        <w:jc w:val="center"/>
        <w:outlineLvl w:val="0"/>
        <w:rPr>
          <w:rFonts w:hint="eastAsia" w:ascii="宋体" w:hAnsi="宋体" w:eastAsia="宋体" w:cs="宋体"/>
          <w:b/>
          <w:bCs/>
          <w:color w:val="auto"/>
          <w:kern w:val="44"/>
          <w:sz w:val="44"/>
          <w:szCs w:val="44"/>
          <w:highlight w:val="none"/>
          <w:lang w:val="en-US" w:eastAsia="zh-CN" w:bidi="ar-SA"/>
        </w:rPr>
      </w:pPr>
      <w:bookmarkStart w:id="16" w:name="_Toc13660"/>
      <w:r>
        <w:rPr>
          <w:rFonts w:hint="eastAsia" w:ascii="宋体" w:hAnsi="宋体" w:eastAsia="宋体" w:cs="宋体"/>
          <w:b/>
          <w:bCs/>
          <w:color w:val="auto"/>
          <w:kern w:val="44"/>
          <w:sz w:val="44"/>
          <w:szCs w:val="44"/>
          <w:highlight w:val="none"/>
          <w:lang w:val="en-US" w:eastAsia="zh-CN" w:bidi="ar-SA"/>
        </w:rPr>
        <w:t>确定参与比选的函</w:t>
      </w:r>
      <w:bookmarkEnd w:id="16"/>
    </w:p>
    <w:p w14:paraId="35AF6188">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7AA56D85">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皖河新港引桥铁门采购项目</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46EA61D5">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1420FF0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505FE01D">
      <w:pPr>
        <w:ind w:firstLine="640"/>
        <w:jc w:val="both"/>
        <w:rPr>
          <w:rFonts w:hint="eastAsia" w:ascii="仿宋" w:hAnsi="仿宋" w:eastAsia="仿宋" w:cs="仿宋"/>
          <w:b w:val="0"/>
          <w:bCs w:val="0"/>
          <w:color w:val="auto"/>
          <w:sz w:val="32"/>
          <w:szCs w:val="32"/>
          <w:highlight w:val="none"/>
          <w:u w:val="none"/>
          <w:lang w:val="en-US" w:eastAsia="zh-CN"/>
        </w:rPr>
      </w:pPr>
    </w:p>
    <w:p w14:paraId="3FCF35D8">
      <w:pPr>
        <w:pStyle w:val="81"/>
        <w:rPr>
          <w:rFonts w:hint="eastAsia" w:ascii="仿宋" w:hAnsi="仿宋" w:eastAsia="仿宋" w:cs="仿宋"/>
          <w:b w:val="0"/>
          <w:bCs w:val="0"/>
          <w:color w:val="auto"/>
          <w:sz w:val="32"/>
          <w:szCs w:val="32"/>
          <w:highlight w:val="none"/>
          <w:u w:val="none"/>
          <w:lang w:val="en-US" w:eastAsia="zh-CN"/>
        </w:rPr>
      </w:pPr>
    </w:p>
    <w:p w14:paraId="2C107C0E">
      <w:pPr>
        <w:pStyle w:val="81"/>
        <w:rPr>
          <w:rFonts w:hint="eastAsia" w:ascii="仿宋" w:hAnsi="仿宋" w:eastAsia="仿宋" w:cs="仿宋"/>
          <w:b w:val="0"/>
          <w:bCs w:val="0"/>
          <w:color w:val="auto"/>
          <w:sz w:val="32"/>
          <w:szCs w:val="32"/>
          <w:highlight w:val="none"/>
          <w:u w:val="none"/>
          <w:lang w:val="en-US" w:eastAsia="zh-CN"/>
        </w:rPr>
      </w:pPr>
    </w:p>
    <w:p w14:paraId="34054ECF">
      <w:pPr>
        <w:pStyle w:val="81"/>
        <w:rPr>
          <w:rFonts w:hint="eastAsia" w:ascii="仿宋" w:hAnsi="仿宋" w:eastAsia="仿宋" w:cs="仿宋"/>
          <w:b w:val="0"/>
          <w:bCs w:val="0"/>
          <w:color w:val="auto"/>
          <w:sz w:val="32"/>
          <w:szCs w:val="32"/>
          <w:highlight w:val="none"/>
          <w:u w:val="none"/>
          <w:lang w:val="en-US" w:eastAsia="zh-CN"/>
        </w:rPr>
      </w:pPr>
    </w:p>
    <w:p w14:paraId="1B662DC0">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单位名称（盖章）</w:t>
      </w:r>
    </w:p>
    <w:p w14:paraId="215086BB">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FC42CC4">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1071C725">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17" w:name="_Toc11223"/>
      <w:bookmarkStart w:id="18" w:name="_Toc26069"/>
      <w:bookmarkStart w:id="19" w:name="_Toc54941329"/>
      <w:r>
        <w:rPr>
          <w:rFonts w:hint="eastAsia" w:ascii="Arial" w:hAnsi="Arial"/>
          <w:color w:val="auto"/>
          <w:kern w:val="2"/>
          <w:sz w:val="32"/>
          <w:szCs w:val="32"/>
          <w:highlight w:val="none"/>
        </w:rPr>
        <w:t>第二章  比选须知</w:t>
      </w:r>
      <w:bookmarkEnd w:id="3"/>
      <w:bookmarkEnd w:id="17"/>
      <w:bookmarkEnd w:id="18"/>
      <w:bookmarkEnd w:id="19"/>
    </w:p>
    <w:p w14:paraId="732639CA">
      <w:pPr>
        <w:pStyle w:val="3"/>
        <w:rPr>
          <w:rFonts w:hint="eastAsia" w:cs="Tahoma"/>
          <w:bCs/>
          <w:color w:val="auto"/>
          <w:kern w:val="0"/>
          <w:sz w:val="32"/>
          <w:szCs w:val="32"/>
          <w:highlight w:val="none"/>
        </w:rPr>
      </w:pPr>
      <w:bookmarkStart w:id="20" w:name="_Toc54941330"/>
      <w:bookmarkStart w:id="21" w:name="_Toc439316871"/>
      <w:bookmarkStart w:id="22" w:name="_Toc17862"/>
      <w:r>
        <w:rPr>
          <w:rFonts w:hint="eastAsia" w:cs="Tahoma"/>
          <w:bCs/>
          <w:color w:val="auto"/>
          <w:kern w:val="0"/>
          <w:sz w:val="32"/>
          <w:szCs w:val="32"/>
          <w:highlight w:val="none"/>
          <w:lang w:eastAsia="zh-CN"/>
        </w:rPr>
        <w:t>（一）</w:t>
      </w:r>
      <w:r>
        <w:rPr>
          <w:rFonts w:hint="eastAsia" w:cs="Tahoma"/>
          <w:bCs/>
          <w:color w:val="auto"/>
          <w:kern w:val="0"/>
          <w:sz w:val="32"/>
          <w:szCs w:val="32"/>
          <w:highlight w:val="none"/>
        </w:rPr>
        <w:t xml:space="preserve"> 参选人须知前附表</w:t>
      </w:r>
      <w:bookmarkEnd w:id="20"/>
      <w:bookmarkEnd w:id="21"/>
      <w:bookmarkEnd w:id="22"/>
    </w:p>
    <w:p w14:paraId="6C104299">
      <w:pPr>
        <w:pStyle w:val="4"/>
        <w:rPr>
          <w:color w:val="auto"/>
          <w:highlight w:val="none"/>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5F76B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070BBE1">
            <w:pPr>
              <w:keepNext w:val="0"/>
              <w:keepLines w:val="0"/>
              <w:pageBreakBefore w:val="0"/>
              <w:kinsoku/>
              <w:wordWrap/>
              <w:overflowPunct/>
              <w:topLinePunct w:val="0"/>
              <w:bidi w:val="0"/>
              <w:spacing w:line="420" w:lineRule="exact"/>
              <w:ind w:right="-358"/>
              <w:textAlignment w:val="auto"/>
              <w:rPr>
                <w:rFonts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6842F20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313627F6">
            <w:pPr>
              <w:keepNext w:val="0"/>
              <w:keepLines w:val="0"/>
              <w:pageBreakBefore w:val="0"/>
              <w:tabs>
                <w:tab w:val="left" w:pos="1180"/>
              </w:tabs>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说明与要求</w:t>
            </w:r>
          </w:p>
        </w:tc>
      </w:tr>
      <w:tr w14:paraId="27DA8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5692B697">
            <w:pPr>
              <w:keepNext w:val="0"/>
              <w:keepLines w:val="0"/>
              <w:pageBreakBefore w:val="0"/>
              <w:kinsoku/>
              <w:wordWrap/>
              <w:overflowPunct/>
              <w:topLinePunct w:val="0"/>
              <w:bidi w:val="0"/>
              <w:spacing w:line="420" w:lineRule="exact"/>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1B71D236">
            <w:pPr>
              <w:keepNext w:val="0"/>
              <w:keepLines w:val="0"/>
              <w:pageBreakBefore w:val="0"/>
              <w:kinsoku/>
              <w:wordWrap/>
              <w:overflowPunct/>
              <w:topLinePunct w:val="0"/>
              <w:bidi w:val="0"/>
              <w:spacing w:line="420" w:lineRule="exact"/>
              <w:jc w:val="center"/>
              <w:textAlignment w:val="auto"/>
              <w:rPr>
                <w:rFonts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4952258B">
            <w:pPr>
              <w:keepNext w:val="0"/>
              <w:keepLines w:val="0"/>
              <w:pageBreakBefore w:val="0"/>
              <w:widowControl/>
              <w:kinsoku/>
              <w:wordWrap/>
              <w:overflowPunct/>
              <w:topLinePunct w:val="0"/>
              <w:bidi w:val="0"/>
              <w:snapToGrid w:val="0"/>
              <w:spacing w:line="420" w:lineRule="exact"/>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皖河新港引桥铁门采购</w:t>
            </w:r>
          </w:p>
        </w:tc>
      </w:tr>
      <w:tr w14:paraId="1B73A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019B3A0F">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4E0A9898">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5576570D">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AQJK-CG-2026-011</w:t>
            </w:r>
          </w:p>
        </w:tc>
      </w:tr>
      <w:tr w14:paraId="22445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132CEF41">
            <w:pPr>
              <w:keepNext w:val="0"/>
              <w:keepLines w:val="0"/>
              <w:pageBreakBefore w:val="0"/>
              <w:kinsoku/>
              <w:wordWrap/>
              <w:overflowPunct/>
              <w:topLinePunct w:val="0"/>
              <w:bidi w:val="0"/>
              <w:spacing w:line="420" w:lineRule="exact"/>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28214310">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1AAFEDCD">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auto"/>
                <w:sz w:val="21"/>
                <w:szCs w:val="21"/>
                <w:highlight w:val="none"/>
                <w:lang w:eastAsia="zh-CN"/>
              </w:rPr>
            </w:pPr>
            <w:r>
              <w:rPr>
                <w:rFonts w:hint="eastAsia" w:cs="Times New Roman"/>
                <w:color w:val="auto"/>
                <w:kern w:val="2"/>
                <w:sz w:val="21"/>
                <w:highlight w:val="none"/>
                <w:lang w:val="en-US" w:eastAsia="zh-CN" w:bidi="ar-SA"/>
              </w:rPr>
              <w:t>安庆市安汇港务有限公司</w:t>
            </w:r>
          </w:p>
        </w:tc>
      </w:tr>
      <w:tr w14:paraId="131F7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C245726">
            <w:pPr>
              <w:keepNext w:val="0"/>
              <w:keepLines w:val="0"/>
              <w:pageBreakBefore w:val="0"/>
              <w:kinsoku/>
              <w:wordWrap/>
              <w:overflowPunct/>
              <w:topLinePunct w:val="0"/>
              <w:bidi w:val="0"/>
              <w:spacing w:line="420" w:lineRule="exact"/>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2125" w:type="dxa"/>
            <w:tcBorders>
              <w:top w:val="single" w:color="auto" w:sz="4" w:space="0"/>
              <w:left w:val="single" w:color="auto" w:sz="4" w:space="0"/>
              <w:bottom w:val="single" w:color="auto" w:sz="4" w:space="0"/>
              <w:right w:val="single" w:color="auto" w:sz="4" w:space="0"/>
            </w:tcBorders>
            <w:vAlign w:val="center"/>
          </w:tcPr>
          <w:p w14:paraId="679F3FBB">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1863654E">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color w:val="auto"/>
                <w:kern w:val="0"/>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安庆市交通控股集团有限公司集采中心</w:t>
            </w:r>
          </w:p>
        </w:tc>
      </w:tr>
      <w:tr w14:paraId="6D748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4E740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2125" w:type="dxa"/>
            <w:tcBorders>
              <w:top w:val="single" w:color="auto" w:sz="4" w:space="0"/>
              <w:left w:val="single" w:color="auto" w:sz="4" w:space="0"/>
              <w:bottom w:val="single" w:color="auto" w:sz="4" w:space="0"/>
              <w:right w:val="single" w:color="auto" w:sz="4" w:space="0"/>
            </w:tcBorders>
            <w:vAlign w:val="center"/>
          </w:tcPr>
          <w:p w14:paraId="03919060">
            <w:pPr>
              <w:keepNext w:val="0"/>
              <w:keepLines w:val="0"/>
              <w:pageBreakBefore w:val="0"/>
              <w:kinsoku/>
              <w:wordWrap/>
              <w:overflowPunct/>
              <w:topLinePunct w:val="0"/>
              <w:bidi w:val="0"/>
              <w:spacing w:line="420" w:lineRule="exact"/>
              <w:jc w:val="center"/>
              <w:textAlignment w:val="auto"/>
              <w:rPr>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3D8AE4FE">
            <w:pPr>
              <w:keepNext w:val="0"/>
              <w:keepLines w:val="0"/>
              <w:pageBreakBefore w:val="0"/>
              <w:kinsoku/>
              <w:wordWrap/>
              <w:overflowPunct/>
              <w:topLinePunct w:val="0"/>
              <w:bidi w:val="0"/>
              <w:spacing w:line="420" w:lineRule="exact"/>
              <w:textAlignment w:val="auto"/>
              <w:rPr>
                <w:rFonts w:hint="default" w:eastAsia="宋体"/>
                <w:color w:val="auto"/>
                <w:szCs w:val="21"/>
                <w:highlight w:val="none"/>
                <w:lang w:val="en-US" w:eastAsia="zh-CN"/>
              </w:rPr>
            </w:pPr>
            <w:r>
              <w:rPr>
                <w:rFonts w:hint="eastAsia"/>
                <w:color w:val="auto"/>
                <w:szCs w:val="21"/>
                <w:highlight w:val="none"/>
                <w:lang w:val="en-US" w:eastAsia="zh-CN"/>
              </w:rPr>
              <w:t>自筹</w:t>
            </w:r>
          </w:p>
        </w:tc>
      </w:tr>
      <w:tr w14:paraId="34F05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448F2F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2125" w:type="dxa"/>
            <w:tcBorders>
              <w:top w:val="single" w:color="auto" w:sz="4" w:space="0"/>
              <w:left w:val="single" w:color="auto" w:sz="4" w:space="0"/>
              <w:right w:val="single" w:color="auto" w:sz="4" w:space="0"/>
            </w:tcBorders>
            <w:vAlign w:val="center"/>
          </w:tcPr>
          <w:p w14:paraId="79C6D364">
            <w:pPr>
              <w:keepNext w:val="0"/>
              <w:keepLines w:val="0"/>
              <w:suppressLineNumbers w:val="0"/>
              <w:spacing w:before="0" w:beforeLines="0" w:beforeAutospacing="0" w:after="0" w:afterLines="0" w:afterAutospacing="0" w:line="420" w:lineRule="exact"/>
              <w:ind w:left="0" w:leftChars="0" w:right="0" w:rightChars="0"/>
              <w:jc w:val="center"/>
              <w:rPr>
                <w:rFonts w:hint="eastAsia" w:eastAsia="宋体"/>
                <w:color w:val="auto"/>
                <w:szCs w:val="21"/>
                <w:highlight w:val="none"/>
                <w:lang w:val="en-US" w:eastAsia="zh-CN"/>
              </w:rPr>
            </w:pPr>
            <w:r>
              <w:rPr>
                <w:rFonts w:hint="eastAsia" w:ascii="宋体"/>
                <w:color w:val="auto"/>
                <w:sz w:val="21"/>
                <w:szCs w:val="21"/>
                <w:highlight w:val="none"/>
                <w:lang w:eastAsia="zh-CN"/>
              </w:rPr>
              <w:t>最高投标限价</w:t>
            </w:r>
          </w:p>
        </w:tc>
        <w:tc>
          <w:tcPr>
            <w:tcW w:w="6356" w:type="dxa"/>
            <w:tcBorders>
              <w:top w:val="single" w:color="auto" w:sz="4" w:space="0"/>
              <w:left w:val="single" w:color="auto" w:sz="4" w:space="0"/>
              <w:bottom w:val="single" w:color="auto" w:sz="4" w:space="0"/>
            </w:tcBorders>
            <w:vAlign w:val="center"/>
          </w:tcPr>
          <w:p w14:paraId="76BDBB3F">
            <w:pPr>
              <w:keepNext w:val="0"/>
              <w:keepLines w:val="0"/>
              <w:widowControl/>
              <w:suppressLineNumbers w:val="0"/>
              <w:spacing w:before="0" w:beforeAutospacing="0" w:after="0" w:afterAutospacing="0"/>
              <w:ind w:left="0" w:leftChars="0" w:right="0" w:rightChars="0"/>
              <w:jc w:val="left"/>
              <w:textAlignment w:val="center"/>
              <w:rPr>
                <w:rFonts w:hint="default" w:eastAsia="宋体"/>
                <w:color w:val="auto"/>
                <w:szCs w:val="21"/>
                <w:highlight w:val="none"/>
                <w:lang w:val="en-US" w:eastAsia="zh-CN"/>
              </w:rPr>
            </w:pPr>
            <w:r>
              <w:rPr>
                <w:rFonts w:hint="eastAsia" w:cs="Times New Roman"/>
                <w:color w:val="auto"/>
                <w:szCs w:val="21"/>
                <w:highlight w:val="none"/>
                <w:lang w:val="en-US" w:eastAsia="zh-CN"/>
              </w:rPr>
              <w:t>48000.00</w:t>
            </w:r>
            <w:r>
              <w:rPr>
                <w:rFonts w:hint="eastAsia" w:ascii="Times New Roman" w:hAnsi="Times New Roman" w:eastAsia="宋体" w:cs="Times New Roman"/>
                <w:color w:val="auto"/>
                <w:szCs w:val="21"/>
                <w:highlight w:val="none"/>
                <w:lang w:val="en-US" w:eastAsia="zh-CN"/>
              </w:rPr>
              <w:t>元</w:t>
            </w:r>
          </w:p>
        </w:tc>
      </w:tr>
      <w:tr w14:paraId="6983E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41AFBA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7</w:t>
            </w:r>
          </w:p>
        </w:tc>
        <w:tc>
          <w:tcPr>
            <w:tcW w:w="2125" w:type="dxa"/>
            <w:tcBorders>
              <w:top w:val="single" w:color="auto" w:sz="4" w:space="0"/>
              <w:left w:val="single" w:color="auto" w:sz="4" w:space="0"/>
              <w:bottom w:val="single" w:color="auto" w:sz="4" w:space="0"/>
              <w:right w:val="single" w:color="auto" w:sz="4" w:space="0"/>
            </w:tcBorders>
            <w:vAlign w:val="center"/>
          </w:tcPr>
          <w:p w14:paraId="5A346BAE">
            <w:pPr>
              <w:keepNext w:val="0"/>
              <w:keepLines w:val="0"/>
              <w:pageBreakBefore w:val="0"/>
              <w:kinsoku/>
              <w:wordWrap/>
              <w:overflowPunct/>
              <w:topLinePunct w:val="0"/>
              <w:bidi w:val="0"/>
              <w:spacing w:line="42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3F3B64EF">
            <w:pPr>
              <w:keepNext w:val="0"/>
              <w:keepLines w:val="0"/>
              <w:pageBreakBefore w:val="0"/>
              <w:kinsoku/>
              <w:wordWrap/>
              <w:overflowPunct/>
              <w:topLinePunct w:val="0"/>
              <w:bidi w:val="0"/>
              <w:spacing w:line="420" w:lineRule="exact"/>
              <w:textAlignment w:val="auto"/>
              <w:rPr>
                <w:rFonts w:hint="default"/>
                <w:color w:val="auto"/>
                <w:highlight w:val="none"/>
                <w:lang w:val="en-US" w:eastAsia="zh-CN"/>
              </w:rPr>
            </w:pPr>
            <w:r>
              <w:rPr>
                <w:rFonts w:hint="eastAsia"/>
                <w:color w:val="auto"/>
                <w:highlight w:val="none"/>
                <w:lang w:val="en-US" w:eastAsia="zh-CN"/>
              </w:rPr>
              <w:t>详见比选公告</w:t>
            </w:r>
          </w:p>
        </w:tc>
      </w:tr>
      <w:tr w14:paraId="11896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E72599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2125" w:type="dxa"/>
            <w:tcBorders>
              <w:top w:val="single" w:color="auto" w:sz="4" w:space="0"/>
              <w:left w:val="single" w:color="auto" w:sz="4" w:space="0"/>
              <w:bottom w:val="single" w:color="auto" w:sz="4" w:space="0"/>
              <w:right w:val="single" w:color="auto" w:sz="4" w:space="0"/>
            </w:tcBorders>
            <w:vAlign w:val="center"/>
          </w:tcPr>
          <w:p w14:paraId="2D058DA5">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20D90A21">
            <w:pPr>
              <w:keepNext w:val="0"/>
              <w:keepLines w:val="0"/>
              <w:pageBreakBefore w:val="0"/>
              <w:kinsoku/>
              <w:wordWrap/>
              <w:overflowPunct/>
              <w:topLinePunct w:val="0"/>
              <w:bidi w:val="0"/>
              <w:spacing w:line="420" w:lineRule="exact"/>
              <w:textAlignment w:val="auto"/>
              <w:rPr>
                <w:rFonts w:hint="eastAsia" w:ascii="宋体" w:eastAsia="宋体"/>
                <w:color w:val="auto"/>
                <w:szCs w:val="21"/>
                <w:highlight w:val="none"/>
                <w:lang w:eastAsia="zh-CN"/>
              </w:rPr>
            </w:pPr>
            <w:r>
              <w:rPr>
                <w:rFonts w:hint="eastAsia" w:ascii="宋体"/>
                <w:color w:val="auto"/>
                <w:szCs w:val="21"/>
                <w:highlight w:val="none"/>
              </w:rPr>
              <w:t>资格后审</w:t>
            </w:r>
          </w:p>
        </w:tc>
      </w:tr>
      <w:tr w14:paraId="49F5E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A7C7FF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2125" w:type="dxa"/>
            <w:tcBorders>
              <w:top w:val="single" w:color="auto" w:sz="4" w:space="0"/>
              <w:left w:val="single" w:color="auto" w:sz="4" w:space="0"/>
              <w:bottom w:val="single" w:color="auto" w:sz="4" w:space="0"/>
              <w:right w:val="single" w:color="auto" w:sz="4" w:space="0"/>
            </w:tcBorders>
            <w:vAlign w:val="center"/>
          </w:tcPr>
          <w:p w14:paraId="322CF771">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1FB0C530">
            <w:pPr>
              <w:keepNext w:val="0"/>
              <w:keepLines w:val="0"/>
              <w:pageBreakBefore w:val="0"/>
              <w:kinsoku/>
              <w:wordWrap/>
              <w:overflowPunct/>
              <w:topLinePunct w:val="0"/>
              <w:bidi w:val="0"/>
              <w:spacing w:line="420" w:lineRule="exact"/>
              <w:textAlignment w:val="auto"/>
              <w:rPr>
                <w:rFonts w:ascii="宋体"/>
                <w:color w:val="auto"/>
                <w:szCs w:val="21"/>
                <w:highlight w:val="none"/>
              </w:rPr>
            </w:pPr>
            <w:r>
              <w:rPr>
                <w:rFonts w:hint="eastAsia" w:ascii="宋体" w:hAnsi="宋体"/>
                <w:color w:val="auto"/>
                <w:szCs w:val="21"/>
                <w:highlight w:val="none"/>
              </w:rPr>
              <w:t>比选招标</w:t>
            </w:r>
          </w:p>
        </w:tc>
      </w:tr>
      <w:tr w14:paraId="253C4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A9E693">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2125" w:type="dxa"/>
            <w:tcBorders>
              <w:top w:val="single" w:color="auto" w:sz="4" w:space="0"/>
              <w:left w:val="single" w:color="auto" w:sz="4" w:space="0"/>
              <w:bottom w:val="single" w:color="auto" w:sz="4" w:space="0"/>
              <w:right w:val="single" w:color="auto" w:sz="4" w:space="0"/>
            </w:tcBorders>
            <w:vAlign w:val="center"/>
          </w:tcPr>
          <w:p w14:paraId="759B87C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393349E9">
            <w:pPr>
              <w:keepNext w:val="0"/>
              <w:keepLines w:val="0"/>
              <w:pageBreakBefore w:val="0"/>
              <w:kinsoku/>
              <w:wordWrap/>
              <w:overflowPunct/>
              <w:topLinePunct w:val="0"/>
              <w:bidi w:val="0"/>
              <w:spacing w:line="420" w:lineRule="exact"/>
              <w:ind w:left="-2" w:leftChars="-1" w:firstLine="2"/>
              <w:textAlignment w:val="auto"/>
              <w:rPr>
                <w:rFonts w:ascii="宋体"/>
                <w:color w:val="auto"/>
                <w:szCs w:val="21"/>
                <w:highlight w:val="none"/>
              </w:rPr>
            </w:pPr>
            <w:r>
              <w:rPr>
                <w:rFonts w:hint="eastAsia" w:ascii="宋体" w:hAnsi="宋体"/>
                <w:color w:val="auto"/>
                <w:szCs w:val="21"/>
                <w:highlight w:val="none"/>
                <w:u w:val="single"/>
                <w:lang w:val="en-US" w:eastAsia="zh-CN"/>
              </w:rPr>
              <w:t>9</w:t>
            </w:r>
            <w:r>
              <w:rPr>
                <w:rFonts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1B570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7AA0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2125" w:type="dxa"/>
            <w:tcBorders>
              <w:top w:val="single" w:color="auto" w:sz="4" w:space="0"/>
              <w:left w:val="single" w:color="auto" w:sz="4" w:space="0"/>
              <w:bottom w:val="single" w:color="auto" w:sz="4" w:space="0"/>
              <w:right w:val="single" w:color="auto" w:sz="4" w:space="0"/>
            </w:tcBorders>
            <w:vAlign w:val="center"/>
          </w:tcPr>
          <w:p w14:paraId="0B68BBD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535B6858">
            <w:pPr>
              <w:keepNext w:val="0"/>
              <w:keepLines w:val="0"/>
              <w:pageBreakBefore w:val="0"/>
              <w:kinsoku/>
              <w:wordWrap/>
              <w:overflowPunct/>
              <w:topLinePunct w:val="0"/>
              <w:bidi w:val="0"/>
              <w:spacing w:line="420" w:lineRule="exact"/>
              <w:textAlignment w:val="auto"/>
              <w:rPr>
                <w:rFonts w:hint="default" w:eastAsia="宋体"/>
                <w:color w:val="auto"/>
                <w:highlight w:val="none"/>
                <w:lang w:val="en-US" w:eastAsia="zh-CN"/>
              </w:rPr>
            </w:pPr>
            <w:r>
              <w:rPr>
                <w:rFonts w:hint="eastAsia"/>
                <w:color w:val="auto"/>
                <w:highlight w:val="none"/>
                <w:lang w:val="en-US" w:eastAsia="zh-CN"/>
              </w:rPr>
              <w:t>本项目不收取</w:t>
            </w:r>
          </w:p>
        </w:tc>
      </w:tr>
      <w:tr w14:paraId="47E09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6C81790">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12</w:t>
            </w:r>
          </w:p>
        </w:tc>
        <w:tc>
          <w:tcPr>
            <w:tcW w:w="2125" w:type="dxa"/>
            <w:tcBorders>
              <w:top w:val="single" w:color="auto" w:sz="4" w:space="0"/>
              <w:left w:val="single" w:color="auto" w:sz="4" w:space="0"/>
              <w:bottom w:val="single" w:color="auto" w:sz="4" w:space="0"/>
              <w:right w:val="single" w:color="auto" w:sz="4" w:space="0"/>
            </w:tcBorders>
            <w:vAlign w:val="center"/>
          </w:tcPr>
          <w:p w14:paraId="54F066B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15AE1640">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788849A8">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7F6584AE">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21783D3E">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2CE7A5B7">
            <w:pPr>
              <w:pStyle w:val="19"/>
              <w:widowControl/>
              <w:numPr>
                <w:ilvl w:val="0"/>
                <w:numId w:val="0"/>
              </w:numPr>
              <w:spacing w:line="420" w:lineRule="exact"/>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6A428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C99976E">
            <w:pPr>
              <w:keepNext w:val="0"/>
              <w:keepLines w:val="0"/>
              <w:pageBreakBefore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7F6C0444">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5723A9C5">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01CB177">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4</w:t>
            </w:r>
          </w:p>
        </w:tc>
        <w:tc>
          <w:tcPr>
            <w:tcW w:w="2125" w:type="dxa"/>
            <w:tcBorders>
              <w:top w:val="single" w:color="auto" w:sz="4" w:space="0"/>
              <w:left w:val="single" w:color="auto" w:sz="4" w:space="0"/>
              <w:bottom w:val="single" w:color="auto" w:sz="4" w:space="0"/>
              <w:right w:val="single" w:color="auto" w:sz="4" w:space="0"/>
            </w:tcBorders>
            <w:vAlign w:val="center"/>
          </w:tcPr>
          <w:p w14:paraId="35156DE8">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1551B661">
            <w:pPr>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2026年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点</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lang w:eastAsia="zh-CN"/>
              </w:rPr>
              <w:t>分</w:t>
            </w:r>
          </w:p>
          <w:p w14:paraId="7C170B67">
            <w:pPr>
              <w:spacing w:line="4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15D11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B41CA0">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w:t>
            </w:r>
            <w:r>
              <w:rPr>
                <w:rFonts w:hint="eastAsia" w:ascii="宋体" w:hAnsi="宋体"/>
                <w:color w:val="auto"/>
                <w:szCs w:val="21"/>
                <w:highlight w:val="none"/>
                <w:lang w:val="en-US" w:eastAsia="zh-CN"/>
              </w:rPr>
              <w:t>5</w:t>
            </w:r>
          </w:p>
        </w:tc>
        <w:tc>
          <w:tcPr>
            <w:tcW w:w="2125" w:type="dxa"/>
            <w:tcBorders>
              <w:top w:val="single" w:color="auto" w:sz="4" w:space="0"/>
              <w:left w:val="single" w:color="auto" w:sz="4" w:space="0"/>
              <w:bottom w:val="single" w:color="auto" w:sz="4" w:space="0"/>
              <w:right w:val="single" w:color="auto" w:sz="4" w:space="0"/>
            </w:tcBorders>
          </w:tcPr>
          <w:p w14:paraId="5D01251E">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6C48B3B1">
            <w:pPr>
              <w:keepNext w:val="0"/>
              <w:keepLines w:val="0"/>
              <w:pageBreakBefore w:val="0"/>
              <w:kinsoku/>
              <w:wordWrap/>
              <w:overflowPunct/>
              <w:topLinePunct w:val="0"/>
              <w:bidi w:val="0"/>
              <w:spacing w:line="420" w:lineRule="exact"/>
              <w:textAlignment w:val="auto"/>
              <w:rPr>
                <w:rFonts w:hint="eastAsia" w:ascii="宋体" w:hAnsi="宋体" w:eastAsia="宋体" w:cs="宋体"/>
                <w:color w:val="auto"/>
                <w:sz w:val="21"/>
                <w:szCs w:val="21"/>
                <w:highlight w:val="none"/>
                <w:lang w:val="en-US" w:eastAsia="zh-CN"/>
              </w:rPr>
            </w:pPr>
            <w:r>
              <w:rPr>
                <w:rFonts w:hint="eastAsia" w:ascii="宋体" w:hAnsi="Times New Roman" w:eastAsia="宋体" w:cs="Times New Roman"/>
                <w:color w:val="auto"/>
                <w:szCs w:val="21"/>
                <w:highlight w:val="none"/>
                <w:lang w:val="en-US" w:eastAsia="zh-CN"/>
              </w:rPr>
              <w:t>最低</w:t>
            </w:r>
            <w:r>
              <w:rPr>
                <w:rFonts w:hint="eastAsia" w:ascii="宋体" w:cs="Times New Roman"/>
                <w:color w:val="auto"/>
                <w:szCs w:val="21"/>
                <w:highlight w:val="none"/>
                <w:lang w:val="en-US" w:eastAsia="zh-CN"/>
              </w:rPr>
              <w:t>投</w:t>
            </w:r>
            <w:r>
              <w:rPr>
                <w:rFonts w:hint="eastAsia" w:ascii="宋体" w:hAnsi="Times New Roman" w:eastAsia="宋体" w:cs="Times New Roman"/>
                <w:color w:val="auto"/>
                <w:szCs w:val="21"/>
                <w:highlight w:val="none"/>
                <w:lang w:val="en-US" w:eastAsia="zh-CN"/>
              </w:rPr>
              <w:t>标价法</w:t>
            </w:r>
          </w:p>
        </w:tc>
      </w:tr>
      <w:tr w14:paraId="1A85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2C3CA51">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6</w:t>
            </w:r>
          </w:p>
        </w:tc>
        <w:tc>
          <w:tcPr>
            <w:tcW w:w="2125" w:type="dxa"/>
            <w:tcBorders>
              <w:top w:val="single" w:color="auto" w:sz="4" w:space="0"/>
              <w:left w:val="single" w:color="auto" w:sz="4" w:space="0"/>
              <w:bottom w:val="single" w:color="auto" w:sz="4" w:space="0"/>
              <w:right w:val="single" w:color="auto" w:sz="4" w:space="0"/>
            </w:tcBorders>
            <w:vAlign w:val="center"/>
          </w:tcPr>
          <w:p w14:paraId="575AED12">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履约保证金</w:t>
            </w:r>
          </w:p>
        </w:tc>
        <w:tc>
          <w:tcPr>
            <w:tcW w:w="6356" w:type="dxa"/>
            <w:tcBorders>
              <w:top w:val="single" w:color="auto" w:sz="4" w:space="0"/>
              <w:left w:val="single" w:color="auto" w:sz="4" w:space="0"/>
              <w:bottom w:val="single" w:color="auto" w:sz="4" w:space="0"/>
            </w:tcBorders>
            <w:vAlign w:val="center"/>
          </w:tcPr>
          <w:p w14:paraId="3F03681E">
            <w:pPr>
              <w:keepNext w:val="0"/>
              <w:keepLines w:val="0"/>
              <w:pageBreakBefore w:val="0"/>
              <w:kinsoku/>
              <w:wordWrap/>
              <w:overflowPunct/>
              <w:topLinePunct w:val="0"/>
              <w:bidi w:val="0"/>
              <w:spacing w:line="420" w:lineRule="exact"/>
              <w:jc w:val="both"/>
              <w:textAlignment w:val="auto"/>
              <w:rPr>
                <w:rFonts w:hint="default" w:ascii="宋体" w:hAnsi="宋体"/>
                <w:color w:val="auto"/>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291C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E2B6093">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w:t>
            </w:r>
          </w:p>
        </w:tc>
        <w:tc>
          <w:tcPr>
            <w:tcW w:w="2125" w:type="dxa"/>
            <w:tcBorders>
              <w:top w:val="single" w:color="auto" w:sz="4" w:space="0"/>
              <w:left w:val="single" w:color="auto" w:sz="4" w:space="0"/>
              <w:bottom w:val="single" w:color="auto" w:sz="4" w:space="0"/>
              <w:right w:val="single" w:color="auto" w:sz="4" w:space="0"/>
            </w:tcBorders>
            <w:vAlign w:val="center"/>
          </w:tcPr>
          <w:p w14:paraId="231171EB">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投标保证金</w:t>
            </w:r>
          </w:p>
        </w:tc>
        <w:tc>
          <w:tcPr>
            <w:tcW w:w="6356" w:type="dxa"/>
            <w:tcBorders>
              <w:top w:val="single" w:color="auto" w:sz="4" w:space="0"/>
              <w:left w:val="single" w:color="auto" w:sz="4" w:space="0"/>
              <w:bottom w:val="single" w:color="auto" w:sz="4" w:space="0"/>
            </w:tcBorders>
            <w:vAlign w:val="center"/>
          </w:tcPr>
          <w:p w14:paraId="6326F425">
            <w:pPr>
              <w:keepNext w:val="0"/>
              <w:keepLines w:val="0"/>
              <w:pageBreakBefore w:val="0"/>
              <w:kinsoku/>
              <w:wordWrap/>
              <w:overflowPunct/>
              <w:topLinePunct w:val="0"/>
              <w:bidi w:val="0"/>
              <w:spacing w:line="42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63DCC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998DB64">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2125" w:type="dxa"/>
            <w:tcBorders>
              <w:top w:val="single" w:color="auto" w:sz="4" w:space="0"/>
              <w:left w:val="single" w:color="auto" w:sz="4" w:space="0"/>
              <w:bottom w:val="single" w:color="auto" w:sz="4" w:space="0"/>
              <w:right w:val="single" w:color="auto" w:sz="4" w:space="0"/>
            </w:tcBorders>
            <w:vAlign w:val="top"/>
          </w:tcPr>
          <w:p w14:paraId="4A1C538C">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76D71439">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szCs w:val="21"/>
                <w:highlight w:val="none"/>
                <w:lang w:val="en-US" w:eastAsia="zh-CN"/>
              </w:rPr>
              <w:t>由成交人承担</w:t>
            </w:r>
          </w:p>
        </w:tc>
      </w:tr>
      <w:tr w14:paraId="67D4F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F9A1B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19</w:t>
            </w:r>
          </w:p>
        </w:tc>
        <w:tc>
          <w:tcPr>
            <w:tcW w:w="2125" w:type="dxa"/>
            <w:tcBorders>
              <w:top w:val="single" w:color="auto" w:sz="4" w:space="0"/>
              <w:left w:val="single" w:color="auto" w:sz="4" w:space="0"/>
              <w:bottom w:val="single" w:color="auto" w:sz="4" w:space="0"/>
              <w:right w:val="single" w:color="auto" w:sz="4" w:space="0"/>
            </w:tcBorders>
            <w:vAlign w:val="center"/>
          </w:tcPr>
          <w:p w14:paraId="16F77312">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01C1CFE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验收合格后开具增值税专用发票一个月内付款</w:t>
            </w:r>
          </w:p>
        </w:tc>
      </w:tr>
      <w:tr w14:paraId="2BF92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DD98591">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20</w:t>
            </w:r>
          </w:p>
        </w:tc>
        <w:tc>
          <w:tcPr>
            <w:tcW w:w="2125" w:type="dxa"/>
            <w:tcBorders>
              <w:top w:val="single" w:color="auto" w:sz="4" w:space="0"/>
              <w:left w:val="single" w:color="auto" w:sz="4" w:space="0"/>
              <w:bottom w:val="single" w:color="auto" w:sz="4" w:space="0"/>
              <w:right w:val="single" w:color="auto" w:sz="4" w:space="0"/>
            </w:tcBorders>
            <w:vAlign w:val="center"/>
          </w:tcPr>
          <w:p w14:paraId="78DE70AA">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6356" w:type="dxa"/>
            <w:tcBorders>
              <w:top w:val="single" w:color="auto" w:sz="4" w:space="0"/>
              <w:left w:val="single" w:color="auto" w:sz="4" w:space="0"/>
              <w:bottom w:val="single" w:color="auto" w:sz="4" w:space="0"/>
            </w:tcBorders>
            <w:vAlign w:val="center"/>
          </w:tcPr>
          <w:p w14:paraId="1B01666D">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1、报价应含参选人完成本项目所有工作内容。</w:t>
            </w:r>
          </w:p>
          <w:p w14:paraId="34047798">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2、为完成本比选文件规定的义务，参选人认为有必要计入的其它费用。</w:t>
            </w:r>
          </w:p>
          <w:p w14:paraId="207824A5">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、开具增值税专用发票。</w:t>
            </w:r>
          </w:p>
        </w:tc>
      </w:tr>
      <w:tr w14:paraId="42F5C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5168F909">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21</w:t>
            </w:r>
          </w:p>
        </w:tc>
        <w:tc>
          <w:tcPr>
            <w:tcW w:w="2125" w:type="dxa"/>
            <w:tcBorders>
              <w:top w:val="single" w:color="auto" w:sz="4" w:space="0"/>
              <w:left w:val="single" w:color="auto" w:sz="4" w:space="0"/>
              <w:bottom w:val="single" w:color="auto" w:sz="4" w:space="0"/>
              <w:right w:val="single" w:color="auto" w:sz="4" w:space="0"/>
            </w:tcBorders>
            <w:vAlign w:val="center"/>
          </w:tcPr>
          <w:p w14:paraId="4B1F76FD">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B2F5D83">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180E720D">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26D00317">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本次采购管理部门为安庆市交通控股集团有限公司集采中心，</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cs="Times New Roman"/>
                <w:color w:val="auto"/>
                <w:kern w:val="2"/>
                <w:sz w:val="21"/>
                <w:highlight w:val="none"/>
                <w:lang w:val="en-US" w:eastAsia="zh-CN" w:bidi="ar-SA"/>
              </w:rPr>
              <w:t>安庆市安汇港务有限公司</w:t>
            </w:r>
            <w:r>
              <w:rPr>
                <w:rFonts w:hint="eastAsia" w:ascii="宋体" w:hAnsi="宋体" w:cs="宋体"/>
                <w:color w:val="auto"/>
                <w:sz w:val="21"/>
                <w:szCs w:val="21"/>
                <w:highlight w:val="none"/>
                <w:lang w:val="en-US" w:eastAsia="zh-CN"/>
              </w:rPr>
              <w:t>，特此说明</w:t>
            </w:r>
            <w:r>
              <w:rPr>
                <w:rFonts w:hint="eastAsia" w:ascii="宋体" w:hAnsi="宋体" w:eastAsia="宋体" w:cs="宋体"/>
                <w:color w:val="auto"/>
                <w:sz w:val="21"/>
                <w:szCs w:val="21"/>
                <w:highlight w:val="none"/>
                <w:lang w:val="en-US" w:eastAsia="zh-CN"/>
              </w:rPr>
              <w:t>。</w:t>
            </w:r>
          </w:p>
        </w:tc>
      </w:tr>
      <w:tr w14:paraId="4E4DC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0D319AE0">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22</w:t>
            </w:r>
          </w:p>
        </w:tc>
        <w:tc>
          <w:tcPr>
            <w:tcW w:w="2125" w:type="dxa"/>
            <w:tcBorders>
              <w:top w:val="single" w:color="auto" w:sz="4" w:space="0"/>
              <w:left w:val="single" w:color="auto" w:sz="4" w:space="0"/>
              <w:bottom w:val="single" w:color="auto" w:sz="4" w:space="0"/>
              <w:right w:val="single" w:color="auto" w:sz="4" w:space="0"/>
            </w:tcBorders>
            <w:vAlign w:val="center"/>
          </w:tcPr>
          <w:p w14:paraId="2991288B">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4D53E5B">
            <w:pPr>
              <w:spacing w:line="420" w:lineRule="exact"/>
              <w:rPr>
                <w:rFonts w:hint="eastAsia"/>
                <w:color w:val="auto"/>
                <w:highlight w:val="none"/>
              </w:rPr>
            </w:pPr>
            <w:r>
              <w:rPr>
                <w:rFonts w:hint="eastAsia"/>
                <w:color w:val="auto"/>
                <w:highlight w:val="none"/>
              </w:rPr>
              <w:t>凡有意参加</w:t>
            </w:r>
            <w:r>
              <w:rPr>
                <w:rFonts w:hint="eastAsia"/>
                <w:color w:val="auto"/>
                <w:highlight w:val="none"/>
                <w:lang w:val="en-US" w:eastAsia="zh-CN"/>
              </w:rPr>
              <w:t>比选</w:t>
            </w:r>
            <w:r>
              <w:rPr>
                <w:rFonts w:hint="eastAsia"/>
                <w:color w:val="auto"/>
                <w:highlight w:val="none"/>
              </w:rPr>
              <w:t>的单位，在参与过程中，遇排斥潜在</w:t>
            </w:r>
            <w:r>
              <w:rPr>
                <w:rFonts w:hint="eastAsia"/>
                <w:color w:val="auto"/>
                <w:highlight w:val="none"/>
                <w:lang w:val="en-US" w:eastAsia="zh-CN"/>
              </w:rPr>
              <w:t>参选</w:t>
            </w:r>
            <w:r>
              <w:rPr>
                <w:rFonts w:hint="eastAsia"/>
                <w:color w:val="auto"/>
                <w:highlight w:val="none"/>
              </w:rPr>
              <w:t>人等现象，可在开标截止时间1日前向</w:t>
            </w:r>
            <w:r>
              <w:rPr>
                <w:rFonts w:hint="eastAsia"/>
                <w:color w:val="auto"/>
                <w:highlight w:val="none"/>
                <w:lang w:eastAsia="zh-CN"/>
              </w:rPr>
              <w:t>采购</w:t>
            </w:r>
            <w:r>
              <w:rPr>
                <w:rFonts w:hint="eastAsia"/>
                <w:color w:val="auto"/>
                <w:highlight w:val="none"/>
              </w:rPr>
              <w:t>部门提出书面质疑。如对质疑答复不满，可在开标截止时间前不少于12小时将书面投诉材料送达至监察部门。</w:t>
            </w:r>
          </w:p>
          <w:p w14:paraId="542F6C92">
            <w:pPr>
              <w:spacing w:line="420" w:lineRule="exact"/>
              <w:rPr>
                <w:rFonts w:hint="eastAsia"/>
                <w:color w:val="auto"/>
                <w:highlight w:val="none"/>
              </w:rPr>
            </w:pPr>
            <w:r>
              <w:rPr>
                <w:rFonts w:hint="eastAsia"/>
                <w:color w:val="auto"/>
                <w:highlight w:val="none"/>
              </w:rPr>
              <w:t>地址：安庆市交通控股集团有限公司纪检监察室</w:t>
            </w:r>
          </w:p>
          <w:p w14:paraId="08CE5C03">
            <w:pPr>
              <w:spacing w:line="420" w:lineRule="exact"/>
              <w:rPr>
                <w:rFonts w:hint="eastAsia"/>
                <w:color w:val="auto"/>
                <w:highlight w:val="none"/>
              </w:rPr>
            </w:pPr>
            <w:r>
              <w:rPr>
                <w:rFonts w:hint="eastAsia"/>
                <w:color w:val="auto"/>
                <w:highlight w:val="none"/>
              </w:rPr>
              <w:t>电话：0556-5595102。</w:t>
            </w:r>
          </w:p>
        </w:tc>
      </w:tr>
    </w:tbl>
    <w:p w14:paraId="34E40D18">
      <w:pPr>
        <w:rPr>
          <w:rFonts w:ascii="宋体" w:hAnsi="宋体"/>
          <w:color w:val="auto"/>
          <w:kern w:val="0"/>
          <w:highlight w:val="none"/>
          <w:lang w:val="zh-CN"/>
        </w:rPr>
      </w:pPr>
      <w:bookmarkStart w:id="23" w:name="_Toc439316872"/>
      <w:r>
        <w:rPr>
          <w:color w:val="auto"/>
          <w:kern w:val="0"/>
          <w:highlight w:val="none"/>
          <w:lang w:val="zh-CN"/>
        </w:rPr>
        <w:br w:type="page"/>
      </w:r>
    </w:p>
    <w:bookmarkEnd w:id="23"/>
    <w:p w14:paraId="6909BF0B">
      <w:pPr>
        <w:keepNext/>
        <w:keepLines/>
        <w:widowControl w:val="0"/>
        <w:autoSpaceDE w:val="0"/>
        <w:autoSpaceDN w:val="0"/>
        <w:adjustRightInd w:val="0"/>
        <w:spacing w:before="120" w:beforeLines="0" w:afterLines="0" w:line="360" w:lineRule="auto"/>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24" w:name="_Toc4481596"/>
      <w:bookmarkStart w:id="25" w:name="_Toc18076"/>
      <w:bookmarkStart w:id="26" w:name="_Toc54941340"/>
      <w:bookmarkStart w:id="27" w:name="_Toc11149"/>
      <w:bookmarkStart w:id="28" w:name="_Toc10569"/>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Arial" w:hAnsi="Arial"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p>
    <w:p w14:paraId="587B3BA4">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29" w:name="_Toc4481592"/>
      <w:bookmarkStart w:id="30" w:name="_Toc28310"/>
      <w:bookmarkStart w:id="31" w:name="_Toc23618"/>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一</w:t>
      </w:r>
      <w:r>
        <w:rPr>
          <w:rFonts w:hint="eastAsia" w:ascii="Arial" w:hAnsi="Arial" w:eastAsia="宋体"/>
          <w:b/>
          <w:color w:val="auto"/>
          <w:kern w:val="0"/>
          <w:sz w:val="32"/>
          <w:highlight w:val="none"/>
        </w:rPr>
        <w:t>）总则</w:t>
      </w:r>
      <w:bookmarkEnd w:id="29"/>
    </w:p>
    <w:p w14:paraId="523EA11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1、定义</w:t>
      </w:r>
    </w:p>
    <w:p w14:paraId="0EF1F4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1.1、采购单位是指采购人和采购管理部门。</w:t>
      </w:r>
    </w:p>
    <w:p w14:paraId="6B2CC9F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2、参选人资格要求</w:t>
      </w:r>
    </w:p>
    <w:p w14:paraId="5D407D2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（1）法定代表人为同一个人的两个及两个以上法人；</w:t>
      </w:r>
    </w:p>
    <w:p w14:paraId="6517A6B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（2）母公司、全资子公司及其控股公司；</w:t>
      </w:r>
    </w:p>
    <w:p w14:paraId="13ADAE1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（3）法律和行政法规规定的其他情形。</w:t>
      </w:r>
    </w:p>
    <w:p w14:paraId="468F923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3、联合体投标</w:t>
      </w:r>
    </w:p>
    <w:p w14:paraId="540C070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本项目不接受联合体</w:t>
      </w:r>
    </w:p>
    <w:p w14:paraId="6315C778">
      <w:pPr>
        <w:adjustRightInd w:val="0"/>
        <w:spacing w:line="500" w:lineRule="exact"/>
        <w:ind w:firstLine="413" w:firstLineChars="196"/>
        <w:rPr>
          <w:rFonts w:ascii="宋体" w:hAnsi="宋体" w:eastAsia="宋体"/>
          <w:bCs/>
          <w:color w:val="auto"/>
          <w:szCs w:val="21"/>
          <w:highlight w:val="none"/>
        </w:rPr>
      </w:pPr>
      <w:r>
        <w:rPr>
          <w:rFonts w:hint="eastAsia" w:ascii="宋体" w:hAnsi="宋体" w:eastAsia="宋体"/>
          <w:b/>
          <w:color w:val="auto"/>
          <w:szCs w:val="21"/>
          <w:highlight w:val="none"/>
        </w:rPr>
        <w:t>4、比选费用：</w:t>
      </w:r>
      <w:r>
        <w:rPr>
          <w:rFonts w:hint="eastAsia" w:ascii="宋体" w:hAnsi="宋体" w:eastAsia="宋体"/>
          <w:bCs/>
          <w:color w:val="auto"/>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widowControl/>
        <w:spacing w:line="500" w:lineRule="exact"/>
        <w:ind w:firstLine="420" w:firstLineChars="200"/>
        <w:jc w:val="left"/>
        <w:rPr>
          <w:rFonts w:ascii="宋体" w:hAnsi="宋体" w:eastAsia="宋体"/>
          <w:bCs/>
          <w:color w:val="auto"/>
          <w:szCs w:val="21"/>
          <w:highlight w:val="none"/>
        </w:rPr>
      </w:pPr>
    </w:p>
    <w:p w14:paraId="4F044542">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2" w:name="_Toc479622044"/>
      <w:bookmarkStart w:id="33" w:name="_Toc8536"/>
      <w:bookmarkStart w:id="34" w:name="_Toc4481593"/>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二</w:t>
      </w:r>
      <w:r>
        <w:rPr>
          <w:rFonts w:hint="eastAsia" w:ascii="Arial" w:hAnsi="Arial" w:eastAsia="宋体"/>
          <w:b/>
          <w:color w:val="auto"/>
          <w:kern w:val="0"/>
          <w:sz w:val="32"/>
          <w:highlight w:val="none"/>
        </w:rPr>
        <w:t>）</w:t>
      </w:r>
      <w:bookmarkEnd w:id="32"/>
      <w:bookmarkEnd w:id="33"/>
      <w:bookmarkEnd w:id="34"/>
      <w:r>
        <w:rPr>
          <w:rFonts w:hint="eastAsia" w:ascii="Arial" w:hAnsi="Arial" w:eastAsia="宋体"/>
          <w:b/>
          <w:color w:val="auto"/>
          <w:kern w:val="0"/>
          <w:sz w:val="32"/>
          <w:highlight w:val="none"/>
        </w:rPr>
        <w:t>比选文件</w:t>
      </w:r>
    </w:p>
    <w:p w14:paraId="3DC33FF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6、比选文件的构成</w:t>
      </w:r>
    </w:p>
    <w:p w14:paraId="226642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6.1、比选文件包括：</w:t>
      </w:r>
    </w:p>
    <w:p w14:paraId="1088002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（1）第一章  比选公告；</w:t>
      </w:r>
    </w:p>
    <w:p w14:paraId="38D39F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（2）第二章  参选人须知；</w:t>
      </w:r>
    </w:p>
    <w:p w14:paraId="7A639ED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（3）第三章  </w:t>
      </w:r>
      <w:r>
        <w:rPr>
          <w:rFonts w:hint="eastAsia" w:ascii="宋体" w:hAnsi="宋体" w:eastAsia="宋体"/>
          <w:color w:val="auto"/>
          <w:szCs w:val="21"/>
          <w:highlight w:val="none"/>
          <w:lang w:eastAsia="zh-CN"/>
        </w:rPr>
        <w:t>项目需求及技术要求</w:t>
      </w:r>
      <w:r>
        <w:rPr>
          <w:rFonts w:hint="eastAsia" w:ascii="宋体" w:hAnsi="宋体" w:eastAsia="宋体"/>
          <w:color w:val="auto"/>
          <w:szCs w:val="21"/>
          <w:highlight w:val="none"/>
        </w:rPr>
        <w:t>；</w:t>
      </w:r>
    </w:p>
    <w:p w14:paraId="3504C3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（4）第四章  合同主要条款；</w:t>
      </w:r>
    </w:p>
    <w:p w14:paraId="66F41A3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（5）第五章  参选文件格式。</w:t>
      </w:r>
    </w:p>
    <w:p w14:paraId="4A494B01">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7、比选文件的澄清</w:t>
      </w:r>
    </w:p>
    <w:p w14:paraId="39A5E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8、比选文件的修改</w:t>
      </w:r>
    </w:p>
    <w:p w14:paraId="2F29380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8.1、采购单位可以对比选文件进行修改。</w:t>
      </w:r>
    </w:p>
    <w:p w14:paraId="1DD4DAED">
      <w:pPr>
        <w:spacing w:line="5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8.2、采购单位对参选人异议的答复和对比选文件的</w:t>
      </w:r>
      <w:r>
        <w:rPr>
          <w:rFonts w:ascii="宋体" w:hAnsi="宋体" w:eastAsia="宋体"/>
          <w:b/>
          <w:bCs/>
          <w:color w:val="auto"/>
          <w:szCs w:val="21"/>
          <w:highlight w:val="none"/>
        </w:rPr>
        <w:t>澄</w:t>
      </w:r>
      <w:r>
        <w:rPr>
          <w:rFonts w:hint="eastAsia" w:ascii="宋体" w:hAnsi="宋体" w:eastAsia="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w:t>
      </w:r>
      <w:bookmarkStart w:id="35" w:name="_Toc9821"/>
      <w:r>
        <w:rPr>
          <w:rFonts w:hint="eastAsia" w:ascii="宋体" w:hAnsi="宋体" w:eastAsia="宋体"/>
          <w:color w:val="auto"/>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olor w:val="auto"/>
          <w:szCs w:val="21"/>
          <w:highlight w:val="none"/>
        </w:rPr>
        <w:t>。</w:t>
      </w:r>
    </w:p>
    <w:bookmarkEnd w:id="35"/>
    <w:p w14:paraId="2CB1309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9、参选文件的构成</w:t>
      </w:r>
    </w:p>
    <w:p w14:paraId="250E05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9.2、参选人应提交“参选人须知前附表”中规定的参选文件。</w:t>
      </w:r>
    </w:p>
    <w:p w14:paraId="5360D9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9.4、参选人提供的</w:t>
      </w:r>
      <w:r>
        <w:rPr>
          <w:rFonts w:hint="eastAsia" w:ascii="宋体" w:hAnsi="宋体" w:eastAsia="宋体"/>
          <w:color w:val="auto"/>
          <w:szCs w:val="21"/>
          <w:highlight w:val="none"/>
          <w:lang w:val="en-US" w:eastAsia="zh-CN"/>
        </w:rPr>
        <w:t>货物/</w:t>
      </w:r>
      <w:r>
        <w:rPr>
          <w:rFonts w:hint="eastAsia" w:ascii="宋体" w:hAnsi="宋体" w:eastAsia="宋体"/>
          <w:color w:val="auto"/>
          <w:szCs w:val="21"/>
          <w:highlight w:val="none"/>
          <w:lang w:eastAsia="zh-CN"/>
        </w:rPr>
        <w:t>服务</w:t>
      </w:r>
      <w:r>
        <w:rPr>
          <w:rFonts w:hint="eastAsia" w:ascii="宋体" w:hAnsi="宋体" w:eastAsia="宋体"/>
          <w:color w:val="auto"/>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10、投标报价</w:t>
      </w:r>
    </w:p>
    <w:p w14:paraId="064CD3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10.1、参选文件的报价表上应清楚地标明参选人拟提供</w:t>
      </w:r>
      <w:r>
        <w:rPr>
          <w:rFonts w:hint="eastAsia" w:ascii="宋体" w:hAnsi="宋体" w:eastAsia="宋体"/>
          <w:color w:val="auto"/>
          <w:szCs w:val="21"/>
          <w:highlight w:val="none"/>
          <w:lang w:val="en-US" w:eastAsia="zh-CN"/>
        </w:rPr>
        <w:t>货物/服务</w:t>
      </w:r>
      <w:r>
        <w:rPr>
          <w:rFonts w:hint="eastAsia" w:ascii="宋体" w:hAnsi="宋体" w:eastAsia="宋体"/>
          <w:color w:val="auto"/>
          <w:szCs w:val="21"/>
          <w:highlight w:val="none"/>
        </w:rPr>
        <w:t>的名称、价格等内容。</w:t>
      </w:r>
    </w:p>
    <w:p w14:paraId="5BDD4DE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10.4、投标报价高于最高投标限价为投标无效。</w:t>
      </w:r>
    </w:p>
    <w:p w14:paraId="2F3B11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10.6、</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中报价与参选文件中相应内容不一致的，以</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中报价为准。</w:t>
      </w:r>
    </w:p>
    <w:p w14:paraId="173664E4">
      <w:pPr>
        <w:spacing w:line="5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11、投标货币：</w:t>
      </w:r>
      <w:r>
        <w:rPr>
          <w:rFonts w:hint="eastAsia" w:ascii="宋体" w:hAnsi="宋体" w:eastAsia="宋体"/>
          <w:color w:val="auto"/>
          <w:szCs w:val="21"/>
          <w:highlight w:val="none"/>
        </w:rPr>
        <w:t>人民币。</w:t>
      </w:r>
    </w:p>
    <w:p w14:paraId="2950B393">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12、投标保证金：本项目不收取</w:t>
      </w:r>
    </w:p>
    <w:p w14:paraId="3ECCDCB1">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13、投标有效期</w:t>
      </w:r>
    </w:p>
    <w:p w14:paraId="1ECC730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14.2、投标有效期从投标截止之日算起。</w:t>
      </w:r>
    </w:p>
    <w:p w14:paraId="059B075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color w:val="auto"/>
          <w:kern w:val="0"/>
          <w:szCs w:val="21"/>
          <w:highlight w:val="none"/>
        </w:rPr>
      </w:pPr>
      <w:r>
        <w:rPr>
          <w:rFonts w:hint="eastAsia" w:ascii="宋体" w:hAnsi="宋体" w:eastAsia="宋体"/>
          <w:b/>
          <w:color w:val="auto"/>
          <w:kern w:val="0"/>
          <w:szCs w:val="21"/>
          <w:highlight w:val="none"/>
        </w:rPr>
        <w:t>15、参选文件的签署</w:t>
      </w:r>
    </w:p>
    <w:p w14:paraId="7C87106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15.5、参选文件封面、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内容及质量要求不符合比选文件要求的，视为无效标。由授权委托人签字或盖章的在参选文件中须同时提交授权书。</w:t>
      </w:r>
    </w:p>
    <w:p w14:paraId="064920FA">
      <w:pPr>
        <w:widowControl/>
        <w:spacing w:line="500" w:lineRule="exact"/>
        <w:ind w:firstLine="420" w:firstLineChars="200"/>
        <w:jc w:val="left"/>
        <w:rPr>
          <w:rFonts w:ascii="宋体" w:hAnsi="宋体" w:eastAsia="宋体"/>
          <w:color w:val="auto"/>
          <w:szCs w:val="21"/>
          <w:highlight w:val="none"/>
        </w:rPr>
      </w:pPr>
    </w:p>
    <w:p w14:paraId="20314949">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6" w:name="_Toc479622046"/>
      <w:bookmarkStart w:id="37" w:name="_Toc4481594"/>
      <w:bookmarkStart w:id="38" w:name="_Toc12503"/>
      <w:bookmarkStart w:id="39" w:name="_Toc25319"/>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三</w:t>
      </w:r>
      <w:r>
        <w:rPr>
          <w:rFonts w:hint="eastAsia" w:ascii="Arial" w:hAnsi="Arial" w:eastAsia="宋体"/>
          <w:b/>
          <w:color w:val="auto"/>
          <w:kern w:val="0"/>
          <w:sz w:val="32"/>
          <w:highlight w:val="none"/>
        </w:rPr>
        <w:t>）参选文件的提交</w:t>
      </w:r>
      <w:bookmarkEnd w:id="36"/>
      <w:bookmarkEnd w:id="37"/>
      <w:bookmarkEnd w:id="38"/>
      <w:bookmarkEnd w:id="39"/>
    </w:p>
    <w:p w14:paraId="15254A47">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16、参选文件的装订、密封和标记</w:t>
      </w:r>
    </w:p>
    <w:p w14:paraId="2F248F1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16.5、查验证件</w:t>
      </w:r>
    </w:p>
    <w:p w14:paraId="2C37328F">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17、投标截止时间</w:t>
      </w:r>
    </w:p>
    <w:p w14:paraId="214A60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18、参选文件的修改与撤回</w:t>
      </w:r>
    </w:p>
    <w:p w14:paraId="6FC78CB2">
      <w:pPr>
        <w:widowControl/>
        <w:spacing w:line="500" w:lineRule="exact"/>
        <w:ind w:firstLine="420" w:firstLineChars="200"/>
        <w:jc w:val="left"/>
        <w:rPr>
          <w:rFonts w:ascii="宋体" w:hAnsi="宋体" w:eastAsia="宋体"/>
          <w:color w:val="auto"/>
          <w:szCs w:val="21"/>
          <w:highlight w:val="none"/>
        </w:rPr>
      </w:pPr>
      <w:bookmarkStart w:id="40" w:name="_Toc23598"/>
      <w:bookmarkStart w:id="41" w:name="_Toc479622047"/>
      <w:r>
        <w:rPr>
          <w:rFonts w:hint="eastAsia" w:ascii="宋体" w:hAnsi="宋体" w:eastAsia="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color w:val="auto"/>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2" w:name="_Toc4481595"/>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四</w:t>
      </w:r>
      <w:r>
        <w:rPr>
          <w:rFonts w:hint="eastAsia" w:ascii="Arial" w:hAnsi="Arial" w:eastAsia="宋体"/>
          <w:b/>
          <w:color w:val="auto"/>
          <w:kern w:val="0"/>
          <w:sz w:val="32"/>
          <w:highlight w:val="none"/>
        </w:rPr>
        <w:t>）开标</w:t>
      </w:r>
      <w:bookmarkEnd w:id="40"/>
      <w:bookmarkEnd w:id="41"/>
      <w:bookmarkEnd w:id="42"/>
    </w:p>
    <w:p w14:paraId="22FFC87B">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20、开标时间和地点：</w:t>
      </w:r>
      <w:r>
        <w:rPr>
          <w:rFonts w:hint="eastAsia" w:ascii="宋体" w:hAnsi="宋体" w:eastAsia="宋体"/>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21、开标程序</w:t>
      </w:r>
    </w:p>
    <w:p w14:paraId="0D54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34D0D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5677A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00FBB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EF13D1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4E7CCA7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olor w:val="auto"/>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22、参选文件的有效性</w:t>
      </w:r>
    </w:p>
    <w:p w14:paraId="256A1E6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（2）未按比选文件要求包装、密封的。</w:t>
      </w:r>
    </w:p>
    <w:p w14:paraId="6821B2CF">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22.2.2、未按约定格式提供、填写参选文件封面、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内容及质量要求或参选文件封面、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22.2.3、参选报价高于最高投标限价的；</w:t>
      </w:r>
    </w:p>
    <w:p w14:paraId="4CF1178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(1)被责令停业且处于有效期内的；</w:t>
      </w:r>
    </w:p>
    <w:p w14:paraId="14FB6F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(4)法律法规规定及比选文件约定的其他情形。</w:t>
      </w:r>
    </w:p>
    <w:p w14:paraId="4EB9114E">
      <w:pPr>
        <w:widowControl/>
        <w:spacing w:line="500" w:lineRule="exact"/>
        <w:ind w:firstLine="420" w:firstLineChars="200"/>
        <w:jc w:val="left"/>
        <w:rPr>
          <w:rFonts w:ascii="宋体" w:hAnsi="宋体" w:eastAsia="宋体"/>
          <w:color w:val="auto"/>
          <w:szCs w:val="21"/>
          <w:highlight w:val="none"/>
        </w:rPr>
      </w:pPr>
    </w:p>
    <w:p w14:paraId="7F975AA6">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五</w:t>
      </w:r>
      <w:r>
        <w:rPr>
          <w:rFonts w:hint="eastAsia" w:ascii="Arial" w:hAnsi="Arial" w:eastAsia="宋体"/>
          <w:b/>
          <w:color w:val="auto"/>
          <w:kern w:val="0"/>
          <w:sz w:val="32"/>
          <w:highlight w:val="none"/>
        </w:rPr>
        <w:t>）评标</w:t>
      </w:r>
      <w:bookmarkEnd w:id="30"/>
    </w:p>
    <w:p w14:paraId="5772DEE6">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23、评标委员会</w:t>
      </w:r>
      <w:r>
        <w:rPr>
          <w:rFonts w:hint="eastAsia" w:ascii="宋体" w:hAnsi="宋体" w:eastAsia="宋体"/>
          <w:color w:val="auto"/>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24、评标方法：</w:t>
      </w:r>
      <w:r>
        <w:rPr>
          <w:rFonts w:hint="eastAsia" w:ascii="宋体" w:hAnsi="宋体" w:eastAsia="宋体" w:cs="宋体"/>
          <w:color w:val="auto"/>
          <w:szCs w:val="21"/>
          <w:highlight w:val="none"/>
        </w:rPr>
        <w:t>采用最低投标价法。</w:t>
      </w:r>
    </w:p>
    <w:p w14:paraId="5491D73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b/>
          <w:bCs/>
          <w:color w:val="auto"/>
          <w:szCs w:val="21"/>
          <w:highlight w:val="none"/>
        </w:rPr>
        <w:t>25、评标程序</w:t>
      </w:r>
      <w:r>
        <w:rPr>
          <w:rFonts w:hint="eastAsia" w:ascii="宋体" w:hAnsi="宋体" w:eastAsia="宋体"/>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25.1、参选文件符合性审查，包括但不限于以下内容：</w:t>
      </w:r>
    </w:p>
    <w:p w14:paraId="0C50B02F">
      <w:pPr>
        <w:spacing w:line="500" w:lineRule="exact"/>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color w:val="auto"/>
          <w:szCs w:val="21"/>
          <w:highlight w:val="none"/>
        </w:rPr>
        <w:t>1）参选人资格是否符合比选文件要求；</w:t>
      </w:r>
    </w:p>
    <w:p w14:paraId="45D773C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75CF4D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46047A9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C9D52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2BE14DD1">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25.2、</w:t>
      </w:r>
      <w:r>
        <w:rPr>
          <w:rFonts w:hint="eastAsia" w:ascii="宋体" w:hAnsi="宋体" w:eastAsia="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25.3、报价评审：</w:t>
      </w:r>
      <w:r>
        <w:rPr>
          <w:rFonts w:hint="eastAsia" w:ascii="宋体" w:hAnsi="宋体" w:eastAsia="宋体"/>
          <w:b/>
          <w:bCs/>
          <w:color w:val="auto"/>
          <w:szCs w:val="21"/>
          <w:highlight w:val="none"/>
        </w:rPr>
        <w:t>参选人报价不得高于最高投标限价</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否则为无效报价，即报价评审不通过</w:t>
      </w:r>
      <w:r>
        <w:rPr>
          <w:rFonts w:hint="eastAsia" w:ascii="宋体" w:hAnsi="宋体" w:eastAsia="宋体"/>
          <w:color w:val="auto"/>
          <w:szCs w:val="21"/>
          <w:highlight w:val="none"/>
        </w:rPr>
        <w:t>。</w:t>
      </w:r>
    </w:p>
    <w:p w14:paraId="152E0904">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25.6、失信核查</w:t>
      </w:r>
    </w:p>
    <w:p w14:paraId="4B113B6F">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评标委员会对推荐为中标候选人的参选人是否被列入“信用中国、中国政府采购网”政府采购严重违法失信名单进行网上核查（网址：</w:t>
      </w:r>
      <w:r>
        <w:rPr>
          <w:rFonts w:eastAsia="宋体"/>
          <w:color w:val="auto"/>
          <w:highlight w:val="none"/>
        </w:rPr>
        <w:fldChar w:fldCharType="begin"/>
      </w:r>
      <w:r>
        <w:rPr>
          <w:rFonts w:eastAsia="宋体"/>
          <w:color w:val="auto"/>
          <w:highlight w:val="none"/>
        </w:rPr>
        <w:instrText xml:space="preserve"> HYPERLINK "http://www.creditchina.gov.cn/" </w:instrText>
      </w:r>
      <w:r>
        <w:rPr>
          <w:rFonts w:eastAsia="宋体"/>
          <w:color w:val="auto"/>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color w:val="auto"/>
          <w:szCs w:val="21"/>
          <w:highlight w:val="none"/>
        </w:rPr>
        <w:t>、</w:t>
      </w:r>
      <w:r>
        <w:rPr>
          <w:rFonts w:eastAsia="宋体"/>
          <w:color w:val="auto"/>
          <w:highlight w:val="none"/>
        </w:rPr>
        <w:fldChar w:fldCharType="begin"/>
      </w:r>
      <w:r>
        <w:rPr>
          <w:rFonts w:eastAsia="宋体"/>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color w:val="auto"/>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olor w:val="auto"/>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26、开标评标异常情况处理</w:t>
      </w:r>
    </w:p>
    <w:p w14:paraId="6B82D97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26.1、在招标采购中，出现下列情况之一的，应予废标，采购单位重新组织采购：</w:t>
      </w:r>
    </w:p>
    <w:p w14:paraId="793C0C5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(1)提交参选文件的参选人不足</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家的；</w:t>
      </w:r>
    </w:p>
    <w:p w14:paraId="377F9EE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6A1B106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(3)参选人的报价均高于最高投标限价的；</w:t>
      </w:r>
    </w:p>
    <w:p w14:paraId="158C6B17">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(4)因重大变故，采购任务取消的。</w:t>
      </w:r>
    </w:p>
    <w:p w14:paraId="7E5DBEAF">
      <w:pPr>
        <w:widowControl/>
        <w:spacing w:line="500" w:lineRule="exact"/>
        <w:ind w:firstLine="405"/>
        <w:jc w:val="left"/>
        <w:rPr>
          <w:rFonts w:ascii="宋体" w:hAnsi="宋体" w:eastAsia="宋体"/>
          <w:b/>
          <w:color w:val="auto"/>
          <w:szCs w:val="21"/>
          <w:highlight w:val="none"/>
        </w:rPr>
      </w:pPr>
      <w:r>
        <w:rPr>
          <w:rFonts w:hint="eastAsia" w:ascii="宋体" w:hAnsi="宋体" w:eastAsia="宋体"/>
          <w:b/>
          <w:color w:val="auto"/>
          <w:szCs w:val="21"/>
          <w:highlight w:val="none"/>
        </w:rPr>
        <w:t>27、评标过程的保密性</w:t>
      </w:r>
    </w:p>
    <w:p w14:paraId="09F08AC9">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27.1、</w:t>
      </w:r>
      <w:bookmarkStart w:id="43" w:name="_Toc417655921"/>
      <w:bookmarkStart w:id="44" w:name="_Toc418517858"/>
      <w:bookmarkStart w:id="45" w:name="_Toc15032"/>
      <w:r>
        <w:rPr>
          <w:rFonts w:hint="eastAsia" w:ascii="宋体" w:hAnsi="宋体" w:eastAsia="宋体"/>
          <w:color w:val="auto"/>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27.4、中标通知书</w:t>
      </w:r>
      <w:bookmarkEnd w:id="43"/>
      <w:bookmarkEnd w:id="44"/>
      <w:bookmarkEnd w:id="45"/>
    </w:p>
    <w:p w14:paraId="1BE971D0">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color w:val="auto"/>
          <w:szCs w:val="24"/>
          <w:highlight w:val="none"/>
        </w:rPr>
      </w:pPr>
      <w:bookmarkStart w:id="46" w:name="_Toc10586"/>
      <w:bookmarkStart w:id="47" w:name="_Toc433721697"/>
      <w:bookmarkStart w:id="48" w:name="_Toc19876"/>
      <w:bookmarkStart w:id="49" w:name="_Toc457998294"/>
      <w:bookmarkStart w:id="50" w:name="_Toc31095"/>
      <w:bookmarkStart w:id="51" w:name="_Toc10987"/>
      <w:bookmarkStart w:id="52" w:name="_Toc456882340"/>
      <w:bookmarkStart w:id="53" w:name="_Toc478821422"/>
      <w:r>
        <w:rPr>
          <w:rFonts w:hAnsi="宋体" w:eastAsia="宋体" w:cs="宋体"/>
          <w:color w:val="auto"/>
          <w:szCs w:val="24"/>
          <w:highlight w:val="none"/>
        </w:rPr>
        <w:t>公示期满无异议，且未发现中标人在</w:t>
      </w:r>
      <w:r>
        <w:rPr>
          <w:rFonts w:hint="eastAsia" w:hAnsi="宋体" w:eastAsia="宋体" w:cs="宋体"/>
          <w:color w:val="auto"/>
          <w:szCs w:val="24"/>
          <w:highlight w:val="none"/>
        </w:rPr>
        <w:t>比选</w:t>
      </w:r>
      <w:r>
        <w:rPr>
          <w:rFonts w:hAnsi="宋体" w:eastAsia="宋体" w:cs="宋体"/>
          <w:color w:val="auto"/>
          <w:szCs w:val="24"/>
          <w:highlight w:val="none"/>
        </w:rPr>
        <w:t>活动中有违法行为的，</w:t>
      </w:r>
      <w:r>
        <w:rPr>
          <w:rFonts w:hint="eastAsia" w:hAnsi="宋体" w:eastAsia="宋体" w:cs="宋体"/>
          <w:color w:val="auto"/>
          <w:szCs w:val="24"/>
          <w:highlight w:val="none"/>
        </w:rPr>
        <w:t>采购人</w:t>
      </w:r>
      <w:r>
        <w:rPr>
          <w:rFonts w:hAnsi="宋体" w:eastAsia="宋体" w:cs="宋体"/>
          <w:color w:val="auto"/>
          <w:szCs w:val="24"/>
          <w:highlight w:val="none"/>
        </w:rPr>
        <w:t>将向中标人发出中标通知书。</w:t>
      </w:r>
      <w:bookmarkEnd w:id="46"/>
      <w:bookmarkEnd w:id="47"/>
      <w:bookmarkEnd w:id="48"/>
      <w:bookmarkEnd w:id="49"/>
      <w:bookmarkEnd w:id="50"/>
      <w:bookmarkEnd w:id="51"/>
      <w:bookmarkEnd w:id="52"/>
      <w:bookmarkEnd w:id="53"/>
    </w:p>
    <w:p w14:paraId="480FC087">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54" w:name="_Toc4481597"/>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六</w:t>
      </w:r>
      <w:r>
        <w:rPr>
          <w:rFonts w:hint="eastAsia" w:ascii="Arial" w:hAnsi="Arial" w:eastAsia="宋体"/>
          <w:b/>
          <w:color w:val="auto"/>
          <w:kern w:val="0"/>
          <w:sz w:val="32"/>
          <w:highlight w:val="none"/>
        </w:rPr>
        <w:t>）合同授予</w:t>
      </w:r>
      <w:bookmarkEnd w:id="54"/>
    </w:p>
    <w:p w14:paraId="6F8B77F8">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w:t>
      </w:r>
      <w:bookmarkStart w:id="55" w:name="_Toc21358"/>
      <w:bookmarkStart w:id="56" w:name="_Toc417655923"/>
      <w:bookmarkStart w:id="57" w:name="_Toc418517860"/>
      <w:r>
        <w:rPr>
          <w:rFonts w:hint="eastAsia" w:ascii="宋体" w:hAnsi="宋体" w:eastAsia="宋体"/>
          <w:color w:val="auto"/>
          <w:szCs w:val="21"/>
          <w:highlight w:val="none"/>
        </w:rPr>
        <w:t>签订合同</w:t>
      </w:r>
      <w:bookmarkEnd w:id="55"/>
      <w:bookmarkEnd w:id="56"/>
      <w:bookmarkEnd w:id="57"/>
    </w:p>
    <w:p w14:paraId="08679D9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28.1.1、中标人的中标价即为合同价款。</w:t>
      </w:r>
    </w:p>
    <w:p w14:paraId="37C6B42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28.1.3、中标人（中标候选人）被取消中标资格的，采购人可以按照评标委员会提出的中标候选人名单排序依次确定其他中标候选人为中标人，或重新组织采购。</w:t>
      </w:r>
    </w:p>
    <w:bookmarkEnd w:id="31"/>
    <w:p w14:paraId="182C42FF">
      <w:pPr>
        <w:widowControl/>
        <w:jc w:val="left"/>
        <w:rPr>
          <w:rFonts w:ascii="Times New Roman" w:hAnsi="宋体" w:eastAsia="宋体" w:cs="Times New Roman"/>
          <w:b/>
          <w:color w:val="auto"/>
          <w:szCs w:val="21"/>
          <w:highlight w:val="none"/>
        </w:rPr>
      </w:pPr>
      <w:r>
        <w:rPr>
          <w:rFonts w:ascii="Times New Roman" w:hAnsi="宋体" w:eastAsia="宋体" w:cs="Times New Roman"/>
          <w:b/>
          <w:color w:val="auto"/>
          <w:szCs w:val="21"/>
          <w:highlight w:val="none"/>
        </w:rPr>
        <w:br w:type="page"/>
      </w:r>
    </w:p>
    <w:bookmarkEnd w:id="24"/>
    <w:bookmarkEnd w:id="25"/>
    <w:p w14:paraId="1C9D3DB4">
      <w:pPr>
        <w:pStyle w:val="2"/>
        <w:numPr>
          <w:ilvl w:val="0"/>
          <w:numId w:val="0"/>
        </w:numPr>
        <w:spacing w:before="62" w:beforeLines="20" w:after="62" w:afterLines="20" w:line="480" w:lineRule="exact"/>
        <w:ind w:firstLine="0" w:firstLineChars="0"/>
        <w:jc w:val="center"/>
        <w:rPr>
          <w:rFonts w:hint="eastAsia" w:ascii="宋体" w:hAnsi="宋体" w:cs="宋体"/>
          <w:color w:val="auto"/>
          <w:sz w:val="32"/>
          <w:szCs w:val="32"/>
          <w:highlight w:val="none"/>
        </w:rPr>
      </w:pPr>
      <w:r>
        <w:rPr>
          <w:rFonts w:hint="eastAsia" w:ascii="宋体" w:hAnsi="宋体" w:eastAsia="黑体" w:cs="宋体"/>
          <w:b/>
          <w:color w:val="auto"/>
          <w:kern w:val="44"/>
          <w:sz w:val="32"/>
          <w:szCs w:val="32"/>
          <w:highlight w:val="none"/>
          <w:lang w:val="en-US" w:eastAsia="zh-CN" w:bidi="ar-SA"/>
        </w:rPr>
        <w:t>第三章</w:t>
      </w:r>
      <w:r>
        <w:rPr>
          <w:rFonts w:hint="eastAsia"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项目需求</w:t>
      </w:r>
      <w:r>
        <w:rPr>
          <w:rFonts w:hint="eastAsia" w:ascii="Arial" w:hAnsi="Arial"/>
          <w:color w:val="auto"/>
          <w:kern w:val="2"/>
          <w:sz w:val="32"/>
          <w:szCs w:val="32"/>
          <w:highlight w:val="none"/>
        </w:rPr>
        <w:t>及</w:t>
      </w:r>
      <w:r>
        <w:rPr>
          <w:rFonts w:hint="eastAsia" w:ascii="Arial" w:hAnsi="Arial"/>
          <w:color w:val="auto"/>
          <w:kern w:val="2"/>
          <w:sz w:val="32"/>
          <w:szCs w:val="32"/>
          <w:highlight w:val="none"/>
          <w:lang w:val="zh-CN"/>
        </w:rPr>
        <w:t>技术要求</w:t>
      </w:r>
    </w:p>
    <w:p w14:paraId="119DFFC4">
      <w:pPr>
        <w:numPr>
          <w:ilvl w:val="0"/>
          <w:numId w:val="0"/>
        </w:numPr>
        <w:tabs>
          <w:tab w:val="left" w:pos="3640"/>
        </w:tabs>
        <w:autoSpaceDE w:val="0"/>
        <w:autoSpaceDN w:val="0"/>
        <w:spacing w:line="360" w:lineRule="auto"/>
        <w:rPr>
          <w:rFonts w:hint="eastAsia" w:ascii="宋体" w:hAnsi="宋体" w:cs="宋体"/>
          <w:color w:val="auto"/>
          <w:sz w:val="28"/>
          <w:szCs w:val="28"/>
          <w:highlight w:val="none"/>
          <w:lang w:val="en-US" w:eastAsia="zh-CN"/>
        </w:rPr>
      </w:pPr>
      <w:r>
        <w:rPr>
          <w:rFonts w:hint="eastAsia" w:ascii="宋体" w:hAnsi="宋体" w:eastAsia="宋体" w:cs="宋体"/>
          <w:color w:val="auto"/>
          <w:kern w:val="2"/>
          <w:sz w:val="28"/>
          <w:szCs w:val="28"/>
          <w:highlight w:val="none"/>
          <w:lang w:val="en-US" w:eastAsia="zh-CN" w:bidi="ar-SA"/>
        </w:rPr>
        <w:t>一、</w:t>
      </w:r>
      <w:r>
        <w:rPr>
          <w:rFonts w:hint="eastAsia" w:ascii="宋体" w:hAnsi="宋体" w:cs="宋体"/>
          <w:color w:val="auto"/>
          <w:sz w:val="28"/>
          <w:szCs w:val="28"/>
          <w:highlight w:val="none"/>
          <w:lang w:val="en-US" w:eastAsia="zh-CN"/>
        </w:rPr>
        <w:t>项目需求</w:t>
      </w:r>
    </w:p>
    <w:p w14:paraId="345E7B90">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1.采购数量：3个不锈钢大门</w:t>
      </w:r>
    </w:p>
    <w:p w14:paraId="4E4B4211">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2.标的参数：</w:t>
      </w:r>
    </w:p>
    <w:p w14:paraId="23DA2B49">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（1）定制1个11.4m 宽 ×2.2m 高， 2个14.4m 宽 ×2.2m 高对开式不锈钢大门（详见参考图片及实地照片），需满足大门开启状态下大型货车通行需求，大门关闭状态下杜绝人员进入的封闭需求，适配港口高风、高湿的户外环境。</w:t>
      </w:r>
    </w:p>
    <w:p w14:paraId="5612C876">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（2）材料规格:立柱75*45*2.0、外框75*45*1.5、竖档圆管32*32*0.8</w:t>
      </w:r>
    </w:p>
    <w:p w14:paraId="4FBC817E">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（3）材质：不锈钢</w:t>
      </w:r>
    </w:p>
    <w:p w14:paraId="72FEB0FD">
      <w:pP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（4）颜色：不锈钢本色</w:t>
      </w:r>
    </w:p>
    <w:p w14:paraId="2C7075FE">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3.核心功能：具备防攀爬、防腐防锈、抗冲击性能，配套车辆通行防撞设计。</w:t>
      </w:r>
    </w:p>
    <w:p w14:paraId="0F6B7962">
      <w:pP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4.供应商需前往港口实地勘察后提供报价单。</w:t>
      </w:r>
    </w:p>
    <w:p w14:paraId="1475FDD5">
      <w:pP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5.交付范围：含大门生产、运输、安装、调试及 1 年以上质保服务。</w:t>
      </w:r>
    </w:p>
    <w:p w14:paraId="46A5944E">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6.参考图片：</w:t>
      </w:r>
    </w:p>
    <w:p w14:paraId="2DCBF500">
      <w:pPr>
        <w:rPr>
          <w:rFonts w:hint="eastAsia" w:eastAsiaTheme="minorEastAsia"/>
          <w:color w:val="auto"/>
          <w:highlight w:val="none"/>
          <w:lang w:eastAsia="zh-CN"/>
        </w:rPr>
      </w:pPr>
    </w:p>
    <w:p w14:paraId="10FB018E">
      <w:pPr>
        <w:rPr>
          <w:rFonts w:hint="eastAsia" w:eastAsiaTheme="minorEastAsia"/>
          <w:color w:val="auto"/>
          <w:highlight w:val="none"/>
          <w:lang w:eastAsia="zh-CN"/>
        </w:rPr>
      </w:pPr>
      <w:r>
        <w:rPr>
          <w:rFonts w:hint="eastAsia" w:eastAsiaTheme="minorEastAsia"/>
          <w:color w:val="auto"/>
          <w:highlight w:val="none"/>
          <w:lang w:eastAsia="zh-CN"/>
        </w:rPr>
        <w:drawing>
          <wp:inline distT="0" distB="0" distL="114300" distR="114300">
            <wp:extent cx="6190615" cy="2990215"/>
            <wp:effectExtent l="0" t="0" r="635" b="635"/>
            <wp:docPr id="1" name="图片 1" descr="df7b3f78a59a2b8418d87c4c179335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f7b3f78a59a2b8418d87c4c1793353c"/>
                    <pic:cNvPicPr>
                      <a:picLocks noChangeAspect="1"/>
                    </pic:cNvPicPr>
                  </pic:nvPicPr>
                  <pic:blipFill>
                    <a:blip r:embed="rId13"/>
                    <a:srcRect r="26986" b="16833"/>
                    <a:stretch>
                      <a:fillRect/>
                    </a:stretch>
                  </pic:blipFill>
                  <pic:spPr>
                    <a:xfrm>
                      <a:off x="0" y="0"/>
                      <a:ext cx="6190615" cy="2990215"/>
                    </a:xfrm>
                    <a:prstGeom prst="rect">
                      <a:avLst/>
                    </a:prstGeom>
                  </pic:spPr>
                </pic:pic>
              </a:graphicData>
            </a:graphic>
          </wp:inline>
        </w:drawing>
      </w:r>
    </w:p>
    <w:p w14:paraId="65E0785C">
      <w:pPr>
        <w:rPr>
          <w:rFonts w:hint="eastAsia"/>
          <w:color w:val="auto"/>
          <w:highlight w:val="none"/>
          <w:lang w:val="en-US" w:eastAsia="zh-CN"/>
        </w:rPr>
      </w:pPr>
      <w:r>
        <w:rPr>
          <w:rFonts w:hint="eastAsia"/>
          <w:color w:val="auto"/>
          <w:highlight w:val="none"/>
          <w:lang w:val="en-US" w:eastAsia="zh-CN"/>
        </w:rPr>
        <w:t xml:space="preserve">                                      注：以上宽高为预估尺寸，以产品实际宽高为准。</w:t>
      </w:r>
    </w:p>
    <w:p w14:paraId="521C19D7">
      <w:pPr>
        <w:rPr>
          <w:rFonts w:hint="eastAsia"/>
          <w:color w:val="auto"/>
          <w:highlight w:val="none"/>
          <w:lang w:val="en-US" w:eastAsia="zh-CN"/>
        </w:rPr>
      </w:pPr>
    </w:p>
    <w:p w14:paraId="55565A6F">
      <w:pPr>
        <w:rPr>
          <w:rFonts w:hint="default"/>
          <w:color w:val="auto"/>
          <w:highlight w:val="none"/>
          <w:lang w:val="en-US" w:eastAsia="zh-CN"/>
        </w:rPr>
      </w:pPr>
      <w:r>
        <w:rPr>
          <w:rFonts w:hint="default"/>
          <w:color w:val="auto"/>
          <w:highlight w:val="none"/>
          <w:lang w:val="en-US" w:eastAsia="zh-CN"/>
        </w:rPr>
        <w:drawing>
          <wp:inline distT="0" distB="0" distL="114300" distR="114300">
            <wp:extent cx="6160770" cy="4618990"/>
            <wp:effectExtent l="0" t="0" r="11430" b="10160"/>
            <wp:docPr id="3" name="图片 3" descr="c77ee3cf119ffb31886f4ad3104d34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77ee3cf119ffb31886f4ad3104d349d"/>
                    <pic:cNvPicPr>
                      <a:picLocks noChangeAspect="1"/>
                    </pic:cNvPicPr>
                  </pic:nvPicPr>
                  <pic:blipFill>
                    <a:blip r:embed="rId14"/>
                    <a:stretch>
                      <a:fillRect/>
                    </a:stretch>
                  </pic:blipFill>
                  <pic:spPr>
                    <a:xfrm>
                      <a:off x="0" y="0"/>
                      <a:ext cx="6160770" cy="4618990"/>
                    </a:xfrm>
                    <a:prstGeom prst="rect">
                      <a:avLst/>
                    </a:prstGeom>
                  </pic:spPr>
                </pic:pic>
              </a:graphicData>
            </a:graphic>
          </wp:inline>
        </w:drawing>
      </w:r>
    </w:p>
    <w:p w14:paraId="4CD8FB63">
      <w:pPr>
        <w:ind w:firstLine="3990" w:firstLineChars="1900"/>
        <w:rPr>
          <w:rFonts w:hint="default"/>
          <w:color w:val="auto"/>
          <w:highlight w:val="none"/>
          <w:lang w:val="en-US" w:eastAsia="zh-CN"/>
        </w:rPr>
      </w:pPr>
      <w:r>
        <w:rPr>
          <w:rFonts w:hint="eastAsia"/>
          <w:color w:val="auto"/>
          <w:highlight w:val="none"/>
          <w:lang w:val="en-US" w:eastAsia="zh-CN"/>
        </w:rPr>
        <w:t>注：以上为实地照片，其他两个引桥类似上图。</w:t>
      </w:r>
    </w:p>
    <w:p w14:paraId="38455287">
      <w:pP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br w:type="page"/>
      </w:r>
    </w:p>
    <w:p w14:paraId="0002C101">
      <w:pPr>
        <w:pStyle w:val="2"/>
        <w:tabs>
          <w:tab w:val="clear" w:pos="1440"/>
          <w:tab w:val="clear" w:pos="5670"/>
        </w:tabs>
        <w:spacing w:beforeLines="0" w:afterLines="0"/>
        <w:ind w:firstLine="0" w:firstLineChars="0"/>
        <w:jc w:val="center"/>
        <w:rPr>
          <w:rFonts w:hint="eastAsia" w:ascii="Arial" w:hAnsi="Arial"/>
          <w:color w:val="auto"/>
          <w:kern w:val="2"/>
          <w:sz w:val="32"/>
          <w:szCs w:val="32"/>
          <w:highlight w:val="none"/>
          <w:lang w:eastAsia="zh-CN"/>
        </w:rPr>
      </w:pPr>
      <w:r>
        <w:rPr>
          <w:rFonts w:hint="eastAsia" w:ascii="Arial" w:hAnsi="Arial"/>
          <w:color w:val="auto"/>
          <w:kern w:val="2"/>
          <w:sz w:val="32"/>
          <w:szCs w:val="32"/>
          <w:highlight w:val="none"/>
        </w:rPr>
        <w:t>第四章</w:t>
      </w:r>
      <w:bookmarkStart w:id="58" w:name="_Toc10479"/>
      <w:bookmarkStart w:id="59" w:name="_Toc476584431"/>
      <w:r>
        <w:rPr>
          <w:rFonts w:hint="eastAsia" w:ascii="Arial" w:hAnsi="Arial"/>
          <w:color w:val="auto"/>
          <w:kern w:val="2"/>
          <w:sz w:val="32"/>
          <w:szCs w:val="32"/>
          <w:highlight w:val="none"/>
        </w:rPr>
        <w:t xml:space="preserve"> 合同主要条款</w:t>
      </w:r>
      <w:bookmarkEnd w:id="26"/>
      <w:bookmarkEnd w:id="27"/>
      <w:bookmarkEnd w:id="28"/>
      <w:bookmarkEnd w:id="58"/>
      <w:bookmarkEnd w:id="59"/>
    </w:p>
    <w:p w14:paraId="72DF0625">
      <w:pPr>
        <w:rPr>
          <w:rFonts w:hint="eastAsia"/>
          <w:color w:val="auto"/>
          <w:highlight w:val="none"/>
          <w:lang w:eastAsia="zh-CN"/>
        </w:rPr>
      </w:pPr>
    </w:p>
    <w:p w14:paraId="35C1508A">
      <w:pPr>
        <w:tabs>
          <w:tab w:val="left" w:pos="3640"/>
        </w:tabs>
        <w:autoSpaceDE w:val="0"/>
        <w:autoSpaceDN w:val="0"/>
        <w:spacing w:line="360" w:lineRule="auto"/>
        <w:rPr>
          <w:rFonts w:ascii="宋体" w:hAnsi="Times New Roman" w:eastAsia="宋体" w:cs="宋体"/>
          <w:color w:val="auto"/>
          <w:szCs w:val="21"/>
          <w:highlight w:val="none"/>
          <w:u w:val="single"/>
        </w:rPr>
      </w:pPr>
      <w:bookmarkStart w:id="60" w:name="_Toc8981"/>
      <w:bookmarkStart w:id="61" w:name="_Toc25399"/>
      <w:bookmarkStart w:id="62" w:name="_Toc439316880"/>
      <w:bookmarkStart w:id="63" w:name="_Toc54941341"/>
      <w:r>
        <w:rPr>
          <w:rFonts w:hint="eastAsia" w:ascii="宋体" w:hAnsi="宋体" w:eastAsia="宋体" w:cs="宋体"/>
          <w:color w:val="auto"/>
          <w:szCs w:val="21"/>
          <w:highlight w:val="none"/>
        </w:rPr>
        <w:t>买方（</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p>
    <w:p w14:paraId="7A817E36">
      <w:pPr>
        <w:tabs>
          <w:tab w:val="left" w:pos="3640"/>
        </w:tabs>
        <w:autoSpaceDE w:val="0"/>
        <w:autoSpaceDN w:val="0"/>
        <w:spacing w:line="360" w:lineRule="auto"/>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卖方（</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p>
    <w:p w14:paraId="171BAD93">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文件，买、卖双方经协商一致，签订如下合同条款，并共同遵守。</w:t>
      </w:r>
    </w:p>
    <w:p w14:paraId="61EEA56A">
      <w:pPr>
        <w:numPr>
          <w:ilvl w:val="0"/>
          <w:numId w:val="0"/>
        </w:numPr>
        <w:tabs>
          <w:tab w:val="left" w:pos="3335"/>
          <w:tab w:val="left" w:pos="3640"/>
        </w:tabs>
        <w:autoSpaceDE w:val="0"/>
        <w:autoSpaceDN w:val="0"/>
        <w:spacing w:line="360" w:lineRule="auto"/>
        <w:ind w:firstLine="422" w:firstLineChars="200"/>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服务内容</w:t>
      </w:r>
    </w:p>
    <w:p w14:paraId="6CACB9BE">
      <w:pPr>
        <w:tabs>
          <w:tab w:val="left" w:pos="3640"/>
        </w:tabs>
        <w:autoSpaceDE w:val="0"/>
        <w:autoSpaceDN w:val="0"/>
        <w:spacing w:line="360" w:lineRule="auto"/>
        <w:ind w:left="422"/>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服务内容：</w:t>
      </w:r>
    </w:p>
    <w:p w14:paraId="0AD874DC">
      <w:pPr>
        <w:tabs>
          <w:tab w:val="left" w:pos="3640"/>
        </w:tabs>
        <w:autoSpaceDE w:val="0"/>
        <w:autoSpaceDN w:val="0"/>
        <w:spacing w:line="360" w:lineRule="auto"/>
        <w:ind w:left="422"/>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合同金额：</w:t>
      </w:r>
    </w:p>
    <w:p w14:paraId="6427E622">
      <w:pPr>
        <w:tabs>
          <w:tab w:val="left" w:pos="3640"/>
        </w:tabs>
        <w:autoSpaceDE w:val="0"/>
        <w:autoSpaceDN w:val="0"/>
        <w:spacing w:line="360" w:lineRule="auto"/>
        <w:ind w:firstLine="422" w:firstLineChars="200"/>
        <w:rPr>
          <w:rFonts w:ascii="宋体" w:hAnsi="Times New Roman" w:eastAsia="宋体" w:cs="宋体"/>
          <w:color w:val="auto"/>
          <w:szCs w:val="21"/>
          <w:highlight w:val="none"/>
        </w:rPr>
      </w:pPr>
      <w:r>
        <w:rPr>
          <w:rFonts w:hint="eastAsia" w:ascii="宋体" w:hAnsi="宋体" w:eastAsia="宋体" w:cs="宋体"/>
          <w:b/>
          <w:color w:val="auto"/>
          <w:szCs w:val="21"/>
          <w:highlight w:val="none"/>
        </w:rPr>
        <w:t>二、服务期：</w:t>
      </w:r>
    </w:p>
    <w:p w14:paraId="36D9A1F5">
      <w:pPr>
        <w:tabs>
          <w:tab w:val="left" w:pos="3640"/>
        </w:tabs>
        <w:autoSpaceDE w:val="0"/>
        <w:autoSpaceDN w:val="0"/>
        <w:spacing w:line="360" w:lineRule="auto"/>
        <w:ind w:firstLine="422" w:firstLineChars="200"/>
        <w:rPr>
          <w:rFonts w:ascii="宋体" w:hAnsi="Times New Roman" w:eastAsia="宋体" w:cs="宋体"/>
          <w:b/>
          <w:bCs/>
          <w:color w:val="auto"/>
          <w:szCs w:val="21"/>
          <w:highlight w:val="none"/>
        </w:rPr>
      </w:pPr>
      <w:r>
        <w:rPr>
          <w:rFonts w:hint="eastAsia" w:ascii="宋体" w:hAnsi="宋体" w:eastAsia="宋体" w:cs="宋体"/>
          <w:b/>
          <w:bCs/>
          <w:color w:val="auto"/>
          <w:szCs w:val="21"/>
          <w:highlight w:val="none"/>
        </w:rPr>
        <w:t>三、服务人员配备：</w:t>
      </w:r>
    </w:p>
    <w:p w14:paraId="40F8AE33">
      <w:pPr>
        <w:tabs>
          <w:tab w:val="left" w:pos="3640"/>
        </w:tabs>
        <w:autoSpaceDE w:val="0"/>
        <w:autoSpaceDN w:val="0"/>
        <w:spacing w:line="360" w:lineRule="auto"/>
        <w:ind w:firstLine="422" w:firstLineChars="200"/>
        <w:rPr>
          <w:rFonts w:ascii="宋体" w:hAnsi="Times New Roman" w:eastAsia="宋体" w:cs="宋体"/>
          <w:b/>
          <w:color w:val="auto"/>
          <w:szCs w:val="21"/>
          <w:highlight w:val="none"/>
        </w:rPr>
      </w:pPr>
      <w:r>
        <w:rPr>
          <w:rFonts w:hint="eastAsia" w:ascii="宋体" w:hAnsi="宋体" w:eastAsia="宋体" w:cs="宋体"/>
          <w:b/>
          <w:color w:val="auto"/>
          <w:szCs w:val="21"/>
          <w:highlight w:val="none"/>
        </w:rPr>
        <w:t>四、服务地点：</w:t>
      </w:r>
    </w:p>
    <w:p w14:paraId="33A89A58">
      <w:pPr>
        <w:tabs>
          <w:tab w:val="left" w:pos="3640"/>
        </w:tabs>
        <w:autoSpaceDE w:val="0"/>
        <w:autoSpaceDN w:val="0"/>
        <w:spacing w:line="360" w:lineRule="auto"/>
        <w:ind w:firstLine="422" w:firstLineChars="200"/>
        <w:rPr>
          <w:rFonts w:ascii="宋体" w:hAnsi="Times New Roman" w:eastAsia="宋体" w:cs="宋体"/>
          <w:b/>
          <w:color w:val="auto"/>
          <w:szCs w:val="20"/>
          <w:highlight w:val="none"/>
        </w:rPr>
      </w:pPr>
      <w:r>
        <w:rPr>
          <w:rFonts w:hint="eastAsia" w:ascii="宋体" w:hAnsi="宋体" w:eastAsia="宋体" w:cs="宋体"/>
          <w:b/>
          <w:color w:val="auto"/>
          <w:szCs w:val="21"/>
          <w:highlight w:val="none"/>
        </w:rPr>
        <w:t>五、</w:t>
      </w:r>
      <w:r>
        <w:rPr>
          <w:rFonts w:hint="eastAsia" w:ascii="宋体" w:hAnsi="宋体" w:eastAsia="宋体" w:cs="宋体"/>
          <w:b/>
          <w:color w:val="auto"/>
          <w:szCs w:val="20"/>
          <w:highlight w:val="none"/>
        </w:rPr>
        <w:t>验收：</w:t>
      </w:r>
    </w:p>
    <w:p w14:paraId="41F7614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六、付款方式：</w:t>
      </w:r>
    </w:p>
    <w:p w14:paraId="77A9CDD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七、履约保证金退还：</w:t>
      </w:r>
    </w:p>
    <w:p w14:paraId="0E8AA254">
      <w:pPr>
        <w:spacing w:line="360" w:lineRule="auto"/>
        <w:ind w:firstLine="422" w:firstLineChars="200"/>
        <w:rPr>
          <w:rFonts w:ascii="宋体" w:hAnsi="Times New Roman" w:eastAsia="宋体" w:cs="宋体"/>
          <w:b/>
          <w:color w:val="auto"/>
          <w:szCs w:val="21"/>
          <w:highlight w:val="none"/>
        </w:rPr>
      </w:pPr>
      <w:r>
        <w:rPr>
          <w:rFonts w:hint="eastAsia" w:ascii="宋体" w:hAnsi="宋体" w:eastAsia="宋体" w:cs="宋体"/>
          <w:b/>
          <w:color w:val="auto"/>
          <w:szCs w:val="21"/>
          <w:highlight w:val="none"/>
        </w:rPr>
        <w:t>八、违约责任</w:t>
      </w:r>
    </w:p>
    <w:p w14:paraId="2F59914F">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1</w:t>
      </w:r>
      <w:r>
        <w:rPr>
          <w:rFonts w:hint="eastAsia" w:ascii="宋体" w:hAnsi="宋体" w:eastAsia="宋体" w:cs="宋体"/>
          <w:color w:val="auto"/>
          <w:spacing w:val="8"/>
          <w:szCs w:val="21"/>
          <w:highlight w:val="none"/>
        </w:rPr>
        <w:t>、买方</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无正当理由拒绝接受服务，买方向卖方偿付合同价的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25680209">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2</w:t>
      </w:r>
      <w:r>
        <w:rPr>
          <w:rFonts w:hint="eastAsia" w:ascii="宋体" w:hAnsi="宋体" w:eastAsia="宋体" w:cs="宋体"/>
          <w:color w:val="auto"/>
          <w:spacing w:val="8"/>
          <w:szCs w:val="21"/>
          <w:highlight w:val="none"/>
        </w:rPr>
        <w:t>、买方</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无正当理由逾期付款的，买方向卖方每日偿付合同价的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FE09878">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3</w:t>
      </w:r>
      <w:r>
        <w:rPr>
          <w:rFonts w:hint="eastAsia" w:ascii="宋体" w:hAnsi="宋体" w:eastAsia="宋体" w:cs="宋体"/>
          <w:color w:val="auto"/>
          <w:spacing w:val="8"/>
          <w:szCs w:val="21"/>
          <w:highlight w:val="none"/>
        </w:rPr>
        <w:t>、卖方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不能提供服务的，卖方向买方支付合同价的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6AF1F063">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4</w:t>
      </w:r>
      <w:r>
        <w:rPr>
          <w:rFonts w:hint="eastAsia" w:ascii="宋体" w:hAnsi="宋体" w:eastAsia="宋体" w:cs="宋体"/>
          <w:color w:val="auto"/>
          <w:spacing w:val="8"/>
          <w:szCs w:val="21"/>
          <w:highlight w:val="none"/>
        </w:rPr>
        <w:t>、卖方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逾期提供服务的，卖方向买方每日偿付合同价的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5DDE19E">
      <w:pPr>
        <w:spacing w:line="360" w:lineRule="auto"/>
        <w:ind w:left="-178" w:leftChars="-85" w:firstLine="583" w:firstLineChars="257"/>
        <w:rPr>
          <w:rFonts w:ascii="宋体" w:hAnsi="Times New Roman" w:eastAsia="宋体" w:cs="宋体"/>
          <w:b/>
          <w:color w:val="auto"/>
          <w:spacing w:val="8"/>
          <w:szCs w:val="21"/>
          <w:highlight w:val="none"/>
        </w:rPr>
      </w:pPr>
      <w:r>
        <w:rPr>
          <w:rFonts w:hint="eastAsia" w:ascii="宋体" w:hAnsi="宋体" w:eastAsia="宋体" w:cs="宋体"/>
          <w:b/>
          <w:color w:val="auto"/>
          <w:spacing w:val="8"/>
          <w:szCs w:val="21"/>
          <w:highlight w:val="none"/>
        </w:rPr>
        <w:t>九、解决合同纠纷方式</w:t>
      </w:r>
    </w:p>
    <w:p w14:paraId="2B65D2FA">
      <w:pPr>
        <w:spacing w:line="360" w:lineRule="auto"/>
        <w:ind w:left="-178" w:leftChars="-85" w:firstLine="580" w:firstLineChars="257"/>
        <w:rPr>
          <w:rFonts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本合同如发生纠纷，买卖双方应当及时协商解决，协商不成时，按以下第（②）项方式处理：①根据《中华人民共和国仲裁法》的规定向</w:t>
      </w:r>
      <w:r>
        <w:rPr>
          <w:rFonts w:hint="eastAsia" w:ascii="宋体" w:hAnsi="宋体" w:eastAsia="宋体" w:cs="宋体"/>
          <w:color w:val="auto"/>
          <w:spacing w:val="8"/>
          <w:szCs w:val="21"/>
          <w:highlight w:val="none"/>
          <w:u w:val="single"/>
        </w:rPr>
        <w:t xml:space="preserve"> 安庆仲裁委员会 </w:t>
      </w:r>
      <w:r>
        <w:rPr>
          <w:rFonts w:hint="eastAsia" w:ascii="宋体" w:hAnsi="宋体" w:eastAsia="宋体" w:cs="宋体"/>
          <w:color w:val="auto"/>
          <w:spacing w:val="8"/>
          <w:szCs w:val="21"/>
          <w:highlight w:val="none"/>
        </w:rPr>
        <w:t>申请仲裁。②向</w:t>
      </w:r>
      <w:r>
        <w:rPr>
          <w:rFonts w:hint="eastAsia" w:ascii="宋体" w:hAnsi="宋体" w:eastAsia="宋体" w:cs="宋体"/>
          <w:color w:val="auto"/>
          <w:spacing w:val="8"/>
          <w:szCs w:val="21"/>
          <w:highlight w:val="none"/>
          <w:u w:val="single"/>
          <w:lang w:val="en-US" w:eastAsia="zh-CN"/>
        </w:rPr>
        <w:t>项目所在地</w:t>
      </w:r>
      <w:r>
        <w:rPr>
          <w:rFonts w:hint="eastAsia" w:ascii="宋体" w:hAnsi="宋体" w:eastAsia="宋体" w:cs="宋体"/>
          <w:color w:val="auto"/>
          <w:spacing w:val="8"/>
          <w:szCs w:val="21"/>
          <w:highlight w:val="none"/>
        </w:rPr>
        <w:t>人民法院起诉。</w:t>
      </w:r>
    </w:p>
    <w:p w14:paraId="67F60E6D">
      <w:pPr>
        <w:spacing w:line="360" w:lineRule="auto"/>
        <w:ind w:left="-178" w:leftChars="-85" w:firstLine="542" w:firstLineChars="257"/>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十、本合同的其他重要组成部分：</w:t>
      </w:r>
    </w:p>
    <w:p w14:paraId="7E0867C2">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w:t>
      </w:r>
    </w:p>
    <w:p w14:paraId="56E2FE77">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、成交人的</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文件；</w:t>
      </w:r>
    </w:p>
    <w:p w14:paraId="06443729">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、成交通知书。</w:t>
      </w:r>
    </w:p>
    <w:p w14:paraId="13851B01">
      <w:pPr>
        <w:spacing w:line="360" w:lineRule="auto"/>
        <w:ind w:firstLine="445" w:firstLineChars="196"/>
        <w:rPr>
          <w:rFonts w:ascii="宋体" w:hAnsi="Times New Roman" w:eastAsia="宋体" w:cs="宋体"/>
          <w:b/>
          <w:color w:val="auto"/>
          <w:spacing w:val="8"/>
          <w:szCs w:val="21"/>
          <w:highlight w:val="none"/>
          <w:u w:val="single"/>
        </w:rPr>
      </w:pPr>
      <w:r>
        <w:rPr>
          <w:rFonts w:hint="eastAsia" w:ascii="宋体" w:hAnsi="宋体" w:eastAsia="宋体" w:cs="宋体"/>
          <w:b/>
          <w:color w:val="auto"/>
          <w:spacing w:val="8"/>
          <w:szCs w:val="21"/>
          <w:highlight w:val="none"/>
        </w:rPr>
        <w:t>十一、</w:t>
      </w:r>
      <w:r>
        <w:rPr>
          <w:rFonts w:hint="eastAsia" w:ascii="宋体" w:hAnsi="宋体" w:eastAsia="宋体" w:cs="宋体"/>
          <w:color w:val="auto"/>
          <w:spacing w:val="8"/>
          <w:szCs w:val="21"/>
          <w:highlight w:val="none"/>
        </w:rPr>
        <w:t>其他约定事项：</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u w:val="single"/>
        </w:rPr>
        <w:t>合同文本的组成部分的先后解释顺序为：</w:t>
      </w:r>
      <w:r>
        <w:rPr>
          <w:rFonts w:ascii="宋体" w:hAnsi="宋体" w:eastAsia="宋体" w:cs="宋体"/>
          <w:color w:val="auto"/>
          <w:spacing w:val="8"/>
          <w:szCs w:val="21"/>
          <w:highlight w:val="none"/>
          <w:u w:val="single"/>
        </w:rPr>
        <w:t>1</w:t>
      </w:r>
      <w:r>
        <w:rPr>
          <w:rFonts w:hint="eastAsia" w:ascii="宋体" w:hAnsi="宋体" w:eastAsia="宋体" w:cs="宋体"/>
          <w:color w:val="auto"/>
          <w:spacing w:val="8"/>
          <w:szCs w:val="21"/>
          <w:highlight w:val="none"/>
          <w:u w:val="single"/>
        </w:rPr>
        <w:t>、成交通知书；</w:t>
      </w:r>
      <w:r>
        <w:rPr>
          <w:rFonts w:ascii="宋体" w:hAnsi="宋体" w:eastAsia="宋体" w:cs="宋体"/>
          <w:color w:val="auto"/>
          <w:spacing w:val="8"/>
          <w:szCs w:val="21"/>
          <w:highlight w:val="none"/>
          <w:u w:val="single"/>
        </w:rPr>
        <w:t>2</w:t>
      </w:r>
      <w:r>
        <w:rPr>
          <w:rFonts w:hint="eastAsia" w:ascii="宋体" w:hAnsi="宋体" w:eastAsia="宋体" w:cs="宋体"/>
          <w:color w:val="auto"/>
          <w:spacing w:val="8"/>
          <w:szCs w:val="21"/>
          <w:highlight w:val="none"/>
          <w:u w:val="single"/>
        </w:rPr>
        <w:t>、</w:t>
      </w:r>
      <w:r>
        <w:rPr>
          <w:rFonts w:hint="eastAsia" w:ascii="宋体" w:hAnsi="宋体" w:eastAsia="宋体" w:cs="宋体"/>
          <w:color w:val="auto"/>
          <w:spacing w:val="8"/>
          <w:szCs w:val="21"/>
          <w:highlight w:val="none"/>
          <w:u w:val="single"/>
          <w:lang w:eastAsia="zh-CN"/>
        </w:rPr>
        <w:t>比选</w:t>
      </w:r>
      <w:r>
        <w:rPr>
          <w:rFonts w:hint="eastAsia" w:ascii="宋体" w:hAnsi="宋体" w:eastAsia="宋体" w:cs="宋体"/>
          <w:color w:val="auto"/>
          <w:spacing w:val="8"/>
          <w:szCs w:val="21"/>
          <w:highlight w:val="none"/>
          <w:u w:val="single"/>
        </w:rPr>
        <w:t>文件；</w:t>
      </w:r>
      <w:r>
        <w:rPr>
          <w:rFonts w:ascii="宋体" w:hAnsi="宋体" w:eastAsia="宋体" w:cs="宋体"/>
          <w:color w:val="auto"/>
          <w:spacing w:val="8"/>
          <w:szCs w:val="21"/>
          <w:highlight w:val="none"/>
          <w:u w:val="single"/>
        </w:rPr>
        <w:t>3</w:t>
      </w:r>
      <w:r>
        <w:rPr>
          <w:rFonts w:hint="eastAsia" w:ascii="宋体" w:hAnsi="宋体" w:eastAsia="宋体" w:cs="宋体"/>
          <w:color w:val="auto"/>
          <w:spacing w:val="8"/>
          <w:szCs w:val="21"/>
          <w:highlight w:val="none"/>
          <w:u w:val="single"/>
        </w:rPr>
        <w:t>、本合同文本；</w:t>
      </w:r>
      <w:r>
        <w:rPr>
          <w:rFonts w:ascii="宋体" w:hAnsi="宋体" w:eastAsia="宋体" w:cs="宋体"/>
          <w:color w:val="auto"/>
          <w:spacing w:val="8"/>
          <w:szCs w:val="21"/>
          <w:highlight w:val="none"/>
          <w:u w:val="single"/>
        </w:rPr>
        <w:t>4</w:t>
      </w:r>
      <w:r>
        <w:rPr>
          <w:rFonts w:hint="eastAsia" w:ascii="宋体" w:hAnsi="宋体" w:eastAsia="宋体" w:cs="宋体"/>
          <w:color w:val="auto"/>
          <w:spacing w:val="8"/>
          <w:szCs w:val="21"/>
          <w:highlight w:val="none"/>
          <w:u w:val="single"/>
        </w:rPr>
        <w:t>、成交人的</w:t>
      </w:r>
      <w:r>
        <w:rPr>
          <w:rFonts w:hint="eastAsia" w:ascii="宋体" w:hAnsi="宋体" w:eastAsia="宋体" w:cs="宋体"/>
          <w:color w:val="auto"/>
          <w:spacing w:val="8"/>
          <w:szCs w:val="21"/>
          <w:highlight w:val="none"/>
          <w:u w:val="single"/>
          <w:lang w:val="en-US" w:eastAsia="zh-CN"/>
        </w:rPr>
        <w:t>参选</w:t>
      </w:r>
      <w:r>
        <w:rPr>
          <w:rFonts w:hint="eastAsia" w:ascii="宋体" w:hAnsi="宋体" w:eastAsia="宋体" w:cs="宋体"/>
          <w:color w:val="auto"/>
          <w:spacing w:val="8"/>
          <w:szCs w:val="21"/>
          <w:highlight w:val="none"/>
          <w:u w:val="single"/>
        </w:rPr>
        <w:t>文件；</w:t>
      </w:r>
      <w:r>
        <w:rPr>
          <w:rFonts w:ascii="宋体" w:hAnsi="宋体" w:eastAsia="宋体" w:cs="宋体"/>
          <w:color w:val="auto"/>
          <w:spacing w:val="8"/>
          <w:szCs w:val="21"/>
          <w:highlight w:val="none"/>
          <w:u w:val="single"/>
        </w:rPr>
        <w:t>5</w:t>
      </w:r>
      <w:r>
        <w:rPr>
          <w:rFonts w:hint="eastAsia" w:ascii="宋体" w:hAnsi="宋体" w:eastAsia="宋体" w:cs="宋体"/>
          <w:color w:val="auto"/>
          <w:spacing w:val="8"/>
          <w:szCs w:val="21"/>
          <w:highlight w:val="none"/>
          <w:u w:val="single"/>
        </w:rPr>
        <w:t>、其他补充约定事项。</w:t>
      </w:r>
      <w:r>
        <w:rPr>
          <w:rFonts w:ascii="宋体" w:hAnsi="宋体" w:eastAsia="宋体" w:cs="宋体"/>
          <w:color w:val="auto"/>
          <w:spacing w:val="8"/>
          <w:szCs w:val="21"/>
          <w:highlight w:val="none"/>
          <w:u w:val="single"/>
        </w:rPr>
        <w:t xml:space="preserve">                    </w:t>
      </w:r>
      <w:r>
        <w:rPr>
          <w:rFonts w:ascii="宋体" w:hAnsi="宋体" w:eastAsia="宋体" w:cs="宋体"/>
          <w:b/>
          <w:color w:val="auto"/>
          <w:spacing w:val="8"/>
          <w:szCs w:val="21"/>
          <w:highlight w:val="none"/>
          <w:u w:val="single"/>
        </w:rPr>
        <w:t xml:space="preserve">                                 </w:t>
      </w:r>
    </w:p>
    <w:p w14:paraId="48415DFD">
      <w:pPr>
        <w:spacing w:line="360" w:lineRule="auto"/>
        <w:ind w:left="-178" w:leftChars="-85" w:firstLine="177" w:firstLineChars="78"/>
        <w:rPr>
          <w:rFonts w:ascii="宋体" w:hAnsi="Times New Roman" w:eastAsia="宋体" w:cs="宋体"/>
          <w:color w:val="auto"/>
          <w:spacing w:val="8"/>
          <w:szCs w:val="21"/>
          <w:highlight w:val="none"/>
          <w:u w:val="single"/>
        </w:rPr>
      </w:pPr>
      <w:r>
        <w:rPr>
          <w:rFonts w:ascii="宋体" w:hAnsi="宋体" w:eastAsia="宋体" w:cs="宋体"/>
          <w:b/>
          <w:color w:val="auto"/>
          <w:spacing w:val="8"/>
          <w:szCs w:val="21"/>
          <w:highlight w:val="none"/>
          <w:u w:val="single"/>
        </w:rPr>
        <w:t xml:space="preserve">                                                       </w:t>
      </w:r>
      <w:r>
        <w:rPr>
          <w:rFonts w:ascii="宋体" w:hAnsi="宋体" w:eastAsia="宋体" w:cs="宋体"/>
          <w:color w:val="auto"/>
          <w:spacing w:val="8"/>
          <w:szCs w:val="21"/>
          <w:highlight w:val="none"/>
          <w:u w:val="single"/>
        </w:rPr>
        <w:t xml:space="preserve">                    </w:t>
      </w:r>
    </w:p>
    <w:p w14:paraId="338778EE">
      <w:pPr>
        <w:spacing w:line="360" w:lineRule="auto"/>
        <w:ind w:left="-178" w:leftChars="-85" w:firstLine="176" w:firstLineChars="78"/>
        <w:rPr>
          <w:rFonts w:ascii="宋体" w:hAnsi="Times New Roman" w:eastAsia="宋体" w:cs="宋体"/>
          <w:color w:val="auto"/>
          <w:spacing w:val="8"/>
          <w:szCs w:val="21"/>
          <w:highlight w:val="none"/>
          <w:u w:val="single"/>
        </w:rPr>
      </w:pPr>
      <w:r>
        <w:rPr>
          <w:rFonts w:ascii="宋体" w:hAnsi="宋体" w:eastAsia="宋体" w:cs="宋体"/>
          <w:color w:val="auto"/>
          <w:spacing w:val="8"/>
          <w:szCs w:val="21"/>
          <w:highlight w:val="none"/>
          <w:u w:val="single"/>
        </w:rPr>
        <w:t xml:space="preserve">                                                                           </w:t>
      </w:r>
    </w:p>
    <w:p w14:paraId="61168B76">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5402BDD8">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302E95A7">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51C7E429">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买  方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卖   方                        </w:t>
      </w:r>
    </w:p>
    <w:p w14:paraId="59BC5DD4">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成交人（单位盖章）：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BAA3D5F">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法定代表人</w:t>
      </w:r>
    </w:p>
    <w:p w14:paraId="13D19709">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C91603B">
      <w:pPr>
        <w:snapToGrid w:val="0"/>
        <w:spacing w:line="480" w:lineRule="auto"/>
        <w:rPr>
          <w:rFonts w:ascii="宋体" w:hAnsi="Times New Roman" w:eastAsia="宋体" w:cs="宋体"/>
          <w:color w:val="auto"/>
          <w:szCs w:val="20"/>
          <w:highlight w:val="none"/>
        </w:rPr>
      </w:pP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p>
    <w:p w14:paraId="778B623B">
      <w:pPr>
        <w:pStyle w:val="81"/>
        <w:rPr>
          <w:rFonts w:ascii="宋体" w:hAnsi="宋体" w:cs="宋体"/>
          <w:color w:val="auto"/>
          <w:szCs w:val="21"/>
          <w:highlight w:val="none"/>
        </w:rPr>
      </w:pPr>
    </w:p>
    <w:p w14:paraId="2D7676D5">
      <w:pPr>
        <w:pStyle w:val="81"/>
        <w:rPr>
          <w:rFonts w:ascii="宋体" w:hAnsi="宋体" w:cs="宋体"/>
          <w:color w:val="auto"/>
          <w:szCs w:val="21"/>
          <w:highlight w:val="none"/>
        </w:rPr>
      </w:pPr>
    </w:p>
    <w:p w14:paraId="7FEDE27B">
      <w:pPr>
        <w:pStyle w:val="81"/>
        <w:rPr>
          <w:rFonts w:ascii="宋体" w:hAnsi="宋体" w:cs="宋体"/>
          <w:color w:val="auto"/>
          <w:szCs w:val="21"/>
          <w:highlight w:val="none"/>
        </w:rPr>
      </w:pPr>
    </w:p>
    <w:p w14:paraId="5343CF2A">
      <w:pPr>
        <w:tabs>
          <w:tab w:val="left" w:pos="3640"/>
        </w:tabs>
        <w:autoSpaceDE w:val="0"/>
        <w:autoSpaceDN w:val="0"/>
        <w:spacing w:line="480" w:lineRule="auto"/>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29C18045">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0527DA7B">
      <w:pPr>
        <w:pStyle w:val="2"/>
        <w:spacing w:before="62" w:beforeLines="20" w:after="62" w:afterLines="20" w:line="480" w:lineRule="exact"/>
        <w:ind w:firstLine="0" w:firstLineChars="0"/>
        <w:jc w:val="center"/>
        <w:rPr>
          <w:rFonts w:ascii="Arial" w:hAnsi="Arial"/>
          <w:color w:val="auto"/>
          <w:kern w:val="2"/>
          <w:sz w:val="32"/>
          <w:szCs w:val="32"/>
          <w:highlight w:val="none"/>
        </w:rPr>
      </w:pPr>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60"/>
      <w:bookmarkEnd w:id="61"/>
      <w:bookmarkEnd w:id="62"/>
      <w:bookmarkEnd w:id="63"/>
      <w:bookmarkStart w:id="64" w:name="_Toc26873"/>
      <w:bookmarkStart w:id="65" w:name="_Toc54884158"/>
      <w:r>
        <w:rPr>
          <w:rFonts w:hint="eastAsia" w:ascii="Arial" w:hAnsi="Arial"/>
          <w:color w:val="auto"/>
          <w:kern w:val="2"/>
          <w:sz w:val="32"/>
          <w:szCs w:val="32"/>
          <w:highlight w:val="none"/>
        </w:rPr>
        <w:t>参选文件格式</w:t>
      </w:r>
      <w:bookmarkEnd w:id="64"/>
      <w:bookmarkEnd w:id="65"/>
    </w:p>
    <w:p w14:paraId="2A94A47A">
      <w:pPr>
        <w:spacing w:line="360" w:lineRule="auto"/>
        <w:jc w:val="center"/>
        <w:rPr>
          <w:rFonts w:ascii="仿宋" w:hAnsi="仿宋" w:eastAsia="仿宋"/>
          <w:b/>
          <w:color w:val="auto"/>
          <w:spacing w:val="20"/>
          <w:sz w:val="36"/>
          <w:szCs w:val="36"/>
          <w:highlight w:val="none"/>
          <w:u w:val="single"/>
        </w:rPr>
      </w:pPr>
    </w:p>
    <w:p w14:paraId="49945C73">
      <w:pPr>
        <w:spacing w:line="360" w:lineRule="auto"/>
        <w:jc w:val="center"/>
        <w:rPr>
          <w:rFonts w:ascii="仿宋" w:hAnsi="仿宋" w:eastAsia="仿宋"/>
          <w:b/>
          <w:color w:val="auto"/>
          <w:spacing w:val="20"/>
          <w:sz w:val="36"/>
          <w:szCs w:val="36"/>
          <w:highlight w:val="none"/>
          <w:u w:val="single"/>
        </w:rPr>
      </w:pPr>
    </w:p>
    <w:p w14:paraId="2C41F8BF">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37BE6761">
      <w:pPr>
        <w:spacing w:line="360" w:lineRule="auto"/>
        <w:ind w:firstLine="803" w:firstLineChars="200"/>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10E9401D">
      <w:pPr>
        <w:spacing w:line="360" w:lineRule="auto"/>
        <w:rPr>
          <w:rFonts w:ascii="宋体" w:hAnsi="宋体"/>
          <w:color w:val="auto"/>
          <w:sz w:val="24"/>
          <w:highlight w:val="none"/>
        </w:rPr>
      </w:pP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82"/>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82"/>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50286371">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录</w:t>
      </w:r>
    </w:p>
    <w:p w14:paraId="692DF3AC">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一、</w:t>
      </w:r>
      <w:r>
        <w:rPr>
          <w:rFonts w:hint="eastAsia" w:ascii="宋体" w:hAnsi="宋体"/>
          <w:color w:val="auto"/>
          <w:sz w:val="24"/>
          <w:highlight w:val="none"/>
          <w:lang w:val="en-US" w:eastAsia="zh-CN"/>
        </w:rPr>
        <w:t>投标函</w:t>
      </w:r>
    </w:p>
    <w:p w14:paraId="7B300751">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二、</w:t>
      </w:r>
      <w:r>
        <w:rPr>
          <w:rFonts w:hint="eastAsia" w:ascii="宋体" w:hAnsi="宋体"/>
          <w:color w:val="auto"/>
          <w:sz w:val="24"/>
          <w:highlight w:val="none"/>
          <w:lang w:val="en-US" w:eastAsia="zh-CN"/>
        </w:rPr>
        <w:t>报价表</w:t>
      </w:r>
    </w:p>
    <w:p w14:paraId="561513FD">
      <w:pPr>
        <w:pStyle w:val="82"/>
        <w:rPr>
          <w:rFonts w:hint="eastAsia" w:ascii="宋体" w:hAnsi="宋体"/>
          <w:color w:val="auto"/>
          <w:sz w:val="24"/>
          <w:highlight w:val="none"/>
        </w:rPr>
      </w:pPr>
      <w:r>
        <w:rPr>
          <w:rFonts w:hint="eastAsia" w:ascii="宋体" w:hAnsi="宋体"/>
          <w:color w:val="auto"/>
          <w:sz w:val="24"/>
          <w:highlight w:val="none"/>
          <w:lang w:val="en-US" w:eastAsia="zh-CN"/>
        </w:rPr>
        <w:t>三</w:t>
      </w:r>
      <w:r>
        <w:rPr>
          <w:rFonts w:hint="eastAsia" w:ascii="宋体" w:hAnsi="宋体"/>
          <w:color w:val="auto"/>
          <w:sz w:val="24"/>
          <w:highlight w:val="none"/>
        </w:rPr>
        <w:t>、诚信投标承诺书</w:t>
      </w:r>
    </w:p>
    <w:p w14:paraId="58070C37">
      <w:pPr>
        <w:pStyle w:val="82"/>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四、相关证明文件</w:t>
      </w:r>
    </w:p>
    <w:p w14:paraId="10B42BD6">
      <w:pPr>
        <w:widowControl/>
        <w:jc w:val="left"/>
        <w:rPr>
          <w:rFonts w:ascii="宋体" w:cs="宋体"/>
          <w:color w:val="auto"/>
          <w:sz w:val="24"/>
          <w:highlight w:val="none"/>
        </w:rPr>
      </w:pPr>
      <w:r>
        <w:rPr>
          <w:rFonts w:ascii="宋体" w:cs="宋体"/>
          <w:color w:val="auto"/>
          <w:sz w:val="24"/>
          <w:highlight w:val="none"/>
        </w:rPr>
        <w:br w:type="page"/>
      </w:r>
    </w:p>
    <w:p w14:paraId="21117AA9">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bookmarkStart w:id="66" w:name="_Toc476584433"/>
      <w:bookmarkStart w:id="67" w:name="_Toc54941342"/>
      <w:r>
        <w:rPr>
          <w:rFonts w:hint="eastAsia" w:ascii="宋体" w:hAnsi="Times New Roman" w:eastAsia="宋体" w:cs="宋体"/>
          <w:b/>
          <w:color w:val="auto"/>
          <w:kern w:val="0"/>
          <w:sz w:val="28"/>
          <w:szCs w:val="28"/>
          <w:highlight w:val="none"/>
          <w:shd w:val="clear" w:fill="FFFFFF"/>
          <w:lang w:val="en-US" w:eastAsia="zh-CN" w:bidi="ar-SA"/>
        </w:rPr>
        <w:t>一、</w:t>
      </w:r>
      <w:bookmarkEnd w:id="66"/>
      <w:bookmarkEnd w:id="67"/>
      <w:r>
        <w:rPr>
          <w:rFonts w:hint="eastAsia" w:ascii="宋体" w:hAnsi="Times New Roman" w:eastAsia="宋体" w:cs="宋体"/>
          <w:b/>
          <w:color w:val="auto"/>
          <w:kern w:val="0"/>
          <w:sz w:val="28"/>
          <w:szCs w:val="28"/>
          <w:highlight w:val="none"/>
          <w:shd w:val="clear" w:fill="FFFFFF"/>
          <w:lang w:val="en-US" w:eastAsia="zh-CN" w:bidi="ar-SA"/>
        </w:rPr>
        <w:t>投标函</w:t>
      </w:r>
    </w:p>
    <w:p w14:paraId="1601FEB2">
      <w:pPr>
        <w:tabs>
          <w:tab w:val="left" w:pos="5580"/>
        </w:tabs>
        <w:spacing w:before="120" w:line="360" w:lineRule="auto"/>
        <w:rPr>
          <w:rFonts w:hint="eastAsia" w:ascii="宋体" w:hAnsi="宋体"/>
          <w:color w:val="auto"/>
          <w:szCs w:val="21"/>
          <w:highlight w:val="none"/>
        </w:rPr>
      </w:pPr>
    </w:p>
    <w:p w14:paraId="718B87DC">
      <w:pPr>
        <w:tabs>
          <w:tab w:val="left" w:pos="5580"/>
        </w:tabs>
        <w:spacing w:before="120"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安庆市安汇港务有限公司</w:t>
      </w:r>
    </w:p>
    <w:p w14:paraId="04AA685B">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皖河新港引桥铁门采购</w:t>
      </w:r>
      <w:r>
        <w:rPr>
          <w:rFonts w:hint="eastAsia" w:ascii="宋体" w:hAnsi="宋体" w:eastAsia="宋体" w:cs="Courier New"/>
          <w:color w:val="auto"/>
          <w:kern w:val="2"/>
          <w:sz w:val="21"/>
          <w:szCs w:val="21"/>
          <w:highlight w:val="none"/>
          <w:u w:val="single"/>
          <w:lang w:val="en-US" w:eastAsia="zh-CN" w:bidi="ar-SA"/>
        </w:rPr>
        <w:t>项目</w:t>
      </w:r>
      <w:r>
        <w:rPr>
          <w:rFonts w:hint="eastAsia" w:ascii="宋体" w:hAnsi="宋体" w:eastAsia="宋体" w:cs="Courier New"/>
          <w:color w:val="auto"/>
          <w:kern w:val="2"/>
          <w:sz w:val="21"/>
          <w:szCs w:val="21"/>
          <w:highlight w:val="none"/>
          <w:lang w:val="en-US" w:eastAsia="zh-CN" w:bidi="ar-SA"/>
        </w:rPr>
        <w:t>的比选活动。我方授</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56187093">
      <w:pPr>
        <w:widowControl w:val="0"/>
        <w:tabs>
          <w:tab w:val="left" w:pos="5580"/>
        </w:tabs>
        <w:spacing w:line="360" w:lineRule="auto"/>
        <w:ind w:firstLine="420" w:firstLineChars="200"/>
        <w:jc w:val="both"/>
        <w:rPr>
          <w:rFonts w:hint="eastAsia" w:hAnsi="宋体" w:eastAsia="宋体" w:cs="宋体"/>
          <w:color w:val="auto"/>
          <w:highlight w:val="none"/>
          <w:u w:val="single"/>
          <w:lang w:val="en-US" w:eastAsia="zh-CN"/>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2、我方充分了解并完全响应比选文件的全部内容，愿意按照比选文件规定的各项要求，向采购人提供所需的货物和服务</w:t>
      </w:r>
      <w:r>
        <w:rPr>
          <w:rFonts w:hint="eastAsia" w:ascii="宋体" w:hAnsi="宋体" w:cs="Courier New"/>
          <w:color w:val="auto"/>
          <w:kern w:val="2"/>
          <w:sz w:val="21"/>
          <w:szCs w:val="21"/>
          <w:highlight w:val="none"/>
          <w:lang w:val="en-US" w:eastAsia="zh-CN" w:bidi="ar-SA"/>
        </w:rPr>
        <w:t>，</w:t>
      </w:r>
      <w:r>
        <w:rPr>
          <w:rFonts w:hint="eastAsia" w:ascii="宋体" w:hAnsi="宋体" w:cs="Courier New"/>
          <w:b/>
          <w:bCs/>
          <w:color w:val="auto"/>
          <w:kern w:val="2"/>
          <w:sz w:val="21"/>
          <w:szCs w:val="21"/>
          <w:highlight w:val="none"/>
          <w:lang w:val="en-US" w:eastAsia="zh-CN" w:bidi="ar-SA"/>
        </w:rPr>
        <w:t>投标报价（总价）为人民币</w:t>
      </w:r>
      <w:r>
        <w:rPr>
          <w:rFonts w:hint="eastAsia" w:ascii="宋体" w:hAnsi="宋体" w:eastAsia="宋体" w:cs="Courier New"/>
          <w:b/>
          <w:bCs/>
          <w:color w:val="auto"/>
          <w:kern w:val="2"/>
          <w:sz w:val="21"/>
          <w:szCs w:val="21"/>
          <w:highlight w:val="none"/>
          <w:lang w:val="en-US" w:eastAsia="zh-CN" w:bidi="ar-SA"/>
        </w:rPr>
        <w:t>（大写）</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，(小写)</w:t>
      </w:r>
      <w:r>
        <w:rPr>
          <w:rFonts w:hint="eastAsia" w:ascii="宋体" w:hAnsi="宋体" w:cs="Courier New"/>
          <w:b w:val="0"/>
          <w:bCs w:val="0"/>
          <w:color w:val="auto"/>
          <w:kern w:val="2"/>
          <w:sz w:val="21"/>
          <w:szCs w:val="21"/>
          <w:highlight w:val="none"/>
          <w:u w:val="single"/>
          <w:lang w:val="en-US" w:eastAsia="zh-CN" w:bidi="ar-SA"/>
        </w:rPr>
        <w:t>¥</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w:t>
      </w:r>
    </w:p>
    <w:p w14:paraId="4A79D37B">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w:t>
      </w:r>
      <w:r>
        <w:rPr>
          <w:rFonts w:hint="eastAsia" w:ascii="宋体" w:hAnsi="宋体" w:cs="Courier New"/>
          <w:color w:val="auto"/>
          <w:kern w:val="2"/>
          <w:sz w:val="21"/>
          <w:szCs w:val="21"/>
          <w:highlight w:val="none"/>
          <w:lang w:val="en-US" w:eastAsia="zh-CN" w:bidi="ar-SA"/>
        </w:rPr>
        <w:t>。</w:t>
      </w:r>
    </w:p>
    <w:p w14:paraId="6F99337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2226E666">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56387A7E">
      <w:pPr>
        <w:pStyle w:val="31"/>
        <w:tabs>
          <w:tab w:val="left" w:pos="5580"/>
        </w:tabs>
        <w:spacing w:line="360" w:lineRule="auto"/>
        <w:ind w:firstLine="417" w:firstLineChars="199"/>
        <w:rPr>
          <w:rFonts w:hAnsi="宋体"/>
          <w:color w:val="auto"/>
          <w:highlight w:val="none"/>
        </w:rPr>
      </w:pPr>
    </w:p>
    <w:p w14:paraId="61EEC5B7">
      <w:pPr>
        <w:pStyle w:val="31"/>
        <w:tabs>
          <w:tab w:val="left" w:pos="5580"/>
        </w:tabs>
        <w:spacing w:line="360" w:lineRule="auto"/>
        <w:ind w:right="360" w:firstLine="3570" w:firstLineChars="1700"/>
        <w:rPr>
          <w:rFonts w:hAnsi="宋体"/>
          <w:color w:val="auto"/>
          <w:highlight w:val="none"/>
        </w:rPr>
      </w:pPr>
    </w:p>
    <w:p w14:paraId="50A440BB">
      <w:pPr>
        <w:pStyle w:val="31"/>
        <w:tabs>
          <w:tab w:val="left" w:pos="5580"/>
        </w:tabs>
        <w:spacing w:line="360" w:lineRule="auto"/>
        <w:ind w:right="360" w:firstLine="3570" w:firstLineChars="1700"/>
        <w:rPr>
          <w:rFonts w:hAnsi="宋体"/>
          <w:color w:val="auto"/>
          <w:highlight w:val="none"/>
        </w:rPr>
      </w:pPr>
    </w:p>
    <w:p w14:paraId="6068D269">
      <w:pPr>
        <w:pStyle w:val="31"/>
        <w:tabs>
          <w:tab w:val="left" w:pos="5580"/>
        </w:tabs>
        <w:spacing w:line="360" w:lineRule="auto"/>
        <w:ind w:right="360" w:firstLine="3570" w:firstLineChars="1700"/>
        <w:rPr>
          <w:rFonts w:hAnsi="宋体"/>
          <w:color w:val="auto"/>
          <w:highlight w:val="none"/>
        </w:rPr>
      </w:pPr>
    </w:p>
    <w:p w14:paraId="77A72F03">
      <w:pPr>
        <w:pStyle w:val="31"/>
        <w:tabs>
          <w:tab w:val="left" w:pos="5580"/>
        </w:tabs>
        <w:spacing w:line="480" w:lineRule="auto"/>
        <w:ind w:right="360" w:firstLine="3570" w:firstLineChars="1700"/>
        <w:jc w:val="right"/>
        <w:rPr>
          <w:rFonts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（盖章）</w:t>
      </w:r>
    </w:p>
    <w:p w14:paraId="02B03BF0">
      <w:pPr>
        <w:pStyle w:val="31"/>
        <w:tabs>
          <w:tab w:val="left" w:pos="5580"/>
        </w:tabs>
        <w:wordWrap w:val="0"/>
        <w:spacing w:line="480" w:lineRule="auto"/>
        <w:ind w:firstLine="420" w:firstLineChars="200"/>
        <w:jc w:val="center"/>
        <w:rPr>
          <w:rFonts w:hint="eastAsia" w:hAnsi="宋体" w:eastAsia="宋体"/>
          <w:color w:val="auto"/>
          <w:highlight w:val="none"/>
          <w:u w:val="single"/>
          <w:lang w:val="en-US" w:eastAsia="zh-CN"/>
        </w:rPr>
      </w:pPr>
      <w:r>
        <w:rPr>
          <w:rFonts w:hint="eastAsia" w:hAnsi="宋体"/>
          <w:color w:val="auto"/>
          <w:highlight w:val="none"/>
          <w:lang w:val="en-US" w:eastAsia="zh-CN"/>
        </w:rPr>
        <w:t xml:space="preserve">                                </w:t>
      </w:r>
      <w:r>
        <w:rPr>
          <w:rFonts w:hint="eastAsia" w:hAnsi="宋体"/>
          <w:color w:val="auto"/>
          <w:highlight w:val="none"/>
        </w:rPr>
        <w:t>单位地址：</w:t>
      </w:r>
      <w:r>
        <w:rPr>
          <w:rFonts w:hint="eastAsia" w:hAnsi="宋体"/>
          <w:color w:val="auto"/>
          <w:highlight w:val="none"/>
          <w:u w:val="single"/>
          <w:lang w:val="en-US" w:eastAsia="zh-CN"/>
        </w:rPr>
        <w:t xml:space="preserve">                                      </w:t>
      </w:r>
    </w:p>
    <w:p w14:paraId="5263677E">
      <w:pPr>
        <w:pStyle w:val="31"/>
        <w:tabs>
          <w:tab w:val="left" w:pos="5580"/>
        </w:tabs>
        <w:spacing w:line="480" w:lineRule="auto"/>
        <w:ind w:firstLine="3780" w:firstLineChars="1800"/>
        <w:jc w:val="both"/>
        <w:rPr>
          <w:rFonts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（签字或盖章）</w:t>
      </w:r>
    </w:p>
    <w:p w14:paraId="4B0DA8F5">
      <w:pPr>
        <w:pStyle w:val="31"/>
        <w:tabs>
          <w:tab w:val="left" w:pos="5580"/>
        </w:tabs>
        <w:spacing w:line="480" w:lineRule="auto"/>
        <w:ind w:firstLine="3570" w:firstLineChars="1700"/>
        <w:jc w:val="right"/>
        <w:rPr>
          <w:rFonts w:hAnsi="宋体"/>
          <w:color w:val="auto"/>
          <w:highlight w:val="none"/>
        </w:rPr>
      </w:pPr>
      <w:r>
        <w:rPr>
          <w:rFonts w:hint="eastAsia" w:hAnsi="宋体"/>
          <w:color w:val="auto"/>
          <w:highlight w:val="none"/>
        </w:rPr>
        <w:t>日期：       年      月      日</w:t>
      </w:r>
    </w:p>
    <w:p w14:paraId="0C7F69FE">
      <w:pPr>
        <w:pStyle w:val="23"/>
        <w:rPr>
          <w:color w:val="auto"/>
          <w:highlight w:val="none"/>
        </w:rPr>
      </w:pPr>
    </w:p>
    <w:p w14:paraId="4E0D8EE0">
      <w:pPr>
        <w:jc w:val="center"/>
        <w:rPr>
          <w:color w:val="auto"/>
          <w:highlight w:val="none"/>
        </w:rPr>
      </w:pPr>
      <w:bookmarkStart w:id="68" w:name="_Toc54941350"/>
      <w:bookmarkStart w:id="69" w:name="_Toc476584438"/>
      <w:r>
        <w:rPr>
          <w:rFonts w:hint="eastAsia" w:cs="宋体"/>
          <w:color w:val="auto"/>
          <w:highlight w:val="none"/>
        </w:rPr>
        <w:br w:type="page"/>
      </w:r>
      <w:bookmarkStart w:id="70" w:name="_Toc25208"/>
      <w:r>
        <w:rPr>
          <w:rFonts w:hint="eastAsia" w:ascii="宋体" w:hAnsi="Times New Roman" w:eastAsia="宋体" w:cs="宋体"/>
          <w:b/>
          <w:color w:val="auto"/>
          <w:kern w:val="0"/>
          <w:sz w:val="28"/>
          <w:szCs w:val="28"/>
          <w:highlight w:val="none"/>
          <w:shd w:val="clear" w:fill="FFFFFF"/>
          <w:lang w:val="en-US" w:eastAsia="zh-CN" w:bidi="ar-SA"/>
        </w:rPr>
        <w:t>二、报价表</w:t>
      </w:r>
    </w:p>
    <w:p w14:paraId="68EBF7FC">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0E8AFE77">
      <w:pPr>
        <w:spacing w:line="360" w:lineRule="auto"/>
        <w:rPr>
          <w:rFonts w:ascii="Times New Roman" w:hAnsi="Times New Roman" w:eastAsia="仿宋" w:cs="Times New Roman"/>
          <w:color w:val="auto"/>
          <w:kern w:val="0"/>
          <w:sz w:val="24"/>
          <w:szCs w:val="24"/>
          <w:highlight w:val="none"/>
          <w:lang w:val="zh-CN"/>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138E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759" w:type="pct"/>
            <w:vMerge w:val="restart"/>
            <w:vAlign w:val="center"/>
          </w:tcPr>
          <w:p w14:paraId="693BAAE6">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rPr>
              <w:t>报价</w:t>
            </w:r>
          </w:p>
        </w:tc>
        <w:tc>
          <w:tcPr>
            <w:tcW w:w="4240" w:type="pct"/>
            <w:vAlign w:val="center"/>
          </w:tcPr>
          <w:p w14:paraId="5C9C10CE">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auto"/>
                <w:sz w:val="24"/>
                <w:szCs w:val="24"/>
                <w:highlight w:val="none"/>
              </w:rPr>
            </w:pPr>
            <w:r>
              <w:rPr>
                <w:rFonts w:hint="eastAsia" w:ascii="Times New Roman" w:hAnsi="宋体" w:eastAsia="宋体" w:cs="Times New Roman"/>
                <w:color w:val="auto"/>
                <w:sz w:val="24"/>
                <w:szCs w:val="24"/>
                <w:highlight w:val="none"/>
              </w:rPr>
              <w:t>大写：</w:t>
            </w:r>
            <w:r>
              <w:rPr>
                <w:rFonts w:hint="default" w:ascii="Times New Roman" w:hAnsi="Times New Roman" w:eastAsia="宋体" w:cs="Times New Roman"/>
                <w:color w:val="auto"/>
                <w:sz w:val="24"/>
                <w:szCs w:val="24"/>
                <w:highlight w:val="none"/>
              </w:rPr>
              <w:t xml:space="preserve">                  </w:t>
            </w:r>
          </w:p>
        </w:tc>
      </w:tr>
      <w:tr w14:paraId="4068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vAlign w:val="center"/>
          </w:tcPr>
          <w:p w14:paraId="28D7EE8F">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p>
        </w:tc>
        <w:tc>
          <w:tcPr>
            <w:tcW w:w="4240" w:type="pct"/>
            <w:vAlign w:val="center"/>
          </w:tcPr>
          <w:p w14:paraId="427E2B20">
            <w:pPr>
              <w:keepNext w:val="0"/>
              <w:keepLines w:val="0"/>
              <w:suppressLineNumbers w:val="0"/>
              <w:wordWrap w:val="0"/>
              <w:spacing w:before="0" w:beforeAutospacing="0" w:after="0" w:afterAutospacing="0"/>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小写：</w:t>
            </w:r>
            <w:r>
              <w:rPr>
                <w:rFonts w:hint="default" w:ascii="Times New Roman" w:hAnsi="宋体" w:eastAsia="宋体" w:cs="Times New Roman"/>
                <w:color w:val="auto"/>
                <w:sz w:val="24"/>
                <w:szCs w:val="24"/>
                <w:highlight w:val="none"/>
              </w:rPr>
              <w:t xml:space="preserve">                  </w:t>
            </w:r>
          </w:p>
        </w:tc>
      </w:tr>
      <w:tr w14:paraId="6C4C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vAlign w:val="center"/>
          </w:tcPr>
          <w:p w14:paraId="540A5DE6">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备注：</w:t>
            </w:r>
          </w:p>
          <w:p w14:paraId="1484A8E7">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default" w:ascii="Times New Roman" w:hAnsi="宋体" w:eastAsia="宋体" w:cs="Times New Roman"/>
                <w:color w:val="auto"/>
                <w:sz w:val="24"/>
                <w:szCs w:val="24"/>
                <w:highlight w:val="none"/>
              </w:rPr>
              <w:t>1</w:t>
            </w:r>
            <w:r>
              <w:rPr>
                <w:rFonts w:hint="eastAsia" w:ascii="Times New Roman" w:hAnsi="宋体" w:eastAsia="宋体" w:cs="Times New Roman"/>
                <w:color w:val="auto"/>
                <w:sz w:val="24"/>
                <w:szCs w:val="24"/>
                <w:highlight w:val="none"/>
              </w:rPr>
              <w:t>、</w:t>
            </w:r>
            <w:r>
              <w:rPr>
                <w:rFonts w:hint="eastAsia" w:ascii="Times New Roman" w:hAnsi="宋体" w:eastAsia="宋体" w:cs="Times New Roman"/>
                <w:color w:val="auto"/>
                <w:sz w:val="24"/>
                <w:szCs w:val="24"/>
                <w:highlight w:val="none"/>
                <w:lang w:val="en-US" w:eastAsia="zh-CN"/>
              </w:rPr>
              <w:t>报价最多保留到小数点后两位，小数点后第三位“四舍五入”。</w:t>
            </w:r>
          </w:p>
        </w:tc>
      </w:tr>
    </w:tbl>
    <w:p w14:paraId="26CF78AC">
      <w:pPr>
        <w:spacing w:line="360" w:lineRule="auto"/>
        <w:rPr>
          <w:rFonts w:hint="eastAsia" w:ascii="宋体" w:hAnsi="宋体" w:cs="Times New Roman"/>
          <w:b/>
          <w:color w:val="auto"/>
          <w:sz w:val="21"/>
          <w:szCs w:val="21"/>
          <w:highlight w:val="none"/>
        </w:rPr>
      </w:pPr>
    </w:p>
    <w:p w14:paraId="088D28A9">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加盖供应商公章）</w:t>
      </w:r>
    </w:p>
    <w:p w14:paraId="6C0B0A0A">
      <w:pPr>
        <w:spacing w:line="360" w:lineRule="auto"/>
        <w:rPr>
          <w:rFonts w:hint="eastAsia" w:ascii="宋体" w:hAnsi="宋体" w:cs="Times New Roman"/>
          <w:b/>
          <w:color w:val="auto"/>
          <w:sz w:val="21"/>
          <w:szCs w:val="21"/>
          <w:highlight w:val="none"/>
        </w:rPr>
      </w:pPr>
    </w:p>
    <w:p w14:paraId="37723AEF">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供应商：</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5934ABD5">
      <w:pPr>
        <w:spacing w:line="360" w:lineRule="auto"/>
        <w:ind w:firstLine="3465" w:firstLineChars="1650"/>
        <w:rPr>
          <w:rFonts w:hint="eastAsia" w:ascii="宋体" w:hAnsi="宋体" w:cs="Times New Roman"/>
          <w:color w:val="auto"/>
          <w:szCs w:val="21"/>
          <w:highlight w:val="none"/>
        </w:rPr>
      </w:pPr>
    </w:p>
    <w:p w14:paraId="74525373">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74EF74EE">
      <w:pPr>
        <w:spacing w:line="360" w:lineRule="auto"/>
        <w:ind w:firstLine="3570" w:firstLineChars="1700"/>
        <w:rPr>
          <w:rFonts w:hint="eastAsia" w:ascii="Times New Roman" w:hAnsi="Times New Roman" w:cs="Times New Roman"/>
          <w:color w:val="auto"/>
          <w:szCs w:val="21"/>
          <w:highlight w:val="none"/>
        </w:rPr>
      </w:pPr>
    </w:p>
    <w:p w14:paraId="2EFCDFFC">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bookmarkEnd w:id="70"/>
    <w:p w14:paraId="6CFFD0ED">
      <w:pPr>
        <w:rPr>
          <w:color w:val="auto"/>
          <w:highlight w:val="none"/>
        </w:rPr>
      </w:pPr>
      <w:r>
        <w:rPr>
          <w:rFonts w:hint="eastAsia" w:cs="宋体"/>
          <w:color w:val="auto"/>
          <w:highlight w:val="none"/>
        </w:rPr>
        <w:br w:type="page"/>
      </w:r>
    </w:p>
    <w:p w14:paraId="1D78AD3D">
      <w:pPr>
        <w:pStyle w:val="82"/>
        <w:rPr>
          <w:color w:val="auto"/>
          <w:highlight w:val="none"/>
        </w:rPr>
      </w:pPr>
    </w:p>
    <w:p w14:paraId="4DA01F2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三</w:t>
      </w:r>
      <w:r>
        <w:rPr>
          <w:rFonts w:hint="eastAsia" w:ascii="宋体" w:hAnsi="Times New Roman" w:eastAsia="宋体" w:cs="宋体"/>
          <w:b/>
          <w:color w:val="auto"/>
          <w:kern w:val="0"/>
          <w:sz w:val="28"/>
          <w:szCs w:val="28"/>
          <w:highlight w:val="none"/>
          <w:shd w:val="clear" w:fill="FFFFFF"/>
          <w:lang w:val="en-US" w:eastAsia="zh-CN" w:bidi="ar-SA"/>
        </w:rPr>
        <w:t>、诚信投标承诺书</w:t>
      </w:r>
    </w:p>
    <w:p w14:paraId="49965867">
      <w:pPr>
        <w:rPr>
          <w:rFonts w:ascii="仿宋" w:hAnsi="仿宋" w:eastAsia="仿宋" w:cs="仿宋"/>
          <w:b/>
          <w:bCs/>
          <w:color w:val="auto"/>
          <w:sz w:val="24"/>
          <w:szCs w:val="24"/>
          <w:highlight w:val="none"/>
        </w:rPr>
      </w:pPr>
    </w:p>
    <w:p w14:paraId="084B08E6">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本人以企业法定代表人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的身份郑重承诺：</w:t>
      </w:r>
    </w:p>
    <w:p w14:paraId="30B63C8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一、将遵循公开、公正和诚实信用的原则自愿参加</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项目的</w:t>
      </w:r>
      <w:r>
        <w:rPr>
          <w:rFonts w:hint="eastAsia" w:ascii="仿宋" w:hAnsi="仿宋" w:eastAsia="仿宋" w:cs="仿宋"/>
          <w:b/>
          <w:bCs/>
          <w:color w:val="auto"/>
          <w:sz w:val="24"/>
          <w:szCs w:val="24"/>
          <w:highlight w:val="none"/>
          <w:lang w:eastAsia="zh-CN"/>
        </w:rPr>
        <w:t>比选</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w:t>
      </w:r>
    </w:p>
    <w:p w14:paraId="70B18262">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二、所提供的一切材料都是真实、有效、合法的；  </w:t>
      </w:r>
    </w:p>
    <w:p w14:paraId="1A77BDD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三、不出借、转让资质证书，不让他人挂靠投标，不以他人名义投标或者以其他方式弄虚作假，骗取中标；  </w:t>
      </w:r>
    </w:p>
    <w:p w14:paraId="318B1B0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四、不与其他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相互串通投标报价，不排挤其他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的公平竞争、损害</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 xml:space="preserve">的合法权益；  </w:t>
      </w:r>
    </w:p>
    <w:p w14:paraId="157ADBAE">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五、不与采购单位或其他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 xml:space="preserve">串通投标，损害国家利益、社会公共利益或者他人的合法权益；  </w:t>
      </w:r>
    </w:p>
    <w:p w14:paraId="56897AB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六、严格遵守开标现场纪律，服从监管人员管理；  </w:t>
      </w:r>
    </w:p>
    <w:p w14:paraId="1A4F44B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七、保证中标后不转包，若有合法分包征得</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同意；</w:t>
      </w:r>
    </w:p>
    <w:p w14:paraId="1762F89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八、保证中标之后，按照</w:t>
      </w:r>
      <w:r>
        <w:rPr>
          <w:rFonts w:hint="eastAsia" w:ascii="仿宋" w:hAnsi="仿宋" w:eastAsia="仿宋" w:cs="仿宋"/>
          <w:b/>
          <w:bCs/>
          <w:color w:val="auto"/>
          <w:sz w:val="24"/>
          <w:szCs w:val="24"/>
          <w:highlight w:val="none"/>
          <w:lang w:eastAsia="zh-CN"/>
        </w:rPr>
        <w:t>参选文件</w:t>
      </w:r>
      <w:r>
        <w:rPr>
          <w:rFonts w:hint="eastAsia" w:ascii="仿宋" w:hAnsi="仿宋" w:eastAsia="仿宋" w:cs="仿宋"/>
          <w:b/>
          <w:bCs/>
          <w:color w:val="auto"/>
          <w:sz w:val="24"/>
          <w:szCs w:val="24"/>
          <w:highlight w:val="none"/>
        </w:rPr>
        <w:t>承诺提供货物、服务及派驻人员；</w:t>
      </w:r>
    </w:p>
    <w:p w14:paraId="0879AA2D">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九、保证企业及所属相关人员在本次投标中无行贿等犯罪行为；</w:t>
      </w:r>
    </w:p>
    <w:p w14:paraId="0392E51B">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十、如在投标过程和评标结果公告异议期内发生投诉行为，保证按</w:t>
      </w:r>
      <w:r>
        <w:rPr>
          <w:rFonts w:hint="eastAsia" w:ascii="仿宋" w:hAnsi="仿宋" w:eastAsia="仿宋" w:cs="仿宋"/>
          <w:b/>
          <w:bCs/>
          <w:color w:val="auto"/>
          <w:sz w:val="24"/>
          <w:szCs w:val="24"/>
          <w:highlight w:val="none"/>
          <w:lang w:val="en-US" w:eastAsia="zh-CN"/>
        </w:rPr>
        <w:t>相关</w:t>
      </w:r>
      <w:r>
        <w:rPr>
          <w:rFonts w:hint="eastAsia" w:ascii="仿宋" w:hAnsi="仿宋" w:eastAsia="仿宋" w:cs="仿宋"/>
          <w:b/>
          <w:bCs/>
          <w:color w:val="auto"/>
          <w:sz w:val="24"/>
          <w:szCs w:val="24"/>
          <w:highlight w:val="none"/>
        </w:rPr>
        <w:t>要求进行。投诉内容符合要求，投诉材料加盖企业公章或由法定代表人</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个体工商户经营者或其</w:t>
      </w:r>
      <w:r>
        <w:rPr>
          <w:rFonts w:hint="eastAsia" w:ascii="仿宋" w:hAnsi="仿宋" w:eastAsia="仿宋" w:cs="仿宋"/>
          <w:b/>
          <w:bCs/>
          <w:color w:val="auto"/>
          <w:sz w:val="24"/>
          <w:szCs w:val="24"/>
          <w:highlight w:val="none"/>
          <w:lang w:eastAsia="zh-CN"/>
        </w:rPr>
        <w:t>授权委托人</w:t>
      </w:r>
      <w:r>
        <w:rPr>
          <w:rFonts w:hint="eastAsia" w:ascii="仿宋" w:hAnsi="仿宋" w:eastAsia="仿宋" w:cs="仿宋"/>
          <w:b/>
          <w:bCs/>
          <w:color w:val="auto"/>
          <w:sz w:val="24"/>
          <w:szCs w:val="24"/>
          <w:highlight w:val="none"/>
        </w:rPr>
        <w:t xml:space="preserve">签字，并附有关身份证明。不恶意投诉，对本公司提供的投诉线索的真实性负责。 </w:t>
      </w:r>
    </w:p>
    <w:p w14:paraId="1BEE12C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、我方保证对本次招标活动有任何疑问或投诉，都依法在规定的时间内提出。否则，不针对本次招标活动提出任何异议或投诉。</w:t>
      </w:r>
    </w:p>
    <w:p w14:paraId="5E835D1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以上内容我已仔细阅读，本公司若有违反承诺内容的行为，自愿承担</w:t>
      </w:r>
      <w:r>
        <w:rPr>
          <w:rFonts w:hint="eastAsia" w:ascii="仿宋" w:hAnsi="仿宋" w:eastAsia="仿宋" w:cs="仿宋"/>
          <w:b/>
          <w:bCs/>
          <w:color w:val="auto"/>
          <w:sz w:val="24"/>
          <w:szCs w:val="24"/>
          <w:highlight w:val="none"/>
          <w:lang w:eastAsia="zh-CN"/>
        </w:rPr>
        <w:t>比选文件</w:t>
      </w:r>
      <w:r>
        <w:rPr>
          <w:rFonts w:hint="eastAsia" w:ascii="仿宋" w:hAnsi="仿宋" w:eastAsia="仿宋" w:cs="仿宋"/>
          <w:b/>
          <w:bCs/>
          <w:color w:val="auto"/>
          <w:sz w:val="24"/>
          <w:szCs w:val="24"/>
          <w:highlight w:val="none"/>
        </w:rPr>
        <w:t>确定的责任和法律责任并接受相关行政部门给予的处理和处罚。给</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造成损失的，依法承担赔偿责任。</w:t>
      </w:r>
    </w:p>
    <w:p w14:paraId="0B5122A8">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55F5F38D">
      <w:pPr>
        <w:rPr>
          <w:rFonts w:ascii="仿宋" w:hAnsi="仿宋" w:eastAsia="仿宋" w:cs="仿宋"/>
          <w:b/>
          <w:bCs/>
          <w:color w:val="auto"/>
          <w:sz w:val="22"/>
          <w:szCs w:val="22"/>
          <w:highlight w:val="none"/>
        </w:rPr>
      </w:pPr>
    </w:p>
    <w:p w14:paraId="28B3C81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投标单位（盖章）：</w:t>
      </w:r>
    </w:p>
    <w:p w14:paraId="357F5153">
      <w:pPr>
        <w:jc w:val="right"/>
        <w:rPr>
          <w:rFonts w:ascii="仿宋" w:hAnsi="仿宋" w:eastAsia="仿宋" w:cs="仿宋"/>
          <w:b/>
          <w:bCs/>
          <w:color w:val="auto"/>
          <w:sz w:val="24"/>
          <w:szCs w:val="24"/>
          <w:highlight w:val="none"/>
        </w:rPr>
      </w:pPr>
    </w:p>
    <w:p w14:paraId="6CE28DF1">
      <w:pPr>
        <w:jc w:val="right"/>
        <w:rPr>
          <w:rFonts w:ascii="仿宋" w:hAnsi="仿宋" w:eastAsia="仿宋" w:cs="仿宋"/>
          <w:b/>
          <w:bCs/>
          <w:color w:val="auto"/>
          <w:sz w:val="24"/>
          <w:szCs w:val="24"/>
          <w:highlight w:val="none"/>
        </w:rPr>
      </w:pPr>
    </w:p>
    <w:p w14:paraId="10A1AEB9">
      <w:pPr>
        <w:ind w:right="48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日期：_____年____月____日</w:t>
      </w:r>
    </w:p>
    <w:p w14:paraId="4F2F0BF4">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bookmarkEnd w:id="68"/>
    <w:bookmarkEnd w:id="69"/>
    <w:p w14:paraId="1C90075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四</w:t>
      </w: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14E4A0CF">
      <w:pPr>
        <w:spacing w:line="360" w:lineRule="auto"/>
        <w:ind w:firstLine="420" w:firstLineChars="200"/>
        <w:rPr>
          <w:rFonts w:ascii="宋体" w:hAnsi="宋体" w:eastAsia="宋体" w:cs="宋体"/>
          <w:color w:val="auto"/>
          <w:szCs w:val="21"/>
          <w:highlight w:val="none"/>
        </w:rPr>
      </w:pPr>
    </w:p>
    <w:p w14:paraId="7DDD9FCC">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1、营业执照副本复印件；</w:t>
      </w:r>
    </w:p>
    <w:p w14:paraId="59365F2F">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2、税务登记证副本复印件；（如为三证合一的，只需提供三证合一的营业执照复印件）</w:t>
      </w:r>
      <w:r>
        <w:rPr>
          <w:rFonts w:hint="eastAsia" w:ascii="宋体" w:hAnsi="宋体" w:cs="Times New Roman"/>
          <w:color w:val="auto"/>
          <w:szCs w:val="21"/>
          <w:highlight w:val="none"/>
          <w:lang w:val="en-US" w:eastAsia="zh-CN"/>
        </w:rPr>
        <w:t>；</w:t>
      </w:r>
    </w:p>
    <w:p w14:paraId="2ABB0557">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3、法定代表人身份证明书（格式见附件）及其有效二代居民身份证；</w:t>
      </w:r>
    </w:p>
    <w:p w14:paraId="6885D2CA">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4、法定代表人授权委托书（格式见附件）及委托代理人有效二代居民身份证，若法定代表人本人参与比选则不需此件；</w:t>
      </w:r>
    </w:p>
    <w:p w14:paraId="44637CCE">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、生产许可证、质量体系认证复印件</w:t>
      </w:r>
      <w:r>
        <w:rPr>
          <w:rFonts w:hint="eastAsia" w:ascii="宋体" w:hAnsi="宋体" w:cs="Times New Roman"/>
          <w:color w:val="auto"/>
          <w:szCs w:val="21"/>
          <w:highlight w:val="none"/>
          <w:lang w:val="en-US" w:eastAsia="zh-CN"/>
        </w:rPr>
        <w:t>；</w:t>
      </w:r>
    </w:p>
    <w:p w14:paraId="12348E01">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参选人认为提供的其他材料；</w:t>
      </w:r>
    </w:p>
    <w:p w14:paraId="01963EF4">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、须提供上述证明文件复印件或扫描件或影印件。</w:t>
      </w:r>
    </w:p>
    <w:p w14:paraId="2A206826">
      <w:pPr>
        <w:spacing w:line="360" w:lineRule="auto"/>
        <w:ind w:left="368" w:leftChars="175"/>
        <w:rPr>
          <w:rFonts w:ascii="宋体" w:hAnsi="宋体" w:cs="宋体"/>
          <w:b/>
          <w:color w:val="auto"/>
          <w:spacing w:val="-4"/>
          <w:kern w:val="0"/>
          <w:szCs w:val="21"/>
          <w:highlight w:val="none"/>
        </w:rPr>
      </w:pPr>
    </w:p>
    <w:p w14:paraId="2B7A9444">
      <w:pPr>
        <w:rPr>
          <w:color w:val="auto"/>
          <w:highlight w:val="none"/>
        </w:rPr>
      </w:pPr>
      <w:r>
        <w:rPr>
          <w:rFonts w:ascii="宋体" w:hAnsi="宋体" w:cs="宋体"/>
          <w:b/>
          <w:color w:val="auto"/>
          <w:spacing w:val="-4"/>
          <w:kern w:val="0"/>
          <w:szCs w:val="21"/>
          <w:highlight w:val="none"/>
        </w:rPr>
        <w:br w:type="page"/>
      </w:r>
    </w:p>
    <w:p w14:paraId="469BF34C">
      <w:pPr>
        <w:spacing w:line="360" w:lineRule="auto"/>
        <w:jc w:val="left"/>
        <w:rPr>
          <w:rFonts w:ascii="宋体" w:hAnsi="宋体" w:cs="Times New Roman"/>
          <w:b/>
          <w:bCs/>
          <w:color w:val="auto"/>
          <w:szCs w:val="21"/>
          <w:highlight w:val="none"/>
        </w:rPr>
      </w:pPr>
      <w:r>
        <w:rPr>
          <w:rFonts w:hint="eastAsia" w:ascii="宋体" w:hAnsi="宋体" w:cs="Times New Roman"/>
          <w:b/>
          <w:bCs/>
          <w:color w:val="auto"/>
          <w:szCs w:val="24"/>
          <w:highlight w:val="none"/>
        </w:rPr>
        <w:t>附件：</w:t>
      </w:r>
    </w:p>
    <w:p w14:paraId="328A4E26">
      <w:pPr>
        <w:spacing w:line="360" w:lineRule="auto"/>
        <w:ind w:firstLine="413" w:firstLineChars="196"/>
        <w:jc w:val="center"/>
        <w:rPr>
          <w:rFonts w:hint="eastAsia" w:ascii="宋体" w:hAnsi="宋体" w:eastAsia="宋体" w:cs="宋体"/>
          <w:b/>
          <w:color w:val="auto"/>
          <w:szCs w:val="21"/>
          <w:highlight w:val="none"/>
        </w:rPr>
      </w:pPr>
    </w:p>
    <w:p w14:paraId="22FE68BB">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法定代表人身份证明书</w:t>
      </w:r>
    </w:p>
    <w:p w14:paraId="303D9E1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460B4925">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1EBB1CF7">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ADCA74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0966AD82">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w:t>
      </w:r>
    </w:p>
    <w:p w14:paraId="42AF4073">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0DAC1EEE">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6F21A44D">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260F7358">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35F988CB">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2B5E3904">
      <w:pPr>
        <w:pStyle w:val="82"/>
        <w:ind w:left="0" w:leftChars="0" w:firstLine="0" w:firstLineChars="0"/>
        <w:rPr>
          <w:color w:val="auto"/>
          <w:highlight w:val="none"/>
        </w:rPr>
      </w:pPr>
    </w:p>
    <w:p w14:paraId="6F33C9F1">
      <w:pPr>
        <w:wordWrap w:val="0"/>
        <w:spacing w:line="360" w:lineRule="auto"/>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6DCA20DF">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（项目名称）参选文件、签订合同等一切事宜，其法律后果由我方承担。</w:t>
      </w:r>
    </w:p>
    <w:p w14:paraId="08BE0AFA">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294D1B96">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1ADBAF79">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87B05AB">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42CDA4E">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4A15F1FC">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188A8A3C">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184A9153">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10A3F86B">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6AC92A76">
      <w:pPr>
        <w:wordWrap w:val="0"/>
        <w:spacing w:line="360" w:lineRule="auto"/>
        <w:ind w:right="480" w:firstLine="420" w:firstLineChars="200"/>
        <w:rPr>
          <w:rFonts w:ascii="宋体" w:hAnsi="宋体" w:cs="宋体"/>
          <w:color w:val="auto"/>
          <w:szCs w:val="21"/>
          <w:highlight w:val="none"/>
        </w:rPr>
      </w:pPr>
    </w:p>
    <w:sectPr>
      <w:headerReference r:id="rId9" w:type="first"/>
      <w:footerReference r:id="rId11" w:type="first"/>
      <w:headerReference r:id="rId8" w:type="default"/>
      <w:footerReference r:id="rId10"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EEB2">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E8E6">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46CC17BB">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8E8D">
    <w:pPr>
      <w:pStyle w:val="38"/>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570493"/>
      <w:docPartObj>
        <w:docPartGallery w:val="autotext"/>
      </w:docPartObj>
    </w:sdtPr>
    <w:sdtContent>
      <w:p w14:paraId="2078136F">
        <w:pPr>
          <w:pStyle w:val="38"/>
          <w:jc w:val="center"/>
        </w:pPr>
        <w:r>
          <w:fldChar w:fldCharType="begin"/>
        </w:r>
        <w:r>
          <w:instrText xml:space="preserve">PAGE   \* MERGEFORMAT</w:instrText>
        </w:r>
        <w:r>
          <w:fldChar w:fldCharType="separate"/>
        </w:r>
        <w:r>
          <w:rPr>
            <w:lang w:val="zh-CN"/>
          </w:rPr>
          <w:t>2</w:t>
        </w:r>
        <w:r>
          <w:fldChar w:fldCharType="end"/>
        </w:r>
      </w:p>
    </w:sdtContent>
  </w:sdt>
  <w:p w14:paraId="226C9555">
    <w:pPr>
      <w:pStyle w:val="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079808"/>
      <w:docPartObj>
        <w:docPartGallery w:val="autotext"/>
      </w:docPartObj>
    </w:sdtPr>
    <w:sdtContent>
      <w:p w14:paraId="08878AF4">
        <w:pPr>
          <w:pStyle w:val="38"/>
          <w:jc w:val="center"/>
        </w:pPr>
        <w:r>
          <w:fldChar w:fldCharType="begin"/>
        </w:r>
        <w:r>
          <w:instrText xml:space="preserve">PAGE   \* MERGEFORMAT</w:instrText>
        </w:r>
        <w:r>
          <w:fldChar w:fldCharType="separate"/>
        </w:r>
        <w:r>
          <w:rPr>
            <w:lang w:val="zh-CN"/>
          </w:rPr>
          <w:t>2</w:t>
        </w:r>
        <w:r>
          <w:fldChar w:fldCharType="end"/>
        </w:r>
      </w:p>
    </w:sdtContent>
  </w:sdt>
  <w:p w14:paraId="44F8C306">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DF31">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4F38A">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21EE">
    <w:pPr>
      <w:pStyle w:val="39"/>
      <w:pBdr>
        <w:bottom w:val="single" w:color="auto" w:sz="4" w:space="1"/>
      </w:pBdr>
      <w:jc w:val="right"/>
    </w:pPr>
    <w:r>
      <w:rPr>
        <w:rFonts w:hint="eastAsia"/>
        <w:sz w:val="16"/>
        <w:szCs w:val="16"/>
        <w:lang w:eastAsia="zh-CN"/>
      </w:rPr>
      <w:t>皖河新港引桥铁门采购</w:t>
    </w:r>
    <w:r>
      <w:rPr>
        <w:rFonts w:hint="eastAsia"/>
        <w:sz w:val="16"/>
        <w:szCs w:val="16"/>
      </w:rPr>
      <w:t>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B77A">
    <w:pPr>
      <w:pStyle w:val="39"/>
      <w:pBdr>
        <w:bottom w:val="single" w:color="auto" w:sz="4" w:space="1"/>
      </w:pBdr>
      <w:jc w:val="right"/>
      <w:rPr>
        <w:sz w:val="16"/>
        <w:szCs w:val="16"/>
      </w:rPr>
    </w:pPr>
    <w:r>
      <w:rPr>
        <w:rFonts w:hint="eastAsia"/>
        <w:sz w:val="16"/>
        <w:szCs w:val="16"/>
        <w:lang w:eastAsia="zh-CN"/>
      </w:rPr>
      <w:t>皖河新港引桥铁门采购</w:t>
    </w:r>
    <w:r>
      <w:rPr>
        <w:rFonts w:hint="eastAsia"/>
        <w:sz w:val="16"/>
        <w:szCs w:val="16"/>
      </w:rPr>
      <w:t>项目</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3">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4C4DA3"/>
    <w:rsid w:val="01527EDF"/>
    <w:rsid w:val="01535EB9"/>
    <w:rsid w:val="015E3B86"/>
    <w:rsid w:val="015F21D1"/>
    <w:rsid w:val="0191681C"/>
    <w:rsid w:val="019E06E3"/>
    <w:rsid w:val="01B774B7"/>
    <w:rsid w:val="01F704B8"/>
    <w:rsid w:val="01FD0DAF"/>
    <w:rsid w:val="02060261"/>
    <w:rsid w:val="022E6257"/>
    <w:rsid w:val="02555ED9"/>
    <w:rsid w:val="02B05A97"/>
    <w:rsid w:val="02B14DC7"/>
    <w:rsid w:val="02F94AB6"/>
    <w:rsid w:val="0319408F"/>
    <w:rsid w:val="032717F3"/>
    <w:rsid w:val="037261AB"/>
    <w:rsid w:val="0383243B"/>
    <w:rsid w:val="038F71C9"/>
    <w:rsid w:val="03935BFE"/>
    <w:rsid w:val="03B66504"/>
    <w:rsid w:val="03B70FA8"/>
    <w:rsid w:val="03B81543"/>
    <w:rsid w:val="03BB5EDE"/>
    <w:rsid w:val="03DE75FB"/>
    <w:rsid w:val="03EF1A15"/>
    <w:rsid w:val="03EF27C8"/>
    <w:rsid w:val="03F1273F"/>
    <w:rsid w:val="04197674"/>
    <w:rsid w:val="041E3B9F"/>
    <w:rsid w:val="04271553"/>
    <w:rsid w:val="044D094D"/>
    <w:rsid w:val="046441B2"/>
    <w:rsid w:val="04753845"/>
    <w:rsid w:val="047A5783"/>
    <w:rsid w:val="04843FA4"/>
    <w:rsid w:val="05051ACD"/>
    <w:rsid w:val="050913A9"/>
    <w:rsid w:val="050A31D6"/>
    <w:rsid w:val="051557B4"/>
    <w:rsid w:val="0519281B"/>
    <w:rsid w:val="051F656E"/>
    <w:rsid w:val="058101E9"/>
    <w:rsid w:val="05D610DF"/>
    <w:rsid w:val="05DD4740"/>
    <w:rsid w:val="05E31B8F"/>
    <w:rsid w:val="064C5934"/>
    <w:rsid w:val="0684593C"/>
    <w:rsid w:val="06986394"/>
    <w:rsid w:val="06B833C2"/>
    <w:rsid w:val="06B84C89"/>
    <w:rsid w:val="06FF46EC"/>
    <w:rsid w:val="0753050D"/>
    <w:rsid w:val="075E2F4A"/>
    <w:rsid w:val="07AD3D40"/>
    <w:rsid w:val="07D9336F"/>
    <w:rsid w:val="080A0FED"/>
    <w:rsid w:val="080C0D0C"/>
    <w:rsid w:val="081D30B5"/>
    <w:rsid w:val="082A74C0"/>
    <w:rsid w:val="082C148A"/>
    <w:rsid w:val="08566507"/>
    <w:rsid w:val="087F7922"/>
    <w:rsid w:val="08DC2EE2"/>
    <w:rsid w:val="08E202AC"/>
    <w:rsid w:val="091F0FEF"/>
    <w:rsid w:val="093164D8"/>
    <w:rsid w:val="09521B8C"/>
    <w:rsid w:val="095F36DA"/>
    <w:rsid w:val="0983332C"/>
    <w:rsid w:val="09A278BC"/>
    <w:rsid w:val="09E919F8"/>
    <w:rsid w:val="0A256191"/>
    <w:rsid w:val="0A762256"/>
    <w:rsid w:val="0A933E5C"/>
    <w:rsid w:val="0AB614DF"/>
    <w:rsid w:val="0AC91212"/>
    <w:rsid w:val="0AD53626"/>
    <w:rsid w:val="0AD96F7B"/>
    <w:rsid w:val="0B024FEC"/>
    <w:rsid w:val="0B1E73EC"/>
    <w:rsid w:val="0B244FB8"/>
    <w:rsid w:val="0B3023B0"/>
    <w:rsid w:val="0B5D6C64"/>
    <w:rsid w:val="0B656974"/>
    <w:rsid w:val="0B7C44D7"/>
    <w:rsid w:val="0BA648D7"/>
    <w:rsid w:val="0BA92DF2"/>
    <w:rsid w:val="0BBA70A3"/>
    <w:rsid w:val="0BBF1858"/>
    <w:rsid w:val="0C210BDA"/>
    <w:rsid w:val="0C4E7E44"/>
    <w:rsid w:val="0C601702"/>
    <w:rsid w:val="0C665C1C"/>
    <w:rsid w:val="0D587134"/>
    <w:rsid w:val="0D844B1B"/>
    <w:rsid w:val="0DB02216"/>
    <w:rsid w:val="0E0E5A47"/>
    <w:rsid w:val="0E1A3B33"/>
    <w:rsid w:val="0E513821"/>
    <w:rsid w:val="0E59465B"/>
    <w:rsid w:val="0E6574A4"/>
    <w:rsid w:val="0F051BB9"/>
    <w:rsid w:val="0F323C9D"/>
    <w:rsid w:val="0F3B6457"/>
    <w:rsid w:val="0F8E2325"/>
    <w:rsid w:val="0FD35E8A"/>
    <w:rsid w:val="0FE95356"/>
    <w:rsid w:val="10745ABA"/>
    <w:rsid w:val="108005C5"/>
    <w:rsid w:val="10AB3F70"/>
    <w:rsid w:val="10C63759"/>
    <w:rsid w:val="10C90438"/>
    <w:rsid w:val="114D7560"/>
    <w:rsid w:val="1161187F"/>
    <w:rsid w:val="11717F0E"/>
    <w:rsid w:val="11800D39"/>
    <w:rsid w:val="11A8682E"/>
    <w:rsid w:val="12317D70"/>
    <w:rsid w:val="12914286"/>
    <w:rsid w:val="129B5577"/>
    <w:rsid w:val="12B654AE"/>
    <w:rsid w:val="12BF6C3A"/>
    <w:rsid w:val="13057218"/>
    <w:rsid w:val="131F3FC3"/>
    <w:rsid w:val="132C1124"/>
    <w:rsid w:val="132C1DDC"/>
    <w:rsid w:val="133236CD"/>
    <w:rsid w:val="133E598E"/>
    <w:rsid w:val="13682AD5"/>
    <w:rsid w:val="137B5074"/>
    <w:rsid w:val="138959E3"/>
    <w:rsid w:val="13A548EC"/>
    <w:rsid w:val="13DC787E"/>
    <w:rsid w:val="13DF75C7"/>
    <w:rsid w:val="140631C3"/>
    <w:rsid w:val="14135D3F"/>
    <w:rsid w:val="14211A7C"/>
    <w:rsid w:val="142D3EB0"/>
    <w:rsid w:val="143310E5"/>
    <w:rsid w:val="14764964"/>
    <w:rsid w:val="14771CDF"/>
    <w:rsid w:val="147C0B64"/>
    <w:rsid w:val="14964B92"/>
    <w:rsid w:val="14C557AE"/>
    <w:rsid w:val="14CE4755"/>
    <w:rsid w:val="14DC1F05"/>
    <w:rsid w:val="155362A8"/>
    <w:rsid w:val="15A34C73"/>
    <w:rsid w:val="15AE7982"/>
    <w:rsid w:val="15B34F99"/>
    <w:rsid w:val="15C745A0"/>
    <w:rsid w:val="15CD45BF"/>
    <w:rsid w:val="15E070C3"/>
    <w:rsid w:val="15E24861"/>
    <w:rsid w:val="15FF4448"/>
    <w:rsid w:val="16473933"/>
    <w:rsid w:val="16766FAA"/>
    <w:rsid w:val="168669B4"/>
    <w:rsid w:val="16A910FE"/>
    <w:rsid w:val="16BA21D7"/>
    <w:rsid w:val="16C32FBA"/>
    <w:rsid w:val="16D301F3"/>
    <w:rsid w:val="16D943D3"/>
    <w:rsid w:val="16FF65AF"/>
    <w:rsid w:val="172907FA"/>
    <w:rsid w:val="17653798"/>
    <w:rsid w:val="17A20397"/>
    <w:rsid w:val="17A54DB5"/>
    <w:rsid w:val="17C52D61"/>
    <w:rsid w:val="17D11706"/>
    <w:rsid w:val="180A2E6A"/>
    <w:rsid w:val="180C1DB8"/>
    <w:rsid w:val="181D2AAB"/>
    <w:rsid w:val="183364E8"/>
    <w:rsid w:val="18590648"/>
    <w:rsid w:val="1867206B"/>
    <w:rsid w:val="18E67433"/>
    <w:rsid w:val="18FB4F95"/>
    <w:rsid w:val="18FF04F5"/>
    <w:rsid w:val="19053D5D"/>
    <w:rsid w:val="191310CD"/>
    <w:rsid w:val="191D1EE7"/>
    <w:rsid w:val="19540444"/>
    <w:rsid w:val="19691EDC"/>
    <w:rsid w:val="19956C86"/>
    <w:rsid w:val="19DB4ABE"/>
    <w:rsid w:val="1A182074"/>
    <w:rsid w:val="1A475CB0"/>
    <w:rsid w:val="1A6159EB"/>
    <w:rsid w:val="1A783684"/>
    <w:rsid w:val="1A826A8E"/>
    <w:rsid w:val="1AA82808"/>
    <w:rsid w:val="1AB31E5A"/>
    <w:rsid w:val="1ABA4CF6"/>
    <w:rsid w:val="1B1E62C5"/>
    <w:rsid w:val="1B324BB2"/>
    <w:rsid w:val="1B3E740A"/>
    <w:rsid w:val="1B522ECD"/>
    <w:rsid w:val="1B593EEC"/>
    <w:rsid w:val="1B8A679C"/>
    <w:rsid w:val="1B9708D8"/>
    <w:rsid w:val="1BA93D87"/>
    <w:rsid w:val="1BBB0703"/>
    <w:rsid w:val="1BC3580A"/>
    <w:rsid w:val="1BC80A07"/>
    <w:rsid w:val="1BEF4851"/>
    <w:rsid w:val="1C1B6D10"/>
    <w:rsid w:val="1C2724D2"/>
    <w:rsid w:val="1C6325C6"/>
    <w:rsid w:val="1C825622"/>
    <w:rsid w:val="1CA82FEF"/>
    <w:rsid w:val="1CC41839"/>
    <w:rsid w:val="1CED005C"/>
    <w:rsid w:val="1D3A5FA0"/>
    <w:rsid w:val="1D6F5C49"/>
    <w:rsid w:val="1D756A60"/>
    <w:rsid w:val="1D772D50"/>
    <w:rsid w:val="1D835251"/>
    <w:rsid w:val="1E156B8A"/>
    <w:rsid w:val="1E1E0410"/>
    <w:rsid w:val="1E335D6C"/>
    <w:rsid w:val="1E494C39"/>
    <w:rsid w:val="1E550BE9"/>
    <w:rsid w:val="1E94348E"/>
    <w:rsid w:val="1EFB5AC5"/>
    <w:rsid w:val="1F016D75"/>
    <w:rsid w:val="1F0B25BC"/>
    <w:rsid w:val="1F220E88"/>
    <w:rsid w:val="1F63494D"/>
    <w:rsid w:val="1F927BDC"/>
    <w:rsid w:val="1FD020F8"/>
    <w:rsid w:val="1FE20707"/>
    <w:rsid w:val="1FE64182"/>
    <w:rsid w:val="200C3C23"/>
    <w:rsid w:val="20281ADB"/>
    <w:rsid w:val="20325D43"/>
    <w:rsid w:val="203A2484"/>
    <w:rsid w:val="2048007B"/>
    <w:rsid w:val="20CA3EEF"/>
    <w:rsid w:val="20E406FC"/>
    <w:rsid w:val="20F52170"/>
    <w:rsid w:val="213A6C76"/>
    <w:rsid w:val="213C22E6"/>
    <w:rsid w:val="213D2165"/>
    <w:rsid w:val="217C0935"/>
    <w:rsid w:val="219569E3"/>
    <w:rsid w:val="21DE339D"/>
    <w:rsid w:val="21DE779E"/>
    <w:rsid w:val="21E07C0E"/>
    <w:rsid w:val="220D348A"/>
    <w:rsid w:val="220F7F28"/>
    <w:rsid w:val="22276873"/>
    <w:rsid w:val="22851AFF"/>
    <w:rsid w:val="22943AF1"/>
    <w:rsid w:val="22C56F28"/>
    <w:rsid w:val="230961F8"/>
    <w:rsid w:val="230D47B1"/>
    <w:rsid w:val="23445819"/>
    <w:rsid w:val="234E00AF"/>
    <w:rsid w:val="237D20DD"/>
    <w:rsid w:val="237F6C4B"/>
    <w:rsid w:val="238B5CC6"/>
    <w:rsid w:val="2399026C"/>
    <w:rsid w:val="23CD2AB0"/>
    <w:rsid w:val="23E2675E"/>
    <w:rsid w:val="23ED5B9A"/>
    <w:rsid w:val="24221EEB"/>
    <w:rsid w:val="242B66E0"/>
    <w:rsid w:val="246E1E2F"/>
    <w:rsid w:val="24A425A4"/>
    <w:rsid w:val="24B46637"/>
    <w:rsid w:val="25276E09"/>
    <w:rsid w:val="252D4FEE"/>
    <w:rsid w:val="253B7530"/>
    <w:rsid w:val="254A62EC"/>
    <w:rsid w:val="255B6AB3"/>
    <w:rsid w:val="258516D5"/>
    <w:rsid w:val="25B4290B"/>
    <w:rsid w:val="25B53949"/>
    <w:rsid w:val="2609783F"/>
    <w:rsid w:val="26103D41"/>
    <w:rsid w:val="2623548B"/>
    <w:rsid w:val="262461E3"/>
    <w:rsid w:val="26513FE9"/>
    <w:rsid w:val="267A330E"/>
    <w:rsid w:val="26CB1A16"/>
    <w:rsid w:val="26CF7759"/>
    <w:rsid w:val="26DA0B24"/>
    <w:rsid w:val="26FA0C40"/>
    <w:rsid w:val="270C3BDB"/>
    <w:rsid w:val="2719399B"/>
    <w:rsid w:val="273977AC"/>
    <w:rsid w:val="27854579"/>
    <w:rsid w:val="27C76EF3"/>
    <w:rsid w:val="27CE1D61"/>
    <w:rsid w:val="27E70E9B"/>
    <w:rsid w:val="27F455C8"/>
    <w:rsid w:val="282F4953"/>
    <w:rsid w:val="28332399"/>
    <w:rsid w:val="284877C3"/>
    <w:rsid w:val="285A0BC7"/>
    <w:rsid w:val="286A0B60"/>
    <w:rsid w:val="28BD335E"/>
    <w:rsid w:val="28D03A4D"/>
    <w:rsid w:val="293B4D0E"/>
    <w:rsid w:val="294C32E2"/>
    <w:rsid w:val="29657F00"/>
    <w:rsid w:val="29AE7D3A"/>
    <w:rsid w:val="29D0219D"/>
    <w:rsid w:val="29D77EF3"/>
    <w:rsid w:val="29E51041"/>
    <w:rsid w:val="29F20600"/>
    <w:rsid w:val="2A391286"/>
    <w:rsid w:val="2A4F4886"/>
    <w:rsid w:val="2A7F5505"/>
    <w:rsid w:val="2ABA427C"/>
    <w:rsid w:val="2B0A2EA3"/>
    <w:rsid w:val="2B143B98"/>
    <w:rsid w:val="2B3F2753"/>
    <w:rsid w:val="2B406EFF"/>
    <w:rsid w:val="2B720822"/>
    <w:rsid w:val="2BAE19C7"/>
    <w:rsid w:val="2BB87E35"/>
    <w:rsid w:val="2BC75972"/>
    <w:rsid w:val="2BCE32E3"/>
    <w:rsid w:val="2BFC6280"/>
    <w:rsid w:val="2C043A01"/>
    <w:rsid w:val="2C067B37"/>
    <w:rsid w:val="2C5379A3"/>
    <w:rsid w:val="2C974875"/>
    <w:rsid w:val="2CAD335C"/>
    <w:rsid w:val="2CF33FC6"/>
    <w:rsid w:val="2CFD4778"/>
    <w:rsid w:val="2D0B6185"/>
    <w:rsid w:val="2D216834"/>
    <w:rsid w:val="2D251D96"/>
    <w:rsid w:val="2D4F1E09"/>
    <w:rsid w:val="2D6D14C1"/>
    <w:rsid w:val="2D7D4451"/>
    <w:rsid w:val="2DC42A84"/>
    <w:rsid w:val="2DE60E0D"/>
    <w:rsid w:val="2DF751F3"/>
    <w:rsid w:val="2E891740"/>
    <w:rsid w:val="2EA953B6"/>
    <w:rsid w:val="2EB07040"/>
    <w:rsid w:val="2ED75A9F"/>
    <w:rsid w:val="2EFC4E63"/>
    <w:rsid w:val="2F4D56BE"/>
    <w:rsid w:val="2F5842D0"/>
    <w:rsid w:val="2F5A7523"/>
    <w:rsid w:val="2F7F5907"/>
    <w:rsid w:val="2FA13062"/>
    <w:rsid w:val="2FE36FA0"/>
    <w:rsid w:val="30055F99"/>
    <w:rsid w:val="30280E73"/>
    <w:rsid w:val="303D02A2"/>
    <w:rsid w:val="30882C93"/>
    <w:rsid w:val="314B586D"/>
    <w:rsid w:val="317C0BC3"/>
    <w:rsid w:val="31CB3665"/>
    <w:rsid w:val="31CE0296"/>
    <w:rsid w:val="31DA771B"/>
    <w:rsid w:val="32034DFD"/>
    <w:rsid w:val="32360AAA"/>
    <w:rsid w:val="3240150B"/>
    <w:rsid w:val="325D52F8"/>
    <w:rsid w:val="32902492"/>
    <w:rsid w:val="32A45F3D"/>
    <w:rsid w:val="32A82827"/>
    <w:rsid w:val="32B53456"/>
    <w:rsid w:val="33111653"/>
    <w:rsid w:val="3335471C"/>
    <w:rsid w:val="334A479D"/>
    <w:rsid w:val="33641B20"/>
    <w:rsid w:val="336E7BFD"/>
    <w:rsid w:val="33751688"/>
    <w:rsid w:val="33CF29A4"/>
    <w:rsid w:val="33D80E84"/>
    <w:rsid w:val="33EE79F7"/>
    <w:rsid w:val="34193CA8"/>
    <w:rsid w:val="34196205"/>
    <w:rsid w:val="34425A0E"/>
    <w:rsid w:val="344F2ED9"/>
    <w:rsid w:val="34711E4F"/>
    <w:rsid w:val="34733E19"/>
    <w:rsid w:val="34A93377"/>
    <w:rsid w:val="34FC56F2"/>
    <w:rsid w:val="35026F4B"/>
    <w:rsid w:val="35102324"/>
    <w:rsid w:val="355C665B"/>
    <w:rsid w:val="356E638F"/>
    <w:rsid w:val="358C2142"/>
    <w:rsid w:val="358D2CB9"/>
    <w:rsid w:val="35A65B28"/>
    <w:rsid w:val="35BD418B"/>
    <w:rsid w:val="35D2375F"/>
    <w:rsid w:val="35E52AF5"/>
    <w:rsid w:val="35F8221C"/>
    <w:rsid w:val="3600792F"/>
    <w:rsid w:val="360702B8"/>
    <w:rsid w:val="360F36CE"/>
    <w:rsid w:val="3623361D"/>
    <w:rsid w:val="363C15BE"/>
    <w:rsid w:val="364F21A6"/>
    <w:rsid w:val="365D365D"/>
    <w:rsid w:val="36633A19"/>
    <w:rsid w:val="37236989"/>
    <w:rsid w:val="37256F21"/>
    <w:rsid w:val="373E3320"/>
    <w:rsid w:val="375743B3"/>
    <w:rsid w:val="3772660A"/>
    <w:rsid w:val="37A5537B"/>
    <w:rsid w:val="37E2358C"/>
    <w:rsid w:val="37F17C4E"/>
    <w:rsid w:val="37FE4100"/>
    <w:rsid w:val="385F4816"/>
    <w:rsid w:val="3870241E"/>
    <w:rsid w:val="38DD7AB3"/>
    <w:rsid w:val="38EE00C1"/>
    <w:rsid w:val="39035FE4"/>
    <w:rsid w:val="39553EE3"/>
    <w:rsid w:val="396310BC"/>
    <w:rsid w:val="39657E94"/>
    <w:rsid w:val="39817C51"/>
    <w:rsid w:val="39A405D1"/>
    <w:rsid w:val="39A93CBE"/>
    <w:rsid w:val="39A9723F"/>
    <w:rsid w:val="39F234CA"/>
    <w:rsid w:val="39F32DB4"/>
    <w:rsid w:val="3A357430"/>
    <w:rsid w:val="3A5A447A"/>
    <w:rsid w:val="3A5C2DAD"/>
    <w:rsid w:val="3A6B503D"/>
    <w:rsid w:val="3AE710BD"/>
    <w:rsid w:val="3AF31761"/>
    <w:rsid w:val="3AF37A62"/>
    <w:rsid w:val="3AF63950"/>
    <w:rsid w:val="3B143534"/>
    <w:rsid w:val="3B1E43B3"/>
    <w:rsid w:val="3B2B3384"/>
    <w:rsid w:val="3B454DA1"/>
    <w:rsid w:val="3B505571"/>
    <w:rsid w:val="3B5B1163"/>
    <w:rsid w:val="3B9113BF"/>
    <w:rsid w:val="3B9D526A"/>
    <w:rsid w:val="3BAE5737"/>
    <w:rsid w:val="3BC278C2"/>
    <w:rsid w:val="3BEB7484"/>
    <w:rsid w:val="3C2526F2"/>
    <w:rsid w:val="3C8D359E"/>
    <w:rsid w:val="3CAB2861"/>
    <w:rsid w:val="3CE543D4"/>
    <w:rsid w:val="3CE57675"/>
    <w:rsid w:val="3D156C40"/>
    <w:rsid w:val="3D3108F0"/>
    <w:rsid w:val="3D743AA7"/>
    <w:rsid w:val="3D92643C"/>
    <w:rsid w:val="3DBE69D1"/>
    <w:rsid w:val="3E016A21"/>
    <w:rsid w:val="3E0E6961"/>
    <w:rsid w:val="3EA971BA"/>
    <w:rsid w:val="3ECD05CA"/>
    <w:rsid w:val="3ED03C16"/>
    <w:rsid w:val="3EF773F5"/>
    <w:rsid w:val="3F035D9A"/>
    <w:rsid w:val="3F1C5008"/>
    <w:rsid w:val="3F2F6B8F"/>
    <w:rsid w:val="3F32042D"/>
    <w:rsid w:val="3F542383"/>
    <w:rsid w:val="3F835F13"/>
    <w:rsid w:val="3F9D520F"/>
    <w:rsid w:val="3FA96891"/>
    <w:rsid w:val="3FAC01DF"/>
    <w:rsid w:val="3FDE3B17"/>
    <w:rsid w:val="3FE12CBD"/>
    <w:rsid w:val="3FF73B50"/>
    <w:rsid w:val="409A021C"/>
    <w:rsid w:val="40C32F32"/>
    <w:rsid w:val="40CB0356"/>
    <w:rsid w:val="416A0352"/>
    <w:rsid w:val="41747D82"/>
    <w:rsid w:val="4258398A"/>
    <w:rsid w:val="42586A54"/>
    <w:rsid w:val="42A57B02"/>
    <w:rsid w:val="42B26B5F"/>
    <w:rsid w:val="42B4172C"/>
    <w:rsid w:val="42B56E87"/>
    <w:rsid w:val="42C16C1C"/>
    <w:rsid w:val="42ED4D97"/>
    <w:rsid w:val="42F51E9D"/>
    <w:rsid w:val="431412A9"/>
    <w:rsid w:val="43210EE4"/>
    <w:rsid w:val="436274D2"/>
    <w:rsid w:val="43C63BD6"/>
    <w:rsid w:val="441E71D2"/>
    <w:rsid w:val="445241CE"/>
    <w:rsid w:val="44A83362"/>
    <w:rsid w:val="44C9432E"/>
    <w:rsid w:val="44FD397C"/>
    <w:rsid w:val="450B1927"/>
    <w:rsid w:val="452913FC"/>
    <w:rsid w:val="455920A4"/>
    <w:rsid w:val="45AD6A5F"/>
    <w:rsid w:val="45F75F2C"/>
    <w:rsid w:val="45F85A36"/>
    <w:rsid w:val="4618037D"/>
    <w:rsid w:val="46212B20"/>
    <w:rsid w:val="464C6002"/>
    <w:rsid w:val="46543874"/>
    <w:rsid w:val="46944856"/>
    <w:rsid w:val="46BC2BD8"/>
    <w:rsid w:val="46D36999"/>
    <w:rsid w:val="46FE0773"/>
    <w:rsid w:val="472E158C"/>
    <w:rsid w:val="473954E9"/>
    <w:rsid w:val="477A116A"/>
    <w:rsid w:val="478B2DD0"/>
    <w:rsid w:val="479C6D8B"/>
    <w:rsid w:val="47C50090"/>
    <w:rsid w:val="47DB5B06"/>
    <w:rsid w:val="47E80223"/>
    <w:rsid w:val="47EE4E56"/>
    <w:rsid w:val="47EF638A"/>
    <w:rsid w:val="47F97336"/>
    <w:rsid w:val="480706A9"/>
    <w:rsid w:val="48160B49"/>
    <w:rsid w:val="482173AE"/>
    <w:rsid w:val="4860600B"/>
    <w:rsid w:val="48636034"/>
    <w:rsid w:val="488B4B77"/>
    <w:rsid w:val="48B7790B"/>
    <w:rsid w:val="48E549E9"/>
    <w:rsid w:val="49033566"/>
    <w:rsid w:val="492124F9"/>
    <w:rsid w:val="492E2E2E"/>
    <w:rsid w:val="492E43F8"/>
    <w:rsid w:val="49394063"/>
    <w:rsid w:val="4A0977B8"/>
    <w:rsid w:val="4A1D0657"/>
    <w:rsid w:val="4A317C5F"/>
    <w:rsid w:val="4A560B18"/>
    <w:rsid w:val="4A7933B4"/>
    <w:rsid w:val="4ADB4211"/>
    <w:rsid w:val="4ADD7DE7"/>
    <w:rsid w:val="4AEF7951"/>
    <w:rsid w:val="4AFD5D93"/>
    <w:rsid w:val="4B367F93"/>
    <w:rsid w:val="4B495C39"/>
    <w:rsid w:val="4B6E3924"/>
    <w:rsid w:val="4BA12BC2"/>
    <w:rsid w:val="4BBE0575"/>
    <w:rsid w:val="4BE5149F"/>
    <w:rsid w:val="4BFC24EE"/>
    <w:rsid w:val="4BFE5973"/>
    <w:rsid w:val="4C224242"/>
    <w:rsid w:val="4C3D1913"/>
    <w:rsid w:val="4C40385D"/>
    <w:rsid w:val="4C485734"/>
    <w:rsid w:val="4C7F24D8"/>
    <w:rsid w:val="4CB70372"/>
    <w:rsid w:val="4CC51A03"/>
    <w:rsid w:val="4CCD64F4"/>
    <w:rsid w:val="4CE92A73"/>
    <w:rsid w:val="4D092279"/>
    <w:rsid w:val="4D1A0E7E"/>
    <w:rsid w:val="4D317F76"/>
    <w:rsid w:val="4D331F40"/>
    <w:rsid w:val="4D3B084B"/>
    <w:rsid w:val="4D530AA8"/>
    <w:rsid w:val="4D7E572D"/>
    <w:rsid w:val="4DA27269"/>
    <w:rsid w:val="4DB717C5"/>
    <w:rsid w:val="4DEF6893"/>
    <w:rsid w:val="4E0C71FC"/>
    <w:rsid w:val="4E402B66"/>
    <w:rsid w:val="4EA1353B"/>
    <w:rsid w:val="4EAA7FE0"/>
    <w:rsid w:val="4EAB7E41"/>
    <w:rsid w:val="4EB909E9"/>
    <w:rsid w:val="4F0A4DE8"/>
    <w:rsid w:val="4F534AF8"/>
    <w:rsid w:val="4F5F4C64"/>
    <w:rsid w:val="4F714FA1"/>
    <w:rsid w:val="4F763D0A"/>
    <w:rsid w:val="4FC26BC9"/>
    <w:rsid w:val="4FE53EE9"/>
    <w:rsid w:val="502C0328"/>
    <w:rsid w:val="505059C1"/>
    <w:rsid w:val="507111E9"/>
    <w:rsid w:val="50744D49"/>
    <w:rsid w:val="50827466"/>
    <w:rsid w:val="508302FA"/>
    <w:rsid w:val="50A10CF0"/>
    <w:rsid w:val="50B22158"/>
    <w:rsid w:val="50D73662"/>
    <w:rsid w:val="50F25458"/>
    <w:rsid w:val="50F73284"/>
    <w:rsid w:val="50F97086"/>
    <w:rsid w:val="512B026F"/>
    <w:rsid w:val="51542485"/>
    <w:rsid w:val="51A34050"/>
    <w:rsid w:val="51AB5F03"/>
    <w:rsid w:val="51BA2F76"/>
    <w:rsid w:val="52320A18"/>
    <w:rsid w:val="52394333"/>
    <w:rsid w:val="52893327"/>
    <w:rsid w:val="529A036B"/>
    <w:rsid w:val="53063385"/>
    <w:rsid w:val="53412BBB"/>
    <w:rsid w:val="53500FF5"/>
    <w:rsid w:val="53530C46"/>
    <w:rsid w:val="53B611D5"/>
    <w:rsid w:val="53CB255A"/>
    <w:rsid w:val="53EB29D5"/>
    <w:rsid w:val="5418171E"/>
    <w:rsid w:val="54240A2E"/>
    <w:rsid w:val="543A0953"/>
    <w:rsid w:val="54635240"/>
    <w:rsid w:val="551D56FC"/>
    <w:rsid w:val="554671C6"/>
    <w:rsid w:val="555C0C76"/>
    <w:rsid w:val="556D1D67"/>
    <w:rsid w:val="561D553B"/>
    <w:rsid w:val="562D6C09"/>
    <w:rsid w:val="56321E1B"/>
    <w:rsid w:val="568D3428"/>
    <w:rsid w:val="56982E14"/>
    <w:rsid w:val="56A774E2"/>
    <w:rsid w:val="56B05C18"/>
    <w:rsid w:val="57213788"/>
    <w:rsid w:val="572445A4"/>
    <w:rsid w:val="57366542"/>
    <w:rsid w:val="575D5514"/>
    <w:rsid w:val="57793128"/>
    <w:rsid w:val="57831D16"/>
    <w:rsid w:val="579F706F"/>
    <w:rsid w:val="57D528CD"/>
    <w:rsid w:val="57E227D2"/>
    <w:rsid w:val="57EE22E8"/>
    <w:rsid w:val="57FA3D86"/>
    <w:rsid w:val="58015C98"/>
    <w:rsid w:val="581F559B"/>
    <w:rsid w:val="58236478"/>
    <w:rsid w:val="588E54CA"/>
    <w:rsid w:val="58922210"/>
    <w:rsid w:val="58A9755A"/>
    <w:rsid w:val="58AE5938"/>
    <w:rsid w:val="590C3FF5"/>
    <w:rsid w:val="59407F54"/>
    <w:rsid w:val="59647D01"/>
    <w:rsid w:val="596A2319"/>
    <w:rsid w:val="597E1677"/>
    <w:rsid w:val="59823E17"/>
    <w:rsid w:val="59851D75"/>
    <w:rsid w:val="59937919"/>
    <w:rsid w:val="59FF543B"/>
    <w:rsid w:val="5A317655"/>
    <w:rsid w:val="5A3572F7"/>
    <w:rsid w:val="5A386DE8"/>
    <w:rsid w:val="5A3C6C73"/>
    <w:rsid w:val="5A635C5A"/>
    <w:rsid w:val="5AD81D9A"/>
    <w:rsid w:val="5ADC209B"/>
    <w:rsid w:val="5AF76DBB"/>
    <w:rsid w:val="5B3C6463"/>
    <w:rsid w:val="5B5E28C5"/>
    <w:rsid w:val="5B745BFD"/>
    <w:rsid w:val="5B9900F2"/>
    <w:rsid w:val="5BA34735"/>
    <w:rsid w:val="5BF467EC"/>
    <w:rsid w:val="5C043425"/>
    <w:rsid w:val="5C11169E"/>
    <w:rsid w:val="5C25339C"/>
    <w:rsid w:val="5C323CC9"/>
    <w:rsid w:val="5C34538D"/>
    <w:rsid w:val="5C441A74"/>
    <w:rsid w:val="5C447DD1"/>
    <w:rsid w:val="5C574268"/>
    <w:rsid w:val="5C6B5BC5"/>
    <w:rsid w:val="5CB86213"/>
    <w:rsid w:val="5D530D5F"/>
    <w:rsid w:val="5D6C3248"/>
    <w:rsid w:val="5D9D79EF"/>
    <w:rsid w:val="5DA707E9"/>
    <w:rsid w:val="5DB70229"/>
    <w:rsid w:val="5DE11544"/>
    <w:rsid w:val="5DEE3CCB"/>
    <w:rsid w:val="5DF21B98"/>
    <w:rsid w:val="5E1216FE"/>
    <w:rsid w:val="5E575A76"/>
    <w:rsid w:val="5E60690D"/>
    <w:rsid w:val="5E68756F"/>
    <w:rsid w:val="5E7F77FB"/>
    <w:rsid w:val="5EB804F7"/>
    <w:rsid w:val="5F2B6984"/>
    <w:rsid w:val="5F3B1E32"/>
    <w:rsid w:val="5F5560D1"/>
    <w:rsid w:val="5F6150CD"/>
    <w:rsid w:val="5F6D7533"/>
    <w:rsid w:val="5F751F44"/>
    <w:rsid w:val="5F987E63"/>
    <w:rsid w:val="5FCB28E4"/>
    <w:rsid w:val="5FCF7853"/>
    <w:rsid w:val="5FD52766"/>
    <w:rsid w:val="5FE5531C"/>
    <w:rsid w:val="5FEE7CB6"/>
    <w:rsid w:val="5FF25578"/>
    <w:rsid w:val="60384AA2"/>
    <w:rsid w:val="60654D7F"/>
    <w:rsid w:val="60BA6EBD"/>
    <w:rsid w:val="610417D1"/>
    <w:rsid w:val="614F7E1C"/>
    <w:rsid w:val="61706E67"/>
    <w:rsid w:val="617B022B"/>
    <w:rsid w:val="61B42238"/>
    <w:rsid w:val="62233ED9"/>
    <w:rsid w:val="62247EF5"/>
    <w:rsid w:val="62CF4061"/>
    <w:rsid w:val="62ED73D8"/>
    <w:rsid w:val="631430B3"/>
    <w:rsid w:val="63273ECC"/>
    <w:rsid w:val="637C5F97"/>
    <w:rsid w:val="638A11D4"/>
    <w:rsid w:val="63AD6B5B"/>
    <w:rsid w:val="63DC62ED"/>
    <w:rsid w:val="63F41F58"/>
    <w:rsid w:val="63F76584"/>
    <w:rsid w:val="644C3BBB"/>
    <w:rsid w:val="64F32289"/>
    <w:rsid w:val="651E0F77"/>
    <w:rsid w:val="654752D4"/>
    <w:rsid w:val="65965996"/>
    <w:rsid w:val="659730E5"/>
    <w:rsid w:val="65C82F60"/>
    <w:rsid w:val="65CE0D2C"/>
    <w:rsid w:val="65DF0AD0"/>
    <w:rsid w:val="65DF280D"/>
    <w:rsid w:val="663E0D58"/>
    <w:rsid w:val="66846410"/>
    <w:rsid w:val="66A24F5B"/>
    <w:rsid w:val="66A6332B"/>
    <w:rsid w:val="66F85A07"/>
    <w:rsid w:val="671F6E1E"/>
    <w:rsid w:val="67453492"/>
    <w:rsid w:val="67A02C6C"/>
    <w:rsid w:val="67A73C98"/>
    <w:rsid w:val="67E71B6D"/>
    <w:rsid w:val="67FF20E2"/>
    <w:rsid w:val="68306BC4"/>
    <w:rsid w:val="688073EB"/>
    <w:rsid w:val="68842FD3"/>
    <w:rsid w:val="689C2C37"/>
    <w:rsid w:val="68A2014F"/>
    <w:rsid w:val="68BB130F"/>
    <w:rsid w:val="68BF6DF6"/>
    <w:rsid w:val="68C43E52"/>
    <w:rsid w:val="68D20E70"/>
    <w:rsid w:val="68F55EA4"/>
    <w:rsid w:val="690A194F"/>
    <w:rsid w:val="690B1A91"/>
    <w:rsid w:val="69201173"/>
    <w:rsid w:val="692B215E"/>
    <w:rsid w:val="698C3515"/>
    <w:rsid w:val="698E432E"/>
    <w:rsid w:val="69D41F5D"/>
    <w:rsid w:val="6A260A0B"/>
    <w:rsid w:val="6A82545E"/>
    <w:rsid w:val="6A9040D6"/>
    <w:rsid w:val="6AC50223"/>
    <w:rsid w:val="6AD26CD2"/>
    <w:rsid w:val="6AD27780"/>
    <w:rsid w:val="6B016D82"/>
    <w:rsid w:val="6B2D6EEB"/>
    <w:rsid w:val="6B5243A0"/>
    <w:rsid w:val="6B5F5D4D"/>
    <w:rsid w:val="6B685053"/>
    <w:rsid w:val="6BAF4A30"/>
    <w:rsid w:val="6BB93969"/>
    <w:rsid w:val="6BC06C3D"/>
    <w:rsid w:val="6C0D4AD4"/>
    <w:rsid w:val="6C3D5F2F"/>
    <w:rsid w:val="6C47110C"/>
    <w:rsid w:val="6C575222"/>
    <w:rsid w:val="6C6770B8"/>
    <w:rsid w:val="6C71768C"/>
    <w:rsid w:val="6C904861"/>
    <w:rsid w:val="6CA125CA"/>
    <w:rsid w:val="6CB22DA1"/>
    <w:rsid w:val="6CC03E6D"/>
    <w:rsid w:val="6CD363C3"/>
    <w:rsid w:val="6CD526FE"/>
    <w:rsid w:val="6D2640EB"/>
    <w:rsid w:val="6D3451EC"/>
    <w:rsid w:val="6D8855DB"/>
    <w:rsid w:val="6DE360A7"/>
    <w:rsid w:val="6DEE5CE3"/>
    <w:rsid w:val="6E245261"/>
    <w:rsid w:val="6E2D3C69"/>
    <w:rsid w:val="6EA02B34"/>
    <w:rsid w:val="6EA57E47"/>
    <w:rsid w:val="6EB736CD"/>
    <w:rsid w:val="6ECE2BD2"/>
    <w:rsid w:val="6ED468F0"/>
    <w:rsid w:val="6EFF182A"/>
    <w:rsid w:val="6F011A46"/>
    <w:rsid w:val="6F33171B"/>
    <w:rsid w:val="6F7044D6"/>
    <w:rsid w:val="6F965673"/>
    <w:rsid w:val="6F9E54E7"/>
    <w:rsid w:val="6FBB10C2"/>
    <w:rsid w:val="6FDB730A"/>
    <w:rsid w:val="6FDD7DBD"/>
    <w:rsid w:val="700A4B8C"/>
    <w:rsid w:val="70111A6E"/>
    <w:rsid w:val="70227CFD"/>
    <w:rsid w:val="70334E10"/>
    <w:rsid w:val="70756248"/>
    <w:rsid w:val="707A11F3"/>
    <w:rsid w:val="707F2C23"/>
    <w:rsid w:val="709C6F93"/>
    <w:rsid w:val="71031D5F"/>
    <w:rsid w:val="71056959"/>
    <w:rsid w:val="713C0F09"/>
    <w:rsid w:val="71621FF5"/>
    <w:rsid w:val="71756B0D"/>
    <w:rsid w:val="717F5B7A"/>
    <w:rsid w:val="71866233"/>
    <w:rsid w:val="719721EE"/>
    <w:rsid w:val="71DA1240"/>
    <w:rsid w:val="71EF48DF"/>
    <w:rsid w:val="725400DF"/>
    <w:rsid w:val="7270363A"/>
    <w:rsid w:val="72955F39"/>
    <w:rsid w:val="72BC3722"/>
    <w:rsid w:val="72CE4767"/>
    <w:rsid w:val="72D20B62"/>
    <w:rsid w:val="72E877C9"/>
    <w:rsid w:val="731E506B"/>
    <w:rsid w:val="73372E32"/>
    <w:rsid w:val="73400CFB"/>
    <w:rsid w:val="734A2124"/>
    <w:rsid w:val="73A017A5"/>
    <w:rsid w:val="73CE48E4"/>
    <w:rsid w:val="73E55A30"/>
    <w:rsid w:val="73E86D31"/>
    <w:rsid w:val="745771EB"/>
    <w:rsid w:val="74675EA7"/>
    <w:rsid w:val="7474601E"/>
    <w:rsid w:val="747D01F0"/>
    <w:rsid w:val="74934EEE"/>
    <w:rsid w:val="74A34E73"/>
    <w:rsid w:val="74B97E59"/>
    <w:rsid w:val="74C40EAA"/>
    <w:rsid w:val="75315CE9"/>
    <w:rsid w:val="755778E6"/>
    <w:rsid w:val="75A153E9"/>
    <w:rsid w:val="75A44ED9"/>
    <w:rsid w:val="75C16B30"/>
    <w:rsid w:val="75DC08C0"/>
    <w:rsid w:val="75F145C2"/>
    <w:rsid w:val="75F565F2"/>
    <w:rsid w:val="75FA6B3E"/>
    <w:rsid w:val="760174F6"/>
    <w:rsid w:val="764F12E9"/>
    <w:rsid w:val="76530DD9"/>
    <w:rsid w:val="7658375B"/>
    <w:rsid w:val="7672338B"/>
    <w:rsid w:val="767D7F65"/>
    <w:rsid w:val="76856640"/>
    <w:rsid w:val="76A809F9"/>
    <w:rsid w:val="76C31579"/>
    <w:rsid w:val="77200C9A"/>
    <w:rsid w:val="774150D6"/>
    <w:rsid w:val="77494B12"/>
    <w:rsid w:val="776E39F1"/>
    <w:rsid w:val="779A27C7"/>
    <w:rsid w:val="77A70D03"/>
    <w:rsid w:val="77C35511"/>
    <w:rsid w:val="77C67389"/>
    <w:rsid w:val="77CE573C"/>
    <w:rsid w:val="77DA51F2"/>
    <w:rsid w:val="78127750"/>
    <w:rsid w:val="782D3156"/>
    <w:rsid w:val="78593AF3"/>
    <w:rsid w:val="787A3E9B"/>
    <w:rsid w:val="787B5781"/>
    <w:rsid w:val="78B76110"/>
    <w:rsid w:val="78C733B9"/>
    <w:rsid w:val="79250FDE"/>
    <w:rsid w:val="7993245C"/>
    <w:rsid w:val="79AB2884"/>
    <w:rsid w:val="79B7167F"/>
    <w:rsid w:val="79C124FE"/>
    <w:rsid w:val="79D7619B"/>
    <w:rsid w:val="79E1494E"/>
    <w:rsid w:val="79E14EC0"/>
    <w:rsid w:val="79FA7343"/>
    <w:rsid w:val="79FC26F3"/>
    <w:rsid w:val="7A382CBF"/>
    <w:rsid w:val="7A643FFA"/>
    <w:rsid w:val="7A793845"/>
    <w:rsid w:val="7A811750"/>
    <w:rsid w:val="7A831561"/>
    <w:rsid w:val="7AB160CE"/>
    <w:rsid w:val="7AB8722A"/>
    <w:rsid w:val="7AD040D4"/>
    <w:rsid w:val="7AD972A3"/>
    <w:rsid w:val="7AFD4FEE"/>
    <w:rsid w:val="7B17441B"/>
    <w:rsid w:val="7B1E128A"/>
    <w:rsid w:val="7B206841"/>
    <w:rsid w:val="7B292109"/>
    <w:rsid w:val="7B2A11CE"/>
    <w:rsid w:val="7B971306"/>
    <w:rsid w:val="7BBB0959"/>
    <w:rsid w:val="7BC320A1"/>
    <w:rsid w:val="7BCE0366"/>
    <w:rsid w:val="7BDA3403"/>
    <w:rsid w:val="7BEB0B45"/>
    <w:rsid w:val="7BF02C26"/>
    <w:rsid w:val="7C030BAC"/>
    <w:rsid w:val="7C487A58"/>
    <w:rsid w:val="7C556F2D"/>
    <w:rsid w:val="7C86540B"/>
    <w:rsid w:val="7CB579CC"/>
    <w:rsid w:val="7D1868D9"/>
    <w:rsid w:val="7D24527D"/>
    <w:rsid w:val="7D27773C"/>
    <w:rsid w:val="7D3356C7"/>
    <w:rsid w:val="7D422172"/>
    <w:rsid w:val="7D4713B5"/>
    <w:rsid w:val="7D5976B6"/>
    <w:rsid w:val="7D92368A"/>
    <w:rsid w:val="7DA07E94"/>
    <w:rsid w:val="7DA16F04"/>
    <w:rsid w:val="7DB36601"/>
    <w:rsid w:val="7E2D0162"/>
    <w:rsid w:val="7E321CD4"/>
    <w:rsid w:val="7EA3546E"/>
    <w:rsid w:val="7EAC61BF"/>
    <w:rsid w:val="7EB33EA8"/>
    <w:rsid w:val="7ED6280D"/>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8"/>
    <w:qFormat/>
    <w:uiPriority w:val="0"/>
    <w:pPr>
      <w:keepNext/>
      <w:keepLines/>
      <w:spacing w:before="120" w:after="120" w:line="360" w:lineRule="exact"/>
      <w:jc w:val="center"/>
      <w:outlineLvl w:val="1"/>
    </w:pPr>
    <w:rPr>
      <w:rFonts w:ascii="宋体" w:hAnsi="宋体"/>
      <w:b/>
      <w:sz w:val="24"/>
      <w:szCs w:val="24"/>
    </w:rPr>
  </w:style>
  <w:style w:type="paragraph" w:styleId="5">
    <w:name w:val="heading 3"/>
    <w:basedOn w:val="1"/>
    <w:next w:val="1"/>
    <w:link w:val="212"/>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6">
    <w:name w:val="heading 4"/>
    <w:basedOn w:val="1"/>
    <w:next w:val="1"/>
    <w:link w:val="97"/>
    <w:qFormat/>
    <w:uiPriority w:val="0"/>
    <w:pPr>
      <w:keepNext/>
      <w:keepLines/>
      <w:spacing w:before="120" w:after="120"/>
      <w:outlineLvl w:val="3"/>
    </w:pPr>
    <w:rPr>
      <w:rFonts w:ascii="Arial" w:hAnsi="Arial" w:eastAsia="黑体"/>
      <w:b/>
      <w:sz w:val="20"/>
    </w:rPr>
  </w:style>
  <w:style w:type="paragraph" w:styleId="7">
    <w:name w:val="heading 5"/>
    <w:basedOn w:val="1"/>
    <w:next w:val="4"/>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146"/>
    <w:qFormat/>
    <w:uiPriority w:val="0"/>
    <w:pPr>
      <w:keepNext/>
      <w:keepLines/>
      <w:spacing w:before="240" w:after="64" w:line="319" w:lineRule="auto"/>
      <w:outlineLvl w:val="6"/>
    </w:pPr>
    <w:rPr>
      <w:b/>
      <w:bCs/>
      <w:sz w:val="24"/>
      <w:szCs w:val="24"/>
    </w:rPr>
  </w:style>
  <w:style w:type="paragraph" w:styleId="10">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link w:val="205"/>
    <w:qFormat/>
    <w:uiPriority w:val="0"/>
    <w:pPr>
      <w:shd w:val="clear" w:color="auto" w:fill="000080"/>
    </w:pPr>
    <w:rPr>
      <w:rFonts w:ascii="宋体"/>
      <w:sz w:val="18"/>
      <w:szCs w:val="18"/>
    </w:rPr>
  </w:style>
  <w:style w:type="paragraph" w:styleId="19">
    <w:name w:val="annotation text"/>
    <w:basedOn w:val="1"/>
    <w:link w:val="137"/>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201"/>
    <w:qFormat/>
    <w:uiPriority w:val="0"/>
    <w:rPr>
      <w:rFonts w:ascii="仿宋_GB2312" w:eastAsia="仿宋_GB2312"/>
      <w:sz w:val="20"/>
    </w:rPr>
  </w:style>
  <w:style w:type="paragraph" w:styleId="22">
    <w:name w:val="Body Text 3"/>
    <w:basedOn w:val="1"/>
    <w:link w:val="98"/>
    <w:qFormat/>
    <w:uiPriority w:val="0"/>
    <w:rPr>
      <w:rFonts w:ascii="仿宋_GB2312" w:hAnsi="Arial" w:eastAsia="仿宋_GB2312"/>
      <w:sz w:val="20"/>
    </w:rPr>
  </w:style>
  <w:style w:type="paragraph" w:styleId="23">
    <w:name w:val="Body Text"/>
    <w:basedOn w:val="1"/>
    <w:link w:val="85"/>
    <w:qFormat/>
    <w:uiPriority w:val="0"/>
    <w:rPr>
      <w:rFonts w:ascii="楷体_GB2312" w:hAnsi="Arial" w:eastAsia="楷体_GB2312"/>
      <w:sz w:val="20"/>
    </w:rPr>
  </w:style>
  <w:style w:type="paragraph" w:styleId="24">
    <w:name w:val="Body Text Indent"/>
    <w:basedOn w:val="1"/>
    <w:next w:val="25"/>
    <w:link w:val="178"/>
    <w:qFormat/>
    <w:uiPriority w:val="0"/>
    <w:pPr>
      <w:ind w:firstLine="645"/>
    </w:pPr>
    <w:rPr>
      <w:sz w:val="20"/>
    </w:rPr>
  </w:style>
  <w:style w:type="paragraph" w:styleId="25">
    <w:name w:val="envelope return"/>
    <w:basedOn w:val="1"/>
    <w:next w:val="26"/>
    <w:unhideWhenUsed/>
    <w:qFormat/>
    <w:uiPriority w:val="99"/>
    <w:pPr>
      <w:snapToGrid w:val="0"/>
    </w:pPr>
    <w:rPr>
      <w:rFonts w:hint="eastAsia" w:ascii="Arial" w:hAnsi="Arial"/>
    </w:rPr>
  </w:style>
  <w:style w:type="paragraph" w:styleId="26">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semiHidden/>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130"/>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9"/>
    <w:qFormat/>
    <w:uiPriority w:val="0"/>
    <w:pPr>
      <w:ind w:left="100" w:leftChars="2500"/>
    </w:pPr>
    <w:rPr>
      <w:sz w:val="20"/>
    </w:rPr>
  </w:style>
  <w:style w:type="paragraph" w:styleId="35">
    <w:name w:val="Body Text Indent 2"/>
    <w:basedOn w:val="1"/>
    <w:link w:val="172"/>
    <w:qFormat/>
    <w:uiPriority w:val="0"/>
    <w:pPr>
      <w:ind w:left="630" w:firstLine="645"/>
    </w:pPr>
    <w:rPr>
      <w:sz w:val="20"/>
    </w:rPr>
  </w:style>
  <w:style w:type="paragraph" w:styleId="36">
    <w:name w:val="endnote text"/>
    <w:basedOn w:val="1"/>
    <w:link w:val="215"/>
    <w:qFormat/>
    <w:uiPriority w:val="0"/>
    <w:pPr>
      <w:snapToGrid w:val="0"/>
      <w:jc w:val="left"/>
    </w:pPr>
    <w:rPr>
      <w:kern w:val="0"/>
      <w:sz w:val="24"/>
      <w:szCs w:val="24"/>
    </w:rPr>
  </w:style>
  <w:style w:type="paragraph" w:styleId="37">
    <w:name w:val="Balloon Text"/>
    <w:basedOn w:val="1"/>
    <w:link w:val="214"/>
    <w:qFormat/>
    <w:uiPriority w:val="0"/>
    <w:rPr>
      <w:sz w:val="18"/>
      <w:szCs w:val="18"/>
    </w:rPr>
  </w:style>
  <w:style w:type="paragraph" w:styleId="38">
    <w:name w:val="footer"/>
    <w:basedOn w:val="1"/>
    <w:link w:val="207"/>
    <w:qFormat/>
    <w:uiPriority w:val="99"/>
    <w:pPr>
      <w:tabs>
        <w:tab w:val="center" w:pos="4153"/>
        <w:tab w:val="right" w:pos="8306"/>
      </w:tabs>
      <w:snapToGrid w:val="0"/>
      <w:jc w:val="left"/>
    </w:pPr>
    <w:rPr>
      <w:sz w:val="18"/>
      <w:szCs w:val="18"/>
    </w:rPr>
  </w:style>
  <w:style w:type="paragraph" w:styleId="39">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22"/>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82"/>
    <w:qFormat/>
    <w:uiPriority w:val="0"/>
    <w:pPr>
      <w:widowControl/>
      <w:jc w:val="center"/>
    </w:pPr>
    <w:rPr>
      <w:rFonts w:ascii="楷体_GB2312" w:eastAsia="楷体_GB2312"/>
      <w:sz w:val="20"/>
    </w:rPr>
  </w:style>
  <w:style w:type="paragraph" w:styleId="55">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annotation subject"/>
    <w:basedOn w:val="19"/>
    <w:next w:val="19"/>
    <w:link w:val="153"/>
    <w:qFormat/>
    <w:uiPriority w:val="0"/>
    <w:rPr>
      <w:b/>
      <w:bCs/>
    </w:rPr>
  </w:style>
  <w:style w:type="paragraph" w:styleId="59">
    <w:name w:val="Body Text First Indent"/>
    <w:basedOn w:val="23"/>
    <w:link w:val="114"/>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next w:val="1"/>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monospace" w:hAnsi="monospace" w:eastAsia="monospace" w:cs="monospace"/>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monospace" w:hAnsi="monospace" w:eastAsia="monospace" w:cs="monospace"/>
      <w:sz w:val="21"/>
      <w:szCs w:val="21"/>
    </w:rPr>
  </w:style>
  <w:style w:type="character" w:styleId="80">
    <w:name w:val="HTML Sample"/>
    <w:basedOn w:val="63"/>
    <w:qFormat/>
    <w:uiPriority w:val="0"/>
    <w:rPr>
      <w:rFonts w:ascii="Courier New" w:hAnsi="宋体" w:eastAsia="宋体"/>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4"/>
    <w:qFormat/>
    <w:uiPriority w:val="0"/>
    <w:pPr>
      <w:spacing w:beforeLines="50" w:after="10"/>
      <w:ind w:firstLine="490" w:firstLineChars="175"/>
      <w:jc w:val="left"/>
    </w:p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3"/>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7"/>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6"/>
    <w:qFormat/>
    <w:uiPriority w:val="0"/>
    <w:rPr>
      <w:rFonts w:ascii="Arial" w:hAnsi="Arial" w:eastAsia="黑体" w:cs="Times New Roman"/>
      <w:b/>
      <w:sz w:val="20"/>
      <w:szCs w:val="20"/>
    </w:rPr>
  </w:style>
  <w:style w:type="character" w:customStyle="1" w:styleId="98">
    <w:name w:val="正文文本 3 字符"/>
    <w:basedOn w:val="63"/>
    <w:link w:val="22"/>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59"/>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8"/>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31"/>
    <w:qFormat/>
    <w:uiPriority w:val="99"/>
    <w:rPr>
      <w:rFonts w:ascii="宋体" w:hAnsi="Courier New" w:cs="Courier New"/>
      <w:kern w:val="2"/>
      <w:sz w:val="21"/>
      <w:szCs w:val="21"/>
    </w:rPr>
  </w:style>
  <w:style w:type="character" w:customStyle="1" w:styleId="131">
    <w:name w:val="标题 6 字符"/>
    <w:basedOn w:val="63"/>
    <w:link w:val="8"/>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19"/>
    <w:qFormat/>
    <w:uiPriority w:val="99"/>
    <w:rPr>
      <w:rFonts w:ascii="Times New Roman" w:hAnsi="Times New Roman" w:eastAsia="宋体" w:cs="Times New Roman"/>
      <w:sz w:val="20"/>
      <w:szCs w:val="20"/>
    </w:rPr>
  </w:style>
  <w:style w:type="character" w:customStyle="1" w:styleId="138">
    <w:name w:val="normalfont1"/>
    <w:qFormat/>
    <w:uiPriority w:val="0"/>
    <w:rPr>
      <w:rFonts w:ascii="??" w:hAnsi="??"/>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40"/>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6"/>
    <w:qFormat/>
    <w:uiPriority w:val="0"/>
    <w:rPr>
      <w:rFonts w:ascii="Times New Roman" w:hAnsi="Times New Roman" w:eastAsia="宋体" w:cs="Times New Roman"/>
      <w:sz w:val="18"/>
      <w:szCs w:val="18"/>
    </w:rPr>
  </w:style>
  <w:style w:type="character" w:customStyle="1" w:styleId="143">
    <w:name w:val="页眉 字符"/>
    <w:basedOn w:val="63"/>
    <w:link w:val="39"/>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9"/>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4"/>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8"/>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16"/>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0"/>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1"/>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3"/>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5"/>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5"/>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24"/>
    <w:qFormat/>
    <w:uiPriority w:val="0"/>
    <w:rPr>
      <w:rFonts w:ascii="Times New Roman" w:hAnsi="Times New Roman"/>
      <w:kern w:val="2"/>
      <w:sz w:val="21"/>
    </w:rPr>
  </w:style>
  <w:style w:type="character" w:customStyle="1" w:styleId="179">
    <w:name w:val="标题 字符"/>
    <w:basedOn w:val="63"/>
    <w:link w:val="26"/>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4"/>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2"/>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1"/>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18"/>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38"/>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5"/>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7"/>
    <w:qFormat/>
    <w:uiPriority w:val="0"/>
    <w:rPr>
      <w:rFonts w:ascii="Times New Roman" w:hAnsi="Times New Roman" w:eastAsia="宋体" w:cs="Times New Roman"/>
      <w:sz w:val="18"/>
      <w:szCs w:val="18"/>
    </w:rPr>
  </w:style>
  <w:style w:type="character" w:customStyle="1" w:styleId="215">
    <w:name w:val="尾注文本 字符"/>
    <w:basedOn w:val="63"/>
    <w:link w:val="36"/>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8"/>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8"/>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5"/>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3"/>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8"/>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5"/>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5"/>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8"/>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fill="55AAA3"/>
    </w:rPr>
  </w:style>
  <w:style w:type="character" w:customStyle="1" w:styleId="522">
    <w:name w:val="show4"/>
    <w:basedOn w:val="63"/>
    <w:qFormat/>
    <w:uiPriority w:val="0"/>
    <w:rPr>
      <w:bdr w:val="single" w:color="BA2E2E" w:sz="6" w:space="0"/>
      <w:shd w:val="clear" w:fill="BA2E2E"/>
    </w:rPr>
  </w:style>
  <w:style w:type="character" w:customStyle="1" w:styleId="523">
    <w:name w:val="show5"/>
    <w:basedOn w:val="63"/>
    <w:qFormat/>
    <w:uiPriority w:val="0"/>
    <w:rPr>
      <w:bdr w:val="single" w:color="4799E7" w:sz="6" w:space="0"/>
      <w:shd w:val="clear" w:fill="4799E7"/>
    </w:rPr>
  </w:style>
  <w:style w:type="character" w:customStyle="1" w:styleId="524">
    <w:name w:val="show6"/>
    <w:basedOn w:val="63"/>
    <w:qFormat/>
    <w:uiPriority w:val="0"/>
    <w:rPr>
      <w:bdr w:val="single" w:color="393D49" w:sz="6" w:space="0"/>
      <w:shd w:val="clear" w:fill="393D49"/>
    </w:rPr>
  </w:style>
  <w:style w:type="character" w:customStyle="1" w:styleId="525">
    <w:name w:val="show7"/>
    <w:basedOn w:val="63"/>
    <w:qFormat/>
    <w:uiPriority w:val="0"/>
    <w:rPr>
      <w:bdr w:val="single" w:color="ED6D00" w:sz="6" w:space="0"/>
      <w:shd w:val="clear"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fill="FFFFFF"/>
    </w:rPr>
  </w:style>
  <w:style w:type="character" w:customStyle="1" w:styleId="583">
    <w:name w:val="switch1"/>
    <w:basedOn w:val="63"/>
    <w:qFormat/>
    <w:uiPriority w:val="0"/>
    <w:rPr>
      <w:vanish/>
      <w:shd w:val="clear"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 w:type="character" w:customStyle="1" w:styleId="597">
    <w:name w:val="font01"/>
    <w:basedOn w:val="63"/>
    <w:qFormat/>
    <w:uiPriority w:val="0"/>
    <w:rPr>
      <w:rFonts w:hint="eastAsia" w:ascii="宋体" w:hAnsi="宋体" w:eastAsia="宋体" w:cs="宋体"/>
      <w:b/>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10287</Words>
  <Characters>11027</Characters>
  <Lines>69</Lines>
  <Paragraphs>19</Paragraphs>
  <TotalTime>7</TotalTime>
  <ScaleCrop>false</ScaleCrop>
  <LinksUpToDate>false</LinksUpToDate>
  <CharactersWithSpaces>12533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2023-12-14T01:03:00Z</cp:lastPrinted>
  <dcterms:modified xsi:type="dcterms:W3CDTF">2026-01-29T03:39:17Z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48387ACEAE774F55A13DA7FB42F486AE_13</vt:lpwstr>
  </property>
  <property fmtid="{D5CDD505-2E9C-101B-9397-08002B2CF9AE}" pid="4" name="KSOTemplateDocerSaveRecord">
    <vt:lpwstr>eyJoZGlkIjoiODg5OTFhMDZlNTRlMDA0MmIxOWM3MTZhYWRlMmFjYWMiLCJ1c2VySWQiOiI1MDM3OTU2NDYifQ==</vt:lpwstr>
  </property>
</Properties>
</file>