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1E1380">
      <w:pPr>
        <w:spacing w:line="480" w:lineRule="exact"/>
        <w:rPr>
          <w:rFonts w:hint="eastAsia" w:ascii="宋体" w:eastAsia="宋体"/>
          <w:color w:val="auto"/>
          <w:sz w:val="44"/>
          <w:szCs w:val="44"/>
          <w:highlight w:val="none"/>
          <w:lang w:eastAsia="zh-CN"/>
        </w:rPr>
      </w:pPr>
    </w:p>
    <w:p w14:paraId="7128504D">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eastAsia="zh-CN"/>
        </w:rPr>
        <w:t>上河院项目跨湖人行栈道桩基检测及建设工程质量检测比选文件</w:t>
      </w:r>
    </w:p>
    <w:p w14:paraId="4A9923AF">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22E13E14">
      <w:pPr>
        <w:pStyle w:val="82"/>
        <w:ind w:left="0" w:leftChars="0" w:firstLine="0" w:firstLineChars="0"/>
        <w:rPr>
          <w:color w:val="auto"/>
          <w:highlight w:val="none"/>
        </w:rPr>
      </w:pPr>
    </w:p>
    <w:p w14:paraId="166112D3">
      <w:pPr>
        <w:pStyle w:val="82"/>
        <w:rPr>
          <w:color w:val="auto"/>
          <w:highlight w:val="none"/>
        </w:rPr>
      </w:pPr>
    </w:p>
    <w:p w14:paraId="2AF2A3DA">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17343547">
      <w:pPr>
        <w:pStyle w:val="82"/>
        <w:spacing w:before="120"/>
        <w:ind w:firstLine="350"/>
        <w:rPr>
          <w:color w:val="auto"/>
          <w:highlight w:val="none"/>
        </w:rPr>
      </w:pPr>
    </w:p>
    <w:p w14:paraId="351B47E7">
      <w:pPr>
        <w:spacing w:line="480" w:lineRule="exact"/>
        <w:jc w:val="center"/>
        <w:rPr>
          <w:rFonts w:ascii="宋体" w:cs="宋体"/>
          <w:b/>
          <w:bCs/>
          <w:color w:val="auto"/>
          <w:sz w:val="48"/>
          <w:szCs w:val="48"/>
          <w:highlight w:val="none"/>
        </w:rPr>
      </w:pPr>
    </w:p>
    <w:p w14:paraId="682B95F9">
      <w:pPr>
        <w:pStyle w:val="82"/>
        <w:rPr>
          <w:color w:val="auto"/>
          <w:highlight w:val="none"/>
        </w:rPr>
      </w:pPr>
    </w:p>
    <w:p w14:paraId="42206FC8">
      <w:pPr>
        <w:spacing w:line="480" w:lineRule="exact"/>
        <w:jc w:val="center"/>
        <w:rPr>
          <w:rFonts w:hint="default" w:ascii="宋体" w:hAnsi="宋体" w:eastAsia="宋体" w:cs="仿宋_GB2312"/>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AQJK-CG-2025-097</w:t>
      </w:r>
    </w:p>
    <w:p w14:paraId="2F0EEB41">
      <w:pPr>
        <w:pStyle w:val="82"/>
        <w:spacing w:before="120"/>
        <w:ind w:left="0" w:leftChars="0" w:firstLine="0" w:firstLineChars="0"/>
        <w:rPr>
          <w:color w:val="auto"/>
          <w:highlight w:val="none"/>
        </w:rPr>
      </w:pPr>
    </w:p>
    <w:p w14:paraId="4E5A5848">
      <w:pPr>
        <w:pStyle w:val="82"/>
        <w:spacing w:before="120"/>
        <w:ind w:left="0" w:leftChars="0" w:firstLine="0" w:firstLineChars="0"/>
        <w:rPr>
          <w:color w:val="auto"/>
          <w:highlight w:val="none"/>
        </w:rPr>
      </w:pPr>
    </w:p>
    <w:p w14:paraId="2EB8AC39">
      <w:pPr>
        <w:spacing w:line="480" w:lineRule="exact"/>
        <w:rPr>
          <w:rFonts w:ascii="宋体" w:hAnsi="宋体" w:cs="仿宋_GB2312"/>
          <w:color w:val="auto"/>
          <w:szCs w:val="21"/>
          <w:highlight w:val="none"/>
        </w:rPr>
      </w:pPr>
    </w:p>
    <w:p w14:paraId="2CF0AD88">
      <w:pPr>
        <w:pStyle w:val="27"/>
        <w:rPr>
          <w:rFonts w:ascii="宋体" w:hAnsi="宋体" w:cs="仿宋_GB2312"/>
          <w:color w:val="auto"/>
          <w:szCs w:val="21"/>
          <w:highlight w:val="none"/>
        </w:rPr>
      </w:pPr>
    </w:p>
    <w:p w14:paraId="017E76BD">
      <w:pPr>
        <w:pStyle w:val="27"/>
        <w:rPr>
          <w:rFonts w:ascii="宋体" w:hAnsi="宋体" w:cs="仿宋_GB2312"/>
          <w:color w:val="auto"/>
          <w:szCs w:val="21"/>
          <w:highlight w:val="none"/>
        </w:rPr>
      </w:pPr>
    </w:p>
    <w:p w14:paraId="1AE2474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仿宋_GB2312"/>
          <w:b/>
          <w:color w:val="auto"/>
          <w:sz w:val="30"/>
          <w:szCs w:val="30"/>
          <w:highlight w:val="none"/>
          <w:u w:val="single"/>
          <w:lang w:val="en-US" w:eastAsia="zh-CN"/>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eastAsia="zh-CN"/>
        </w:rPr>
        <w:t>安庆市通达置业有限公司</w:t>
      </w:r>
      <w:r>
        <w:rPr>
          <w:rFonts w:hint="eastAsia" w:ascii="宋体" w:hAnsi="宋体" w:cs="仿宋_GB2312"/>
          <w:b/>
          <w:color w:val="auto"/>
          <w:sz w:val="30"/>
          <w:szCs w:val="30"/>
          <w:highlight w:val="none"/>
          <w:u w:val="single"/>
          <w:lang w:val="en-US" w:eastAsia="zh-CN"/>
        </w:rPr>
        <w:t xml:space="preserve"> </w:t>
      </w:r>
    </w:p>
    <w:p w14:paraId="13C8982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仿宋_GB2312"/>
          <w:b/>
          <w:color w:val="auto"/>
          <w:sz w:val="30"/>
          <w:szCs w:val="30"/>
          <w:highlight w:val="none"/>
          <w:u w:val="single"/>
        </w:rPr>
      </w:pPr>
    </w:p>
    <w:p w14:paraId="68B35081">
      <w:pPr>
        <w:pStyle w:val="82"/>
        <w:rPr>
          <w:color w:val="auto"/>
          <w:highlight w:val="none"/>
        </w:rPr>
      </w:pPr>
    </w:p>
    <w:p w14:paraId="5A81F5FD">
      <w:pPr>
        <w:pStyle w:val="82"/>
        <w:ind w:left="0" w:leftChars="0" w:firstLine="0" w:firstLineChars="0"/>
        <w:rPr>
          <w:color w:val="auto"/>
          <w:highlight w:val="none"/>
        </w:rPr>
      </w:pPr>
    </w:p>
    <w:p w14:paraId="7F323A9D">
      <w:pPr>
        <w:spacing w:line="360" w:lineRule="auto"/>
        <w:rPr>
          <w:rFonts w:ascii="宋体" w:hAnsi="宋体" w:cs="仿宋_GB2312"/>
          <w:b/>
          <w:color w:val="auto"/>
          <w:sz w:val="24"/>
          <w:highlight w:val="none"/>
        </w:rPr>
      </w:pPr>
    </w:p>
    <w:p w14:paraId="6367D6EB">
      <w:pPr>
        <w:spacing w:line="480" w:lineRule="exact"/>
        <w:jc w:val="center"/>
        <w:rPr>
          <w:rFonts w:ascii="宋体" w:hAnsi="宋体" w:cs="仿宋_GB2312"/>
          <w:color w:val="auto"/>
          <w:szCs w:val="21"/>
          <w:highlight w:val="none"/>
        </w:rPr>
      </w:pPr>
      <w:r>
        <w:rPr>
          <w:rFonts w:hint="eastAsia" w:ascii="宋体" w:hAnsi="宋体" w:cs="仿宋_GB2312"/>
          <w:b/>
          <w:color w:val="auto"/>
          <w:sz w:val="30"/>
          <w:szCs w:val="30"/>
          <w:highlight w:val="none"/>
          <w:lang w:eastAsia="zh-CN"/>
        </w:rPr>
        <w:t>安庆市交通控股集团有限公司集采中心</w:t>
      </w:r>
    </w:p>
    <w:p w14:paraId="1A4841D3">
      <w:pPr>
        <w:spacing w:line="480" w:lineRule="exact"/>
        <w:jc w:val="center"/>
        <w:rPr>
          <w:rFonts w:hint="eastAsia" w:ascii="宋体" w:hAnsi="宋体" w:cs="仿宋_GB2312"/>
          <w:color w:val="auto"/>
          <w:sz w:val="32"/>
          <w:szCs w:val="32"/>
          <w:highlight w:val="none"/>
        </w:rPr>
      </w:pPr>
    </w:p>
    <w:p w14:paraId="1E140E55">
      <w:pPr>
        <w:spacing w:line="480" w:lineRule="exact"/>
        <w:jc w:val="center"/>
        <w:rPr>
          <w:rFonts w:hint="eastAsia" w:ascii="宋体" w:hAnsi="宋体" w:cs="仿宋_GB2312"/>
          <w:color w:val="auto"/>
          <w:sz w:val="32"/>
          <w:szCs w:val="32"/>
          <w:highlight w:val="none"/>
        </w:rPr>
      </w:pPr>
    </w:p>
    <w:p w14:paraId="44EA262C">
      <w:pPr>
        <w:spacing w:line="480" w:lineRule="exact"/>
        <w:jc w:val="center"/>
        <w:rPr>
          <w:rFonts w:hint="eastAsia" w:ascii="宋体" w:hAnsi="宋体" w:cs="仿宋_GB2312"/>
          <w:color w:val="auto"/>
          <w:sz w:val="32"/>
          <w:szCs w:val="32"/>
          <w:highlight w:val="none"/>
        </w:rPr>
      </w:pPr>
    </w:p>
    <w:p w14:paraId="25029AE8">
      <w:pPr>
        <w:spacing w:line="480" w:lineRule="exact"/>
        <w:jc w:val="center"/>
        <w:rPr>
          <w:rFonts w:hint="eastAsia" w:ascii="宋体" w:hAnsi="宋体" w:cs="仿宋_GB2312"/>
          <w:color w:val="auto"/>
          <w:sz w:val="32"/>
          <w:szCs w:val="32"/>
          <w:highlight w:val="none"/>
        </w:rPr>
      </w:pPr>
    </w:p>
    <w:p w14:paraId="624ABBCD">
      <w:pPr>
        <w:spacing w:line="480" w:lineRule="exact"/>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五</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十二</w:t>
      </w:r>
      <w:r>
        <w:rPr>
          <w:rFonts w:hint="eastAsia" w:ascii="宋体" w:hAnsi="宋体" w:cs="仿宋_GB2312"/>
          <w:color w:val="auto"/>
          <w:sz w:val="32"/>
          <w:szCs w:val="32"/>
          <w:highlight w:val="none"/>
        </w:rPr>
        <w:t>月</w:t>
      </w:r>
    </w:p>
    <w:p w14:paraId="18F07D54">
      <w:pPr>
        <w:pStyle w:val="27"/>
        <w:rPr>
          <w:color w:val="auto"/>
          <w:highlight w:val="none"/>
        </w:rPr>
        <w:sectPr>
          <w:headerReference r:id="rId4" w:type="first"/>
          <w:headerReference r:id="rId3"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titlePg/>
          <w:docGrid w:type="lines" w:linePitch="312" w:charSpace="0"/>
        </w:sectPr>
      </w:pPr>
    </w:p>
    <w:p w14:paraId="4B14E407">
      <w:pPr>
        <w:pStyle w:val="27"/>
        <w:rPr>
          <w:color w:val="auto"/>
          <w:highlight w:val="none"/>
        </w:rPr>
      </w:pPr>
    </w:p>
    <w:p w14:paraId="7DCB51AF">
      <w:pPr>
        <w:spacing w:line="480" w:lineRule="auto"/>
        <w:jc w:val="cente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lang w:val="zh-CN"/>
        </w:rPr>
        <w:t>录</w:t>
      </w:r>
    </w:p>
    <w:p w14:paraId="3D8BD52D">
      <w:pPr>
        <w:pStyle w:val="42"/>
        <w:tabs>
          <w:tab w:val="right" w:leader="dot" w:pos="9070"/>
        </w:tabs>
        <w:spacing w:line="480" w:lineRule="auto"/>
        <w:rPr>
          <w:color w:val="auto"/>
          <w:sz w:val="28"/>
          <w:szCs w:val="28"/>
          <w:highlight w:val="none"/>
        </w:rPr>
      </w:pPr>
      <w:bookmarkStart w:id="0" w:name="_Toc21464"/>
      <w:bookmarkStart w:id="1" w:name="_Toc54941328"/>
      <w:bookmarkStart w:id="2" w:name="_Toc23467"/>
      <w:bookmarkStart w:id="3" w:name="_Toc439316870"/>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"_Toc170" </w:instrText>
      </w:r>
      <w:r>
        <w:rPr>
          <w:color w:val="auto"/>
          <w:highlight w:val="none"/>
        </w:rPr>
        <w:fldChar w:fldCharType="separate"/>
      </w:r>
      <w:r>
        <w:rPr>
          <w:rFonts w:hint="eastAsia"/>
          <w:bCs/>
          <w:iCs/>
          <w:color w:val="auto"/>
          <w:sz w:val="28"/>
          <w:szCs w:val="28"/>
          <w:highlight w:val="none"/>
        </w:rPr>
        <w:t>第一章 比选公告</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rPr>
        <w:t>1</w:t>
      </w:r>
    </w:p>
    <w:p w14:paraId="51698EBE">
      <w:pPr>
        <w:pStyle w:val="42"/>
        <w:tabs>
          <w:tab w:val="right" w:leader="dot" w:pos="907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"_Toc11223" </w:instrText>
      </w:r>
      <w:r>
        <w:rPr>
          <w:color w:val="auto"/>
          <w:highlight w:val="none"/>
        </w:rPr>
        <w:fldChar w:fldCharType="separate"/>
      </w:r>
      <w:r>
        <w:rPr>
          <w:rFonts w:hint="eastAsia" w:ascii="Arial" w:hAnsi="Arial"/>
          <w:color w:val="auto"/>
          <w:sz w:val="28"/>
          <w:szCs w:val="28"/>
          <w:highlight w:val="none"/>
        </w:rPr>
        <w:t>第二章 比选须知</w:t>
      </w:r>
      <w:r>
        <w:rPr>
          <w:color w:val="auto"/>
          <w:sz w:val="28"/>
          <w:szCs w:val="28"/>
          <w:highlight w:val="none"/>
        </w:rPr>
        <w:tab/>
      </w:r>
      <w:r>
        <w:rPr>
          <w:rFonts w:hint="eastAsia"/>
          <w:color w:val="auto"/>
          <w:sz w:val="28"/>
          <w:szCs w:val="28"/>
          <w:highlight w:val="none"/>
          <w:lang w:val="en-US" w:eastAsia="zh-CN"/>
        </w:rPr>
        <w:t>7</w:t>
      </w:r>
      <w:r>
        <w:rPr>
          <w:color w:val="auto"/>
          <w:sz w:val="28"/>
          <w:szCs w:val="28"/>
          <w:highlight w:val="none"/>
        </w:rPr>
        <w:fldChar w:fldCharType="end"/>
      </w:r>
    </w:p>
    <w:p w14:paraId="35922FCE">
      <w:pPr>
        <w:pStyle w:val="42"/>
        <w:tabs>
          <w:tab w:val="right" w:leader="dot" w:pos="9070"/>
        </w:tabs>
        <w:spacing w:line="480" w:lineRule="auto"/>
        <w:rPr>
          <w:rFonts w:hint="eastAsia"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 xml:space="preserve">第三章 </w:t>
      </w:r>
      <w:r>
        <w:rPr>
          <w:rFonts w:hint="eastAsia" w:ascii="Arial" w:hAnsi="Arial"/>
          <w:color w:val="auto"/>
          <w:sz w:val="28"/>
          <w:szCs w:val="28"/>
          <w:highlight w:val="none"/>
          <w:lang w:eastAsia="zh-CN"/>
        </w:rPr>
        <w:t>项目需求及技术要求</w:t>
      </w:r>
      <w:r>
        <w:rPr>
          <w:color w:val="auto"/>
          <w:sz w:val="28"/>
          <w:szCs w:val="28"/>
          <w:highlight w:val="none"/>
        </w:rPr>
        <w:tab/>
      </w:r>
      <w:r>
        <w:rPr>
          <w:rFonts w:hint="eastAsia"/>
          <w:color w:val="auto"/>
          <w:sz w:val="28"/>
          <w:szCs w:val="28"/>
          <w:highlight w:val="none"/>
          <w:lang w:val="en-US" w:eastAsia="zh-CN"/>
        </w:rPr>
        <w:t>1</w:t>
      </w:r>
      <w:r>
        <w:rPr>
          <w:rFonts w:hint="eastAsia"/>
          <w:color w:val="auto"/>
          <w:sz w:val="28"/>
          <w:szCs w:val="28"/>
          <w:highlight w:val="none"/>
        </w:rPr>
        <w:fldChar w:fldCharType="end"/>
      </w:r>
      <w:r>
        <w:rPr>
          <w:rFonts w:hint="eastAsia"/>
          <w:color w:val="auto"/>
          <w:sz w:val="28"/>
          <w:szCs w:val="28"/>
          <w:highlight w:val="none"/>
          <w:lang w:val="en-US" w:eastAsia="zh-CN"/>
        </w:rPr>
        <w:t>8</w:t>
      </w:r>
    </w:p>
    <w:p w14:paraId="03F48B5D">
      <w:pPr>
        <w:pStyle w:val="42"/>
        <w:tabs>
          <w:tab w:val="right" w:leader="dot" w:pos="9070"/>
        </w:tabs>
        <w:spacing w:line="48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第四章 合同主要条款</w:t>
      </w:r>
      <w:r>
        <w:rPr>
          <w:color w:val="auto"/>
          <w:sz w:val="28"/>
          <w:szCs w:val="28"/>
          <w:highlight w:val="none"/>
        </w:rPr>
        <w:tab/>
      </w:r>
      <w:r>
        <w:rPr>
          <w:rFonts w:hint="eastAsia"/>
          <w:color w:val="auto"/>
          <w:sz w:val="28"/>
          <w:szCs w:val="28"/>
          <w:highlight w:val="none"/>
          <w:lang w:val="en-US" w:eastAsia="zh-CN"/>
        </w:rPr>
        <w:t>2</w:t>
      </w:r>
      <w:r>
        <w:rPr>
          <w:rFonts w:hint="eastAsia"/>
          <w:color w:val="auto"/>
          <w:sz w:val="28"/>
          <w:szCs w:val="28"/>
          <w:highlight w:val="none"/>
        </w:rPr>
        <w:fldChar w:fldCharType="end"/>
      </w:r>
      <w:r>
        <w:rPr>
          <w:rFonts w:hint="eastAsia"/>
          <w:color w:val="auto"/>
          <w:sz w:val="28"/>
          <w:szCs w:val="28"/>
          <w:highlight w:val="none"/>
          <w:lang w:val="en-US" w:eastAsia="zh-CN"/>
        </w:rPr>
        <w:t>5</w:t>
      </w:r>
    </w:p>
    <w:p w14:paraId="14846035">
      <w:pPr>
        <w:pStyle w:val="42"/>
        <w:tabs>
          <w:tab w:val="right" w:leader="dot" w:pos="907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"_Toc25399" </w:instrText>
      </w:r>
      <w:r>
        <w:rPr>
          <w:color w:val="auto"/>
          <w:highlight w:val="none"/>
        </w:rPr>
        <w:fldChar w:fldCharType="separate"/>
      </w:r>
      <w:r>
        <w:rPr>
          <w:rFonts w:hint="eastAsia" w:ascii="Arial" w:hAnsi="Arial"/>
          <w:color w:val="auto"/>
          <w:sz w:val="28"/>
          <w:szCs w:val="28"/>
          <w:highlight w:val="none"/>
          <w:lang w:val="zh-CN"/>
        </w:rPr>
        <w:t>第</w:t>
      </w:r>
      <w:r>
        <w:rPr>
          <w:rFonts w:hint="eastAsia" w:ascii="Arial" w:hAnsi="Arial"/>
          <w:color w:val="auto"/>
          <w:sz w:val="28"/>
          <w:szCs w:val="28"/>
          <w:highlight w:val="none"/>
        </w:rPr>
        <w:t>五</w:t>
      </w:r>
      <w:r>
        <w:rPr>
          <w:rFonts w:hint="eastAsia" w:ascii="Arial" w:hAnsi="Arial"/>
          <w:color w:val="auto"/>
          <w:sz w:val="28"/>
          <w:szCs w:val="28"/>
          <w:highlight w:val="none"/>
          <w:lang w:val="zh-CN"/>
        </w:rPr>
        <w:t>章</w:t>
      </w:r>
      <w:r>
        <w:rPr>
          <w:rFonts w:hint="eastAsia" w:ascii="Arial" w:hAnsi="Arial"/>
          <w:color w:val="auto"/>
          <w:sz w:val="28"/>
          <w:szCs w:val="28"/>
          <w:highlight w:val="none"/>
        </w:rPr>
        <w:t xml:space="preserve"> 参选文件格式</w:t>
      </w:r>
      <w:r>
        <w:rPr>
          <w:color w:val="auto"/>
          <w:sz w:val="28"/>
          <w:szCs w:val="28"/>
          <w:highlight w:val="none"/>
        </w:rPr>
        <w:tab/>
      </w:r>
      <w:r>
        <w:rPr>
          <w:rFonts w:hint="eastAsia"/>
          <w:color w:val="auto"/>
          <w:sz w:val="28"/>
          <w:szCs w:val="28"/>
          <w:highlight w:val="none"/>
          <w:lang w:val="en-US" w:eastAsia="zh-CN"/>
        </w:rPr>
        <w:t>7</w:t>
      </w:r>
      <w:r>
        <w:rPr>
          <w:rFonts w:hint="eastAsia"/>
          <w:color w:val="auto"/>
          <w:sz w:val="28"/>
          <w:szCs w:val="28"/>
          <w:highlight w:val="none"/>
        </w:rPr>
        <w:fldChar w:fldCharType="end"/>
      </w:r>
      <w:r>
        <w:rPr>
          <w:rFonts w:hint="eastAsia"/>
          <w:color w:val="auto"/>
          <w:sz w:val="28"/>
          <w:szCs w:val="28"/>
          <w:highlight w:val="none"/>
          <w:lang w:val="en-US" w:eastAsia="zh-CN"/>
        </w:rPr>
        <w:t>1</w:t>
      </w:r>
      <w:r>
        <w:rPr>
          <w:color w:val="auto"/>
          <w:sz w:val="28"/>
          <w:szCs w:val="28"/>
          <w:highlight w:val="none"/>
        </w:rPr>
        <w:fldChar w:fldCharType="end"/>
      </w:r>
      <w:bookmarkEnd w:id="0"/>
      <w:bookmarkEnd w:id="1"/>
      <w:bookmarkEnd w:id="2"/>
    </w:p>
    <w:p w14:paraId="1A4728B8">
      <w:pPr>
        <w:pStyle w:val="42"/>
        <w:numPr>
          <w:ilvl w:val="0"/>
          <w:numId w:val="6"/>
        </w:numPr>
        <w:tabs>
          <w:tab w:val="right" w:leader="dot" w:pos="9070"/>
        </w:tabs>
        <w:spacing w:line="480" w:lineRule="auto"/>
        <w:jc w:val="center"/>
        <w:rPr>
          <w:rFonts w:hint="eastAsia" w:ascii="Arial" w:hAnsi="Arial" w:eastAsia="黑体"/>
          <w:b/>
          <w:i w:val="0"/>
          <w:color w:val="auto"/>
          <w:sz w:val="32"/>
          <w:szCs w:val="32"/>
          <w:highlight w:val="none"/>
          <w:lang w:eastAsia="zh-CN"/>
        </w:rPr>
        <w:sectPr>
          <w:footerReference r:id="rId6" w:type="first"/>
          <w:footerReference r:id="rId5"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docGrid w:type="lines" w:linePitch="312" w:charSpace="0"/>
        </w:sectPr>
      </w:pPr>
    </w:p>
    <w:p w14:paraId="30BCC7DD">
      <w:pPr>
        <w:pStyle w:val="42"/>
        <w:numPr>
          <w:ilvl w:val="0"/>
          <w:numId w:val="0"/>
        </w:numPr>
        <w:tabs>
          <w:tab w:val="right" w:leader="dot" w:pos="9070"/>
        </w:tabs>
        <w:spacing w:line="480" w:lineRule="auto"/>
        <w:jc w:val="center"/>
        <w:rPr>
          <w:rFonts w:hint="eastAsia" w:ascii="Arial" w:hAnsi="Arial" w:eastAsia="黑体"/>
          <w:b/>
          <w:i w:val="0"/>
          <w:color w:val="auto"/>
          <w:sz w:val="32"/>
          <w:szCs w:val="32"/>
          <w:highlight w:val="none"/>
          <w:lang w:eastAsia="zh-CN"/>
        </w:rPr>
      </w:pPr>
      <w:r>
        <w:rPr>
          <w:rFonts w:hint="eastAsia" w:ascii="Arial" w:hAnsi="Arial" w:eastAsia="黑体"/>
          <w:b/>
          <w:i w:val="0"/>
          <w:color w:val="auto"/>
          <w:sz w:val="32"/>
          <w:szCs w:val="32"/>
          <w:highlight w:val="none"/>
          <w:lang w:eastAsia="zh-CN"/>
        </w:rPr>
        <w:t>上河院项目跨湖人行栈道桩基检测及建设工程质量检测</w:t>
      </w:r>
    </w:p>
    <w:p w14:paraId="77D98324">
      <w:pPr>
        <w:pStyle w:val="42"/>
        <w:numPr>
          <w:ilvl w:val="0"/>
          <w:numId w:val="0"/>
        </w:numPr>
        <w:tabs>
          <w:tab w:val="right" w:leader="dot" w:pos="9070"/>
        </w:tabs>
        <w:spacing w:line="480" w:lineRule="auto"/>
        <w:jc w:val="center"/>
        <w:rPr>
          <w:rFonts w:ascii="Arial" w:hAnsi="Arial" w:eastAsia="黑体"/>
          <w:b/>
          <w:i w:val="0"/>
          <w:color w:val="auto"/>
          <w:sz w:val="32"/>
          <w:szCs w:val="32"/>
          <w:highlight w:val="none"/>
        </w:rPr>
      </w:pPr>
      <w:r>
        <w:rPr>
          <w:rFonts w:hint="eastAsia" w:ascii="Arial" w:hAnsi="Arial" w:eastAsia="黑体"/>
          <w:b/>
          <w:i w:val="0"/>
          <w:color w:val="auto"/>
          <w:sz w:val="30"/>
          <w:szCs w:val="30"/>
          <w:highlight w:val="none"/>
        </w:rPr>
        <w:t>比选公告</w:t>
      </w:r>
    </w:p>
    <w:p w14:paraId="75BCEEC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b/>
          <w:bCs/>
          <w:color w:val="auto"/>
          <w:sz w:val="30"/>
          <w:szCs w:val="30"/>
          <w:highlight w:val="none"/>
        </w:rPr>
      </w:pPr>
      <w:bookmarkStart w:id="4" w:name="_Toc28359012"/>
      <w:bookmarkStart w:id="5" w:name="_Toc35393798"/>
      <w:bookmarkStart w:id="6" w:name="_Toc35393629"/>
      <w:bookmarkStart w:id="7" w:name="_Toc28359089"/>
      <w:r>
        <w:rPr>
          <w:rFonts w:hint="eastAsia" w:ascii="仿宋" w:hAnsi="仿宋" w:eastAsia="仿宋" w:cs="仿宋"/>
          <w:color w:val="auto"/>
          <w:sz w:val="30"/>
          <w:szCs w:val="30"/>
          <w:highlight w:val="none"/>
          <w:lang w:eastAsia="zh-CN"/>
        </w:rPr>
        <w:t>安庆市交通控股集团有限公司集采中心</w:t>
      </w:r>
      <w:r>
        <w:rPr>
          <w:rFonts w:hint="eastAsia" w:ascii="仿宋" w:hAnsi="仿宋" w:eastAsia="仿宋" w:cs="仿宋"/>
          <w:color w:val="auto"/>
          <w:sz w:val="30"/>
          <w:szCs w:val="30"/>
          <w:highlight w:val="none"/>
        </w:rPr>
        <w:t>受</w:t>
      </w:r>
      <w:r>
        <w:rPr>
          <w:rFonts w:hint="eastAsia" w:ascii="仿宋" w:hAnsi="仿宋" w:eastAsia="仿宋" w:cs="仿宋"/>
          <w:color w:val="auto"/>
          <w:sz w:val="30"/>
          <w:szCs w:val="30"/>
          <w:highlight w:val="none"/>
          <w:u w:val="single"/>
          <w:lang w:eastAsia="zh-CN"/>
        </w:rPr>
        <w:t>安庆市通达置业有限公司</w:t>
      </w:r>
      <w:r>
        <w:rPr>
          <w:rFonts w:hint="eastAsia" w:ascii="仿宋" w:hAnsi="仿宋" w:eastAsia="仿宋" w:cs="仿宋"/>
          <w:color w:val="auto"/>
          <w:sz w:val="30"/>
          <w:szCs w:val="30"/>
          <w:highlight w:val="none"/>
        </w:rPr>
        <w:t>委托，现对</w:t>
      </w:r>
      <w:r>
        <w:rPr>
          <w:rFonts w:hint="eastAsia" w:ascii="仿宋" w:hAnsi="仿宋" w:eastAsia="仿宋" w:cs="仿宋"/>
          <w:color w:val="auto"/>
          <w:sz w:val="30"/>
          <w:szCs w:val="30"/>
          <w:highlight w:val="none"/>
          <w:u w:val="single"/>
          <w:lang w:eastAsia="zh-CN"/>
        </w:rPr>
        <w:t>上河院项目跨湖人行栈道桩基检测及建设工程质量检测</w:t>
      </w: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lang w:eastAsia="zh-CN"/>
        </w:rPr>
        <w:t>AQJK-CG-2025-097</w:t>
      </w:r>
      <w:r>
        <w:rPr>
          <w:rFonts w:hint="eastAsia" w:ascii="仿宋" w:hAnsi="仿宋" w:eastAsia="仿宋" w:cs="仿宋"/>
          <w:color w:val="auto"/>
          <w:sz w:val="30"/>
          <w:szCs w:val="30"/>
          <w:highlight w:val="none"/>
        </w:rPr>
        <w:t>）进行比选。</w:t>
      </w:r>
    </w:p>
    <w:p w14:paraId="077FE8F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2" w:firstLineChars="200"/>
        <w:jc w:val="both"/>
        <w:textAlignment w:val="auto"/>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rPr>
        <w:t>一、项目基本情况：</w:t>
      </w:r>
    </w:p>
    <w:p w14:paraId="4541B70A">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u w:val="none"/>
          <w:lang w:eastAsia="zh-CN"/>
        </w:rPr>
      </w:pPr>
      <w:r>
        <w:rPr>
          <w:rFonts w:hint="eastAsia" w:ascii="仿宋" w:hAnsi="仿宋" w:eastAsia="仿宋" w:cs="仿宋"/>
          <w:color w:val="auto"/>
          <w:sz w:val="30"/>
          <w:szCs w:val="30"/>
          <w:highlight w:val="none"/>
          <w:u w:val="none"/>
        </w:rPr>
        <w:t>项目名称：</w:t>
      </w:r>
      <w:r>
        <w:rPr>
          <w:rFonts w:hint="eastAsia" w:ascii="仿宋" w:hAnsi="仿宋" w:eastAsia="仿宋" w:cs="仿宋"/>
          <w:color w:val="auto"/>
          <w:sz w:val="30"/>
          <w:szCs w:val="30"/>
          <w:highlight w:val="none"/>
          <w:u w:val="single"/>
          <w:lang w:eastAsia="zh-CN"/>
        </w:rPr>
        <w:t>上河院项目跨湖人行栈道桩基检测及建设工程质量检测</w:t>
      </w:r>
      <w:r>
        <w:rPr>
          <w:rFonts w:hint="eastAsia" w:ascii="仿宋" w:hAnsi="仿宋" w:eastAsia="仿宋" w:cs="仿宋"/>
          <w:color w:val="auto"/>
          <w:sz w:val="30"/>
          <w:szCs w:val="30"/>
          <w:highlight w:val="none"/>
          <w:u w:val="none"/>
          <w:lang w:val="en-US" w:eastAsia="zh-CN"/>
        </w:rPr>
        <w:t>。</w:t>
      </w:r>
    </w:p>
    <w:p w14:paraId="21BBE94D">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项目概况</w:t>
      </w:r>
      <w:r>
        <w:rPr>
          <w:rFonts w:hint="eastAsia" w:ascii="仿宋" w:hAnsi="仿宋" w:eastAsia="仿宋" w:cs="仿宋"/>
          <w:color w:val="auto"/>
          <w:sz w:val="30"/>
          <w:szCs w:val="30"/>
          <w:highlight w:val="none"/>
          <w:u w:val="none"/>
          <w:lang w:eastAsia="zh-CN"/>
        </w:rPr>
        <w:t>：</w:t>
      </w:r>
      <w:r>
        <w:rPr>
          <w:rFonts w:hint="eastAsia" w:ascii="仿宋" w:hAnsi="仿宋" w:eastAsia="仿宋" w:cs="仿宋"/>
          <w:color w:val="auto"/>
          <w:sz w:val="30"/>
          <w:szCs w:val="30"/>
          <w:highlight w:val="none"/>
          <w:u w:val="single"/>
          <w:lang w:eastAsia="zh-CN"/>
        </w:rPr>
        <w:t>上河院项目跨湖人行栈道，包括但不限于1#景观栈道、2#景观栈道及主跨25m、长度149m的桥梁；施工内容包括但不限于桩基工程、围堰工程、钢结构工程、钢筋混凝土工程、电气工程、景观绿化工程等，具体详见施工图设计文件</w:t>
      </w:r>
      <w:r>
        <w:rPr>
          <w:rFonts w:hint="eastAsia" w:ascii="仿宋" w:hAnsi="仿宋" w:eastAsia="仿宋" w:cs="仿宋"/>
          <w:color w:val="auto"/>
          <w:sz w:val="30"/>
          <w:szCs w:val="30"/>
          <w:highlight w:val="none"/>
          <w:u w:val="none"/>
          <w:lang w:eastAsia="zh-CN"/>
        </w:rPr>
        <w:t>。</w:t>
      </w:r>
    </w:p>
    <w:p w14:paraId="2C06A7F2">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比选范围：</w:t>
      </w:r>
    </w:p>
    <w:p w14:paraId="7D53F2CD">
      <w:pPr>
        <w:keepNext w:val="0"/>
        <w:keepLines w:val="0"/>
        <w:pageBreakBefore w:val="0"/>
        <w:widowControl w:val="0"/>
        <w:numPr>
          <w:ilvl w:val="0"/>
          <w:numId w:val="8"/>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default" w:ascii="仿宋" w:hAnsi="仿宋" w:eastAsia="仿宋" w:cs="仿宋"/>
          <w:color w:val="auto"/>
          <w:sz w:val="30"/>
          <w:szCs w:val="30"/>
          <w:highlight w:val="none"/>
          <w:u w:val="none"/>
          <w:lang w:val="en-US" w:eastAsia="zh-CN"/>
        </w:rPr>
      </w:pPr>
      <w:r>
        <w:rPr>
          <w:rFonts w:hint="default" w:ascii="仿宋" w:hAnsi="仿宋" w:eastAsia="仿宋" w:cs="仿宋"/>
          <w:color w:val="auto"/>
          <w:sz w:val="30"/>
          <w:szCs w:val="30"/>
          <w:highlight w:val="none"/>
          <w:u w:val="single"/>
          <w:lang w:val="en-US" w:eastAsia="zh-CN"/>
        </w:rPr>
        <w:t>桩基检测（地基基础工程检测）；检测方法、要求、内容及数量等详见施工图及相关规范，服务成果应达到或满足国家和行业标准、规程规范及采购人要求的质量，满足工程验收需要，并为本项目竣工验收提供有关检测方面的技术支持，检测范围和检测报告应满足行业主管部门验收强制性要求</w:t>
      </w:r>
      <w:r>
        <w:rPr>
          <w:rFonts w:hint="default" w:ascii="仿宋" w:hAnsi="仿宋" w:eastAsia="仿宋" w:cs="仿宋"/>
          <w:color w:val="auto"/>
          <w:sz w:val="30"/>
          <w:szCs w:val="30"/>
          <w:highlight w:val="none"/>
          <w:u w:val="none"/>
          <w:lang w:val="en-US" w:eastAsia="zh-CN"/>
        </w:rPr>
        <w:t>。</w:t>
      </w:r>
    </w:p>
    <w:p w14:paraId="152810CB">
      <w:pPr>
        <w:keepNext w:val="0"/>
        <w:keepLines w:val="0"/>
        <w:pageBreakBefore w:val="0"/>
        <w:widowControl w:val="0"/>
        <w:numPr>
          <w:ilvl w:val="0"/>
          <w:numId w:val="8"/>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default" w:ascii="仿宋" w:hAnsi="仿宋" w:eastAsia="仿宋" w:cs="仿宋"/>
          <w:color w:val="auto"/>
          <w:sz w:val="30"/>
          <w:szCs w:val="30"/>
          <w:highlight w:val="none"/>
          <w:u w:val="none"/>
          <w:lang w:val="en-US" w:eastAsia="zh-CN"/>
        </w:rPr>
      </w:pPr>
      <w:r>
        <w:rPr>
          <w:rFonts w:hint="default" w:ascii="仿宋" w:hAnsi="仿宋" w:eastAsia="仿宋" w:cs="仿宋"/>
          <w:color w:val="auto"/>
          <w:sz w:val="30"/>
          <w:szCs w:val="30"/>
          <w:highlight w:val="none"/>
          <w:u w:val="single"/>
          <w:lang w:val="en-US" w:eastAsia="zh-CN"/>
        </w:rPr>
        <w:t>项目建设全过程工程质量检测服务</w:t>
      </w:r>
      <w:r>
        <w:rPr>
          <w:rFonts w:hint="eastAsia" w:ascii="仿宋" w:hAnsi="仿宋" w:eastAsia="仿宋" w:cs="仿宋"/>
          <w:color w:val="auto"/>
          <w:sz w:val="30"/>
          <w:szCs w:val="30"/>
          <w:highlight w:val="none"/>
          <w:u w:val="single"/>
          <w:lang w:val="en-US" w:eastAsia="zh-CN"/>
        </w:rPr>
        <w:t>；</w:t>
      </w:r>
      <w:r>
        <w:rPr>
          <w:rFonts w:hint="default" w:ascii="仿宋" w:hAnsi="仿宋" w:eastAsia="仿宋" w:cs="仿宋"/>
          <w:color w:val="auto"/>
          <w:sz w:val="30"/>
          <w:szCs w:val="30"/>
          <w:highlight w:val="none"/>
          <w:u w:val="single"/>
          <w:lang w:val="en-US" w:eastAsia="zh-CN"/>
        </w:rPr>
        <w:t>检测专项包括但不限于建筑材料及构配件、主体结构及装饰装修、市政工程材料、钢结构、防雷检测以及项目竣工验收涉及的必要检测，具体检测要求详见图纸及相关规范，检测范围和检测报告应满足行业主管部门验收强制性要求</w:t>
      </w:r>
      <w:r>
        <w:rPr>
          <w:rFonts w:hint="default" w:ascii="仿宋" w:hAnsi="仿宋" w:eastAsia="仿宋" w:cs="仿宋"/>
          <w:color w:val="auto"/>
          <w:sz w:val="30"/>
          <w:szCs w:val="30"/>
          <w:highlight w:val="none"/>
          <w:u w:val="none"/>
          <w:lang w:val="en-US" w:eastAsia="zh-CN"/>
        </w:rPr>
        <w:t>。</w:t>
      </w:r>
    </w:p>
    <w:p w14:paraId="1E0DDA86">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u w:val="none"/>
          <w:lang w:val="en-US" w:eastAsia="zh-CN"/>
        </w:rPr>
        <w:t>最高限价</w:t>
      </w:r>
      <w:r>
        <w:rPr>
          <w:rFonts w:hint="eastAsia" w:ascii="仿宋" w:hAnsi="仿宋" w:eastAsia="仿宋" w:cs="仿宋"/>
          <w:color w:val="auto"/>
          <w:sz w:val="30"/>
          <w:szCs w:val="30"/>
          <w:highlight w:val="none"/>
          <w:u w:val="none"/>
        </w:rPr>
        <w:t>：</w:t>
      </w:r>
      <w:r>
        <w:rPr>
          <w:rFonts w:hint="eastAsia" w:ascii="仿宋" w:hAnsi="仿宋" w:eastAsia="仿宋" w:cs="仿宋"/>
          <w:color w:val="auto"/>
          <w:sz w:val="30"/>
          <w:szCs w:val="30"/>
          <w:highlight w:val="none"/>
          <w:u w:val="none"/>
          <w:lang w:val="en-US" w:eastAsia="zh-CN"/>
        </w:rPr>
        <w:t>134,630.60元。</w:t>
      </w:r>
    </w:p>
    <w:p w14:paraId="73CBDE6E">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u w:val="none"/>
          <w:lang w:val="en-US" w:eastAsia="zh-CN"/>
        </w:rPr>
        <w:t>付款方式：</w:t>
      </w:r>
    </w:p>
    <w:p w14:paraId="67A0EB9F">
      <w:pPr>
        <w:keepNext w:val="0"/>
        <w:keepLines w:val="0"/>
        <w:pageBreakBefore w:val="0"/>
        <w:widowControl w:val="0"/>
        <w:numPr>
          <w:ilvl w:val="0"/>
          <w:numId w:val="9"/>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进度款：</w:t>
      </w:r>
      <w:r>
        <w:rPr>
          <w:rFonts w:hint="eastAsia" w:ascii="仿宋" w:hAnsi="仿宋" w:eastAsia="仿宋" w:cs="仿宋"/>
          <w:color w:val="auto"/>
          <w:sz w:val="30"/>
          <w:szCs w:val="30"/>
          <w:highlight w:val="none"/>
          <w:u w:val="single"/>
        </w:rPr>
        <w:t>每季度按实际已完成价款的60%支付，成交人须不晚于每季度最后一月25号前向采购人报送请款书，采购人组织相关单位完成审核后，20个工作日内完成支付</w:t>
      </w:r>
      <w:r>
        <w:rPr>
          <w:rFonts w:hint="eastAsia" w:ascii="仿宋" w:hAnsi="仿宋" w:eastAsia="仿宋" w:cs="仿宋"/>
          <w:color w:val="auto"/>
          <w:sz w:val="30"/>
          <w:szCs w:val="30"/>
          <w:highlight w:val="none"/>
        </w:rPr>
        <w:t>；</w:t>
      </w:r>
    </w:p>
    <w:p w14:paraId="237C11D9">
      <w:pPr>
        <w:keepNext w:val="0"/>
        <w:keepLines w:val="0"/>
        <w:pageBreakBefore w:val="0"/>
        <w:widowControl w:val="0"/>
        <w:numPr>
          <w:ilvl w:val="0"/>
          <w:numId w:val="9"/>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完工款：</w:t>
      </w:r>
      <w:r>
        <w:rPr>
          <w:rFonts w:hint="eastAsia" w:ascii="仿宋" w:hAnsi="仿宋" w:eastAsia="仿宋" w:cs="仿宋"/>
          <w:color w:val="auto"/>
          <w:sz w:val="30"/>
          <w:szCs w:val="30"/>
          <w:highlight w:val="none"/>
          <w:u w:val="single"/>
        </w:rPr>
        <w:t>本项目取得竣工联合验收意见书后，成交人可向采购人报送请款书，采购人组织相关单位完成审核后，20个工作日内支付至相应实际已完成价款的80%</w:t>
      </w:r>
      <w:r>
        <w:rPr>
          <w:rFonts w:hint="eastAsia" w:ascii="仿宋" w:hAnsi="仿宋" w:eastAsia="仿宋" w:cs="仿宋"/>
          <w:color w:val="auto"/>
          <w:sz w:val="30"/>
          <w:szCs w:val="30"/>
          <w:highlight w:val="none"/>
        </w:rPr>
        <w:t>；</w:t>
      </w:r>
    </w:p>
    <w:p w14:paraId="17626E62">
      <w:pPr>
        <w:keepNext w:val="0"/>
        <w:keepLines w:val="0"/>
        <w:pageBreakBefore w:val="0"/>
        <w:widowControl w:val="0"/>
        <w:numPr>
          <w:ilvl w:val="0"/>
          <w:numId w:val="9"/>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rPr>
        <w:t>结算款：</w:t>
      </w:r>
      <w:r>
        <w:rPr>
          <w:rFonts w:hint="eastAsia" w:ascii="仿宋" w:hAnsi="仿宋" w:eastAsia="仿宋" w:cs="仿宋"/>
          <w:color w:val="auto"/>
          <w:sz w:val="30"/>
          <w:szCs w:val="30"/>
          <w:highlight w:val="none"/>
          <w:u w:val="single"/>
        </w:rPr>
        <w:t>竣工结算审核完成，成交人提交符合要求的全部检测报告后可向采购人报送请款书，采购人组织相关单位完成审核后，20个工作日内付至结算价款的97%，质保期（两年）满后一次性付清余款；质保期自上河院项目</w:t>
      </w:r>
      <w:r>
        <w:rPr>
          <w:rFonts w:hint="eastAsia" w:ascii="仿宋" w:hAnsi="仿宋" w:eastAsia="仿宋" w:cs="仿宋"/>
          <w:color w:val="auto"/>
          <w:sz w:val="30"/>
          <w:szCs w:val="30"/>
          <w:highlight w:val="none"/>
          <w:u w:val="single"/>
          <w:lang w:val="en-US" w:eastAsia="zh-CN"/>
        </w:rPr>
        <w:t>跨湖人行栈道</w:t>
      </w:r>
      <w:r>
        <w:rPr>
          <w:rFonts w:hint="eastAsia" w:ascii="仿宋" w:hAnsi="仿宋" w:eastAsia="仿宋" w:cs="仿宋"/>
          <w:color w:val="auto"/>
          <w:sz w:val="30"/>
          <w:szCs w:val="30"/>
          <w:highlight w:val="none"/>
          <w:u w:val="single"/>
        </w:rPr>
        <w:t>竣工验收合格之日起计算</w:t>
      </w:r>
      <w:r>
        <w:rPr>
          <w:rFonts w:hint="eastAsia" w:ascii="仿宋" w:hAnsi="仿宋" w:eastAsia="仿宋" w:cs="仿宋"/>
          <w:color w:val="auto"/>
          <w:sz w:val="30"/>
          <w:szCs w:val="30"/>
          <w:highlight w:val="none"/>
          <w:lang w:eastAsia="zh-CN"/>
        </w:rPr>
        <w:t>。</w:t>
      </w:r>
    </w:p>
    <w:p w14:paraId="2A6A9F0D">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服务期限：</w:t>
      </w:r>
      <w:r>
        <w:rPr>
          <w:rFonts w:hint="eastAsia" w:ascii="仿宋" w:hAnsi="仿宋" w:eastAsia="仿宋" w:cs="仿宋"/>
          <w:color w:val="auto"/>
          <w:sz w:val="30"/>
          <w:szCs w:val="30"/>
          <w:highlight w:val="none"/>
          <w:u w:val="single"/>
          <w:lang w:val="en-US" w:eastAsia="zh-CN"/>
        </w:rPr>
        <w:t>自采购人下达检测通知之日起至提交合格的经采购人确认的成果文件时止，检测单位应根据工程的施工进度情况合理安排检测工期，整个检测工期应配合总包施工的工期安排</w:t>
      </w:r>
      <w:r>
        <w:rPr>
          <w:rFonts w:hint="eastAsia" w:ascii="仿宋" w:hAnsi="仿宋" w:eastAsia="仿宋" w:cs="仿宋"/>
          <w:color w:val="auto"/>
          <w:sz w:val="30"/>
          <w:szCs w:val="30"/>
          <w:highlight w:val="none"/>
          <w:u w:val="none"/>
          <w:lang w:val="en-US" w:eastAsia="zh-CN"/>
        </w:rPr>
        <w:t>。</w:t>
      </w:r>
    </w:p>
    <w:p w14:paraId="4B2A4E90">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评标办法：</w:t>
      </w:r>
      <w:r>
        <w:rPr>
          <w:rFonts w:hint="eastAsia" w:ascii="仿宋" w:hAnsi="仿宋" w:eastAsia="仿宋" w:cs="仿宋"/>
          <w:color w:val="auto"/>
          <w:sz w:val="30"/>
          <w:szCs w:val="30"/>
          <w:highlight w:val="none"/>
          <w:u w:val="single"/>
          <w:lang w:val="en-US" w:eastAsia="zh-CN"/>
        </w:rPr>
        <w:t>最低评标价法</w:t>
      </w:r>
      <w:r>
        <w:rPr>
          <w:rFonts w:hint="eastAsia" w:ascii="仿宋" w:hAnsi="仿宋" w:eastAsia="仿宋" w:cs="仿宋"/>
          <w:color w:val="auto"/>
          <w:sz w:val="30"/>
          <w:szCs w:val="30"/>
          <w:highlight w:val="none"/>
          <w:u w:val="none"/>
          <w:lang w:val="en-US" w:eastAsia="zh-CN"/>
        </w:rPr>
        <w:t>。</w:t>
      </w:r>
    </w:p>
    <w:p w14:paraId="5FC9BD9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二、参选人的资格要求：</w:t>
      </w:r>
    </w:p>
    <w:bookmarkEnd w:id="4"/>
    <w:bookmarkEnd w:id="5"/>
    <w:bookmarkEnd w:id="6"/>
    <w:bookmarkEnd w:id="7"/>
    <w:p w14:paraId="4915FB61">
      <w:pPr>
        <w:keepNext w:val="0"/>
        <w:keepLines w:val="0"/>
        <w:pageBreakBefore w:val="0"/>
        <w:widowControl w:val="0"/>
        <w:numPr>
          <w:ilvl w:val="0"/>
          <w:numId w:val="10"/>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lang w:val="en-US" w:eastAsia="zh-CN"/>
        </w:rPr>
        <w:t>本项目的特定资格要求：</w:t>
      </w:r>
      <w:r>
        <w:rPr>
          <w:rFonts w:hint="eastAsia" w:ascii="仿宋" w:hAnsi="仿宋" w:eastAsia="仿宋" w:cs="仿宋"/>
          <w:color w:val="auto"/>
          <w:sz w:val="30"/>
          <w:szCs w:val="30"/>
          <w:highlight w:val="none"/>
          <w:u w:val="single"/>
          <w:lang w:val="en-US" w:eastAsia="zh-CN"/>
        </w:rPr>
        <w:t>参选人同时满足下列（1）、（2）条要求：</w:t>
      </w:r>
    </w:p>
    <w:p w14:paraId="7D26E6C2">
      <w:pPr>
        <w:keepNext w:val="0"/>
        <w:keepLines w:val="0"/>
        <w:pageBreakBefore w:val="0"/>
        <w:widowControl w:val="0"/>
        <w:numPr>
          <w:ilvl w:val="0"/>
          <w:numId w:val="11"/>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single"/>
          <w:lang w:val="en-US" w:eastAsia="zh-CN"/>
        </w:rPr>
        <w:t>符合以下条件之一：</w:t>
      </w:r>
    </w:p>
    <w:p w14:paraId="343DAB52">
      <w:pPr>
        <w:keepNext w:val="0"/>
        <w:keepLines w:val="0"/>
        <w:pageBreakBefore w:val="0"/>
        <w:widowControl w:val="0"/>
        <w:numPr>
          <w:ilvl w:val="0"/>
          <w:numId w:val="12"/>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single"/>
          <w:lang w:val="en-US" w:eastAsia="zh-CN"/>
        </w:rPr>
        <w:t>具有建设工程质量检测机构专项资质证书（专项资质须包括：地基基础、建筑材料及构配件、主体结构及装饰装修、钢结构）；</w:t>
      </w:r>
    </w:p>
    <w:p w14:paraId="2225B64D">
      <w:pPr>
        <w:keepNext w:val="0"/>
        <w:keepLines w:val="0"/>
        <w:pageBreakBefore w:val="0"/>
        <w:widowControl w:val="0"/>
        <w:numPr>
          <w:ilvl w:val="0"/>
          <w:numId w:val="12"/>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具有建设工程质量检测机构综合资质证书；</w:t>
      </w:r>
    </w:p>
    <w:p w14:paraId="69DF2260">
      <w:pPr>
        <w:keepNext w:val="0"/>
        <w:keepLines w:val="0"/>
        <w:pageBreakBefore w:val="0"/>
        <w:widowControl w:val="0"/>
        <w:numPr>
          <w:ilvl w:val="0"/>
          <w:numId w:val="11"/>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single"/>
          <w:lang w:val="en-US" w:eastAsia="zh-CN"/>
        </w:rPr>
        <w:t>具有省级及以上市场监督管理部门颁发的有效的检验检测机构资质认定证书。</w:t>
      </w:r>
    </w:p>
    <w:p w14:paraId="3D2975EE">
      <w:pPr>
        <w:keepNext w:val="0"/>
        <w:keepLines w:val="0"/>
        <w:pageBreakBefore w:val="0"/>
        <w:widowControl w:val="0"/>
        <w:numPr>
          <w:ilvl w:val="0"/>
          <w:numId w:val="10"/>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本项目</w:t>
      </w:r>
      <w:r>
        <w:rPr>
          <w:rFonts w:hint="eastAsia" w:ascii="仿宋" w:hAnsi="仿宋" w:eastAsia="仿宋" w:cs="仿宋"/>
          <w:color w:val="auto"/>
          <w:sz w:val="30"/>
          <w:szCs w:val="30"/>
          <w:highlight w:val="none"/>
          <w:u w:val="single"/>
          <w:lang w:val="en-US" w:eastAsia="zh-CN"/>
        </w:rPr>
        <w:t>接受</w:t>
      </w:r>
      <w:r>
        <w:rPr>
          <w:rFonts w:hint="eastAsia" w:ascii="仿宋" w:hAnsi="仿宋" w:eastAsia="仿宋" w:cs="仿宋"/>
          <w:color w:val="auto"/>
          <w:sz w:val="30"/>
          <w:szCs w:val="30"/>
          <w:highlight w:val="none"/>
          <w:lang w:val="en-US" w:eastAsia="zh-CN"/>
        </w:rPr>
        <w:t>联合体参选。参选人如为联合体，联合体则须满足以下条件：</w:t>
      </w:r>
    </w:p>
    <w:p w14:paraId="75DEF011">
      <w:pPr>
        <w:keepNext w:val="0"/>
        <w:keepLines w:val="0"/>
        <w:pageBreakBefore w:val="0"/>
        <w:widowControl w:val="0"/>
        <w:numPr>
          <w:ilvl w:val="0"/>
          <w:numId w:val="13"/>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联合体组成单位总数量不超过2家。</w:t>
      </w:r>
    </w:p>
    <w:p w14:paraId="69D86FA6">
      <w:pPr>
        <w:keepNext w:val="0"/>
        <w:keepLines w:val="0"/>
        <w:pageBreakBefore w:val="0"/>
        <w:widowControl w:val="0"/>
        <w:numPr>
          <w:ilvl w:val="0"/>
          <w:numId w:val="13"/>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联合体各成员应当签订联合体协议书，联合体协议书中须明确各方承担的工作和责任。</w:t>
      </w:r>
    </w:p>
    <w:p w14:paraId="205394F1">
      <w:pPr>
        <w:keepNext w:val="0"/>
        <w:keepLines w:val="0"/>
        <w:pageBreakBefore w:val="0"/>
        <w:widowControl w:val="0"/>
        <w:numPr>
          <w:ilvl w:val="0"/>
          <w:numId w:val="13"/>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联合体各方不得再以自己名义单独参选，也不得组成新的联合体或参加其他联合体参与本项目的比选。</w:t>
      </w:r>
    </w:p>
    <w:p w14:paraId="0EBCDE3C">
      <w:pPr>
        <w:keepNext w:val="0"/>
        <w:keepLines w:val="0"/>
        <w:pageBreakBefore w:val="0"/>
        <w:widowControl w:val="0"/>
        <w:numPr>
          <w:ilvl w:val="0"/>
          <w:numId w:val="13"/>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如为联合体参选，则必须由联合体牵头人进行报名。</w:t>
      </w:r>
    </w:p>
    <w:p w14:paraId="2CCD4ADF">
      <w:pPr>
        <w:keepNext w:val="0"/>
        <w:keepLines w:val="0"/>
        <w:pageBreakBefore w:val="0"/>
        <w:widowControl w:val="0"/>
        <w:numPr>
          <w:ilvl w:val="0"/>
          <w:numId w:val="10"/>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参选人有以下情形不得参与本次比选活动：</w:t>
      </w:r>
    </w:p>
    <w:p w14:paraId="59DBF700">
      <w:pPr>
        <w:pStyle w:val="82"/>
        <w:keepNext w:val="0"/>
        <w:keepLines w:val="0"/>
        <w:pageBreakBefore w:val="0"/>
        <w:widowControl w:val="0"/>
        <w:kinsoku/>
        <w:wordWrap/>
        <w:overflowPunct/>
        <w:topLinePunct w:val="0"/>
        <w:autoSpaceDE/>
        <w:autoSpaceDN/>
        <w:bidi w:val="0"/>
        <w:adjustRightInd w:val="0"/>
        <w:snapToGrid w:val="0"/>
        <w:spacing w:beforeLines="0" w:after="0" w:line="540" w:lineRule="exact"/>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3.1被列入安庆市交通控股集团有限公司黑名单管理系统；</w:t>
      </w:r>
    </w:p>
    <w:p w14:paraId="7B3192F9">
      <w:pPr>
        <w:pStyle w:val="82"/>
        <w:keepNext w:val="0"/>
        <w:keepLines w:val="0"/>
        <w:pageBreakBefore w:val="0"/>
        <w:widowControl w:val="0"/>
        <w:kinsoku/>
        <w:wordWrap/>
        <w:overflowPunct/>
        <w:topLinePunct w:val="0"/>
        <w:autoSpaceDE/>
        <w:autoSpaceDN/>
        <w:bidi w:val="0"/>
        <w:adjustRightInd w:val="0"/>
        <w:snapToGrid w:val="0"/>
        <w:spacing w:beforeLines="0" w:after="0" w:line="540" w:lineRule="exact"/>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3.2在安庆市交通控股集团有限公司处罚限制期限内的投标人或参选人；</w:t>
      </w:r>
    </w:p>
    <w:p w14:paraId="05968A48">
      <w:pPr>
        <w:pStyle w:val="82"/>
        <w:keepNext w:val="0"/>
        <w:keepLines w:val="0"/>
        <w:pageBreakBefore w:val="0"/>
        <w:widowControl w:val="0"/>
        <w:kinsoku/>
        <w:wordWrap/>
        <w:overflowPunct/>
        <w:topLinePunct w:val="0"/>
        <w:autoSpaceDE/>
        <w:autoSpaceDN/>
        <w:bidi w:val="0"/>
        <w:adjustRightInd w:val="0"/>
        <w:snapToGrid w:val="0"/>
        <w:spacing w:beforeLines="0" w:after="0" w:line="540" w:lineRule="exact"/>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3.3前期参与安庆市交通控股集团有限公司组织的招标采购活动获得中标候选人资格而放弃中标资格不签订合同的投标人或参选人，在处罚期内的投标人或参选人不得参与本次比选活动。</w:t>
      </w:r>
    </w:p>
    <w:p w14:paraId="4C6A8F28">
      <w:pPr>
        <w:keepNext w:val="0"/>
        <w:keepLines w:val="0"/>
        <w:pageBreakBefore w:val="0"/>
        <w:widowControl w:val="0"/>
        <w:numPr>
          <w:ilvl w:val="0"/>
          <w:numId w:val="10"/>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拟派项目负责人：</w:t>
      </w:r>
      <w:r>
        <w:rPr>
          <w:rFonts w:hint="eastAsia" w:ascii="仿宋" w:hAnsi="仿宋" w:eastAsia="仿宋" w:cs="仿宋"/>
          <w:color w:val="auto"/>
          <w:kern w:val="2"/>
          <w:sz w:val="30"/>
          <w:szCs w:val="30"/>
          <w:highlight w:val="none"/>
          <w:u w:val="single"/>
          <w:lang w:val="en-US" w:eastAsia="zh-CN" w:bidi="ar-SA"/>
        </w:rPr>
        <w:t>具有检测人员岗位证书或试验检测师或试验检测工程师证书</w:t>
      </w:r>
      <w:r>
        <w:rPr>
          <w:rFonts w:hint="eastAsia" w:ascii="仿宋" w:hAnsi="仿宋" w:eastAsia="仿宋" w:cs="仿宋"/>
          <w:color w:val="auto"/>
          <w:kern w:val="2"/>
          <w:sz w:val="30"/>
          <w:szCs w:val="30"/>
          <w:highlight w:val="none"/>
          <w:lang w:val="en-US" w:eastAsia="zh-CN" w:bidi="ar-SA"/>
        </w:rPr>
        <w:t>。</w:t>
      </w:r>
    </w:p>
    <w:p w14:paraId="1434E949">
      <w:pPr>
        <w:keepNext w:val="0"/>
        <w:keepLines w:val="0"/>
        <w:pageBreakBefore w:val="0"/>
        <w:widowControl w:val="0"/>
        <w:numPr>
          <w:ilvl w:val="0"/>
          <w:numId w:val="10"/>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满足中华人民共和国住房和城乡建设部令第57号《建设工程质量检测管理办法》第十五条规定，“检测机构与所检测建设工程相关的建设、施工、监理单位，以及建筑材料、建筑构配件和设备供应单位不得有隶属关系或者其他利害关系”。本项目已受施工单位委托开展自检的检测单位不得参与本项目比选。</w:t>
      </w:r>
    </w:p>
    <w:p w14:paraId="017DC52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三、比选文件获取：</w:t>
      </w:r>
    </w:p>
    <w:p w14:paraId="5096860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1.潜在参选人</w:t>
      </w:r>
      <w:r>
        <w:rPr>
          <w:rFonts w:hint="eastAsia" w:ascii="仿宋" w:hAnsi="仿宋" w:eastAsia="仿宋" w:cs="仿宋"/>
          <w:color w:val="auto"/>
          <w:sz w:val="30"/>
          <w:szCs w:val="30"/>
          <w:highlight w:val="none"/>
          <w:u w:val="none"/>
        </w:rPr>
        <w:t>于</w:t>
      </w:r>
      <w:r>
        <w:rPr>
          <w:rFonts w:hint="eastAsia" w:ascii="仿宋" w:hAnsi="仿宋" w:eastAsia="仿宋" w:cs="仿宋"/>
          <w:color w:val="auto"/>
          <w:sz w:val="30"/>
          <w:szCs w:val="30"/>
          <w:highlight w:val="none"/>
          <w:lang w:val="en-US" w:eastAsia="zh-CN"/>
        </w:rPr>
        <w:t>2026</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日</w:t>
      </w:r>
      <w:bookmarkStart w:id="167" w:name="_GoBack"/>
      <w:bookmarkEnd w:id="167"/>
      <w:r>
        <w:rPr>
          <w:rFonts w:hint="eastAsia" w:ascii="仿宋" w:hAnsi="仿宋" w:eastAsia="仿宋" w:cs="仿宋"/>
          <w:color w:val="auto"/>
          <w:sz w:val="30"/>
          <w:szCs w:val="30"/>
          <w:highlight w:val="none"/>
          <w:u w:val="none"/>
        </w:rPr>
        <w:t>17</w:t>
      </w:r>
      <w:r>
        <w:rPr>
          <w:rFonts w:hint="eastAsia" w:ascii="仿宋" w:hAnsi="仿宋" w:eastAsia="仿宋" w:cs="仿宋"/>
          <w:color w:val="auto"/>
          <w:sz w:val="30"/>
          <w:szCs w:val="30"/>
          <w:highlight w:val="none"/>
        </w:rPr>
        <w:t>点30分前，每天8:00至17:30（北京时间）登录安庆市交通控股集团有限公司</w:t>
      </w:r>
      <w:r>
        <w:rPr>
          <w:rFonts w:hint="eastAsia" w:ascii="仿宋" w:hAnsi="仿宋" w:eastAsia="仿宋" w:cs="仿宋"/>
          <w:color w:val="auto"/>
          <w:sz w:val="30"/>
          <w:szCs w:val="30"/>
          <w:highlight w:val="none"/>
          <w:lang w:eastAsia="zh-CN"/>
        </w:rPr>
        <w:t>集采平台</w:t>
      </w:r>
      <w:r>
        <w:rPr>
          <w:rFonts w:hint="eastAsia" w:ascii="仿宋" w:hAnsi="仿宋" w:eastAsia="仿宋" w:cs="仿宋"/>
          <w:color w:val="auto"/>
          <w:sz w:val="30"/>
          <w:szCs w:val="30"/>
          <w:highlight w:val="none"/>
        </w:rPr>
        <w:t>（http://jc.zh0556.com/）获取比选文件。</w:t>
      </w:r>
    </w:p>
    <w:p w14:paraId="2EF9AB3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2.参选文件及相关资料工本费：不收取。</w:t>
      </w:r>
    </w:p>
    <w:p w14:paraId="57BB57A4">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rPr>
        <w:t>3.报名方式：</w:t>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将“确定参与比</w:t>
      </w:r>
      <w:r>
        <w:rPr>
          <w:rFonts w:hint="eastAsia" w:ascii="仿宋" w:hAnsi="仿宋" w:eastAsia="仿宋" w:cs="仿宋"/>
          <w:strike w:val="0"/>
          <w:dstrike w:val="0"/>
          <w:color w:val="auto"/>
          <w:sz w:val="30"/>
          <w:szCs w:val="30"/>
          <w:highlight w:val="none"/>
          <w:u w:val="none"/>
        </w:rPr>
        <w:t>选的函”盖供应商公章在</w:t>
      </w:r>
      <w:r>
        <w:rPr>
          <w:rFonts w:hint="eastAsia" w:ascii="仿宋" w:hAnsi="仿宋" w:eastAsia="仿宋" w:cs="仿宋"/>
          <w:color w:val="auto"/>
          <w:sz w:val="30"/>
          <w:szCs w:val="30"/>
          <w:highlight w:val="none"/>
          <w:lang w:val="en-US" w:eastAsia="zh-CN"/>
        </w:rPr>
        <w:t>2026</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日</w:t>
      </w:r>
      <w:r>
        <w:rPr>
          <w:rFonts w:hint="eastAsia" w:ascii="仿宋" w:hAnsi="仿宋" w:eastAsia="仿宋" w:cs="仿宋"/>
          <w:strike w:val="0"/>
          <w:dstrike w:val="0"/>
          <w:color w:val="auto"/>
          <w:sz w:val="30"/>
          <w:szCs w:val="30"/>
          <w:highlight w:val="none"/>
          <w:u w:val="none"/>
        </w:rPr>
        <w:t>17</w:t>
      </w:r>
      <w:r>
        <w:rPr>
          <w:rFonts w:hint="eastAsia" w:ascii="仿宋" w:hAnsi="仿宋" w:eastAsia="仿宋" w:cs="仿宋"/>
          <w:color w:val="auto"/>
          <w:sz w:val="30"/>
          <w:szCs w:val="30"/>
          <w:highlight w:val="none"/>
        </w:rPr>
        <w:t>点30分前发邮箱</w:t>
      </w:r>
      <w:r>
        <w:rPr>
          <w:rFonts w:hint="eastAsia" w:ascii="仿宋" w:hAnsi="仿宋" w:eastAsia="仿宋" w:cs="仿宋"/>
          <w:color w:val="auto"/>
          <w:sz w:val="30"/>
          <w:szCs w:val="30"/>
          <w:highlight w:val="none"/>
          <w:lang w:val="en-US" w:eastAsia="zh-CN"/>
        </w:rPr>
        <w:t>1179928670</w:t>
      </w:r>
      <w:r>
        <w:rPr>
          <w:rFonts w:hint="eastAsia" w:ascii="仿宋" w:hAnsi="仿宋" w:eastAsia="仿宋" w:cs="仿宋"/>
          <w:color w:val="auto"/>
          <w:sz w:val="30"/>
          <w:szCs w:val="30"/>
          <w:highlight w:val="none"/>
        </w:rPr>
        <w:t>@qq.com（报名截止后发送，报名无效）</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t>。</w:t>
      </w:r>
    </w:p>
    <w:p w14:paraId="380EB7D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.已发确认参与函，而放弃参加比选的参选人，须在比选时间截止日前一天以公司名义向1179928670@</w:t>
      </w:r>
      <w:r>
        <w:rPr>
          <w:rFonts w:hint="eastAsia" w:ascii="仿宋" w:hAnsi="仿宋" w:eastAsia="仿宋" w:cs="仿宋"/>
          <w:color w:val="auto"/>
          <w:sz w:val="30"/>
          <w:szCs w:val="30"/>
          <w:highlight w:val="none"/>
          <w:lang w:val="en-US" w:eastAsia="zh-CN"/>
        </w:rPr>
        <w:t>QQ</w:t>
      </w:r>
      <w:r>
        <w:rPr>
          <w:rFonts w:hint="eastAsia" w:ascii="仿宋" w:hAnsi="仿宋" w:eastAsia="仿宋" w:cs="仿宋"/>
          <w:color w:val="auto"/>
          <w:sz w:val="30"/>
          <w:szCs w:val="30"/>
          <w:highlight w:val="none"/>
        </w:rPr>
        <w:t>.com发送放弃参与函（格式自拟）</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否则</w:t>
      </w:r>
      <w:r>
        <w:rPr>
          <w:rFonts w:hint="eastAsia" w:ascii="仿宋" w:hAnsi="仿宋" w:eastAsia="仿宋" w:cs="仿宋"/>
          <w:color w:val="auto"/>
          <w:sz w:val="30"/>
          <w:szCs w:val="30"/>
          <w:highlight w:val="none"/>
          <w:lang w:val="en-US" w:eastAsia="zh-CN"/>
        </w:rPr>
        <w:t>采购</w:t>
      </w:r>
      <w:r>
        <w:rPr>
          <w:rFonts w:hint="eastAsia" w:ascii="仿宋" w:hAnsi="仿宋" w:eastAsia="仿宋" w:cs="仿宋"/>
          <w:color w:val="auto"/>
          <w:sz w:val="30"/>
          <w:szCs w:val="30"/>
          <w:highlight w:val="none"/>
        </w:rPr>
        <w:t>管理人将予拉入集团黑名单处理</w:t>
      </w:r>
      <w:r>
        <w:rPr>
          <w:rFonts w:hint="eastAsia" w:ascii="仿宋" w:hAnsi="仿宋" w:eastAsia="仿宋" w:cs="仿宋"/>
          <w:color w:val="auto"/>
          <w:sz w:val="30"/>
          <w:szCs w:val="30"/>
          <w:highlight w:val="none"/>
          <w:lang w:eastAsia="zh-CN"/>
        </w:rPr>
        <w:t>。</w:t>
      </w:r>
    </w:p>
    <w:p w14:paraId="5BD5B09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四、比选时间及地点：</w:t>
      </w:r>
    </w:p>
    <w:p w14:paraId="06B63F6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时间：</w:t>
      </w:r>
      <w:r>
        <w:rPr>
          <w:rFonts w:hint="eastAsia" w:ascii="仿宋" w:hAnsi="仿宋" w:eastAsia="仿宋" w:cs="仿宋"/>
          <w:color w:val="auto"/>
          <w:sz w:val="30"/>
          <w:szCs w:val="30"/>
          <w:highlight w:val="none"/>
          <w:lang w:val="en-US" w:eastAsia="zh-CN"/>
        </w:rPr>
        <w:t>2026</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15</w:t>
      </w:r>
      <w:r>
        <w:rPr>
          <w:rFonts w:hint="eastAsia" w:ascii="仿宋" w:hAnsi="仿宋" w:eastAsia="仿宋" w:cs="仿宋"/>
          <w:color w:val="auto"/>
          <w:sz w:val="30"/>
          <w:szCs w:val="30"/>
          <w:highlight w:val="none"/>
        </w:rPr>
        <w:t>时</w:t>
      </w:r>
      <w:r>
        <w:rPr>
          <w:rFonts w:hint="eastAsia" w:ascii="仿宋" w:hAnsi="仿宋" w:eastAsia="仿宋" w:cs="仿宋"/>
          <w:color w:val="auto"/>
          <w:sz w:val="30"/>
          <w:szCs w:val="30"/>
          <w:highlight w:val="none"/>
          <w:lang w:val="en-US" w:eastAsia="zh-CN"/>
        </w:rPr>
        <w:t>00</w:t>
      </w:r>
      <w:r>
        <w:rPr>
          <w:rFonts w:hint="eastAsia" w:ascii="仿宋" w:hAnsi="仿宋" w:eastAsia="仿宋" w:cs="仿宋"/>
          <w:color w:val="auto"/>
          <w:sz w:val="30"/>
          <w:szCs w:val="30"/>
          <w:highlight w:val="none"/>
        </w:rPr>
        <w:t>分</w:t>
      </w:r>
    </w:p>
    <w:p w14:paraId="213CC80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地点：安庆市大观区宜园路16号安庆交控集团二号楼一楼开标室</w:t>
      </w:r>
    </w:p>
    <w:p w14:paraId="653CA2C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五、其他补充事宜：</w:t>
      </w:r>
    </w:p>
    <w:p w14:paraId="6B1F65EE">
      <w:pPr>
        <w:keepNext w:val="0"/>
        <w:keepLines w:val="0"/>
        <w:pageBreakBefore w:val="0"/>
        <w:widowControl w:val="0"/>
        <w:numPr>
          <w:ilvl w:val="0"/>
          <w:numId w:val="14"/>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kern w:val="2"/>
          <w:sz w:val="30"/>
          <w:szCs w:val="30"/>
          <w:highlight w:val="none"/>
          <w:lang w:val="en-US" w:eastAsia="zh-CN" w:bidi="ar-SA"/>
        </w:rPr>
        <w:t>检测机构需按照国家、省、市相关文件进行登记或备案手续。检测机构跨省、自治区、直辖市承担检测业务的，应当向建设工程所在地的省、自治区、直辖市人民政府住房和城乡建设主管部门备案。</w:t>
      </w:r>
    </w:p>
    <w:p w14:paraId="4922931F">
      <w:pPr>
        <w:keepNext w:val="0"/>
        <w:keepLines w:val="0"/>
        <w:pageBreakBefore w:val="0"/>
        <w:widowControl w:val="0"/>
        <w:numPr>
          <w:ilvl w:val="0"/>
          <w:numId w:val="14"/>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参选人的联系人电话(手机)、电子邮箱等通讯方式在比选过程中必须保持畅通，否则因上述原因造成的后果，责任自负。</w:t>
      </w:r>
    </w:p>
    <w:p w14:paraId="2E536D23">
      <w:pPr>
        <w:keepNext w:val="0"/>
        <w:keepLines w:val="0"/>
        <w:pageBreakBefore w:val="0"/>
        <w:widowControl w:val="0"/>
        <w:numPr>
          <w:ilvl w:val="0"/>
          <w:numId w:val="14"/>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本项目比选实行纸质参选，比选活动线下完成。比选时参选人需要按时到达比选现场进行签到</w:t>
      </w:r>
      <w:r>
        <w:rPr>
          <w:rFonts w:hint="eastAsia" w:ascii="仿宋" w:hAnsi="仿宋" w:eastAsia="仿宋" w:cs="仿宋"/>
          <w:color w:val="auto"/>
          <w:sz w:val="30"/>
          <w:szCs w:val="30"/>
          <w:highlight w:val="none"/>
          <w:lang w:val="en-US" w:eastAsia="zh-CN"/>
        </w:rPr>
        <w:t>并递交投标文件</w:t>
      </w:r>
      <w:r>
        <w:rPr>
          <w:rFonts w:hint="eastAsia" w:ascii="仿宋" w:hAnsi="仿宋" w:eastAsia="仿宋" w:cs="仿宋"/>
          <w:color w:val="auto"/>
          <w:sz w:val="30"/>
          <w:szCs w:val="30"/>
          <w:highlight w:val="none"/>
        </w:rPr>
        <w:t>，因参选人未按时</w:t>
      </w:r>
      <w:r>
        <w:rPr>
          <w:rFonts w:hint="eastAsia" w:ascii="仿宋" w:hAnsi="仿宋" w:eastAsia="仿宋" w:cs="仿宋"/>
          <w:color w:val="auto"/>
          <w:sz w:val="30"/>
          <w:szCs w:val="30"/>
          <w:highlight w:val="none"/>
          <w:lang w:eastAsia="zh-CN"/>
        </w:rPr>
        <w:t>到达</w:t>
      </w:r>
      <w:r>
        <w:rPr>
          <w:rFonts w:hint="eastAsia" w:ascii="仿宋" w:hAnsi="仿宋" w:eastAsia="仿宋" w:cs="仿宋"/>
          <w:color w:val="auto"/>
          <w:sz w:val="30"/>
          <w:szCs w:val="30"/>
          <w:highlight w:val="none"/>
        </w:rPr>
        <w:t>比选现场，则视为主动放弃，对比选造成的不利后果由其自行承担。</w:t>
      </w:r>
    </w:p>
    <w:p w14:paraId="2841A692">
      <w:pPr>
        <w:keepNext w:val="0"/>
        <w:keepLines w:val="0"/>
        <w:pageBreakBefore w:val="0"/>
        <w:widowControl w:val="0"/>
        <w:numPr>
          <w:ilvl w:val="0"/>
          <w:numId w:val="14"/>
        </w:numPr>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成交人应在采购人要求的时间内与采购人签订合同。</w:t>
      </w:r>
    </w:p>
    <w:p w14:paraId="69E1EF6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auto"/>
        <w:rPr>
          <w:rFonts w:hint="eastAsia" w:ascii="仿宋" w:hAnsi="仿宋" w:eastAsia="仿宋" w:cs="仿宋"/>
          <w:b/>
          <w:bCs w:val="0"/>
          <w:color w:val="auto"/>
          <w:sz w:val="32"/>
          <w:szCs w:val="32"/>
          <w:highlight w:val="none"/>
        </w:rPr>
      </w:pPr>
      <w:bookmarkStart w:id="8" w:name="_Toc35393636"/>
      <w:bookmarkStart w:id="9" w:name="_Toc28359095"/>
      <w:bookmarkStart w:id="10" w:name="_Toc28359018"/>
      <w:bookmarkStart w:id="11" w:name="_Toc35393805"/>
      <w:r>
        <w:rPr>
          <w:rFonts w:hint="eastAsia" w:ascii="仿宋" w:hAnsi="仿宋" w:eastAsia="仿宋" w:cs="仿宋"/>
          <w:b/>
          <w:bCs w:val="0"/>
          <w:color w:val="auto"/>
          <w:sz w:val="32"/>
          <w:szCs w:val="32"/>
          <w:highlight w:val="none"/>
          <w:lang w:val="en-US" w:eastAsia="zh-CN"/>
        </w:rPr>
        <w:t>六</w:t>
      </w:r>
      <w:r>
        <w:rPr>
          <w:rFonts w:hint="eastAsia" w:ascii="仿宋" w:hAnsi="仿宋" w:eastAsia="仿宋" w:cs="仿宋"/>
          <w:b/>
          <w:bCs w:val="0"/>
          <w:color w:val="auto"/>
          <w:sz w:val="32"/>
          <w:szCs w:val="32"/>
          <w:highlight w:val="none"/>
        </w:rPr>
        <w:t>、凡对本次比选提出询问，请按以下方式联系</w:t>
      </w:r>
      <w:bookmarkEnd w:id="8"/>
      <w:bookmarkEnd w:id="9"/>
      <w:bookmarkEnd w:id="10"/>
      <w:bookmarkEnd w:id="11"/>
    </w:p>
    <w:p w14:paraId="3691C05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color w:val="auto"/>
          <w:sz w:val="30"/>
          <w:szCs w:val="30"/>
          <w:highlight w:val="none"/>
        </w:rPr>
      </w:pPr>
      <w:bookmarkStart w:id="12" w:name="_Toc35393637"/>
      <w:bookmarkStart w:id="13" w:name="_Toc28359019"/>
      <w:bookmarkStart w:id="14" w:name="_Toc35393806"/>
      <w:bookmarkStart w:id="15" w:name="_Toc28359096"/>
      <w:r>
        <w:rPr>
          <w:rFonts w:hint="eastAsia" w:ascii="仿宋" w:hAnsi="仿宋" w:eastAsia="仿宋" w:cs="仿宋"/>
          <w:color w:val="auto"/>
          <w:sz w:val="30"/>
          <w:szCs w:val="30"/>
          <w:highlight w:val="none"/>
        </w:rPr>
        <w:t>1.采购人信息</w:t>
      </w:r>
      <w:bookmarkEnd w:id="12"/>
      <w:bookmarkEnd w:id="13"/>
      <w:bookmarkEnd w:id="14"/>
      <w:bookmarkEnd w:id="15"/>
    </w:p>
    <w:p w14:paraId="1DABCD8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名    称：安庆市通达置业有限公司</w:t>
      </w:r>
    </w:p>
    <w:p w14:paraId="265F57B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地    址：安徽省安庆市宜秀区大桥街道振风大道与龙眠山路交叉口东北角</w:t>
      </w:r>
    </w:p>
    <w:p w14:paraId="417863B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jc w:val="both"/>
        <w:textAlignment w:val="auto"/>
        <w:rPr>
          <w:rFonts w:hint="default"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联 系 人：冯刘飞</w:t>
      </w:r>
    </w:p>
    <w:p w14:paraId="240E7B5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联系方式：0556-8880050</w:t>
      </w:r>
    </w:p>
    <w:p w14:paraId="232C70F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jc w:val="both"/>
        <w:textAlignment w:val="auto"/>
        <w:rPr>
          <w:rFonts w:hint="default" w:ascii="仿宋" w:hAnsi="仿宋" w:eastAsia="仿宋" w:cs="仿宋"/>
          <w:bCs/>
          <w:color w:val="auto"/>
          <w:sz w:val="30"/>
          <w:szCs w:val="30"/>
          <w:highlight w:val="none"/>
          <w:lang w:val="en-US" w:eastAsia="zh-CN"/>
        </w:rPr>
      </w:pPr>
    </w:p>
    <w:p w14:paraId="56BEA14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2.采购管理部门信息</w:t>
      </w:r>
    </w:p>
    <w:p w14:paraId="7408381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名    称：安庆市交通控股集团有限公司集采中心</w:t>
      </w:r>
    </w:p>
    <w:p w14:paraId="601A967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地    址：安庆市大观区宜园路16号2号楼一层</w:t>
      </w:r>
    </w:p>
    <w:p w14:paraId="48623EB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联 系 人：王欣怡</w:t>
      </w:r>
    </w:p>
    <w:p w14:paraId="0358993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00" w:firstLineChars="200"/>
        <w:jc w:val="both"/>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30"/>
          <w:szCs w:val="30"/>
          <w:highlight w:val="none"/>
          <w:lang w:val="en-US" w:eastAsia="zh-CN"/>
        </w:rPr>
        <w:t>联系方式：</w:t>
      </w:r>
      <w:r>
        <w:rPr>
          <w:rFonts w:hint="eastAsia" w:ascii="仿宋" w:hAnsi="仿宋" w:eastAsia="仿宋" w:cs="仿宋"/>
          <w:i w:val="0"/>
          <w:iCs w:val="0"/>
          <w:caps w:val="0"/>
          <w:color w:val="auto"/>
          <w:spacing w:val="0"/>
          <w:sz w:val="30"/>
          <w:szCs w:val="30"/>
          <w:highlight w:val="none"/>
          <w:shd w:val="clear" w:fill="FFFFFF"/>
        </w:rPr>
        <w:t>0556-5990510</w:t>
      </w:r>
    </w:p>
    <w:p w14:paraId="01548478">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5BE92320">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47253E42">
      <w:pPr>
        <w:keepNext/>
        <w:keepLines/>
        <w:widowControl w:val="0"/>
        <w:spacing w:before="340" w:after="330" w:line="578" w:lineRule="auto"/>
        <w:jc w:val="center"/>
        <w:outlineLvl w:val="0"/>
        <w:rPr>
          <w:rFonts w:hint="eastAsia" w:ascii="宋体" w:hAnsi="宋体" w:eastAsia="宋体" w:cs="宋体"/>
          <w:b/>
          <w:bCs/>
          <w:color w:val="auto"/>
          <w:kern w:val="44"/>
          <w:sz w:val="44"/>
          <w:szCs w:val="44"/>
          <w:highlight w:val="none"/>
          <w:lang w:val="en-US" w:eastAsia="zh-CN" w:bidi="ar-SA"/>
        </w:rPr>
      </w:pPr>
      <w:bookmarkStart w:id="16" w:name="_Toc13660"/>
      <w:r>
        <w:rPr>
          <w:rFonts w:hint="eastAsia" w:ascii="宋体" w:hAnsi="宋体" w:eastAsia="宋体" w:cs="宋体"/>
          <w:b/>
          <w:bCs/>
          <w:color w:val="auto"/>
          <w:kern w:val="44"/>
          <w:sz w:val="44"/>
          <w:szCs w:val="44"/>
          <w:highlight w:val="none"/>
          <w:lang w:val="en-US" w:eastAsia="zh-CN" w:bidi="ar-SA"/>
        </w:rPr>
        <w:t>确定参与比选的函</w:t>
      </w:r>
      <w:bookmarkEnd w:id="16"/>
    </w:p>
    <w:p w14:paraId="43B04224">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035D8B86">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上河院项目跨湖人行栈道桩基检测及建设工程质量检测</w:t>
      </w:r>
      <w:r>
        <w:rPr>
          <w:rFonts w:hint="eastAsia" w:ascii="仿宋" w:hAnsi="仿宋" w:eastAsia="仿宋" w:cs="仿宋"/>
          <w:b w:val="0"/>
          <w:bCs w:val="0"/>
          <w:color w:val="auto"/>
          <w:sz w:val="32"/>
          <w:szCs w:val="32"/>
          <w:highlight w:val="none"/>
          <w:u w:val="none"/>
          <w:lang w:val="en-US" w:eastAsia="zh-CN"/>
        </w:rPr>
        <w:t>项目，并承诺按比选文件的要求，按时参与比选开标。</w:t>
      </w:r>
    </w:p>
    <w:p w14:paraId="667FC54F">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7F6F12C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37147403">
      <w:pPr>
        <w:ind w:firstLine="640"/>
        <w:jc w:val="both"/>
        <w:rPr>
          <w:rFonts w:hint="eastAsia" w:ascii="仿宋" w:hAnsi="仿宋" w:eastAsia="仿宋" w:cs="仿宋"/>
          <w:b w:val="0"/>
          <w:bCs w:val="0"/>
          <w:color w:val="auto"/>
          <w:sz w:val="32"/>
          <w:szCs w:val="32"/>
          <w:highlight w:val="none"/>
          <w:u w:val="none"/>
          <w:lang w:val="en-US" w:eastAsia="zh-CN"/>
        </w:rPr>
      </w:pPr>
    </w:p>
    <w:p w14:paraId="02AC4DF3">
      <w:pPr>
        <w:pStyle w:val="81"/>
        <w:rPr>
          <w:rFonts w:hint="eastAsia" w:ascii="仿宋" w:hAnsi="仿宋" w:eastAsia="仿宋" w:cs="仿宋"/>
          <w:b w:val="0"/>
          <w:bCs w:val="0"/>
          <w:color w:val="auto"/>
          <w:sz w:val="32"/>
          <w:szCs w:val="32"/>
          <w:highlight w:val="none"/>
          <w:u w:val="none"/>
          <w:lang w:val="en-US" w:eastAsia="zh-CN"/>
        </w:rPr>
      </w:pPr>
    </w:p>
    <w:p w14:paraId="3BBAE40A">
      <w:pPr>
        <w:pStyle w:val="81"/>
        <w:rPr>
          <w:rFonts w:hint="eastAsia" w:ascii="仿宋" w:hAnsi="仿宋" w:eastAsia="仿宋" w:cs="仿宋"/>
          <w:b w:val="0"/>
          <w:bCs w:val="0"/>
          <w:color w:val="auto"/>
          <w:sz w:val="32"/>
          <w:szCs w:val="32"/>
          <w:highlight w:val="none"/>
          <w:u w:val="none"/>
          <w:lang w:val="en-US" w:eastAsia="zh-CN"/>
        </w:rPr>
      </w:pPr>
    </w:p>
    <w:p w14:paraId="324B7CC7">
      <w:pPr>
        <w:pStyle w:val="81"/>
        <w:rPr>
          <w:rFonts w:hint="eastAsia" w:ascii="仿宋" w:hAnsi="仿宋" w:eastAsia="仿宋" w:cs="仿宋"/>
          <w:b w:val="0"/>
          <w:bCs w:val="0"/>
          <w:color w:val="auto"/>
          <w:sz w:val="32"/>
          <w:szCs w:val="32"/>
          <w:highlight w:val="none"/>
          <w:u w:val="none"/>
          <w:lang w:val="en-US" w:eastAsia="zh-CN"/>
        </w:rPr>
      </w:pPr>
    </w:p>
    <w:p w14:paraId="2A947E7E">
      <w:pPr>
        <w:wordWrap w:val="0"/>
        <w:ind w:firstLine="640"/>
        <w:jc w:val="right"/>
        <w:rPr>
          <w:rFonts w:hint="default"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单位名称（盖章）                   </w:t>
      </w:r>
    </w:p>
    <w:p w14:paraId="0FFD0F8D">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8D5CEEA">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5D32225D">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17" w:name="_Toc26069"/>
      <w:bookmarkStart w:id="18" w:name="_Toc11223"/>
      <w:bookmarkStart w:id="19" w:name="_Toc54941329"/>
      <w:r>
        <w:rPr>
          <w:rFonts w:hint="eastAsia" w:ascii="Arial" w:hAnsi="Arial"/>
          <w:color w:val="auto"/>
          <w:kern w:val="2"/>
          <w:sz w:val="32"/>
          <w:szCs w:val="32"/>
          <w:highlight w:val="none"/>
        </w:rPr>
        <w:t>第二章  比选须知</w:t>
      </w:r>
      <w:bookmarkEnd w:id="3"/>
      <w:bookmarkEnd w:id="17"/>
      <w:bookmarkEnd w:id="18"/>
      <w:bookmarkEnd w:id="19"/>
    </w:p>
    <w:p w14:paraId="4F179406">
      <w:pPr>
        <w:pStyle w:val="3"/>
        <w:rPr>
          <w:rFonts w:cs="Tahoma"/>
          <w:bCs/>
          <w:color w:val="auto"/>
          <w:kern w:val="0"/>
          <w:sz w:val="32"/>
          <w:szCs w:val="32"/>
          <w:highlight w:val="none"/>
        </w:rPr>
      </w:pPr>
      <w:bookmarkStart w:id="20" w:name="_Toc54941330"/>
      <w:bookmarkStart w:id="21" w:name="_Toc17862"/>
      <w:bookmarkStart w:id="22" w:name="_Toc439316871"/>
      <w:r>
        <w:rPr>
          <w:rFonts w:hint="eastAsia" w:cs="Tahoma"/>
          <w:bCs/>
          <w:color w:val="auto"/>
          <w:kern w:val="0"/>
          <w:sz w:val="32"/>
          <w:szCs w:val="32"/>
          <w:highlight w:val="none"/>
        </w:rPr>
        <w:t>第一节 参选人须知前附表</w:t>
      </w:r>
      <w:bookmarkEnd w:id="20"/>
      <w:bookmarkEnd w:id="21"/>
      <w:bookmarkEnd w:id="22"/>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25AD4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1591DD2">
            <w:pPr>
              <w:keepNext w:val="0"/>
              <w:keepLines w:val="0"/>
              <w:pageBreakBefore w:val="0"/>
              <w:suppressLineNumbers w:val="0"/>
              <w:kinsoku/>
              <w:wordWrap/>
              <w:overflowPunct/>
              <w:topLinePunct w:val="0"/>
              <w:bidi w:val="0"/>
              <w:spacing w:before="0" w:beforeAutospacing="0" w:after="0" w:afterAutospacing="0" w:line="420" w:lineRule="exact"/>
              <w:ind w:left="0" w:right="-358"/>
              <w:textAlignment w:val="auto"/>
              <w:rPr>
                <w:rFonts w:hint="default"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1A66B73C">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42D55860">
            <w:pPr>
              <w:keepNext w:val="0"/>
              <w:keepLines w:val="0"/>
              <w:pageBreakBefore w:val="0"/>
              <w:suppressLineNumbers w:val="0"/>
              <w:tabs>
                <w:tab w:val="left" w:pos="1180"/>
              </w:tabs>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说明与要求</w:t>
            </w:r>
          </w:p>
        </w:tc>
      </w:tr>
      <w:tr w14:paraId="22AEB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427FE82F">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4B61788E">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7116AEE7">
            <w:pPr>
              <w:keepNext w:val="0"/>
              <w:keepLines w:val="0"/>
              <w:pageBreakBefore w:val="0"/>
              <w:widowControl/>
              <w:suppressLineNumbers w:val="0"/>
              <w:kinsoku/>
              <w:wordWrap/>
              <w:overflowPunct/>
              <w:topLinePunct w:val="0"/>
              <w:bidi w:val="0"/>
              <w:snapToGrid w:val="0"/>
              <w:spacing w:before="0" w:beforeAutospacing="0" w:after="0" w:afterAutospacing="0" w:line="420" w:lineRule="exact"/>
              <w:ind w:left="0" w:right="0"/>
              <w:textAlignment w:val="auto"/>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上河院项目跨湖人行栈道桩基检测及建设工程质量检测</w:t>
            </w:r>
          </w:p>
        </w:tc>
      </w:tr>
      <w:tr w14:paraId="0DAFA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11190683">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35A02CAC">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6473DFA8">
            <w:pPr>
              <w:keepNext w:val="0"/>
              <w:keepLines w:val="0"/>
              <w:pageBreakBefore w:val="0"/>
              <w:widowControl/>
              <w:suppressLineNumbers w:val="0"/>
              <w:kinsoku/>
              <w:wordWrap/>
              <w:overflowPunct/>
              <w:topLinePunct w:val="0"/>
              <w:bidi w:val="0"/>
              <w:snapToGrid w:val="0"/>
              <w:spacing w:before="0" w:beforeAutospacing="0" w:after="0" w:afterAutospacing="0" w:line="420" w:lineRule="exact"/>
              <w:ind w:left="0" w:right="0"/>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AQJK-CG-2025-097</w:t>
            </w:r>
          </w:p>
        </w:tc>
      </w:tr>
      <w:tr w14:paraId="5E246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5D5A74D8">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0A11FFD1">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2EC96699">
            <w:pPr>
              <w:keepNext w:val="0"/>
              <w:keepLines w:val="0"/>
              <w:pageBreakBefore w:val="0"/>
              <w:widowControl/>
              <w:suppressLineNumbers w:val="0"/>
              <w:kinsoku/>
              <w:wordWrap/>
              <w:overflowPunct/>
              <w:topLinePunct w:val="0"/>
              <w:bidi w:val="0"/>
              <w:snapToGrid w:val="0"/>
              <w:spacing w:before="0" w:beforeAutospacing="0" w:after="0" w:afterAutospacing="0" w:line="420" w:lineRule="exact"/>
              <w:ind w:left="0" w:right="0"/>
              <w:textAlignment w:val="auto"/>
              <w:rPr>
                <w:rFonts w:hint="eastAsia" w:eastAsia="宋体"/>
                <w:b w:val="0"/>
                <w:bCs w:val="0"/>
                <w:color w:val="auto"/>
                <w:sz w:val="21"/>
                <w:szCs w:val="21"/>
                <w:highlight w:val="none"/>
                <w:lang w:eastAsia="zh-CN"/>
              </w:rPr>
            </w:pPr>
            <w:r>
              <w:rPr>
                <w:rFonts w:hint="eastAsia"/>
                <w:b w:val="0"/>
                <w:bCs w:val="0"/>
                <w:color w:val="auto"/>
                <w:sz w:val="21"/>
                <w:szCs w:val="21"/>
                <w:highlight w:val="none"/>
                <w:lang w:eastAsia="zh-CN"/>
              </w:rPr>
              <w:t>安庆市通达置业有限公司</w:t>
            </w:r>
          </w:p>
        </w:tc>
      </w:tr>
      <w:tr w14:paraId="38066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87A631E">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4AD2E697">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08F2E3DE">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Times New Roman" w:eastAsia="宋体" w:cs="宋体"/>
                <w:color w:val="auto"/>
                <w:kern w:val="0"/>
                <w:sz w:val="21"/>
                <w:szCs w:val="21"/>
                <w:highlight w:val="none"/>
                <w:lang w:val="en-US" w:eastAsia="zh-CN" w:bidi="ar-SA"/>
              </w:rPr>
            </w:pPr>
            <w:r>
              <w:rPr>
                <w:rFonts w:hint="eastAsia" w:cs="Times New Roman"/>
                <w:color w:val="auto"/>
                <w:szCs w:val="21"/>
                <w:highlight w:val="none"/>
                <w:lang w:val="en-US" w:eastAsia="zh-CN"/>
              </w:rPr>
              <w:t>安庆市交通控股集团有限公司集采中心</w:t>
            </w:r>
          </w:p>
        </w:tc>
      </w:tr>
      <w:tr w14:paraId="6BF06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91087A0">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15ED8534">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0305924">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6A045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5C619CED">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637C96A9">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最高限价</w:t>
            </w:r>
          </w:p>
        </w:tc>
        <w:tc>
          <w:tcPr>
            <w:tcW w:w="6356" w:type="dxa"/>
            <w:tcBorders>
              <w:top w:val="single" w:color="auto" w:sz="4" w:space="0"/>
              <w:left w:val="single" w:color="auto" w:sz="4" w:space="0"/>
              <w:bottom w:val="single" w:color="auto" w:sz="4" w:space="0"/>
            </w:tcBorders>
            <w:vAlign w:val="center"/>
          </w:tcPr>
          <w:p w14:paraId="2FB81315">
            <w:pPr>
              <w:keepNext w:val="0"/>
              <w:keepLines w:val="0"/>
              <w:pageBreakBefore w:val="0"/>
              <w:numPr>
                <w:ilvl w:val="0"/>
                <w:numId w:val="0"/>
              </w:numPr>
              <w:suppressLineNumbers w:val="0"/>
              <w:kinsoku/>
              <w:wordWrap/>
              <w:overflowPunct/>
              <w:topLinePunct w:val="0"/>
              <w:bidi w:val="0"/>
              <w:spacing w:before="0" w:beforeAutospacing="0" w:after="0" w:afterAutospacing="0" w:line="420" w:lineRule="exact"/>
              <w:ind w:left="0" w:right="0"/>
              <w:jc w:val="left"/>
              <w:textAlignment w:val="auto"/>
              <w:rPr>
                <w:rFonts w:hint="default" w:eastAsia="宋体"/>
                <w:color w:val="auto"/>
                <w:szCs w:val="21"/>
                <w:highlight w:val="none"/>
                <w:lang w:val="en-US" w:eastAsia="zh-CN"/>
              </w:rPr>
            </w:pPr>
            <w:r>
              <w:rPr>
                <w:rFonts w:hint="eastAsia"/>
                <w:color w:val="auto"/>
                <w:szCs w:val="21"/>
                <w:highlight w:val="none"/>
                <w:lang w:val="en-US" w:eastAsia="zh-CN"/>
              </w:rPr>
              <w:t>详见比选公告</w:t>
            </w:r>
          </w:p>
        </w:tc>
      </w:tr>
      <w:tr w14:paraId="11747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28BD70E">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7</w:t>
            </w:r>
          </w:p>
        </w:tc>
        <w:tc>
          <w:tcPr>
            <w:tcW w:w="2125" w:type="dxa"/>
            <w:tcBorders>
              <w:top w:val="single" w:color="auto" w:sz="4" w:space="0"/>
              <w:left w:val="single" w:color="auto" w:sz="4" w:space="0"/>
              <w:bottom w:val="single" w:color="auto" w:sz="4" w:space="0"/>
              <w:right w:val="single" w:color="auto" w:sz="4" w:space="0"/>
            </w:tcBorders>
            <w:vAlign w:val="center"/>
          </w:tcPr>
          <w:p w14:paraId="3B9D9AA6">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0570D9DC">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default" w:eastAsia="宋体"/>
                <w:color w:val="auto"/>
                <w:szCs w:val="21"/>
                <w:highlight w:val="none"/>
                <w:lang w:val="en-US" w:eastAsia="zh-CN"/>
              </w:rPr>
            </w:pPr>
            <w:r>
              <w:rPr>
                <w:rFonts w:hint="eastAsia"/>
                <w:color w:val="auto"/>
                <w:szCs w:val="21"/>
                <w:highlight w:val="none"/>
                <w:lang w:val="en-US" w:eastAsia="zh-CN"/>
              </w:rPr>
              <w:t>详见比选公告</w:t>
            </w:r>
          </w:p>
        </w:tc>
      </w:tr>
      <w:tr w14:paraId="3A8B1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F5ACED7">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52205EC7">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4DBBFF8">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74E74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B552178">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297130E3">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3F6E6A99">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default" w:ascii="宋体"/>
                <w:color w:val="auto"/>
                <w:szCs w:val="21"/>
                <w:highlight w:val="none"/>
              </w:rPr>
            </w:pPr>
            <w:r>
              <w:rPr>
                <w:rFonts w:hint="eastAsia" w:ascii="宋体" w:hAnsi="宋体"/>
                <w:color w:val="auto"/>
                <w:szCs w:val="21"/>
                <w:highlight w:val="none"/>
              </w:rPr>
              <w:t>比选招标</w:t>
            </w:r>
          </w:p>
        </w:tc>
      </w:tr>
      <w:tr w14:paraId="51D6B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7479D9B">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653A406">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1062F443">
            <w:pPr>
              <w:keepNext w:val="0"/>
              <w:keepLines w:val="0"/>
              <w:pageBreakBefore w:val="0"/>
              <w:suppressLineNumbers w:val="0"/>
              <w:kinsoku/>
              <w:wordWrap/>
              <w:overflowPunct/>
              <w:topLinePunct w:val="0"/>
              <w:bidi w:val="0"/>
              <w:spacing w:before="0" w:beforeAutospacing="0" w:after="0" w:afterAutospacing="0" w:line="420" w:lineRule="exact"/>
              <w:ind w:left="-2" w:leftChars="-1" w:right="0" w:firstLine="2"/>
              <w:textAlignment w:val="auto"/>
              <w:rPr>
                <w:rFonts w:hint="default" w:ascii="宋体"/>
                <w:color w:val="auto"/>
                <w:szCs w:val="21"/>
                <w:highlight w:val="none"/>
              </w:rPr>
            </w:pPr>
            <w:r>
              <w:rPr>
                <w:rFonts w:hint="eastAsia" w:ascii="宋体" w:hAnsi="宋体"/>
                <w:color w:val="auto"/>
                <w:szCs w:val="21"/>
                <w:highlight w:val="none"/>
                <w:u w:val="single"/>
                <w:lang w:val="en-US" w:eastAsia="zh-CN"/>
              </w:rPr>
              <w:t>9</w:t>
            </w:r>
            <w:r>
              <w:rPr>
                <w:rFonts w:hint="default"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7C458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2EE111C">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66DC0607">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4BF023C5">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default" w:eastAsia="宋体"/>
                <w:color w:val="auto"/>
                <w:szCs w:val="20"/>
                <w:highlight w:val="none"/>
                <w:lang w:val="en-US" w:eastAsia="zh-CN"/>
              </w:rPr>
            </w:pPr>
            <w:r>
              <w:rPr>
                <w:rFonts w:hint="eastAsia"/>
                <w:color w:val="auto"/>
                <w:szCs w:val="20"/>
                <w:highlight w:val="none"/>
                <w:lang w:val="en-US" w:eastAsia="zh-CN"/>
              </w:rPr>
              <w:t>本项目不收取</w:t>
            </w:r>
          </w:p>
        </w:tc>
      </w:tr>
      <w:tr w14:paraId="7EACE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EC88002">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12</w:t>
            </w:r>
          </w:p>
        </w:tc>
        <w:tc>
          <w:tcPr>
            <w:tcW w:w="2125" w:type="dxa"/>
            <w:tcBorders>
              <w:top w:val="single" w:color="auto" w:sz="4" w:space="0"/>
              <w:left w:val="single" w:color="auto" w:sz="4" w:space="0"/>
              <w:bottom w:val="single" w:color="auto" w:sz="4" w:space="0"/>
              <w:right w:val="single" w:color="auto" w:sz="4" w:space="0"/>
            </w:tcBorders>
            <w:vAlign w:val="center"/>
          </w:tcPr>
          <w:p w14:paraId="67B51F08">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3E732722">
            <w:pPr>
              <w:pStyle w:val="23"/>
              <w:keepNext w:val="0"/>
              <w:keepLines w:val="0"/>
              <w:widowControl/>
              <w:numPr>
                <w:ilvl w:val="0"/>
                <w:numId w:val="0"/>
              </w:numPr>
              <w:suppressLineNumbers w:val="0"/>
              <w:spacing w:before="0" w:beforeAutospacing="0" w:after="0" w:afterAutospacing="0" w:line="420" w:lineRule="exact"/>
              <w:ind w:left="0" w:right="0"/>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2305ABA">
            <w:pPr>
              <w:pStyle w:val="23"/>
              <w:keepNext w:val="0"/>
              <w:keepLines w:val="0"/>
              <w:widowControl/>
              <w:numPr>
                <w:ilvl w:val="0"/>
                <w:numId w:val="0"/>
              </w:numPr>
              <w:suppressLineNumbers w:val="0"/>
              <w:spacing w:before="0" w:beforeAutospacing="0" w:after="0" w:afterAutospacing="0" w:line="420" w:lineRule="exact"/>
              <w:ind w:left="0" w:right="0"/>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6650E3AA">
            <w:pPr>
              <w:pStyle w:val="23"/>
              <w:keepNext w:val="0"/>
              <w:keepLines w:val="0"/>
              <w:widowControl/>
              <w:numPr>
                <w:ilvl w:val="0"/>
                <w:numId w:val="0"/>
              </w:numPr>
              <w:suppressLineNumbers w:val="0"/>
              <w:spacing w:before="0" w:beforeAutospacing="0" w:after="0" w:afterAutospacing="0" w:line="420" w:lineRule="exact"/>
              <w:ind w:left="0" w:right="0"/>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123E4BC5">
            <w:pPr>
              <w:pStyle w:val="23"/>
              <w:keepNext w:val="0"/>
              <w:keepLines w:val="0"/>
              <w:widowControl/>
              <w:numPr>
                <w:ilvl w:val="0"/>
                <w:numId w:val="0"/>
              </w:numPr>
              <w:suppressLineNumbers w:val="0"/>
              <w:spacing w:before="0" w:beforeAutospacing="0" w:after="0" w:afterAutospacing="0" w:line="420" w:lineRule="exact"/>
              <w:ind w:left="0" w:right="0"/>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674B5D0">
            <w:pPr>
              <w:pStyle w:val="23"/>
              <w:keepNext w:val="0"/>
              <w:keepLines w:val="0"/>
              <w:widowControl/>
              <w:numPr>
                <w:ilvl w:val="0"/>
                <w:numId w:val="0"/>
              </w:numPr>
              <w:suppressLineNumbers w:val="0"/>
              <w:spacing w:before="0" w:beforeAutospacing="0" w:after="0" w:afterAutospacing="0" w:line="420" w:lineRule="exact"/>
              <w:ind w:left="0" w:right="0"/>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561A9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27FB0B1">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140835B6">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7F800101">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420" w:lineRule="exact"/>
              <w:ind w:left="0" w:right="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F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1E4B2B">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59DBC0EC">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0FC8195F">
            <w:pPr>
              <w:keepNext w:val="0"/>
              <w:keepLines w:val="0"/>
              <w:suppressLineNumbers w:val="0"/>
              <w:spacing w:before="0" w:beforeAutospacing="0" w:after="0" w:afterAutospacing="0" w:line="42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none"/>
                <w:lang w:val="en-US" w:eastAsia="zh-CN"/>
              </w:rPr>
              <w:t>15</w:t>
            </w:r>
            <w:r>
              <w:rPr>
                <w:rFonts w:hint="eastAsia" w:ascii="宋体" w:hAnsi="宋体" w:eastAsia="宋体" w:cs="宋体"/>
                <w:color w:val="auto"/>
                <w:sz w:val="21"/>
                <w:szCs w:val="21"/>
                <w:highlight w:val="none"/>
                <w:u w:val="none"/>
              </w:rPr>
              <w:t>时</w:t>
            </w:r>
            <w:r>
              <w:rPr>
                <w:rFonts w:hint="eastAsia" w:ascii="宋体" w:hAnsi="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rPr>
              <w:t>分</w:t>
            </w:r>
          </w:p>
          <w:p w14:paraId="5E4F948E">
            <w:pPr>
              <w:keepNext w:val="0"/>
              <w:keepLines w:val="0"/>
              <w:suppressLineNumbers w:val="0"/>
              <w:spacing w:before="0" w:beforeAutospacing="0" w:after="0" w:afterAutospacing="0" w:line="420" w:lineRule="exact"/>
              <w:ind w:left="0" w:right="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6CA16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04501AB">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15</w:t>
            </w:r>
          </w:p>
        </w:tc>
        <w:tc>
          <w:tcPr>
            <w:tcW w:w="2125" w:type="dxa"/>
            <w:tcBorders>
              <w:top w:val="single" w:color="auto" w:sz="4" w:space="0"/>
              <w:left w:val="single" w:color="auto" w:sz="4" w:space="0"/>
              <w:bottom w:val="single" w:color="auto" w:sz="4" w:space="0"/>
              <w:right w:val="single" w:color="auto" w:sz="4" w:space="0"/>
            </w:tcBorders>
          </w:tcPr>
          <w:p w14:paraId="12AD85FB">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77DB9DDD">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最低评标价法</w:t>
            </w:r>
          </w:p>
        </w:tc>
      </w:tr>
      <w:tr w14:paraId="60EBB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B8875D8">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16</w:t>
            </w:r>
          </w:p>
        </w:tc>
        <w:tc>
          <w:tcPr>
            <w:tcW w:w="2125" w:type="dxa"/>
            <w:tcBorders>
              <w:top w:val="single" w:color="auto" w:sz="4" w:space="0"/>
              <w:left w:val="single" w:color="auto" w:sz="4" w:space="0"/>
              <w:bottom w:val="single" w:color="auto" w:sz="4" w:space="0"/>
              <w:right w:val="single" w:color="auto" w:sz="4" w:space="0"/>
            </w:tcBorders>
            <w:vAlign w:val="center"/>
          </w:tcPr>
          <w:p w14:paraId="395893CA">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履约保证金</w:t>
            </w:r>
          </w:p>
        </w:tc>
        <w:tc>
          <w:tcPr>
            <w:tcW w:w="6356" w:type="dxa"/>
            <w:tcBorders>
              <w:top w:val="single" w:color="auto" w:sz="4" w:space="0"/>
              <w:left w:val="single" w:color="auto" w:sz="4" w:space="0"/>
              <w:bottom w:val="single" w:color="auto" w:sz="4" w:space="0"/>
            </w:tcBorders>
            <w:vAlign w:val="center"/>
          </w:tcPr>
          <w:p w14:paraId="0ECF2FB4">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是否要求投标人递交履约保证金：</w:t>
            </w:r>
          </w:p>
          <w:p w14:paraId="0269AE34">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不要求</w:t>
            </w:r>
          </w:p>
          <w:p w14:paraId="31A93009">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要求，具体如下：</w:t>
            </w:r>
          </w:p>
          <w:p w14:paraId="45163499">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（1）比例：中标合同金额的 2 ％。</w:t>
            </w:r>
          </w:p>
          <w:p w14:paraId="2C50FE81">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（2）履约保证金形式：</w:t>
            </w:r>
          </w:p>
          <w:p w14:paraId="2DB6691F">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银行转账</w:t>
            </w:r>
          </w:p>
          <w:p w14:paraId="34ADE4A4">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银行电汇</w:t>
            </w:r>
          </w:p>
          <w:p w14:paraId="696E27BF">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银行保函</w:t>
            </w:r>
          </w:p>
          <w:p w14:paraId="12E4DDA9">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担保机构担保</w:t>
            </w:r>
          </w:p>
          <w:p w14:paraId="7229BCA8">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保证保险</w:t>
            </w:r>
          </w:p>
          <w:p w14:paraId="4DA7434D">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（3）具体要求：</w:t>
            </w:r>
          </w:p>
          <w:p w14:paraId="0FEAF8C0">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①采用银行保函的，应为不可撤销、不可转让的见索即付独立保函。</w:t>
            </w:r>
          </w:p>
          <w:p w14:paraId="44FA5A38">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②采用担保机构担保的，应为依法取得融资担保业务经营许可证的融资担保机构出具的不可撤销、不可转让的见索即付独立保函。</w:t>
            </w:r>
          </w:p>
          <w:p w14:paraId="5A7087D0">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③采用保证保险的，应为保险公司出具的不可撤销、不可转让的见索即付保证保险。</w:t>
            </w:r>
          </w:p>
          <w:p w14:paraId="357E067D">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（4）本招标项目是否减免履约保证金：</w:t>
            </w:r>
          </w:p>
          <w:p w14:paraId="2205B9FD">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不减免</w:t>
            </w:r>
          </w:p>
          <w:p w14:paraId="469F7078">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减免，适用减免履约保证金的情形：</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w:t>
            </w:r>
          </w:p>
          <w:p w14:paraId="166E3FFD">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（5）其他要求：</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cs="宋体"/>
                <w:color w:val="auto"/>
                <w:sz w:val="21"/>
                <w:szCs w:val="21"/>
                <w:highlight w:val="none"/>
                <w:u w:val="none"/>
                <w:lang w:val="en-US" w:eastAsia="zh-CN"/>
              </w:rPr>
              <w:t>。</w:t>
            </w:r>
          </w:p>
        </w:tc>
      </w:tr>
      <w:tr w14:paraId="3FC87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45BD99">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17</w:t>
            </w:r>
          </w:p>
        </w:tc>
        <w:tc>
          <w:tcPr>
            <w:tcW w:w="2125" w:type="dxa"/>
            <w:tcBorders>
              <w:top w:val="single" w:color="auto" w:sz="4" w:space="0"/>
              <w:left w:val="single" w:color="auto" w:sz="4" w:space="0"/>
              <w:bottom w:val="single" w:color="auto" w:sz="4" w:space="0"/>
              <w:right w:val="single" w:color="auto" w:sz="4" w:space="0"/>
            </w:tcBorders>
            <w:vAlign w:val="top"/>
          </w:tcPr>
          <w:p w14:paraId="20FA3D65">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177C30C0">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Times New Roman" w:eastAsia="宋体" w:cs="Times New Roman"/>
                <w:b/>
                <w:bCs/>
                <w:color w:val="auto"/>
                <w:kern w:val="2"/>
                <w:sz w:val="21"/>
                <w:szCs w:val="21"/>
                <w:highlight w:val="none"/>
                <w:lang w:val="en-US" w:eastAsia="zh-CN" w:bidi="ar-SA"/>
              </w:rPr>
            </w:pPr>
            <w:r>
              <w:rPr>
                <w:rFonts w:hint="eastAsia" w:ascii="宋体" w:hAnsi="Times New Roman" w:eastAsia="宋体" w:cs="Times New Roman"/>
                <w:b/>
                <w:bCs/>
                <w:color w:val="auto"/>
                <w:szCs w:val="21"/>
                <w:highlight w:val="none"/>
                <w:lang w:val="en-US" w:eastAsia="zh-CN"/>
              </w:rPr>
              <w:t>由成交人承担</w:t>
            </w:r>
          </w:p>
        </w:tc>
      </w:tr>
      <w:tr w14:paraId="7C0EE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52D8ECC">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18</w:t>
            </w:r>
          </w:p>
        </w:tc>
        <w:tc>
          <w:tcPr>
            <w:tcW w:w="2125" w:type="dxa"/>
            <w:tcBorders>
              <w:top w:val="single" w:color="auto" w:sz="4" w:space="0"/>
              <w:left w:val="single" w:color="auto" w:sz="4" w:space="0"/>
              <w:bottom w:val="single" w:color="auto" w:sz="4" w:space="0"/>
              <w:right w:val="single" w:color="auto" w:sz="4" w:space="0"/>
            </w:tcBorders>
            <w:vAlign w:val="center"/>
          </w:tcPr>
          <w:p w14:paraId="5EBD4E1D">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3F0E5C22">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详见比选公告。</w:t>
            </w:r>
          </w:p>
        </w:tc>
      </w:tr>
      <w:tr w14:paraId="7B297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91D85C2">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center"/>
          </w:tcPr>
          <w:p w14:paraId="2BA55E69">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415F2D0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350A07B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tc>
      </w:tr>
      <w:tr w14:paraId="21F80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42BBFF45">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20</w:t>
            </w:r>
          </w:p>
        </w:tc>
        <w:tc>
          <w:tcPr>
            <w:tcW w:w="2125" w:type="dxa"/>
            <w:tcBorders>
              <w:top w:val="single" w:color="auto" w:sz="4" w:space="0"/>
              <w:left w:val="single" w:color="auto" w:sz="4" w:space="0"/>
              <w:bottom w:val="single" w:color="auto" w:sz="4" w:space="0"/>
              <w:right w:val="single" w:color="auto" w:sz="4" w:space="0"/>
            </w:tcBorders>
            <w:vAlign w:val="center"/>
          </w:tcPr>
          <w:p w14:paraId="0E83A7CF">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3CB534D">
            <w:pPr>
              <w:keepNext w:val="0"/>
              <w:keepLines w:val="0"/>
              <w:suppressLineNumbers w:val="0"/>
              <w:spacing w:before="0" w:beforeAutospacing="0" w:after="0" w:afterAutospacing="0" w:line="4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69E27864">
            <w:pPr>
              <w:keepNext w:val="0"/>
              <w:keepLines w:val="0"/>
              <w:suppressLineNumbers w:val="0"/>
              <w:spacing w:before="0" w:beforeAutospacing="0" w:after="0" w:afterAutospacing="0" w:line="4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A2009EE">
            <w:pPr>
              <w:keepNext w:val="0"/>
              <w:keepLines w:val="0"/>
              <w:suppressLineNumbers w:val="0"/>
              <w:spacing w:before="0" w:beforeAutospacing="0" w:after="0" w:afterAutospacing="0" w:line="42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szCs w:val="20"/>
                <w:highlight w:val="none"/>
                <w:lang w:val="en-US" w:eastAsia="zh-CN" w:bidi="ar-SA"/>
              </w:rPr>
              <w:t>本次采购管理部门为</w:t>
            </w:r>
            <w:r>
              <w:rPr>
                <w:rFonts w:hint="eastAsia" w:cs="Times New Roman"/>
                <w:color w:val="auto"/>
                <w:kern w:val="2"/>
                <w:sz w:val="21"/>
                <w:szCs w:val="20"/>
                <w:highlight w:val="none"/>
                <w:lang w:val="en-US" w:eastAsia="zh-CN" w:bidi="ar-SA"/>
              </w:rPr>
              <w:t>安庆市交通控股集团有限公司集采中心</w:t>
            </w:r>
            <w:r>
              <w:rPr>
                <w:rFonts w:hint="eastAsia" w:ascii="Times New Roman" w:hAnsi="Times New Roman" w:eastAsia="宋体" w:cs="Times New Roman"/>
                <w:color w:val="auto"/>
                <w:kern w:val="2"/>
                <w:sz w:val="21"/>
                <w:szCs w:val="20"/>
                <w:highlight w:val="none"/>
                <w:lang w:val="en-US" w:eastAsia="zh-CN" w:bidi="ar-SA"/>
              </w:rPr>
              <w:t>，</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ascii="宋体" w:hAnsi="宋体" w:cs="宋体"/>
                <w:color w:val="auto"/>
                <w:sz w:val="21"/>
                <w:szCs w:val="21"/>
                <w:highlight w:val="none"/>
                <w:lang w:val="en-US" w:eastAsia="zh-CN"/>
              </w:rPr>
              <w:t>“安庆市通达置业有限公司”，特此说明</w:t>
            </w:r>
            <w:r>
              <w:rPr>
                <w:rFonts w:hint="eastAsia" w:ascii="宋体" w:hAnsi="宋体" w:eastAsia="宋体" w:cs="宋体"/>
                <w:color w:val="auto"/>
                <w:sz w:val="21"/>
                <w:szCs w:val="21"/>
                <w:highlight w:val="none"/>
                <w:lang w:val="en-US" w:eastAsia="zh-CN"/>
              </w:rPr>
              <w:t>。</w:t>
            </w:r>
          </w:p>
        </w:tc>
      </w:tr>
      <w:tr w14:paraId="57E61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352F510A">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5D535F87">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2496D54">
            <w:pPr>
              <w:keepNext w:val="0"/>
              <w:keepLines w:val="0"/>
              <w:suppressLineNumbers w:val="0"/>
              <w:spacing w:before="0" w:beforeAutospacing="0" w:after="0" w:afterAutospacing="0" w:line="420" w:lineRule="exact"/>
              <w:ind w:left="0" w:right="0"/>
              <w:rPr>
                <w:rFonts w:hint="eastAsia"/>
                <w:color w:val="auto"/>
                <w:szCs w:val="20"/>
                <w:highlight w:val="none"/>
              </w:rPr>
            </w:pPr>
            <w:r>
              <w:rPr>
                <w:rFonts w:hint="eastAsia"/>
                <w:color w:val="auto"/>
                <w:szCs w:val="20"/>
                <w:highlight w:val="none"/>
              </w:rPr>
              <w:t>凡有意参加</w:t>
            </w:r>
            <w:r>
              <w:rPr>
                <w:rFonts w:hint="eastAsia"/>
                <w:color w:val="auto"/>
                <w:szCs w:val="20"/>
                <w:highlight w:val="none"/>
                <w:lang w:val="en-US" w:eastAsia="zh-CN"/>
              </w:rPr>
              <w:t>比选</w:t>
            </w:r>
            <w:r>
              <w:rPr>
                <w:rFonts w:hint="eastAsia"/>
                <w:color w:val="auto"/>
                <w:szCs w:val="20"/>
                <w:highlight w:val="none"/>
              </w:rPr>
              <w:t>的单位，在参与过程中，遇排斥潜在</w:t>
            </w:r>
            <w:r>
              <w:rPr>
                <w:rFonts w:hint="eastAsia"/>
                <w:color w:val="auto"/>
                <w:szCs w:val="20"/>
                <w:highlight w:val="none"/>
                <w:lang w:val="en-US" w:eastAsia="zh-CN"/>
              </w:rPr>
              <w:t>参选</w:t>
            </w:r>
            <w:r>
              <w:rPr>
                <w:rFonts w:hint="eastAsia"/>
                <w:color w:val="auto"/>
                <w:szCs w:val="20"/>
                <w:highlight w:val="none"/>
              </w:rPr>
              <w:t>人等现象，可在开标截止时间1日前向</w:t>
            </w:r>
            <w:r>
              <w:rPr>
                <w:rFonts w:hint="eastAsia"/>
                <w:color w:val="auto"/>
                <w:szCs w:val="20"/>
                <w:highlight w:val="none"/>
                <w:lang w:eastAsia="zh-CN"/>
              </w:rPr>
              <w:t>采购</w:t>
            </w:r>
            <w:r>
              <w:rPr>
                <w:rFonts w:hint="eastAsia"/>
                <w:color w:val="auto"/>
                <w:szCs w:val="20"/>
                <w:highlight w:val="none"/>
              </w:rPr>
              <w:t>部门提出书面质疑。如对质疑答复不满，可在开标截止时间前不少于12小时将书面投诉材料送达至监察部门。</w:t>
            </w:r>
          </w:p>
          <w:p w14:paraId="4AAD54AF">
            <w:pPr>
              <w:keepNext w:val="0"/>
              <w:keepLines w:val="0"/>
              <w:suppressLineNumbers w:val="0"/>
              <w:spacing w:before="0" w:beforeAutospacing="0" w:after="0" w:afterAutospacing="0" w:line="420" w:lineRule="exact"/>
              <w:ind w:left="0" w:right="0"/>
              <w:rPr>
                <w:rFonts w:hint="eastAsia"/>
                <w:color w:val="auto"/>
                <w:szCs w:val="20"/>
                <w:highlight w:val="none"/>
              </w:rPr>
            </w:pPr>
            <w:r>
              <w:rPr>
                <w:rFonts w:hint="eastAsia"/>
                <w:color w:val="auto"/>
                <w:szCs w:val="20"/>
                <w:highlight w:val="none"/>
              </w:rPr>
              <w:t>地址：安庆市交通控股集团有限公司纪检监察室</w:t>
            </w:r>
          </w:p>
          <w:p w14:paraId="20A56451">
            <w:pPr>
              <w:keepNext w:val="0"/>
              <w:keepLines w:val="0"/>
              <w:suppressLineNumbers w:val="0"/>
              <w:spacing w:before="0" w:beforeAutospacing="0" w:after="0" w:afterAutospacing="0" w:line="420" w:lineRule="exact"/>
              <w:ind w:left="0" w:right="0"/>
              <w:rPr>
                <w:rFonts w:hint="eastAsia"/>
                <w:color w:val="auto"/>
                <w:szCs w:val="20"/>
                <w:highlight w:val="none"/>
              </w:rPr>
            </w:pPr>
            <w:r>
              <w:rPr>
                <w:rFonts w:hint="eastAsia"/>
                <w:color w:val="auto"/>
                <w:szCs w:val="20"/>
                <w:highlight w:val="none"/>
              </w:rPr>
              <w:t>电话：0556-5595102。</w:t>
            </w:r>
          </w:p>
        </w:tc>
      </w:tr>
    </w:tbl>
    <w:p w14:paraId="000A6E10">
      <w:pPr>
        <w:rPr>
          <w:rFonts w:ascii="宋体" w:hAnsi="宋体"/>
          <w:color w:val="auto"/>
          <w:kern w:val="0"/>
          <w:highlight w:val="none"/>
          <w:lang w:val="zh-CN"/>
        </w:rPr>
      </w:pPr>
      <w:bookmarkStart w:id="23" w:name="_Toc439316872"/>
      <w:r>
        <w:rPr>
          <w:color w:val="auto"/>
          <w:kern w:val="0"/>
          <w:highlight w:val="none"/>
          <w:lang w:val="zh-CN"/>
        </w:rPr>
        <w:br w:type="page"/>
      </w:r>
    </w:p>
    <w:bookmarkEnd w:id="23"/>
    <w:p w14:paraId="47E36A46">
      <w:pPr>
        <w:pStyle w:val="3"/>
        <w:spacing w:beforeLines="0" w:afterLines="0"/>
        <w:ind w:firstLine="0" w:firstLineChars="0"/>
        <w:jc w:val="center"/>
        <w:outlineLvl w:val="1"/>
        <w:rPr>
          <w:rFonts w:ascii="宋体" w:hAnsi="宋体" w:eastAsia="宋体" w:cs="Tahoma"/>
          <w:bCs/>
          <w:color w:val="auto"/>
          <w:kern w:val="0"/>
          <w:sz w:val="32"/>
          <w:szCs w:val="32"/>
          <w:highlight w:val="none"/>
          <w:lang w:val="zh-CN"/>
        </w:rPr>
      </w:pPr>
      <w:bookmarkStart w:id="24" w:name="_Toc12394"/>
      <w:bookmarkStart w:id="25" w:name="_Toc2521"/>
      <w:bookmarkStart w:id="26" w:name="_Toc16271"/>
      <w:bookmarkStart w:id="27" w:name="_Toc54941331"/>
      <w:bookmarkStart w:id="28" w:name="_Toc54941337"/>
      <w:bookmarkStart w:id="29" w:name="_Toc476584426"/>
      <w:r>
        <w:rPr>
          <w:rFonts w:hint="eastAsia" w:ascii="宋体" w:hAnsi="宋体" w:eastAsia="宋体" w:cs="Tahoma"/>
          <w:bCs/>
          <w:color w:val="auto"/>
          <w:kern w:val="0"/>
          <w:sz w:val="32"/>
          <w:szCs w:val="32"/>
          <w:highlight w:val="none"/>
          <w:lang w:val="zh-CN"/>
        </w:rPr>
        <w:t>第二节</w:t>
      </w:r>
      <w:r>
        <w:rPr>
          <w:rFonts w:ascii="宋体" w:hAnsi="宋体" w:eastAsia="宋体"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参选人</w:t>
      </w:r>
      <w:r>
        <w:rPr>
          <w:rFonts w:hint="eastAsia" w:ascii="宋体" w:hAnsi="宋体" w:eastAsia="宋体" w:cs="Tahoma"/>
          <w:bCs/>
          <w:color w:val="auto"/>
          <w:kern w:val="0"/>
          <w:sz w:val="32"/>
          <w:szCs w:val="32"/>
          <w:highlight w:val="none"/>
          <w:lang w:val="zh-CN"/>
        </w:rPr>
        <w:t>须知</w:t>
      </w:r>
      <w:bookmarkEnd w:id="24"/>
      <w:bookmarkEnd w:id="25"/>
      <w:bookmarkEnd w:id="26"/>
      <w:bookmarkEnd w:id="27"/>
    </w:p>
    <w:bookmarkEnd w:id="28"/>
    <w:bookmarkEnd w:id="29"/>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0" w:name="_Toc4481592"/>
      <w:bookmarkStart w:id="31" w:name="_Toc28310"/>
      <w:bookmarkStart w:id="32"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30"/>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本项目接受联合体</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具体要求详见比选公告。</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rPr>
          <w:rFonts w:ascii="宋体" w:hAnsi="宋体" w:eastAsia="宋体"/>
          <w:bCs/>
          <w:color w:val="auto"/>
          <w:szCs w:val="21"/>
          <w:highlight w:val="none"/>
        </w:rPr>
      </w:pPr>
      <w:r>
        <w:rPr>
          <w:rFonts w:ascii="宋体" w:hAnsi="宋体" w:eastAsia="宋体"/>
          <w:bCs/>
          <w:color w:val="auto"/>
          <w:szCs w:val="21"/>
          <w:highlight w:val="none"/>
        </w:rPr>
        <w:br w:type="page"/>
      </w: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3" w:name="_Toc8536"/>
      <w:bookmarkStart w:id="34" w:name="_Toc479622044"/>
      <w:bookmarkStart w:id="35" w:name="_Toc4481593"/>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3"/>
      <w:bookmarkEnd w:id="34"/>
      <w:bookmarkEnd w:id="35"/>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6"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6"/>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rPr>
          <w:rFonts w:ascii="宋体" w:hAnsi="宋体" w:eastAsia="宋体"/>
          <w:color w:val="auto"/>
          <w:szCs w:val="21"/>
          <w:highlight w:val="none"/>
        </w:rPr>
      </w:pPr>
      <w:r>
        <w:rPr>
          <w:rFonts w:ascii="宋体" w:hAnsi="宋体" w:eastAsia="宋体"/>
          <w:color w:val="auto"/>
          <w:szCs w:val="21"/>
          <w:highlight w:val="none"/>
        </w:rPr>
        <w:br w:type="page"/>
      </w: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7" w:name="_Toc12503"/>
      <w:bookmarkStart w:id="38" w:name="_Toc4481594"/>
      <w:bookmarkStart w:id="39" w:name="_Toc479622046"/>
      <w:bookmarkStart w:id="40" w:name="_Toc25319"/>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7"/>
      <w:bookmarkEnd w:id="38"/>
      <w:bookmarkEnd w:id="39"/>
      <w:bookmarkEnd w:id="40"/>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1" w:name="_Toc479622047"/>
      <w:bookmarkStart w:id="42" w:name="_Toc23598"/>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3"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1"/>
      <w:bookmarkEnd w:id="42"/>
      <w:bookmarkEnd w:id="43"/>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4" w:name="_Toc4481596"/>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1"/>
      <w:bookmarkEnd w:id="44"/>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hint="eastAsia" w:ascii="宋体" w:hAnsi="宋体"/>
          <w:b/>
          <w:color w:val="auto"/>
          <w:szCs w:val="21"/>
          <w:highlight w:val="none"/>
          <w:lang w:val="en-US" w:eastAsia="zh-CN"/>
        </w:rPr>
      </w:pPr>
      <w:r>
        <w:rPr>
          <w:rFonts w:hint="eastAsia" w:ascii="宋体" w:hAnsi="宋体" w:eastAsia="宋体"/>
          <w:b/>
          <w:color w:val="auto"/>
          <w:szCs w:val="21"/>
          <w:highlight w:val="none"/>
        </w:rPr>
        <w:t>24、评标方法：</w:t>
      </w:r>
      <w:r>
        <w:rPr>
          <w:rFonts w:hint="eastAsia" w:ascii="宋体" w:hAnsi="宋体"/>
          <w:b/>
          <w:color w:val="auto"/>
          <w:szCs w:val="21"/>
          <w:highlight w:val="none"/>
          <w:lang w:val="en-US" w:eastAsia="zh-CN"/>
        </w:rPr>
        <w:t>采用最低评标价法。按照合计总价由低到高进行排序，并根据排名确定3名成交候选人。</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both"/>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20A7A89F">
      <w:pPr>
        <w:widowControl/>
        <w:spacing w:line="500" w:lineRule="exact"/>
        <w:ind w:firstLine="422" w:firstLineChars="200"/>
        <w:jc w:val="left"/>
        <w:rPr>
          <w:rFonts w:hint="eastAsia" w:ascii="宋体" w:hAnsi="宋体"/>
          <w:b/>
          <w:bCs/>
          <w:color w:val="auto"/>
          <w:szCs w:val="21"/>
          <w:highlight w:val="none"/>
          <w:lang w:eastAsia="zh-CN"/>
        </w:rPr>
      </w:pPr>
      <w:r>
        <w:rPr>
          <w:rFonts w:hint="eastAsia" w:ascii="宋体" w:hAnsi="宋体" w:eastAsia="宋体"/>
          <w:b/>
          <w:bCs/>
          <w:color w:val="auto"/>
          <w:szCs w:val="21"/>
          <w:highlight w:val="none"/>
        </w:rPr>
        <w:t>(1)提交参选文件的参选人不足</w:t>
      </w:r>
      <w:r>
        <w:rPr>
          <w:rFonts w:hint="eastAsia" w:ascii="宋体" w:hAnsi="宋体" w:eastAsia="宋体"/>
          <w:b/>
          <w:bCs/>
          <w:color w:val="auto"/>
          <w:szCs w:val="21"/>
          <w:highlight w:val="none"/>
          <w:lang w:val="en-US" w:eastAsia="zh-CN"/>
        </w:rPr>
        <w:t>3</w:t>
      </w:r>
      <w:r>
        <w:rPr>
          <w:rFonts w:hint="eastAsia" w:ascii="宋体" w:hAnsi="宋体" w:eastAsia="宋体"/>
          <w:b/>
          <w:bCs/>
          <w:color w:val="auto"/>
          <w:szCs w:val="21"/>
          <w:highlight w:val="none"/>
        </w:rPr>
        <w:t>家的</w:t>
      </w:r>
      <w:r>
        <w:rPr>
          <w:rFonts w:hint="eastAsia" w:ascii="宋体" w:hAnsi="宋体"/>
          <w:b/>
          <w:bCs/>
          <w:color w:val="auto"/>
          <w:szCs w:val="21"/>
          <w:highlight w:val="none"/>
          <w:lang w:eastAsia="zh-CN"/>
        </w:rPr>
        <w:t>；</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2</w:t>
      </w:r>
      <w:r>
        <w:rPr>
          <w:rFonts w:hint="eastAsia" w:ascii="宋体" w:hAnsi="宋体" w:eastAsia="宋体"/>
          <w:color w:val="auto"/>
          <w:szCs w:val="21"/>
          <w:highlight w:val="none"/>
        </w:rPr>
        <w:t>)出现影响采购公正的违法、违规行为的；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3</w:t>
      </w:r>
      <w:r>
        <w:rPr>
          <w:rFonts w:hint="eastAsia" w:ascii="宋体" w:hAnsi="宋体" w:eastAsia="宋体"/>
          <w:color w:val="auto"/>
          <w:szCs w:val="21"/>
          <w:highlight w:val="none"/>
        </w:rPr>
        <w:t>)参选人的报价均高于最高投标限价的；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4</w:t>
      </w:r>
      <w:r>
        <w:rPr>
          <w:rFonts w:hint="eastAsia" w:ascii="宋体" w:hAnsi="宋体" w:eastAsia="宋体"/>
          <w:color w:val="auto"/>
          <w:szCs w:val="21"/>
          <w:highlight w:val="none"/>
        </w:rPr>
        <w:t>)因重大变故，采购任务取消的。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5" w:name="_Toc418517858"/>
      <w:bookmarkStart w:id="46" w:name="_Toc417655921"/>
      <w:bookmarkStart w:id="47" w:name="_Toc15032"/>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5"/>
      <w:bookmarkEnd w:id="46"/>
      <w:bookmarkEnd w:id="47"/>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8" w:name="_Toc478821422"/>
      <w:bookmarkStart w:id="49" w:name="_Toc31095"/>
      <w:bookmarkStart w:id="50" w:name="_Toc456882340"/>
      <w:bookmarkStart w:id="51" w:name="_Toc433721697"/>
      <w:bookmarkStart w:id="52" w:name="_Toc457998294"/>
      <w:bookmarkStart w:id="53" w:name="_Toc10987"/>
      <w:bookmarkStart w:id="54" w:name="_Toc19876"/>
      <w:bookmarkStart w:id="55" w:name="_Toc10586"/>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8"/>
      <w:bookmarkEnd w:id="49"/>
      <w:bookmarkEnd w:id="50"/>
      <w:bookmarkEnd w:id="51"/>
      <w:bookmarkEnd w:id="52"/>
      <w:bookmarkEnd w:id="53"/>
      <w:bookmarkEnd w:id="54"/>
      <w:bookmarkEnd w:id="55"/>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6"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6"/>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7" w:name="_Toc418517860"/>
      <w:bookmarkStart w:id="58" w:name="_Toc21358"/>
      <w:bookmarkStart w:id="59" w:name="_Toc417655923"/>
      <w:r>
        <w:rPr>
          <w:rFonts w:hint="eastAsia" w:ascii="宋体" w:hAnsi="宋体" w:eastAsia="宋体"/>
          <w:color w:val="auto"/>
          <w:szCs w:val="21"/>
          <w:highlight w:val="none"/>
        </w:rPr>
        <w:t>签订合同</w:t>
      </w:r>
      <w:bookmarkEnd w:id="57"/>
      <w:bookmarkEnd w:id="58"/>
      <w:bookmarkEnd w:id="59"/>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2"/>
    <w:p w14:paraId="5289B393">
      <w:pPr>
        <w:widowControl/>
        <w:spacing w:line="440" w:lineRule="exact"/>
        <w:ind w:firstLine="420"/>
        <w:jc w:val="left"/>
        <w:rPr>
          <w:rFonts w:ascii="宋体" w:cs="宋体"/>
          <w:b/>
          <w:bCs/>
          <w:snapToGrid w:val="0"/>
          <w:color w:val="auto"/>
          <w:kern w:val="0"/>
          <w:sz w:val="32"/>
          <w:szCs w:val="32"/>
          <w:highlight w:val="none"/>
        </w:rPr>
      </w:pPr>
      <w:r>
        <w:rPr>
          <w:rFonts w:ascii="宋体" w:cs="宋体"/>
          <w:b/>
          <w:bCs/>
          <w:snapToGrid w:val="0"/>
          <w:color w:val="auto"/>
          <w:kern w:val="0"/>
          <w:sz w:val="32"/>
          <w:szCs w:val="32"/>
          <w:highlight w:val="none"/>
        </w:rPr>
        <w:br w:type="page"/>
      </w:r>
    </w:p>
    <w:p w14:paraId="0E33F2A9">
      <w:pPr>
        <w:pStyle w:val="2"/>
        <w:numPr>
          <w:ilvl w:val="0"/>
          <w:numId w:val="15"/>
        </w:numPr>
        <w:spacing w:before="62" w:beforeLines="20" w:after="62" w:afterLines="20" w:line="480" w:lineRule="exact"/>
        <w:ind w:firstLine="0" w:firstLineChars="0"/>
        <w:jc w:val="center"/>
        <w:rPr>
          <w:rFonts w:hint="eastAsia"/>
          <w:color w:val="auto"/>
          <w:highlight w:val="none"/>
        </w:rPr>
      </w:pPr>
      <w:bookmarkStart w:id="60" w:name="_Toc10569"/>
      <w:bookmarkStart w:id="61" w:name="_Toc11149"/>
      <w:bookmarkStart w:id="62" w:name="_Toc54941340"/>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eastAsia="zh-CN"/>
        </w:rPr>
        <w:t>项目需求及技术要求</w:t>
      </w:r>
    </w:p>
    <w:p w14:paraId="6FF2BD55">
      <w:pPr>
        <w:numPr>
          <w:ilvl w:val="0"/>
          <w:numId w:val="16"/>
        </w:numPr>
        <w:shd w:val="clear"/>
        <w:adjustRightInd w:val="0"/>
        <w:snapToGrid w:val="0"/>
        <w:spacing w:line="580" w:lineRule="exact"/>
        <w:ind w:firstLine="422"/>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采购需求清单</w:t>
      </w:r>
    </w:p>
    <w:tbl>
      <w:tblPr>
        <w:tblStyle w:val="61"/>
        <w:tblW w:w="9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275"/>
        <w:gridCol w:w="3121"/>
        <w:gridCol w:w="750"/>
        <w:gridCol w:w="851"/>
        <w:gridCol w:w="2340"/>
      </w:tblGrid>
      <w:tr w14:paraId="29A8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blHeader/>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8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9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项目名称</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5B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项目特征</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BD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B4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暂定</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工程量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1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120DA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5D31BE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1275"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2F80A4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地基基础工程检测</w:t>
            </w:r>
          </w:p>
        </w:tc>
        <w:tc>
          <w:tcPr>
            <w:tcW w:w="3121" w:type="dxa"/>
            <w:tcBorders>
              <w:top w:val="single" w:color="000000" w:sz="4" w:space="0"/>
              <w:left w:val="single" w:color="000000" w:sz="4" w:space="0"/>
              <w:bottom w:val="single" w:color="000000" w:sz="4" w:space="0"/>
              <w:right w:val="single" w:color="000000" w:sz="4" w:space="0"/>
            </w:tcBorders>
            <w:shd w:val="clear" w:color="auto" w:fill="FCE4D3"/>
            <w:vAlign w:val="center"/>
          </w:tcPr>
          <w:p w14:paraId="22EE746C">
            <w:pPr>
              <w:keepNext w:val="0"/>
              <w:keepLines w:val="0"/>
              <w:suppressLineNumbers w:val="0"/>
              <w:spacing w:before="0" w:beforeAutospacing="0" w:after="0" w:afterAutospacing="0"/>
              <w:ind w:left="0" w:right="0"/>
              <w:jc w:val="both"/>
              <w:rPr>
                <w:rFonts w:hint="eastAsia" w:ascii="宋体" w:hAnsi="宋体" w:eastAsia="宋体" w:cs="宋体"/>
                <w:b/>
                <w:bCs/>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42615BC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highlight w:val="none"/>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7EACF53B">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0"/>
                <w:szCs w:val="20"/>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FCE4D3"/>
            <w:vAlign w:val="center"/>
          </w:tcPr>
          <w:p w14:paraId="1CF11440">
            <w:pPr>
              <w:keepNext w:val="0"/>
              <w:keepLines w:val="0"/>
              <w:suppressLineNumbers w:val="0"/>
              <w:spacing w:before="0" w:beforeAutospacing="0" w:after="0" w:afterAutospacing="0"/>
              <w:ind w:left="0" w:right="0"/>
              <w:jc w:val="both"/>
              <w:rPr>
                <w:rFonts w:hint="eastAsia" w:ascii="宋体" w:hAnsi="宋体" w:eastAsia="宋体" w:cs="宋体"/>
                <w:b/>
                <w:bCs/>
                <w:i w:val="0"/>
                <w:iCs w:val="0"/>
                <w:color w:val="auto"/>
                <w:sz w:val="20"/>
                <w:szCs w:val="20"/>
                <w:highlight w:val="none"/>
                <w:u w:val="none"/>
              </w:rPr>
            </w:pPr>
          </w:p>
        </w:tc>
      </w:tr>
      <w:tr w14:paraId="42BE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D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A5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高应变法</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9AA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1.桩基础类型：钻孔灌注桩；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2.有效桩长：约19米；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3.基桩竖向承载力特征值：1200KN；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4.直径800mm，具体详见图纸。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C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9D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A54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1#栈道25m主跨桥梁桩基础。</w:t>
            </w:r>
          </w:p>
        </w:tc>
      </w:tr>
      <w:tr w14:paraId="29B7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AF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BE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高应变法</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7A4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1.桩基础类型：钻孔灌注桩；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2.有效桩长：约21米；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3.基桩竖向承载力特征值：1200KN；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4.直径800mm，具体详见图纸。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8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B6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A05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2#栈道25m主跨桥梁桩基础。</w:t>
            </w:r>
          </w:p>
        </w:tc>
      </w:tr>
      <w:tr w14:paraId="2BF9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0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25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高应变法</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12A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1.桩基础类型：钻孔灌注桩（ZH1）；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2.有效桩长：约20米；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3.基桩竖向承载力特征值：2000KN；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4.直径800mm，具体详见图纸。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E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A2A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169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25m桥梁跨两侧的南北栈桥桩基础。</w:t>
            </w:r>
          </w:p>
        </w:tc>
      </w:tr>
      <w:tr w14:paraId="5203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5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48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高应变法</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1BA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1.桩基础类型：钻孔灌注桩（ZH2)；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2.有效桩长：约24米；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3.基桩竖向承载力特征值：1300KN；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4.直径800mm，具体详见图纸。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BF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3E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079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25m桥梁跨两侧的南北栈桥桩基础。</w:t>
            </w:r>
          </w:p>
        </w:tc>
      </w:tr>
      <w:tr w14:paraId="3350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2A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37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超声波检测</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06D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桩基础类型：钻孔灌注桩，直径800mm，具体详见图纸。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2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75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14.00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25C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1.不含声测管埋设；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2.抽检数量不少于50%。</w:t>
            </w:r>
          </w:p>
        </w:tc>
      </w:tr>
      <w:tr w14:paraId="0225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80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67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低应变法</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E9E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桩基础类型：钻孔灌注桩，直径800mm，具体详见图纸。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3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3C9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14.00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B34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超声波检测以外的桩基采用小应变检测桩身完整性。</w:t>
            </w:r>
          </w:p>
        </w:tc>
      </w:tr>
      <w:tr w14:paraId="4279E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47F1B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二</w:t>
            </w:r>
          </w:p>
        </w:tc>
        <w:tc>
          <w:tcPr>
            <w:tcW w:w="1275"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59AEFA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建设工程质量检测</w:t>
            </w:r>
          </w:p>
        </w:tc>
        <w:tc>
          <w:tcPr>
            <w:tcW w:w="3121" w:type="dxa"/>
            <w:tcBorders>
              <w:top w:val="single" w:color="000000" w:sz="4" w:space="0"/>
              <w:left w:val="single" w:color="000000" w:sz="4" w:space="0"/>
              <w:bottom w:val="single" w:color="000000" w:sz="4" w:space="0"/>
              <w:right w:val="single" w:color="000000" w:sz="4" w:space="0"/>
            </w:tcBorders>
            <w:shd w:val="clear" w:color="auto" w:fill="FCE4D3"/>
            <w:vAlign w:val="center"/>
          </w:tcPr>
          <w:p w14:paraId="3BD833FB">
            <w:pPr>
              <w:keepNext w:val="0"/>
              <w:keepLines w:val="0"/>
              <w:suppressLineNumbers w:val="0"/>
              <w:spacing w:before="0" w:beforeAutospacing="0" w:after="0" w:afterAutospacing="0"/>
              <w:ind w:left="0" w:right="0"/>
              <w:jc w:val="both"/>
              <w:rPr>
                <w:rFonts w:hint="eastAsia" w:ascii="宋体" w:hAnsi="宋体" w:eastAsia="宋体" w:cs="宋体"/>
                <w:b/>
                <w:bCs/>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699F258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highlight w:val="none"/>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136EAB26">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0"/>
                <w:szCs w:val="20"/>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FCE4D3"/>
            <w:vAlign w:val="center"/>
          </w:tcPr>
          <w:p w14:paraId="47E5788B">
            <w:pPr>
              <w:keepNext w:val="0"/>
              <w:keepLines w:val="0"/>
              <w:suppressLineNumbers w:val="0"/>
              <w:spacing w:before="0" w:beforeAutospacing="0" w:after="0" w:afterAutospacing="0"/>
              <w:ind w:left="0" w:right="0"/>
              <w:jc w:val="both"/>
              <w:rPr>
                <w:rFonts w:hint="eastAsia" w:ascii="宋体" w:hAnsi="宋体" w:eastAsia="宋体" w:cs="宋体"/>
                <w:b/>
                <w:bCs/>
                <w:i w:val="0"/>
                <w:iCs w:val="0"/>
                <w:color w:val="auto"/>
                <w:sz w:val="20"/>
                <w:szCs w:val="20"/>
                <w:highlight w:val="none"/>
                <w:u w:val="none"/>
              </w:rPr>
            </w:pPr>
          </w:p>
        </w:tc>
      </w:tr>
      <w:tr w14:paraId="6C6E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2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0B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建筑材料及构配件</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E32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包括但不限于：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（1）检测项目：水泥、钢筋（含焊接与机械连接）、骨料和集料（砂、石等）、混凝土（含试块）及拌合用水、瓷砖及石材等；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（2）检测参数：须符合图纸、有关规范和标准、当地行政主管部门、竣工验收等各方面要求；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（3）其他：包含图纸、规范、技术标准及验收要求的其他必要的检测。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BE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C2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507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投标人须详阅招标文件、图纸，并结合相关规范及政府部门的强制要求综合考虑后审慎报价，合同执行过程中价格不予调整。</w:t>
            </w:r>
          </w:p>
        </w:tc>
      </w:tr>
      <w:tr w14:paraId="6520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4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A4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主体结构及装饰装修</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B28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包括但不限于：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（1）检测项目：混凝土结构构件强度、砌体结构构件强度、钢筋及保护层厚度、装饰装修工程等；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（2）检测参数：须符合图纸、有关规范和标准、当地行政主管部门、竣工验收等各方面要求；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（3）其他：包含图纸、规范、技术标准及验收要求的其他必要的检测。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D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38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E49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投标人须详阅招标文件、图纸，并结合相关规范及政府部门的强制要求综合考虑后审慎报价，合同执行过程中价格不予调整。</w:t>
            </w:r>
          </w:p>
        </w:tc>
      </w:tr>
      <w:tr w14:paraId="452E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1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82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市政工程材料</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BAA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包括但不限于：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（1）检测项目：土和无机结合稳定材料、路面砖及路缘石等；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（2）检测参数：须符合图纸、有关规范和标准、当地行政主管部门、竣工验收等各方面要求；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（3）其他：包含图纸、规范、技术标准及验收要求的其他必要的检测。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56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06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D4B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投标人须详阅招标文件、图纸，并结合相关规范及政府部门的强制要求综合考虑后审慎报价，合同执行过程中价格不予调整。</w:t>
            </w:r>
          </w:p>
        </w:tc>
      </w:tr>
      <w:tr w14:paraId="35C2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C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24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钢结构</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ADF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包括但不限于：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（1）检测项目：钢材及焊接材料、焊缝、钢结构防腐与防火涂装、高强度螺栓及普通紧固件等；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（2）检测参数：须符合图纸、有关规范和标准、当地行政主管部门、竣工验收等各方面要求；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（3）其他：包含图纸、规范、技术标准及验收要求的其他必要的检测。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56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68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A2A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投标人须详阅招标文件、图纸，并结合相关规范及政府部门的强制要求综合考虑后审慎报价，合同执行过程中价格不予调整。</w:t>
            </w:r>
          </w:p>
        </w:tc>
      </w:tr>
      <w:tr w14:paraId="5E200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9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CA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防雷检测</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15F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包括但不限于：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（1）检测项目：接地电阻、各类金属构件接地、电气设备等电接地，具体检测要求详见图纸及相关规范，检测成果应满足行业主管部门验收强制性要求；须参加发包人组织的质量检查；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（2）检测参数：须符合图纸、有关规范和标准、当地行政主管部门、竣工验收等各方面要求；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（3）其他：包含图纸、规范、技术标准及验收要求的其他必要的检测。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D7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0DE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711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投标人须详阅招标文件、图纸，并结合相关规范及政府部门的强制要求综合考虑后审慎报价，合同执行过程中价格不予调整。</w:t>
            </w:r>
          </w:p>
        </w:tc>
      </w:tr>
    </w:tbl>
    <w:p w14:paraId="0ADC3CFE">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实际检测方法、要求、内容和数量要满足图纸及相关规范的要求。</w:t>
      </w:r>
    </w:p>
    <w:p w14:paraId="5838377A">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报价须包含设备进退场费。投标人须提前自行认真勘察现场，做好施工组织预案等；投标人须组织专业技术人员做好对工程量清单复核工作，结合施工现场认真仔细查看图纸和工程量并合理报价；投标人对工程量清单及最高投标限价有任何疑问，应于招标文件规定的疑问提交截止日前提出，因事先不勘察现场、不进行工程量清单复算、复核工作等原因造成的所有一切损失、均由投标人自行承担。对于发包人提供的工程量清单和最高投标限价中工程量、单位、单价等错误，投标人未在招标文件规定的异议截止日期前提出异议并附计算书的，工程结算时不再调整。</w:t>
      </w:r>
    </w:p>
    <w:p w14:paraId="59E9F4F8">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付款条件：</w:t>
      </w:r>
    </w:p>
    <w:p w14:paraId="4FC9E9C0">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进度款：每季度按实际已完成价款的60%支付，成交人须不晚于每季度最后一月25号前向采购人报送请款书，采购人组织相关单位完成审核后，20个工作日内完成支付；</w:t>
      </w:r>
    </w:p>
    <w:p w14:paraId="20CBA9C4">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完工款：本项目取得竣工联合验收意见书后，成交人可向采购人报送请款书，采购人组织相关单位完成审核后，20个工作日内支付至相应实际已完成价款的80%；</w:t>
      </w:r>
    </w:p>
    <w:p w14:paraId="37A2C951">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结算款：竣工结算审核完成，成交人提交符合要求的全部检测报告后可向采购人报送请款书，采购人组织相关单位完成审核后，20个工作日内付至结算价款的97%，质保期（两年）满后一次性付清余款；</w:t>
      </w:r>
    </w:p>
    <w:p w14:paraId="6A517594">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其他要求：采购人每次付款前，成交人须提供相应的符合要求的检测报告，同时提供真实、有效的增值税专用发票（按支付金额开具含税发票）。</w:t>
      </w:r>
    </w:p>
    <w:p w14:paraId="08F0ADD0">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履约保证金为中标金额的2%。</w:t>
      </w:r>
    </w:p>
    <w:p w14:paraId="4A161994">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建设工程质量检测说明：</w:t>
      </w:r>
    </w:p>
    <w:p w14:paraId="1C403A81">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测数量及频率按照国家相关规范的规定计取并满足委托人要求，如建设主管部门有相关特殊要求，按其规定执行；施工过程中，委托人有权对工程质量有怀疑的部位增加检测频率；其他内容具体详见相关规范要求；</w:t>
      </w:r>
    </w:p>
    <w:p w14:paraId="07BE60B9">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该项目检测范围及内容包括但不限于以上内容，具体检测要求详见图纸及相关规范，检测报告应满足行业主管部门验收强制性要求；项目直至竣工验收所有必需的建筑工程质量检测均包含在本合同范围，如涉及直接影响工程建设主体结构质量的原材料、成品、半成品验收检测；种植土检测等；</w:t>
      </w:r>
    </w:p>
    <w:p w14:paraId="26EAD355">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检测专项、检测项目、检测参数等具体释义及内容参考中华人民共和国住房和城乡建设部2023年3月31日下发的“住房和城乡建设部关于印发《建设工程质量检测机构资质标准》的通知”（如有更新按最新版文件执行）及检测要求等文件；</w:t>
      </w:r>
    </w:p>
    <w:p w14:paraId="770B6669">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检测单位需派专人（取样员）配拉样品车，到工地现场取样，不得要求施工人员去实验室送样。</w:t>
      </w:r>
    </w:p>
    <w:p w14:paraId="4AC67EDE">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本项目实行固定总价合同，合同总价已包括了为实施和完成合同工程所需的劳务、材料、机械、临时工程、税金、保险、利润、检测机构人员服务费、辅助人员费、设施设备费、一般办公费、特殊办公费、检测费、交通费、通讯费、管理费、考核费、招标代理服务费、人员及设备保险费等为完成检测服务的全部费用以及合同的所有责任、义务和一般风险，乙方（成交人）自行踏勘现场，特别是需考虑检测过程中的工期、安全管理的特殊性等因素。</w:t>
      </w:r>
    </w:p>
    <w:p w14:paraId="20C898FC">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清单内有列明但实际未检测的项目结算时不计价。</w:t>
      </w:r>
    </w:p>
    <w:p w14:paraId="41627B5D">
      <w:pPr>
        <w:keepNext w:val="0"/>
        <w:keepLines w:val="0"/>
        <w:pageBreakBefore w:val="0"/>
        <w:widowControl w:val="0"/>
        <w:numPr>
          <w:ilvl w:val="0"/>
          <w:numId w:val="16"/>
        </w:numPr>
        <w:shd w:val="clear"/>
        <w:kinsoku/>
        <w:wordWrap/>
        <w:overflowPunct/>
        <w:topLinePunct w:val="0"/>
        <w:autoSpaceDE/>
        <w:autoSpaceDN/>
        <w:bidi w:val="0"/>
        <w:adjustRightInd w:val="0"/>
        <w:snapToGrid w:val="0"/>
        <w:spacing w:line="360" w:lineRule="auto"/>
        <w:ind w:left="0" w:firstLine="422" w:firstLineChars="200"/>
        <w:textAlignment w:val="auto"/>
        <w:rPr>
          <w:rFonts w:hint="eastAsia" w:ascii="宋体" w:hAnsi="宋体" w:cs="宋体"/>
          <w:color w:val="auto"/>
          <w:sz w:val="21"/>
          <w:szCs w:val="21"/>
          <w:highlight w:val="none"/>
        </w:rPr>
      </w:pPr>
      <w:r>
        <w:rPr>
          <w:rFonts w:hint="eastAsia" w:ascii="宋体" w:hAnsi="宋体" w:eastAsia="宋体" w:cs="宋体"/>
          <w:b/>
          <w:bCs/>
          <w:color w:val="auto"/>
          <w:sz w:val="21"/>
          <w:szCs w:val="21"/>
          <w:highlight w:val="none"/>
          <w:lang w:val="en-US" w:eastAsia="zh-CN"/>
        </w:rPr>
        <w:t>检测范围</w:t>
      </w:r>
    </w:p>
    <w:p w14:paraId="6111F326">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桩基检测（地基基础工程检测）；检测方法、要求、内容及数量等详见施工图及相关规范，服务成果应达到或满足国家和行业标准、规程规范及采购人要求的质量，满足工程验收需要，并为本项目竣工验收提供有关检测方面的技术支持，检测范围和检测报告应满足行业主管部门验收强制性要求。</w:t>
      </w:r>
    </w:p>
    <w:p w14:paraId="3ADA674A">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项目建设全过程工程质量检测服务；检测专项包括但不限于建筑材料及构配件、主体结构及装饰装修、市政工程材料、钢结构、防雷检测以及项目竣工验收涉及的必要检测，具体检测要求详见图纸及相关规范，检测范围和检测报告应满足行业主管部门验收强制性要求。</w:t>
      </w:r>
    </w:p>
    <w:p w14:paraId="67D4891E">
      <w:pPr>
        <w:keepNext w:val="0"/>
        <w:keepLines w:val="0"/>
        <w:pageBreakBefore w:val="0"/>
        <w:widowControl w:val="0"/>
        <w:numPr>
          <w:ilvl w:val="0"/>
          <w:numId w:val="16"/>
        </w:numPr>
        <w:shd w:val="clear"/>
        <w:kinsoku/>
        <w:wordWrap/>
        <w:overflowPunct/>
        <w:topLinePunct w:val="0"/>
        <w:autoSpaceDE/>
        <w:autoSpaceDN/>
        <w:bidi w:val="0"/>
        <w:adjustRightInd w:val="0"/>
        <w:snapToGrid w:val="0"/>
        <w:spacing w:line="360" w:lineRule="auto"/>
        <w:ind w:lef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服务要求</w:t>
      </w:r>
    </w:p>
    <w:p w14:paraId="5C09481F">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桩基检测（地基基础工程检测</w:t>
      </w:r>
      <w:r>
        <w:rPr>
          <w:rFonts w:hint="eastAsia" w:ascii="宋体" w:hAnsi="宋体" w:eastAsia="宋体" w:cs="宋体"/>
          <w:color w:val="auto"/>
          <w:sz w:val="21"/>
          <w:szCs w:val="21"/>
          <w:highlight w:val="none"/>
          <w:lang w:eastAsia="zh-CN"/>
        </w:rPr>
        <w:t>）</w:t>
      </w:r>
    </w:p>
    <w:p w14:paraId="6A46EF14">
      <w:pPr>
        <w:keepNext w:val="0"/>
        <w:keepLines w:val="0"/>
        <w:pageBreakBefore w:val="0"/>
        <w:widowControl w:val="0"/>
        <w:numPr>
          <w:ilvl w:val="0"/>
          <w:numId w:val="0"/>
        </w:numPr>
        <w:tabs>
          <w:tab w:val="left" w:pos="3640"/>
        </w:tabs>
        <w:kinsoku/>
        <w:wordWrap/>
        <w:overflowPunct/>
        <w:topLinePunct w:val="0"/>
        <w:autoSpaceDE w:val="0"/>
        <w:autoSpaceDN w:val="0"/>
        <w:bidi w:val="0"/>
        <w:adjustRightInd w:val="0"/>
        <w:snapToGrid w:val="0"/>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工程桩检测前，先进行试桩检测，试桩检测合格后按照甲方要求时间进行工程桩的正式检测；正式检测之前，乙方必须按照设计图纸和规范，向甲方提供检测方案，经甲方及相关部门审批后执行。</w:t>
      </w:r>
    </w:p>
    <w:p w14:paraId="7E3CD0B9">
      <w:pPr>
        <w:keepNext w:val="0"/>
        <w:keepLines w:val="0"/>
        <w:pageBreakBefore w:val="0"/>
        <w:widowControl w:val="0"/>
        <w:numPr>
          <w:ilvl w:val="0"/>
          <w:numId w:val="0"/>
        </w:numPr>
        <w:tabs>
          <w:tab w:val="left" w:pos="3640"/>
        </w:tabs>
        <w:kinsoku/>
        <w:wordWrap/>
        <w:overflowPunct/>
        <w:topLinePunct w:val="0"/>
        <w:autoSpaceDE w:val="0"/>
        <w:autoSpaceDN w:val="0"/>
        <w:bidi w:val="0"/>
        <w:adjustRightInd w:val="0"/>
        <w:snapToGrid w:val="0"/>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桩基检测方法及内容：</w:t>
      </w:r>
      <w:r>
        <w:rPr>
          <w:rFonts w:hint="eastAsia" w:ascii="宋体" w:hAnsi="宋体" w:eastAsia="宋体" w:cs="宋体"/>
          <w:color w:val="auto"/>
          <w:sz w:val="21"/>
          <w:szCs w:val="21"/>
          <w:highlight w:val="none"/>
          <w:lang w:val="en-US" w:eastAsia="zh-CN"/>
        </w:rPr>
        <w:t>①高、低应变法检测：按照设计图纸和规范规定内容，采取标准的检测技术和方法；②声波透射法检测：按照设计图纸和规范规定内容，采取标准的检测技术和方法。</w:t>
      </w:r>
    </w:p>
    <w:p w14:paraId="348FAC24">
      <w:pPr>
        <w:keepNext w:val="0"/>
        <w:keepLines w:val="0"/>
        <w:pageBreakBefore w:val="0"/>
        <w:widowControl w:val="0"/>
        <w:numPr>
          <w:ilvl w:val="0"/>
          <w:numId w:val="0"/>
        </w:numPr>
        <w:tabs>
          <w:tab w:val="left" w:pos="3640"/>
        </w:tabs>
        <w:kinsoku/>
        <w:wordWrap/>
        <w:overflowPunct/>
        <w:topLinePunct w:val="0"/>
        <w:autoSpaceDE w:val="0"/>
        <w:autoSpaceDN w:val="0"/>
        <w:bidi w:val="0"/>
        <w:adjustRightInd w:val="0"/>
        <w:snapToGrid w:val="0"/>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执行依据：①按国家、本地、行业现行有关规范、标准、要求执行，并须符合主管部门要求，符合甲方提供的有关图纸文件、技术要求。②执行国家行业标准《建筑基桩检测技术规范》（JGJ106-2014）、《基桩低应变动力检测规程JGJT93-95》《建筑地基处理技术规范》（JGJ79-2012）、《建筑基坑支护技术规程》（JGJ120-99）等规范、规程、标准，如有新标准，按最新标准执行。</w:t>
      </w:r>
    </w:p>
    <w:p w14:paraId="0D86755B">
      <w:pPr>
        <w:keepNext w:val="0"/>
        <w:keepLines w:val="0"/>
        <w:pageBreakBefore w:val="0"/>
        <w:widowControl w:val="0"/>
        <w:numPr>
          <w:ilvl w:val="0"/>
          <w:numId w:val="0"/>
        </w:numPr>
        <w:tabs>
          <w:tab w:val="left" w:pos="3640"/>
        </w:tabs>
        <w:kinsoku/>
        <w:wordWrap/>
        <w:overflowPunct/>
        <w:topLinePunct w:val="0"/>
        <w:autoSpaceDE w:val="0"/>
        <w:autoSpaceDN w:val="0"/>
        <w:bidi w:val="0"/>
        <w:adjustRightInd w:val="0"/>
        <w:snapToGrid w:val="0"/>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工程桩检测前，先进行试桩检测，一段时间后再进行工程桩的检测，多次进场检测的一切费用亦包含在本包干综合单价内。</w:t>
      </w:r>
    </w:p>
    <w:p w14:paraId="1A7720C0">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firstLine="420" w:firstLineChars="200"/>
        <w:textAlignment w:val="auto"/>
        <w:rPr>
          <w:rFonts w:hint="eastAsia" w:ascii="仿宋" w:hAnsi="仿宋" w:eastAsia="仿宋" w:cs="仿宋"/>
          <w:color w:val="auto"/>
          <w:sz w:val="30"/>
          <w:szCs w:val="30"/>
          <w:highlight w:val="none"/>
        </w:rPr>
      </w:pPr>
      <w:r>
        <w:rPr>
          <w:rFonts w:hint="eastAsia" w:ascii="宋体" w:hAnsi="宋体" w:eastAsia="宋体" w:cs="宋体"/>
          <w:color w:val="auto"/>
          <w:sz w:val="21"/>
          <w:szCs w:val="21"/>
          <w:highlight w:val="none"/>
          <w:lang w:val="en-US" w:eastAsia="zh-CN"/>
        </w:rPr>
        <w:t>建设工程质量</w:t>
      </w:r>
      <w:r>
        <w:rPr>
          <w:rFonts w:hint="eastAsia" w:ascii="宋体" w:hAnsi="宋体" w:eastAsia="宋体" w:cs="宋体"/>
          <w:color w:val="auto"/>
          <w:sz w:val="21"/>
          <w:szCs w:val="21"/>
          <w:highlight w:val="none"/>
        </w:rPr>
        <w:t>检测项目包括但不限于下表中列明的内容，项目竣工验收涉及的必要检测均属于本合同范围。</w:t>
      </w:r>
    </w:p>
    <w:tbl>
      <w:tblPr>
        <w:tblStyle w:val="61"/>
        <w:tblW w:w="9757" w:type="dxa"/>
        <w:jc w:val="center"/>
        <w:tblLayout w:type="autofit"/>
        <w:tblCellMar>
          <w:top w:w="0" w:type="dxa"/>
          <w:left w:w="108" w:type="dxa"/>
          <w:bottom w:w="0" w:type="dxa"/>
          <w:right w:w="108" w:type="dxa"/>
        </w:tblCellMar>
      </w:tblPr>
      <w:tblGrid>
        <w:gridCol w:w="690"/>
        <w:gridCol w:w="2127"/>
        <w:gridCol w:w="4380"/>
        <w:gridCol w:w="2560"/>
      </w:tblGrid>
      <w:tr w14:paraId="58CFE08F">
        <w:tblPrEx>
          <w:tblCellMar>
            <w:top w:w="0" w:type="dxa"/>
            <w:left w:w="108" w:type="dxa"/>
            <w:bottom w:w="0" w:type="dxa"/>
            <w:right w:w="108" w:type="dxa"/>
          </w:tblCellMar>
        </w:tblPrEx>
        <w:trPr>
          <w:tblHeade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67302BCE">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14:paraId="3E0D77AB">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检测项目</w:t>
            </w:r>
          </w:p>
        </w:tc>
        <w:tc>
          <w:tcPr>
            <w:tcW w:w="4380" w:type="dxa"/>
            <w:tcBorders>
              <w:top w:val="single" w:color="000000" w:sz="4" w:space="0"/>
              <w:left w:val="single" w:color="000000" w:sz="4" w:space="0"/>
              <w:bottom w:val="single" w:color="000000" w:sz="4" w:space="0"/>
              <w:right w:val="single" w:color="000000" w:sz="4" w:space="0"/>
            </w:tcBorders>
            <w:vAlign w:val="center"/>
          </w:tcPr>
          <w:p w14:paraId="25B4C24D">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必须检测参数或内容</w:t>
            </w:r>
          </w:p>
        </w:tc>
        <w:tc>
          <w:tcPr>
            <w:tcW w:w="2560" w:type="dxa"/>
            <w:tcBorders>
              <w:top w:val="single" w:color="000000" w:sz="4" w:space="0"/>
              <w:left w:val="single" w:color="000000" w:sz="4" w:space="0"/>
              <w:bottom w:val="single" w:color="000000" w:sz="4" w:space="0"/>
              <w:right w:val="single" w:color="000000" w:sz="4" w:space="0"/>
            </w:tcBorders>
            <w:vAlign w:val="center"/>
          </w:tcPr>
          <w:p w14:paraId="228EBC05">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按需检测参数或内容</w:t>
            </w:r>
          </w:p>
        </w:tc>
      </w:tr>
      <w:tr w14:paraId="3D6D2943">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39E6B87F">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0"/>
                <w:szCs w:val="20"/>
                <w:highlight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2127" w:type="dxa"/>
            <w:tcBorders>
              <w:top w:val="single" w:color="000000" w:sz="4" w:space="0"/>
              <w:left w:val="single" w:color="000000" w:sz="4" w:space="0"/>
              <w:bottom w:val="single" w:color="000000" w:sz="4" w:space="0"/>
              <w:right w:val="single" w:color="000000" w:sz="4" w:space="0"/>
            </w:tcBorders>
            <w:vAlign w:val="center"/>
          </w:tcPr>
          <w:p w14:paraId="4DBC2FC3">
            <w:pPr>
              <w:keepNext w:val="0"/>
              <w:keepLines w:val="0"/>
              <w:suppressLineNumbers w:val="0"/>
              <w:spacing w:before="0" w:beforeAutospacing="0" w:after="0" w:afterAutospacing="0"/>
              <w:ind w:left="0" w:right="0"/>
              <w:rPr>
                <w:rFonts w:hint="eastAsia" w:ascii="宋体" w:hAnsi="宋体" w:cs="宋体"/>
                <w:b/>
                <w:bCs/>
                <w:color w:val="auto"/>
                <w:sz w:val="20"/>
                <w:szCs w:val="20"/>
                <w:highlight w:val="none"/>
              </w:rPr>
            </w:pPr>
            <w:r>
              <w:rPr>
                <w:rFonts w:hint="eastAsia" w:ascii="宋体" w:hAnsi="宋体" w:eastAsia="宋体" w:cs="宋体"/>
                <w:b/>
                <w:bCs/>
                <w:i w:val="0"/>
                <w:iCs w:val="0"/>
                <w:color w:val="auto"/>
                <w:kern w:val="0"/>
                <w:sz w:val="20"/>
                <w:szCs w:val="20"/>
                <w:highlight w:val="none"/>
                <w:u w:val="none"/>
                <w:lang w:val="en-US" w:eastAsia="zh-CN" w:bidi="ar"/>
              </w:rPr>
              <w:t>建筑材料及构配件</w:t>
            </w:r>
          </w:p>
        </w:tc>
        <w:tc>
          <w:tcPr>
            <w:tcW w:w="4380" w:type="dxa"/>
            <w:tcBorders>
              <w:top w:val="single" w:color="000000" w:sz="4" w:space="0"/>
              <w:left w:val="single" w:color="000000" w:sz="4" w:space="0"/>
              <w:bottom w:val="single" w:color="000000" w:sz="4" w:space="0"/>
              <w:right w:val="single" w:color="000000" w:sz="4" w:space="0"/>
            </w:tcBorders>
            <w:vAlign w:val="center"/>
          </w:tcPr>
          <w:p w14:paraId="08D593CC">
            <w:pPr>
              <w:keepNext w:val="0"/>
              <w:keepLines w:val="0"/>
              <w:suppressLineNumbers w:val="0"/>
              <w:spacing w:before="0" w:beforeAutospacing="0" w:after="0" w:afterAutospacing="0"/>
              <w:ind w:left="0" w:right="0"/>
              <w:rPr>
                <w:rFonts w:hint="eastAsia" w:ascii="宋体" w:hAnsi="宋体" w:eastAsia="宋体" w:cs="宋体"/>
                <w:b/>
                <w:bCs/>
                <w:i w:val="0"/>
                <w:iCs w:val="0"/>
                <w:color w:val="auto"/>
                <w:kern w:val="0"/>
                <w:sz w:val="20"/>
                <w:szCs w:val="20"/>
                <w:highlight w:val="none"/>
                <w:u w:val="none"/>
                <w:lang w:val="en-US" w:eastAsia="zh-CN" w:bidi="ar"/>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0A7C7B2F">
            <w:pPr>
              <w:keepNext w:val="0"/>
              <w:keepLines w:val="0"/>
              <w:suppressLineNumbers w:val="0"/>
              <w:spacing w:before="0" w:beforeAutospacing="0" w:after="0" w:afterAutospacing="0"/>
              <w:ind w:left="0" w:right="0"/>
              <w:rPr>
                <w:rFonts w:hint="eastAsia" w:ascii="宋体" w:hAnsi="宋体" w:eastAsia="宋体" w:cs="宋体"/>
                <w:b/>
                <w:bCs/>
                <w:i w:val="0"/>
                <w:iCs w:val="0"/>
                <w:color w:val="auto"/>
                <w:kern w:val="0"/>
                <w:sz w:val="20"/>
                <w:szCs w:val="20"/>
                <w:highlight w:val="none"/>
                <w:u w:val="none"/>
                <w:lang w:val="en-US" w:eastAsia="zh-CN" w:bidi="ar"/>
              </w:rPr>
            </w:pPr>
          </w:p>
        </w:tc>
      </w:tr>
      <w:tr w14:paraId="2B035054">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417DEB2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16B2ED6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水泥</w:t>
            </w:r>
          </w:p>
        </w:tc>
        <w:tc>
          <w:tcPr>
            <w:tcW w:w="4380" w:type="dxa"/>
            <w:tcBorders>
              <w:top w:val="single" w:color="000000" w:sz="4" w:space="0"/>
              <w:left w:val="single" w:color="000000" w:sz="4" w:space="0"/>
              <w:bottom w:val="single" w:color="000000" w:sz="4" w:space="0"/>
              <w:right w:val="single" w:color="000000" w:sz="4" w:space="0"/>
            </w:tcBorders>
            <w:vAlign w:val="center"/>
          </w:tcPr>
          <w:p w14:paraId="694AE8D3">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凝结时间、安定性、胶砂强度、氯离子含量</w:t>
            </w:r>
          </w:p>
        </w:tc>
        <w:tc>
          <w:tcPr>
            <w:tcW w:w="2560" w:type="dxa"/>
            <w:tcBorders>
              <w:top w:val="single" w:color="000000" w:sz="4" w:space="0"/>
              <w:left w:val="single" w:color="000000" w:sz="4" w:space="0"/>
              <w:bottom w:val="single" w:color="000000" w:sz="4" w:space="0"/>
              <w:right w:val="single" w:color="000000" w:sz="4" w:space="0"/>
            </w:tcBorders>
            <w:vAlign w:val="center"/>
          </w:tcPr>
          <w:p w14:paraId="79D2E760">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w:t>
            </w:r>
          </w:p>
        </w:tc>
      </w:tr>
      <w:tr w14:paraId="44F69C15">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392D632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1D40E72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钢筋（含焊接与机械连接）</w:t>
            </w:r>
          </w:p>
        </w:tc>
        <w:tc>
          <w:tcPr>
            <w:tcW w:w="4380" w:type="dxa"/>
            <w:tcBorders>
              <w:top w:val="single" w:color="000000" w:sz="4" w:space="0"/>
              <w:left w:val="single" w:color="000000" w:sz="4" w:space="0"/>
              <w:bottom w:val="single" w:color="000000" w:sz="4" w:space="0"/>
              <w:right w:val="single" w:color="000000" w:sz="4" w:space="0"/>
            </w:tcBorders>
            <w:vAlign w:val="center"/>
          </w:tcPr>
          <w:p w14:paraId="5DF131F7">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工艺性、屈服强度、抗拉强度、断后伸长率、最大力下总延伸率、反向弯曲、重量偏差、残余变形</w:t>
            </w:r>
          </w:p>
        </w:tc>
        <w:tc>
          <w:tcPr>
            <w:tcW w:w="2560" w:type="dxa"/>
            <w:tcBorders>
              <w:top w:val="single" w:color="000000" w:sz="4" w:space="0"/>
              <w:left w:val="single" w:color="000000" w:sz="4" w:space="0"/>
              <w:bottom w:val="single" w:color="000000" w:sz="4" w:space="0"/>
              <w:right w:val="single" w:color="000000" w:sz="4" w:space="0"/>
            </w:tcBorders>
            <w:vAlign w:val="center"/>
          </w:tcPr>
          <w:p w14:paraId="0916A64D">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弯曲性能</w:t>
            </w:r>
          </w:p>
        </w:tc>
      </w:tr>
      <w:tr w14:paraId="07E14785">
        <w:tblPrEx>
          <w:tblCellMar>
            <w:top w:w="0" w:type="dxa"/>
            <w:left w:w="108" w:type="dxa"/>
            <w:bottom w:w="0" w:type="dxa"/>
            <w:right w:w="108" w:type="dxa"/>
          </w:tblCellMar>
        </w:tblPrEx>
        <w:trPr>
          <w:jc w:val="center"/>
        </w:trPr>
        <w:tc>
          <w:tcPr>
            <w:tcW w:w="690" w:type="dxa"/>
            <w:vMerge w:val="restart"/>
            <w:tcBorders>
              <w:top w:val="single" w:color="000000" w:sz="4" w:space="0"/>
              <w:left w:val="single" w:color="000000" w:sz="4" w:space="0"/>
              <w:bottom w:val="single" w:color="000000" w:sz="4" w:space="0"/>
              <w:right w:val="single" w:color="000000" w:sz="4" w:space="0"/>
            </w:tcBorders>
            <w:noWrap/>
            <w:vAlign w:val="center"/>
          </w:tcPr>
          <w:p w14:paraId="43CEAFB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127" w:type="dxa"/>
            <w:vMerge w:val="restart"/>
            <w:tcBorders>
              <w:top w:val="single" w:color="000000" w:sz="4" w:space="0"/>
              <w:left w:val="single" w:color="000000" w:sz="4" w:space="0"/>
              <w:bottom w:val="single" w:color="000000" w:sz="4" w:space="0"/>
              <w:right w:val="single" w:color="000000" w:sz="4" w:space="0"/>
            </w:tcBorders>
            <w:vAlign w:val="center"/>
          </w:tcPr>
          <w:p w14:paraId="6B38C4E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骨料和集料（砂、石等）</w:t>
            </w:r>
          </w:p>
        </w:tc>
        <w:tc>
          <w:tcPr>
            <w:tcW w:w="4380" w:type="dxa"/>
            <w:tcBorders>
              <w:top w:val="single" w:color="000000" w:sz="4" w:space="0"/>
              <w:left w:val="single" w:color="000000" w:sz="4" w:space="0"/>
              <w:bottom w:val="single" w:color="000000" w:sz="4" w:space="0"/>
              <w:right w:val="single" w:color="000000" w:sz="4" w:space="0"/>
            </w:tcBorders>
            <w:vAlign w:val="center"/>
          </w:tcPr>
          <w:p w14:paraId="7BE659DB">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细骨料：颗粒级配、含泥量、泥块含量、亚甲蓝值与石粉含量（人工砂）、压碎指标（人工砂）、氯离子含量</w:t>
            </w:r>
          </w:p>
        </w:tc>
        <w:tc>
          <w:tcPr>
            <w:tcW w:w="2560" w:type="dxa"/>
            <w:tcBorders>
              <w:top w:val="single" w:color="000000" w:sz="4" w:space="0"/>
              <w:left w:val="single" w:color="000000" w:sz="4" w:space="0"/>
              <w:bottom w:val="single" w:color="000000" w:sz="4" w:space="0"/>
              <w:right w:val="single" w:color="000000" w:sz="4" w:space="0"/>
            </w:tcBorders>
            <w:vAlign w:val="center"/>
          </w:tcPr>
          <w:p w14:paraId="4F1230A7">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w:t>
            </w:r>
          </w:p>
        </w:tc>
      </w:tr>
      <w:tr w14:paraId="6A7F98A8">
        <w:tblPrEx>
          <w:tblCellMar>
            <w:top w:w="0" w:type="dxa"/>
            <w:left w:w="108" w:type="dxa"/>
            <w:bottom w:w="0" w:type="dxa"/>
            <w:right w:w="108" w:type="dxa"/>
          </w:tblCellMar>
        </w:tblPrEx>
        <w:trPr>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68816C6A">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rPr>
            </w:pPr>
          </w:p>
        </w:tc>
        <w:tc>
          <w:tcPr>
            <w:tcW w:w="2127" w:type="dxa"/>
            <w:vMerge w:val="continue"/>
            <w:tcBorders>
              <w:top w:val="single" w:color="000000" w:sz="4" w:space="0"/>
              <w:left w:val="single" w:color="000000" w:sz="4" w:space="0"/>
              <w:bottom w:val="single" w:color="000000" w:sz="4" w:space="0"/>
              <w:right w:val="single" w:color="000000" w:sz="4" w:space="0"/>
            </w:tcBorders>
            <w:vAlign w:val="center"/>
          </w:tcPr>
          <w:p w14:paraId="48291A10">
            <w:pPr>
              <w:keepNext w:val="0"/>
              <w:keepLines w:val="0"/>
              <w:suppressLineNumbers w:val="0"/>
              <w:spacing w:before="0" w:beforeAutospacing="0" w:after="0" w:afterAutospacing="0"/>
              <w:ind w:left="0" w:right="0"/>
              <w:jc w:val="left"/>
              <w:rPr>
                <w:rFonts w:hint="eastAsia" w:ascii="宋体" w:hAnsi="宋体" w:cs="宋体"/>
                <w:color w:val="auto"/>
                <w:sz w:val="20"/>
                <w:szCs w:val="20"/>
                <w:highlight w:val="none"/>
              </w:rPr>
            </w:pPr>
          </w:p>
        </w:tc>
        <w:tc>
          <w:tcPr>
            <w:tcW w:w="4380" w:type="dxa"/>
            <w:tcBorders>
              <w:top w:val="single" w:color="000000" w:sz="4" w:space="0"/>
              <w:left w:val="single" w:color="000000" w:sz="4" w:space="0"/>
              <w:bottom w:val="single" w:color="000000" w:sz="4" w:space="0"/>
              <w:right w:val="single" w:color="000000" w:sz="4" w:space="0"/>
            </w:tcBorders>
            <w:vAlign w:val="center"/>
          </w:tcPr>
          <w:p w14:paraId="6BD9C5CE">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粗骨料：颗粒级配、含泥量、泥块含量、压碎值指标、针片状颗粒含量</w:t>
            </w:r>
          </w:p>
        </w:tc>
        <w:tc>
          <w:tcPr>
            <w:tcW w:w="2560" w:type="dxa"/>
            <w:tcBorders>
              <w:top w:val="single" w:color="000000" w:sz="4" w:space="0"/>
              <w:left w:val="single" w:color="000000" w:sz="4" w:space="0"/>
              <w:bottom w:val="single" w:color="000000" w:sz="4" w:space="0"/>
              <w:right w:val="single" w:color="000000" w:sz="4" w:space="0"/>
            </w:tcBorders>
            <w:vAlign w:val="center"/>
          </w:tcPr>
          <w:p w14:paraId="1C86628E">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w:t>
            </w:r>
          </w:p>
        </w:tc>
      </w:tr>
      <w:tr w14:paraId="1AFD4054">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3C10524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127" w:type="dxa"/>
            <w:tcBorders>
              <w:top w:val="single" w:color="000000" w:sz="4" w:space="0"/>
              <w:left w:val="single" w:color="000000" w:sz="4" w:space="0"/>
              <w:bottom w:val="single" w:color="000000" w:sz="4" w:space="0"/>
              <w:right w:val="single" w:color="000000" w:sz="4" w:space="0"/>
            </w:tcBorders>
            <w:vAlign w:val="center"/>
          </w:tcPr>
          <w:p w14:paraId="5931413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混凝土（含试块）及拌合用水</w:t>
            </w:r>
          </w:p>
        </w:tc>
        <w:tc>
          <w:tcPr>
            <w:tcW w:w="4380" w:type="dxa"/>
            <w:tcBorders>
              <w:top w:val="single" w:color="000000" w:sz="4" w:space="0"/>
              <w:left w:val="single" w:color="000000" w:sz="4" w:space="0"/>
              <w:bottom w:val="single" w:color="000000" w:sz="4" w:space="0"/>
              <w:right w:val="single" w:color="000000" w:sz="4" w:space="0"/>
            </w:tcBorders>
            <w:vAlign w:val="center"/>
          </w:tcPr>
          <w:p w14:paraId="519EAEA5">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抗压强度、抗渗等级、坍落度、氯离子含量、拌合用水（氯离子含量）</w:t>
            </w:r>
          </w:p>
        </w:tc>
        <w:tc>
          <w:tcPr>
            <w:tcW w:w="2560" w:type="dxa"/>
            <w:tcBorders>
              <w:top w:val="single" w:color="000000" w:sz="4" w:space="0"/>
              <w:left w:val="single" w:color="000000" w:sz="4" w:space="0"/>
              <w:bottom w:val="single" w:color="000000" w:sz="4" w:space="0"/>
              <w:right w:val="single" w:color="000000" w:sz="4" w:space="0"/>
            </w:tcBorders>
            <w:vAlign w:val="center"/>
          </w:tcPr>
          <w:p w14:paraId="4F9ED279">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w:t>
            </w:r>
          </w:p>
        </w:tc>
      </w:tr>
      <w:tr w14:paraId="724F8ACD">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00999E3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127" w:type="dxa"/>
            <w:tcBorders>
              <w:top w:val="single" w:color="000000" w:sz="4" w:space="0"/>
              <w:left w:val="single" w:color="000000" w:sz="4" w:space="0"/>
              <w:bottom w:val="single" w:color="000000" w:sz="4" w:space="0"/>
              <w:right w:val="single" w:color="000000" w:sz="4" w:space="0"/>
            </w:tcBorders>
            <w:vAlign w:val="center"/>
          </w:tcPr>
          <w:p w14:paraId="2057C40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瓷砖及石材</w:t>
            </w:r>
          </w:p>
        </w:tc>
        <w:tc>
          <w:tcPr>
            <w:tcW w:w="4380" w:type="dxa"/>
            <w:tcBorders>
              <w:top w:val="single" w:color="000000" w:sz="4" w:space="0"/>
              <w:left w:val="single" w:color="000000" w:sz="4" w:space="0"/>
              <w:bottom w:val="single" w:color="000000" w:sz="4" w:space="0"/>
              <w:right w:val="single" w:color="000000" w:sz="4" w:space="0"/>
            </w:tcBorders>
            <w:vAlign w:val="center"/>
          </w:tcPr>
          <w:p w14:paraId="620819C8">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吸水率、弯曲强度</w:t>
            </w:r>
          </w:p>
        </w:tc>
        <w:tc>
          <w:tcPr>
            <w:tcW w:w="2560" w:type="dxa"/>
            <w:tcBorders>
              <w:top w:val="single" w:color="000000" w:sz="4" w:space="0"/>
              <w:left w:val="single" w:color="000000" w:sz="4" w:space="0"/>
              <w:bottom w:val="single" w:color="000000" w:sz="4" w:space="0"/>
              <w:right w:val="single" w:color="000000" w:sz="4" w:space="0"/>
            </w:tcBorders>
            <w:vAlign w:val="center"/>
          </w:tcPr>
          <w:p w14:paraId="6BD1FFCF">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抗冻性（耐冻融性）、放射性</w:t>
            </w:r>
          </w:p>
        </w:tc>
      </w:tr>
      <w:tr w14:paraId="0AEC43CD">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7B40E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二</w:t>
            </w:r>
          </w:p>
        </w:tc>
        <w:tc>
          <w:tcPr>
            <w:tcW w:w="2127" w:type="dxa"/>
            <w:tcBorders>
              <w:top w:val="single" w:color="000000" w:sz="4" w:space="0"/>
              <w:left w:val="single" w:color="000000" w:sz="4" w:space="0"/>
              <w:bottom w:val="single" w:color="000000" w:sz="4" w:space="0"/>
              <w:right w:val="single" w:color="000000" w:sz="4" w:space="0"/>
            </w:tcBorders>
            <w:vAlign w:val="center"/>
          </w:tcPr>
          <w:p w14:paraId="715EDCE2">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主体结构及装饰装修</w:t>
            </w:r>
          </w:p>
        </w:tc>
        <w:tc>
          <w:tcPr>
            <w:tcW w:w="4380" w:type="dxa"/>
            <w:tcBorders>
              <w:top w:val="single" w:color="000000" w:sz="4" w:space="0"/>
              <w:left w:val="single" w:color="000000" w:sz="4" w:space="0"/>
              <w:bottom w:val="single" w:color="000000" w:sz="4" w:space="0"/>
              <w:right w:val="single" w:color="000000" w:sz="4" w:space="0"/>
            </w:tcBorders>
            <w:vAlign w:val="center"/>
          </w:tcPr>
          <w:p w14:paraId="094819C9">
            <w:pPr>
              <w:keepNext w:val="0"/>
              <w:keepLines w:val="0"/>
              <w:suppressLineNumbers w:val="0"/>
              <w:spacing w:before="0" w:beforeAutospacing="0" w:after="0" w:afterAutospacing="0"/>
              <w:ind w:left="0" w:right="0"/>
              <w:jc w:val="both"/>
              <w:rPr>
                <w:rFonts w:hint="eastAsia" w:ascii="宋体" w:hAnsi="宋体" w:eastAsia="宋体" w:cs="宋体"/>
                <w:b/>
                <w:bCs/>
                <w:i w:val="0"/>
                <w:iCs w:val="0"/>
                <w:color w:val="auto"/>
                <w:kern w:val="0"/>
                <w:sz w:val="20"/>
                <w:szCs w:val="20"/>
                <w:highlight w:val="none"/>
                <w:u w:val="none"/>
                <w:lang w:val="en-US" w:eastAsia="zh-CN" w:bidi="ar"/>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20CDC851">
            <w:pPr>
              <w:keepNext w:val="0"/>
              <w:keepLines w:val="0"/>
              <w:suppressLineNumbers w:val="0"/>
              <w:spacing w:before="0" w:beforeAutospacing="0" w:after="0" w:afterAutospacing="0"/>
              <w:ind w:left="0" w:right="0"/>
              <w:jc w:val="both"/>
              <w:rPr>
                <w:rFonts w:hint="eastAsia" w:ascii="宋体" w:hAnsi="宋体" w:eastAsia="宋体" w:cs="宋体"/>
                <w:b/>
                <w:bCs/>
                <w:i w:val="0"/>
                <w:iCs w:val="0"/>
                <w:color w:val="auto"/>
                <w:kern w:val="0"/>
                <w:sz w:val="20"/>
                <w:szCs w:val="20"/>
                <w:highlight w:val="none"/>
                <w:u w:val="none"/>
                <w:lang w:val="en-US" w:eastAsia="zh-CN" w:bidi="ar"/>
              </w:rPr>
            </w:pPr>
          </w:p>
        </w:tc>
      </w:tr>
      <w:tr w14:paraId="13A2126E">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4B7A5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6FE63B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混凝土结构构件强度</w:t>
            </w:r>
          </w:p>
        </w:tc>
        <w:tc>
          <w:tcPr>
            <w:tcW w:w="4380" w:type="dxa"/>
            <w:tcBorders>
              <w:top w:val="single" w:color="000000" w:sz="4" w:space="0"/>
              <w:left w:val="single" w:color="000000" w:sz="4" w:space="0"/>
              <w:bottom w:val="single" w:color="000000" w:sz="4" w:space="0"/>
              <w:right w:val="single" w:color="000000" w:sz="4" w:space="0"/>
            </w:tcBorders>
            <w:vAlign w:val="center"/>
          </w:tcPr>
          <w:p w14:paraId="1C60B1A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混凝土强度（回弹法/钻芯法/回弹-钻芯综合法/超声回弹综合法等）</w:t>
            </w:r>
          </w:p>
        </w:tc>
        <w:tc>
          <w:tcPr>
            <w:tcW w:w="2560" w:type="dxa"/>
            <w:tcBorders>
              <w:top w:val="single" w:color="000000" w:sz="4" w:space="0"/>
              <w:left w:val="single" w:color="000000" w:sz="4" w:space="0"/>
              <w:bottom w:val="single" w:color="000000" w:sz="4" w:space="0"/>
              <w:right w:val="single" w:color="000000" w:sz="4" w:space="0"/>
            </w:tcBorders>
            <w:vAlign w:val="center"/>
          </w:tcPr>
          <w:p w14:paraId="57C424C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r>
      <w:tr w14:paraId="6CAE18BA">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0999A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4632FB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钢筋及保护层厚度</w:t>
            </w:r>
          </w:p>
        </w:tc>
        <w:tc>
          <w:tcPr>
            <w:tcW w:w="4380" w:type="dxa"/>
            <w:tcBorders>
              <w:top w:val="single" w:color="000000" w:sz="4" w:space="0"/>
              <w:left w:val="single" w:color="000000" w:sz="4" w:space="0"/>
              <w:bottom w:val="single" w:color="000000" w:sz="4" w:space="0"/>
              <w:right w:val="single" w:color="000000" w:sz="4" w:space="0"/>
            </w:tcBorders>
            <w:vAlign w:val="center"/>
          </w:tcPr>
          <w:p w14:paraId="25231B2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钢筋保护层厚度、钢筋间距</w:t>
            </w:r>
          </w:p>
        </w:tc>
        <w:tc>
          <w:tcPr>
            <w:tcW w:w="2560" w:type="dxa"/>
            <w:tcBorders>
              <w:top w:val="single" w:color="000000" w:sz="4" w:space="0"/>
              <w:left w:val="single" w:color="000000" w:sz="4" w:space="0"/>
              <w:bottom w:val="single" w:color="000000" w:sz="4" w:space="0"/>
              <w:right w:val="single" w:color="000000" w:sz="4" w:space="0"/>
            </w:tcBorders>
            <w:vAlign w:val="center"/>
          </w:tcPr>
          <w:p w14:paraId="792F3AA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钢筋数量、直径、锈蚀状况</w:t>
            </w:r>
          </w:p>
        </w:tc>
      </w:tr>
      <w:tr w14:paraId="37C3FFD1">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04C1F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2127" w:type="dxa"/>
            <w:tcBorders>
              <w:top w:val="single" w:color="000000" w:sz="4" w:space="0"/>
              <w:left w:val="single" w:color="000000" w:sz="4" w:space="0"/>
              <w:bottom w:val="single" w:color="000000" w:sz="4" w:space="0"/>
              <w:right w:val="single" w:color="000000" w:sz="4" w:space="0"/>
            </w:tcBorders>
            <w:vAlign w:val="center"/>
          </w:tcPr>
          <w:p w14:paraId="000112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装饰装修工程</w:t>
            </w:r>
          </w:p>
        </w:tc>
        <w:tc>
          <w:tcPr>
            <w:tcW w:w="4380" w:type="dxa"/>
            <w:tcBorders>
              <w:top w:val="single" w:color="000000" w:sz="4" w:space="0"/>
              <w:left w:val="single" w:color="000000" w:sz="4" w:space="0"/>
              <w:bottom w:val="single" w:color="000000" w:sz="4" w:space="0"/>
              <w:right w:val="single" w:color="000000" w:sz="4" w:space="0"/>
            </w:tcBorders>
            <w:vAlign w:val="center"/>
          </w:tcPr>
          <w:p w14:paraId="7FFDFCD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2560" w:type="dxa"/>
            <w:tcBorders>
              <w:top w:val="single" w:color="000000" w:sz="4" w:space="0"/>
              <w:left w:val="single" w:color="000000" w:sz="4" w:space="0"/>
              <w:bottom w:val="single" w:color="000000" w:sz="4" w:space="0"/>
              <w:right w:val="single" w:color="000000" w:sz="4" w:space="0"/>
            </w:tcBorders>
            <w:vAlign w:val="center"/>
          </w:tcPr>
          <w:p w14:paraId="06695F4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饰面砖粘结强度、抹灰砂浆拉伸粘接强度</w:t>
            </w:r>
          </w:p>
        </w:tc>
      </w:tr>
      <w:tr w14:paraId="2648D938">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39391B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三</w:t>
            </w:r>
          </w:p>
        </w:tc>
        <w:tc>
          <w:tcPr>
            <w:tcW w:w="2127" w:type="dxa"/>
            <w:tcBorders>
              <w:top w:val="single" w:color="000000" w:sz="4" w:space="0"/>
              <w:left w:val="single" w:color="000000" w:sz="4" w:space="0"/>
              <w:bottom w:val="single" w:color="000000" w:sz="4" w:space="0"/>
              <w:right w:val="single" w:color="000000" w:sz="4" w:space="0"/>
            </w:tcBorders>
            <w:vAlign w:val="center"/>
          </w:tcPr>
          <w:p w14:paraId="03AC40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市政工程材料</w:t>
            </w:r>
          </w:p>
        </w:tc>
        <w:tc>
          <w:tcPr>
            <w:tcW w:w="4380" w:type="dxa"/>
            <w:tcBorders>
              <w:top w:val="single" w:color="000000" w:sz="4" w:space="0"/>
              <w:left w:val="single" w:color="000000" w:sz="4" w:space="0"/>
              <w:bottom w:val="single" w:color="000000" w:sz="4" w:space="0"/>
              <w:right w:val="single" w:color="000000" w:sz="4" w:space="0"/>
            </w:tcBorders>
            <w:vAlign w:val="center"/>
          </w:tcPr>
          <w:p w14:paraId="2D93FDBE">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3736091C">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p>
        </w:tc>
      </w:tr>
      <w:tr w14:paraId="75F57883">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775410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416C3F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土和无机结合稳定材料</w:t>
            </w:r>
          </w:p>
        </w:tc>
        <w:tc>
          <w:tcPr>
            <w:tcW w:w="4380" w:type="dxa"/>
            <w:tcBorders>
              <w:top w:val="single" w:color="000000" w:sz="4" w:space="0"/>
              <w:left w:val="single" w:color="000000" w:sz="4" w:space="0"/>
              <w:bottom w:val="single" w:color="000000" w:sz="4" w:space="0"/>
              <w:right w:val="single" w:color="000000" w:sz="4" w:space="0"/>
            </w:tcBorders>
            <w:vAlign w:val="center"/>
          </w:tcPr>
          <w:p w14:paraId="5F64DC3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土工试验（击实度、压实度）、水稳和级配设计配比</w:t>
            </w:r>
          </w:p>
        </w:tc>
        <w:tc>
          <w:tcPr>
            <w:tcW w:w="2560" w:type="dxa"/>
            <w:tcBorders>
              <w:top w:val="single" w:color="000000" w:sz="4" w:space="0"/>
              <w:left w:val="single" w:color="000000" w:sz="4" w:space="0"/>
              <w:bottom w:val="single" w:color="000000" w:sz="4" w:space="0"/>
              <w:right w:val="single" w:color="000000" w:sz="4" w:space="0"/>
            </w:tcBorders>
            <w:vAlign w:val="center"/>
          </w:tcPr>
          <w:p w14:paraId="274BF52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r>
      <w:tr w14:paraId="46BDF904">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500556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70A66F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路面砖及路缘石</w:t>
            </w:r>
          </w:p>
        </w:tc>
        <w:tc>
          <w:tcPr>
            <w:tcW w:w="4380" w:type="dxa"/>
            <w:tcBorders>
              <w:top w:val="single" w:color="000000" w:sz="4" w:space="0"/>
              <w:left w:val="single" w:color="000000" w:sz="4" w:space="0"/>
              <w:bottom w:val="single" w:color="000000" w:sz="4" w:space="0"/>
              <w:right w:val="single" w:color="000000" w:sz="4" w:space="0"/>
            </w:tcBorders>
            <w:vAlign w:val="center"/>
          </w:tcPr>
          <w:p w14:paraId="6876870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抗压强度、抗折强度、防滑性能、耐磨性</w:t>
            </w:r>
          </w:p>
        </w:tc>
        <w:tc>
          <w:tcPr>
            <w:tcW w:w="2560" w:type="dxa"/>
            <w:tcBorders>
              <w:top w:val="single" w:color="000000" w:sz="4" w:space="0"/>
              <w:left w:val="single" w:color="000000" w:sz="4" w:space="0"/>
              <w:bottom w:val="single" w:color="000000" w:sz="4" w:space="0"/>
              <w:right w:val="single" w:color="000000" w:sz="4" w:space="0"/>
            </w:tcBorders>
            <w:vAlign w:val="center"/>
          </w:tcPr>
          <w:p w14:paraId="124ED60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抗冻性、透水系数、吸水率、抗盐冻性</w:t>
            </w:r>
          </w:p>
        </w:tc>
      </w:tr>
      <w:tr w14:paraId="7296FB1C">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184D2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四</w:t>
            </w:r>
          </w:p>
        </w:tc>
        <w:tc>
          <w:tcPr>
            <w:tcW w:w="2127" w:type="dxa"/>
            <w:tcBorders>
              <w:top w:val="single" w:color="000000" w:sz="4" w:space="0"/>
              <w:left w:val="single" w:color="000000" w:sz="4" w:space="0"/>
              <w:bottom w:val="single" w:color="000000" w:sz="4" w:space="0"/>
              <w:right w:val="single" w:color="000000" w:sz="4" w:space="0"/>
            </w:tcBorders>
            <w:vAlign w:val="center"/>
          </w:tcPr>
          <w:p w14:paraId="4A9478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钢结构</w:t>
            </w:r>
          </w:p>
        </w:tc>
        <w:tc>
          <w:tcPr>
            <w:tcW w:w="4380" w:type="dxa"/>
            <w:tcBorders>
              <w:top w:val="single" w:color="000000" w:sz="4" w:space="0"/>
              <w:left w:val="single" w:color="000000" w:sz="4" w:space="0"/>
              <w:bottom w:val="single" w:color="000000" w:sz="4" w:space="0"/>
              <w:right w:val="single" w:color="000000" w:sz="4" w:space="0"/>
            </w:tcBorders>
            <w:vAlign w:val="center"/>
          </w:tcPr>
          <w:p w14:paraId="7FCE2D89">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6E9DEFE9">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p>
        </w:tc>
      </w:tr>
      <w:tr w14:paraId="30B3FEC7">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72BC68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3A053B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钢材及焊接材料</w:t>
            </w:r>
          </w:p>
        </w:tc>
        <w:tc>
          <w:tcPr>
            <w:tcW w:w="4380" w:type="dxa"/>
            <w:tcBorders>
              <w:top w:val="single" w:color="000000" w:sz="4" w:space="0"/>
              <w:left w:val="single" w:color="000000" w:sz="4" w:space="0"/>
              <w:bottom w:val="single" w:color="000000" w:sz="4" w:space="0"/>
              <w:right w:val="single" w:color="000000" w:sz="4" w:space="0"/>
            </w:tcBorders>
            <w:vAlign w:val="center"/>
          </w:tcPr>
          <w:p w14:paraId="5C9B23B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屈服强度、抗拉强度、伸长率、厚度偏差</w:t>
            </w:r>
          </w:p>
        </w:tc>
        <w:tc>
          <w:tcPr>
            <w:tcW w:w="2560" w:type="dxa"/>
            <w:tcBorders>
              <w:top w:val="single" w:color="000000" w:sz="4" w:space="0"/>
              <w:left w:val="single" w:color="000000" w:sz="4" w:space="0"/>
              <w:bottom w:val="single" w:color="000000" w:sz="4" w:space="0"/>
              <w:right w:val="single" w:color="000000" w:sz="4" w:space="0"/>
            </w:tcBorders>
            <w:vAlign w:val="center"/>
          </w:tcPr>
          <w:p w14:paraId="3C3D6EE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冷弯性能</w:t>
            </w:r>
          </w:p>
        </w:tc>
      </w:tr>
      <w:tr w14:paraId="7FC59139">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4C9F6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617794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焊缝</w:t>
            </w:r>
          </w:p>
        </w:tc>
        <w:tc>
          <w:tcPr>
            <w:tcW w:w="4380" w:type="dxa"/>
            <w:tcBorders>
              <w:top w:val="single" w:color="000000" w:sz="4" w:space="0"/>
              <w:left w:val="single" w:color="000000" w:sz="4" w:space="0"/>
              <w:bottom w:val="single" w:color="000000" w:sz="4" w:space="0"/>
              <w:right w:val="single" w:color="000000" w:sz="4" w:space="0"/>
            </w:tcBorders>
            <w:vAlign w:val="center"/>
          </w:tcPr>
          <w:p w14:paraId="7E8E307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外观质量、内部缺陷探伤（超声法/射线法）</w:t>
            </w:r>
          </w:p>
        </w:tc>
        <w:tc>
          <w:tcPr>
            <w:tcW w:w="2560" w:type="dxa"/>
            <w:tcBorders>
              <w:top w:val="single" w:color="000000" w:sz="4" w:space="0"/>
              <w:left w:val="single" w:color="000000" w:sz="4" w:space="0"/>
              <w:bottom w:val="single" w:color="000000" w:sz="4" w:space="0"/>
              <w:right w:val="single" w:color="000000" w:sz="4" w:space="0"/>
            </w:tcBorders>
            <w:vAlign w:val="center"/>
          </w:tcPr>
          <w:p w14:paraId="1DA1015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r>
      <w:tr w14:paraId="3DE10219">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4AECE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2127" w:type="dxa"/>
            <w:tcBorders>
              <w:top w:val="single" w:color="000000" w:sz="4" w:space="0"/>
              <w:left w:val="single" w:color="000000" w:sz="4" w:space="0"/>
              <w:bottom w:val="single" w:color="000000" w:sz="4" w:space="0"/>
              <w:right w:val="single" w:color="000000" w:sz="4" w:space="0"/>
            </w:tcBorders>
            <w:vAlign w:val="center"/>
          </w:tcPr>
          <w:p w14:paraId="53C759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钢结构防腐与防火涂装</w:t>
            </w:r>
          </w:p>
        </w:tc>
        <w:tc>
          <w:tcPr>
            <w:tcW w:w="4380" w:type="dxa"/>
            <w:tcBorders>
              <w:top w:val="single" w:color="000000" w:sz="4" w:space="0"/>
              <w:left w:val="single" w:color="000000" w:sz="4" w:space="0"/>
              <w:bottom w:val="single" w:color="000000" w:sz="4" w:space="0"/>
              <w:right w:val="single" w:color="000000" w:sz="4" w:space="0"/>
            </w:tcBorders>
            <w:vAlign w:val="center"/>
          </w:tcPr>
          <w:p w14:paraId="5F1EAA4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涂层厚度</w:t>
            </w:r>
          </w:p>
        </w:tc>
        <w:tc>
          <w:tcPr>
            <w:tcW w:w="2560" w:type="dxa"/>
            <w:tcBorders>
              <w:top w:val="single" w:color="000000" w:sz="4" w:space="0"/>
              <w:left w:val="single" w:color="000000" w:sz="4" w:space="0"/>
              <w:bottom w:val="single" w:color="000000" w:sz="4" w:space="0"/>
              <w:right w:val="single" w:color="000000" w:sz="4" w:space="0"/>
            </w:tcBorders>
            <w:vAlign w:val="center"/>
          </w:tcPr>
          <w:p w14:paraId="0EED021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涂料粘结强度、涂料抗压强度、涂层附着力</w:t>
            </w:r>
          </w:p>
        </w:tc>
      </w:tr>
      <w:tr w14:paraId="7B29FC1F">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52984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2127" w:type="dxa"/>
            <w:tcBorders>
              <w:top w:val="single" w:color="000000" w:sz="4" w:space="0"/>
              <w:left w:val="single" w:color="000000" w:sz="4" w:space="0"/>
              <w:bottom w:val="single" w:color="000000" w:sz="4" w:space="0"/>
              <w:right w:val="single" w:color="000000" w:sz="4" w:space="0"/>
            </w:tcBorders>
            <w:vAlign w:val="center"/>
          </w:tcPr>
          <w:p w14:paraId="72E2D7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高强度螺栓及普通紧固件</w:t>
            </w:r>
          </w:p>
        </w:tc>
        <w:tc>
          <w:tcPr>
            <w:tcW w:w="4380" w:type="dxa"/>
            <w:tcBorders>
              <w:top w:val="single" w:color="000000" w:sz="4" w:space="0"/>
              <w:left w:val="single" w:color="000000" w:sz="4" w:space="0"/>
              <w:bottom w:val="single" w:color="000000" w:sz="4" w:space="0"/>
              <w:right w:val="single" w:color="000000" w:sz="4" w:space="0"/>
            </w:tcBorders>
            <w:vAlign w:val="center"/>
          </w:tcPr>
          <w:p w14:paraId="5A1F1B0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抗滑移系数、硬度</w:t>
            </w:r>
          </w:p>
        </w:tc>
        <w:tc>
          <w:tcPr>
            <w:tcW w:w="2560" w:type="dxa"/>
            <w:tcBorders>
              <w:top w:val="single" w:color="000000" w:sz="4" w:space="0"/>
              <w:left w:val="single" w:color="000000" w:sz="4" w:space="0"/>
              <w:bottom w:val="single" w:color="000000" w:sz="4" w:space="0"/>
              <w:right w:val="single" w:color="000000" w:sz="4" w:space="0"/>
            </w:tcBorders>
            <w:vAlign w:val="center"/>
          </w:tcPr>
          <w:p w14:paraId="0A98032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紧固轴力、扭矩系数、最小拉力载荷（普通紧固件）</w:t>
            </w:r>
          </w:p>
        </w:tc>
      </w:tr>
      <w:tr w14:paraId="7121E2BC">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31F29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五</w:t>
            </w:r>
          </w:p>
        </w:tc>
        <w:tc>
          <w:tcPr>
            <w:tcW w:w="2127" w:type="dxa"/>
            <w:tcBorders>
              <w:top w:val="single" w:color="000000" w:sz="4" w:space="0"/>
              <w:left w:val="single" w:color="000000" w:sz="4" w:space="0"/>
              <w:bottom w:val="single" w:color="000000" w:sz="4" w:space="0"/>
              <w:right w:val="single" w:color="000000" w:sz="4" w:space="0"/>
            </w:tcBorders>
            <w:vAlign w:val="center"/>
          </w:tcPr>
          <w:p w14:paraId="279D9F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防雷检测</w:t>
            </w:r>
          </w:p>
        </w:tc>
        <w:tc>
          <w:tcPr>
            <w:tcW w:w="4380" w:type="dxa"/>
            <w:tcBorders>
              <w:top w:val="single" w:color="000000" w:sz="4" w:space="0"/>
              <w:left w:val="single" w:color="000000" w:sz="4" w:space="0"/>
              <w:bottom w:val="single" w:color="000000" w:sz="4" w:space="0"/>
              <w:right w:val="single" w:color="000000" w:sz="4" w:space="0"/>
            </w:tcBorders>
            <w:vAlign w:val="center"/>
          </w:tcPr>
          <w:p w14:paraId="4BD40BDB">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420F7105">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p>
        </w:tc>
      </w:tr>
      <w:tr w14:paraId="24778615">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24D08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01B59D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防雷检测</w:t>
            </w:r>
          </w:p>
        </w:tc>
        <w:tc>
          <w:tcPr>
            <w:tcW w:w="4380" w:type="dxa"/>
            <w:tcBorders>
              <w:top w:val="single" w:color="000000" w:sz="4" w:space="0"/>
              <w:left w:val="single" w:color="000000" w:sz="4" w:space="0"/>
              <w:bottom w:val="single" w:color="000000" w:sz="4" w:space="0"/>
              <w:right w:val="single" w:color="000000" w:sz="4" w:space="0"/>
            </w:tcBorders>
            <w:vAlign w:val="center"/>
          </w:tcPr>
          <w:p w14:paraId="37166A2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包括但不限于引下线、接地电阻、各类金属构件接地、电气设备等电接地等，具体检测要求详见图纸及相关规范，检测成果应满足行业主管部门验收强制性要求。需参加发包人组织的质量检查。</w:t>
            </w:r>
          </w:p>
        </w:tc>
        <w:tc>
          <w:tcPr>
            <w:tcW w:w="2560" w:type="dxa"/>
            <w:tcBorders>
              <w:top w:val="single" w:color="000000" w:sz="4" w:space="0"/>
              <w:left w:val="single" w:color="000000" w:sz="4" w:space="0"/>
              <w:bottom w:val="single" w:color="000000" w:sz="4" w:space="0"/>
              <w:right w:val="single" w:color="000000" w:sz="4" w:space="0"/>
            </w:tcBorders>
            <w:vAlign w:val="center"/>
          </w:tcPr>
          <w:p w14:paraId="57F5BE4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r>
      <w:tr w14:paraId="0364A7EE">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65174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六</w:t>
            </w:r>
          </w:p>
        </w:tc>
        <w:tc>
          <w:tcPr>
            <w:tcW w:w="2127" w:type="dxa"/>
            <w:tcBorders>
              <w:top w:val="single" w:color="000000" w:sz="4" w:space="0"/>
              <w:left w:val="single" w:color="000000" w:sz="4" w:space="0"/>
              <w:bottom w:val="single" w:color="000000" w:sz="4" w:space="0"/>
              <w:right w:val="single" w:color="000000" w:sz="4" w:space="0"/>
            </w:tcBorders>
            <w:vAlign w:val="center"/>
          </w:tcPr>
          <w:p w14:paraId="2929AD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其他</w:t>
            </w:r>
          </w:p>
        </w:tc>
        <w:tc>
          <w:tcPr>
            <w:tcW w:w="4380" w:type="dxa"/>
            <w:tcBorders>
              <w:top w:val="single" w:color="000000" w:sz="4" w:space="0"/>
              <w:left w:val="single" w:color="000000" w:sz="4" w:space="0"/>
              <w:bottom w:val="single" w:color="000000" w:sz="4" w:space="0"/>
              <w:right w:val="single" w:color="000000" w:sz="4" w:space="0"/>
            </w:tcBorders>
            <w:vAlign w:val="center"/>
          </w:tcPr>
          <w:p w14:paraId="637BA389">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53B05563">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p>
        </w:tc>
      </w:tr>
      <w:tr w14:paraId="3E35E940">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0BEE7C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3F6D11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其他</w:t>
            </w:r>
          </w:p>
        </w:tc>
        <w:tc>
          <w:tcPr>
            <w:tcW w:w="4380" w:type="dxa"/>
            <w:tcBorders>
              <w:top w:val="single" w:color="000000" w:sz="4" w:space="0"/>
              <w:left w:val="single" w:color="000000" w:sz="4" w:space="0"/>
              <w:bottom w:val="single" w:color="000000" w:sz="4" w:space="0"/>
              <w:right w:val="single" w:color="000000" w:sz="4" w:space="0"/>
            </w:tcBorders>
            <w:vAlign w:val="center"/>
          </w:tcPr>
          <w:p w14:paraId="423A6D2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根据图纸、规范、技术标准及验收要求，本项目必须进行检测的内容。</w:t>
            </w:r>
          </w:p>
        </w:tc>
        <w:tc>
          <w:tcPr>
            <w:tcW w:w="2560" w:type="dxa"/>
            <w:tcBorders>
              <w:top w:val="single" w:color="000000" w:sz="4" w:space="0"/>
              <w:left w:val="single" w:color="000000" w:sz="4" w:space="0"/>
              <w:bottom w:val="single" w:color="000000" w:sz="4" w:space="0"/>
              <w:right w:val="single" w:color="000000" w:sz="4" w:space="0"/>
            </w:tcBorders>
            <w:vAlign w:val="center"/>
          </w:tcPr>
          <w:p w14:paraId="3D4E545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r>
    </w:tbl>
    <w:p w14:paraId="4CD023A9">
      <w:pPr>
        <w:keepNext w:val="0"/>
        <w:keepLines w:val="0"/>
        <w:pageBreakBefore w:val="0"/>
        <w:widowControl w:val="0"/>
        <w:tabs>
          <w:tab w:val="left" w:pos="3640"/>
        </w:tabs>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57447D65">
      <w:pPr>
        <w:keepNext w:val="0"/>
        <w:keepLines w:val="0"/>
        <w:pageBreakBefore w:val="0"/>
        <w:widowControl w:val="0"/>
        <w:numPr>
          <w:ilvl w:val="0"/>
          <w:numId w:val="22"/>
        </w:numPr>
        <w:tabs>
          <w:tab w:val="left" w:pos="3640"/>
        </w:tabs>
        <w:kinsoku/>
        <w:wordWrap/>
        <w:overflowPunct/>
        <w:topLinePunct w:val="0"/>
        <w:autoSpaceDE w:val="0"/>
        <w:autoSpaceDN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“必须检测参数或内容”是根据图纸、规范、技术标准及验收要求，本项目必须进行检测的内容；“按需检测参数或内容”是根据项目实际情况可能涉及到的检测内容；供应商已综合考虑上述风险因素审慎报价；</w:t>
      </w:r>
    </w:p>
    <w:p w14:paraId="25935EFE">
      <w:pPr>
        <w:keepNext w:val="0"/>
        <w:keepLines w:val="0"/>
        <w:pageBreakBefore w:val="0"/>
        <w:widowControl w:val="0"/>
        <w:numPr>
          <w:ilvl w:val="0"/>
          <w:numId w:val="22"/>
        </w:numPr>
        <w:tabs>
          <w:tab w:val="left" w:pos="3640"/>
        </w:tabs>
        <w:kinsoku/>
        <w:wordWrap/>
        <w:overflowPunct/>
        <w:topLinePunct w:val="0"/>
        <w:autoSpaceDE w:val="0"/>
        <w:autoSpaceDN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“必须检测参数或内容”除上表列明内容外，还包括图纸、规范、技术标准及验收要求的其他必要的检测。</w:t>
      </w:r>
    </w:p>
    <w:p w14:paraId="492B646A">
      <w:pPr>
        <w:keepNext w:val="0"/>
        <w:keepLines w:val="0"/>
        <w:pageBreakBefore w:val="0"/>
        <w:widowControl w:val="0"/>
        <w:numPr>
          <w:ilvl w:val="0"/>
          <w:numId w:val="22"/>
        </w:numPr>
        <w:tabs>
          <w:tab w:val="left" w:pos="3640"/>
        </w:tabs>
        <w:kinsoku/>
        <w:wordWrap/>
        <w:overflowPunct/>
        <w:topLinePunct w:val="0"/>
        <w:autoSpaceDE w:val="0"/>
        <w:autoSpaceDN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该项目检测内容包含但不限于以上内容，项目直至竣工验收所有必需的建筑工程质量检测均包含在本合同范围，如涉及直接影响工程建设主体结构质量的原材料、成品、半成品验收检测；种植土检测等。</w:t>
      </w:r>
    </w:p>
    <w:p w14:paraId="20B82002">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检测项目、数量及频率应满足下列要求：</w:t>
      </w:r>
    </w:p>
    <w:p w14:paraId="52B0BCF9">
      <w:pPr>
        <w:keepNext w:val="0"/>
        <w:keepLines w:val="0"/>
        <w:pageBreakBefore w:val="0"/>
        <w:widowControl w:val="0"/>
        <w:numPr>
          <w:ilvl w:val="0"/>
          <w:numId w:val="23"/>
        </w:numPr>
        <w:tabs>
          <w:tab w:val="left" w:pos="3640"/>
        </w:tabs>
        <w:kinsoku/>
        <w:wordWrap/>
        <w:overflowPunct/>
        <w:topLinePunct w:val="0"/>
        <w:autoSpaceDE w:val="0"/>
        <w:autoSpaceDN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国家、地方相关规范、规定，以及行政主管部门要求；</w:t>
      </w:r>
    </w:p>
    <w:p w14:paraId="614E8AE6">
      <w:pPr>
        <w:keepNext w:val="0"/>
        <w:keepLines w:val="0"/>
        <w:pageBreakBefore w:val="0"/>
        <w:widowControl w:val="0"/>
        <w:numPr>
          <w:ilvl w:val="0"/>
          <w:numId w:val="23"/>
        </w:numPr>
        <w:tabs>
          <w:tab w:val="left" w:pos="3640"/>
        </w:tabs>
        <w:kinsoku/>
        <w:wordWrap/>
        <w:overflowPunct/>
        <w:topLinePunct w:val="0"/>
        <w:autoSpaceDE w:val="0"/>
        <w:autoSpaceDN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设计、施工及采购人的要求；</w:t>
      </w:r>
    </w:p>
    <w:p w14:paraId="1D338FB8">
      <w:pPr>
        <w:keepNext w:val="0"/>
        <w:keepLines w:val="0"/>
        <w:pageBreakBefore w:val="0"/>
        <w:widowControl w:val="0"/>
        <w:numPr>
          <w:ilvl w:val="0"/>
          <w:numId w:val="23"/>
        </w:numPr>
        <w:tabs>
          <w:tab w:val="left" w:pos="3640"/>
        </w:tabs>
        <w:kinsoku/>
        <w:wordWrap/>
        <w:overflowPunct/>
        <w:topLinePunct w:val="0"/>
        <w:autoSpaceDE w:val="0"/>
        <w:autoSpaceDN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项目各阶段验收需要；</w:t>
      </w:r>
    </w:p>
    <w:p w14:paraId="5E1D4A7A">
      <w:pPr>
        <w:keepNext w:val="0"/>
        <w:keepLines w:val="0"/>
        <w:pageBreakBefore w:val="0"/>
        <w:widowControl w:val="0"/>
        <w:numPr>
          <w:ilvl w:val="0"/>
          <w:numId w:val="23"/>
        </w:numPr>
        <w:tabs>
          <w:tab w:val="left" w:pos="3640"/>
        </w:tabs>
        <w:kinsoku/>
        <w:wordWrap/>
        <w:overflowPunct/>
        <w:topLinePunct w:val="0"/>
        <w:autoSpaceDE w:val="0"/>
        <w:autoSpaceDN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项目竣工验收及档案移交需要；</w:t>
      </w:r>
    </w:p>
    <w:p w14:paraId="24BF12D9">
      <w:pPr>
        <w:keepNext w:val="0"/>
        <w:keepLines w:val="0"/>
        <w:pageBreakBefore w:val="0"/>
        <w:widowControl w:val="0"/>
        <w:numPr>
          <w:ilvl w:val="0"/>
          <w:numId w:val="23"/>
        </w:numPr>
        <w:tabs>
          <w:tab w:val="left" w:pos="3640"/>
        </w:tabs>
        <w:kinsoku/>
        <w:wordWrap/>
        <w:overflowPunct/>
        <w:topLinePunct w:val="0"/>
        <w:autoSpaceDE w:val="0"/>
        <w:autoSpaceDN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检测数量及频率包括建设单位对工程质量有怀疑的部位需要增加检测项目；</w:t>
      </w:r>
    </w:p>
    <w:p w14:paraId="5142D138">
      <w:pPr>
        <w:keepNext w:val="0"/>
        <w:keepLines w:val="0"/>
        <w:pageBreakBefore w:val="0"/>
        <w:widowControl w:val="0"/>
        <w:numPr>
          <w:ilvl w:val="0"/>
          <w:numId w:val="23"/>
        </w:numPr>
        <w:tabs>
          <w:tab w:val="left" w:pos="3640"/>
        </w:tabs>
        <w:kinsoku/>
        <w:wordWrap/>
        <w:overflowPunct/>
        <w:topLinePunct w:val="0"/>
        <w:autoSpaceDE w:val="0"/>
        <w:autoSpaceDN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说明：未涉及项目按国家、省、市、区相关技术标准和管理规定以及采购人要求执行。上述检测数量及频率按照相关标准及规定取定；施工过程中，采购人有权对工程质量有怀疑的部位增加检测频率，成交人需无条件配合，不得以此为理由增加费用。注：采购人对于检测部位及频率有决定调整的权利，具体检测部位和数量由建设单位依据相关规定确认。成交人需无条件配合，不得以此为理由增加费用。</w:t>
      </w:r>
    </w:p>
    <w:p w14:paraId="0B6128A4">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rPr>
        <w:t>单位需派专人（取样员）配拉样品车，到工地现场取样，不得要求施工人员去实验室送样。</w:t>
      </w:r>
    </w:p>
    <w:p w14:paraId="5670008A">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成果的提交：乙方提交的成果应符合国家、本地及相关行业现行的规范、规程、标准及甲方、主管部门的要求</w:t>
      </w:r>
      <w:r>
        <w:rPr>
          <w:rFonts w:hint="eastAsia" w:ascii="宋体" w:hAnsi="宋体" w:eastAsia="宋体" w:cs="宋体"/>
          <w:color w:val="auto"/>
          <w:sz w:val="21"/>
          <w:szCs w:val="21"/>
          <w:highlight w:val="none"/>
          <w:lang w:eastAsia="zh-CN"/>
        </w:rPr>
        <w:t>。</w:t>
      </w:r>
    </w:p>
    <w:p w14:paraId="3E69076B">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标准：乙方须按发包人设计图纸、相关规范及当地建筑业主管部门要求进行地基基础工程检测及建设工程质量检测，检测过程和检测成果须符合图纸设计要求及相关规范、标准要求，保证一次性通过当地建筑业主管部门的验收及备案。</w:t>
      </w:r>
    </w:p>
    <w:p w14:paraId="4ADDB230">
      <w:pPr>
        <w:keepNext w:val="0"/>
        <w:keepLines w:val="0"/>
        <w:pageBreakBefore w:val="0"/>
        <w:widowControl w:val="0"/>
        <w:numPr>
          <w:ilvl w:val="0"/>
          <w:numId w:val="16"/>
        </w:numPr>
        <w:shd w:val="clear"/>
        <w:kinsoku/>
        <w:wordWrap/>
        <w:overflowPunct/>
        <w:topLinePunct w:val="0"/>
        <w:autoSpaceDE/>
        <w:autoSpaceDN/>
        <w:bidi w:val="0"/>
        <w:adjustRightInd w:val="0"/>
        <w:snapToGrid w:val="0"/>
        <w:spacing w:line="360" w:lineRule="auto"/>
        <w:ind w:lef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踏勘现场</w:t>
      </w:r>
    </w:p>
    <w:p w14:paraId="635162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供应商应自行对工程现场及周围环境进行踏勘以获得有关交易和签署合同所涉及现场的资料。踏勘现场所发生的自身费用由参与供应商自己承担。经项目单位允许，参与供应商可为踏勘目的进入项目单位的项目现场，但参与供应商不得因此使项目单位承担有关的责任和蒙受损失。参与供应商应承担踏勘现场的责任和风险。</w:t>
      </w:r>
    </w:p>
    <w:p w14:paraId="0DCE26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项目单位向参与供应商提供的所有数据和资料，是项目单位现有的能被参与供应商利用的资料，项目单位对参与供应商做出的任何推论、理解和结论均不负责任。</w:t>
      </w:r>
    </w:p>
    <w:p w14:paraId="4A2A400C">
      <w:pPr>
        <w:keepNext w:val="0"/>
        <w:keepLines w:val="0"/>
        <w:pageBreakBefore w:val="0"/>
        <w:widowControl w:val="0"/>
        <w:numPr>
          <w:ilvl w:val="0"/>
          <w:numId w:val="16"/>
        </w:numPr>
        <w:shd w:val="clear"/>
        <w:kinsoku/>
        <w:wordWrap/>
        <w:overflowPunct/>
        <w:topLinePunct w:val="0"/>
        <w:autoSpaceDE/>
        <w:autoSpaceDN/>
        <w:bidi w:val="0"/>
        <w:adjustRightInd w:val="0"/>
        <w:snapToGrid w:val="0"/>
        <w:spacing w:line="360" w:lineRule="auto"/>
        <w:ind w:lef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人员要求（响应文件中提供证书复印件或扫描件）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4031"/>
        <w:gridCol w:w="1211"/>
        <w:gridCol w:w="2153"/>
      </w:tblGrid>
      <w:tr w14:paraId="4C91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68" w:type="dxa"/>
            <w:vAlign w:val="center"/>
          </w:tcPr>
          <w:p w14:paraId="75410650">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岗位</w:t>
            </w:r>
          </w:p>
        </w:tc>
        <w:tc>
          <w:tcPr>
            <w:tcW w:w="4395" w:type="dxa"/>
            <w:vAlign w:val="center"/>
          </w:tcPr>
          <w:p w14:paraId="5A9C11A4">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要求</w:t>
            </w:r>
          </w:p>
        </w:tc>
        <w:tc>
          <w:tcPr>
            <w:tcW w:w="1290" w:type="dxa"/>
            <w:vAlign w:val="center"/>
          </w:tcPr>
          <w:p w14:paraId="305DA49C">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人员数量</w:t>
            </w:r>
          </w:p>
        </w:tc>
        <w:tc>
          <w:tcPr>
            <w:tcW w:w="2327" w:type="dxa"/>
            <w:vAlign w:val="center"/>
          </w:tcPr>
          <w:p w14:paraId="1380BAF5">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5B5F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8" w:type="dxa"/>
            <w:vAlign w:val="center"/>
          </w:tcPr>
          <w:p w14:paraId="73607343">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项目负责人</w:t>
            </w:r>
          </w:p>
        </w:tc>
        <w:tc>
          <w:tcPr>
            <w:tcW w:w="4395" w:type="dxa"/>
            <w:vAlign w:val="center"/>
          </w:tcPr>
          <w:p w14:paraId="5632D73C">
            <w:pPr>
              <w:keepNext/>
              <w:keepLines/>
              <w:suppressLineNumbers w:val="0"/>
              <w:wordWrap w:val="0"/>
              <w:autoSpaceDE w:val="0"/>
              <w:autoSpaceDN w:val="0"/>
              <w:adjustRightInd w:val="0"/>
              <w:snapToGrid w:val="0"/>
              <w:spacing w:before="0" w:beforeAutospacing="0" w:after="0" w:afterAutospacing="0"/>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具有检测人员岗位证书或试验检测师或试验检测工程师证书</w:t>
            </w:r>
          </w:p>
        </w:tc>
        <w:tc>
          <w:tcPr>
            <w:tcW w:w="1290" w:type="dxa"/>
            <w:vAlign w:val="center"/>
          </w:tcPr>
          <w:p w14:paraId="77780969">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2327" w:type="dxa"/>
            <w:vAlign w:val="center"/>
          </w:tcPr>
          <w:p w14:paraId="530E0192">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宋体" w:hAnsi="宋体" w:eastAsia="宋体" w:cs="宋体"/>
                <w:bCs/>
                <w:color w:val="auto"/>
                <w:sz w:val="21"/>
                <w:szCs w:val="21"/>
                <w:highlight w:val="none"/>
              </w:rPr>
            </w:pPr>
          </w:p>
        </w:tc>
      </w:tr>
      <w:tr w14:paraId="38D7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8" w:type="dxa"/>
            <w:vAlign w:val="center"/>
          </w:tcPr>
          <w:p w14:paraId="6C124E2A">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技术负责人</w:t>
            </w:r>
          </w:p>
        </w:tc>
        <w:tc>
          <w:tcPr>
            <w:tcW w:w="4395" w:type="dxa"/>
            <w:vAlign w:val="center"/>
          </w:tcPr>
          <w:p w14:paraId="154D8EBB">
            <w:pPr>
              <w:keepNext/>
              <w:keepLines/>
              <w:suppressLineNumbers w:val="0"/>
              <w:wordWrap w:val="0"/>
              <w:autoSpaceDE w:val="0"/>
              <w:autoSpaceDN w:val="0"/>
              <w:adjustRightInd w:val="0"/>
              <w:snapToGrid w:val="0"/>
              <w:spacing w:before="0" w:beforeAutospacing="0" w:after="0" w:afterAutospacing="0"/>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具有检测人员岗位证书或试验检测师或试验检测工程师证书</w:t>
            </w:r>
          </w:p>
        </w:tc>
        <w:tc>
          <w:tcPr>
            <w:tcW w:w="1290" w:type="dxa"/>
            <w:vAlign w:val="center"/>
          </w:tcPr>
          <w:p w14:paraId="5B695DF2">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2327" w:type="dxa"/>
            <w:vAlign w:val="center"/>
          </w:tcPr>
          <w:p w14:paraId="7445E7B9">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宋体" w:hAnsi="宋体" w:eastAsia="宋体" w:cs="宋体"/>
                <w:bCs/>
                <w:color w:val="auto"/>
                <w:sz w:val="21"/>
                <w:szCs w:val="21"/>
                <w:highlight w:val="none"/>
              </w:rPr>
            </w:pPr>
          </w:p>
        </w:tc>
      </w:tr>
      <w:tr w14:paraId="5ECC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8" w:type="dxa"/>
            <w:vAlign w:val="center"/>
          </w:tcPr>
          <w:p w14:paraId="550084FB">
            <w:pPr>
              <w:keepNext/>
              <w:keepLines/>
              <w:pageBreakBefore w:val="0"/>
              <w:widowControl w:val="0"/>
              <w:suppressLineNumbers w:val="0"/>
              <w:shd w:val="clear"/>
              <w:kinsoku/>
              <w:wordWrap w:val="0"/>
              <w:overflowPunct/>
              <w:topLinePunct w:val="0"/>
              <w:autoSpaceDE w:val="0"/>
              <w:autoSpaceDN w:val="0"/>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vertAlign w:val="baseline"/>
                <w:lang w:val="en-US" w:eastAsia="zh-CN"/>
              </w:rPr>
              <w:t>资料员</w:t>
            </w:r>
          </w:p>
        </w:tc>
        <w:tc>
          <w:tcPr>
            <w:tcW w:w="4395" w:type="dxa"/>
            <w:vAlign w:val="center"/>
          </w:tcPr>
          <w:p w14:paraId="522ED4BE">
            <w:pPr>
              <w:keepNext/>
              <w:keepLines/>
              <w:pageBreakBefore w:val="0"/>
              <w:widowControl w:val="0"/>
              <w:suppressLineNumbers w:val="0"/>
              <w:shd w:val="clear"/>
              <w:kinsoku/>
              <w:wordWrap w:val="0"/>
              <w:overflowPunct/>
              <w:topLinePunct w:val="0"/>
              <w:autoSpaceDE w:val="0"/>
              <w:autoSpaceDN w:val="0"/>
              <w:bidi w:val="0"/>
              <w:adjustRightInd w:val="0"/>
              <w:snapToGrid w:val="0"/>
              <w:spacing w:before="0" w:beforeAutospacing="0" w:after="0" w:afterAutospacing="0" w:line="240" w:lineRule="auto"/>
              <w:ind w:left="0" w:right="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vertAlign w:val="baseline"/>
                <w:lang w:val="en-US" w:eastAsia="zh-CN"/>
              </w:rPr>
              <w:t>均须具有检测人员岗位资格证书</w:t>
            </w:r>
          </w:p>
        </w:tc>
        <w:tc>
          <w:tcPr>
            <w:tcW w:w="1290" w:type="dxa"/>
            <w:vAlign w:val="center"/>
          </w:tcPr>
          <w:p w14:paraId="65BE0273">
            <w:pPr>
              <w:keepNext/>
              <w:keepLines/>
              <w:pageBreakBefore w:val="0"/>
              <w:widowControl w:val="0"/>
              <w:suppressLineNumbers w:val="0"/>
              <w:shd w:val="clear"/>
              <w:kinsoku/>
              <w:wordWrap w:val="0"/>
              <w:overflowPunct/>
              <w:topLinePunct w:val="0"/>
              <w:autoSpaceDE w:val="0"/>
              <w:autoSpaceDN w:val="0"/>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vertAlign w:val="baseline"/>
                <w:lang w:val="en-US" w:eastAsia="zh-CN"/>
              </w:rPr>
              <w:t>1</w:t>
            </w:r>
          </w:p>
        </w:tc>
        <w:tc>
          <w:tcPr>
            <w:tcW w:w="2327" w:type="dxa"/>
            <w:vAlign w:val="center"/>
          </w:tcPr>
          <w:p w14:paraId="34C12303">
            <w:pPr>
              <w:keepNext/>
              <w:keepLines/>
              <w:pageBreakBefore w:val="0"/>
              <w:widowControl w:val="0"/>
              <w:suppressLineNumbers w:val="0"/>
              <w:shd w:val="clear"/>
              <w:kinsoku/>
              <w:wordWrap w:val="0"/>
              <w:overflowPunct/>
              <w:topLinePunct w:val="0"/>
              <w:autoSpaceDE w:val="0"/>
              <w:autoSpaceDN w:val="0"/>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bCs/>
                <w:color w:val="auto"/>
                <w:sz w:val="21"/>
                <w:szCs w:val="21"/>
                <w:highlight w:val="none"/>
              </w:rPr>
            </w:pPr>
          </w:p>
        </w:tc>
      </w:tr>
    </w:tbl>
    <w:p w14:paraId="6DDA35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eastAsia="宋体" w:cs="宋体"/>
          <w:color w:val="auto"/>
          <w:sz w:val="21"/>
          <w:szCs w:val="21"/>
          <w:highlight w:val="none"/>
        </w:rPr>
      </w:pPr>
    </w:p>
    <w:p w14:paraId="56AE91F7">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br w:type="page"/>
      </w:r>
    </w:p>
    <w:bookmarkEnd w:id="60"/>
    <w:bookmarkEnd w:id="61"/>
    <w:bookmarkEnd w:id="62"/>
    <w:p w14:paraId="6F790709">
      <w:pPr>
        <w:pStyle w:val="2"/>
        <w:numPr>
          <w:ilvl w:val="0"/>
          <w:numId w:val="15"/>
        </w:numPr>
        <w:spacing w:before="62" w:beforeLines="20" w:after="62" w:afterLines="20" w:line="480" w:lineRule="exact"/>
        <w:ind w:left="0" w:leftChars="0" w:firstLine="0" w:firstLineChars="0"/>
        <w:jc w:val="center"/>
        <w:rPr>
          <w:rFonts w:hint="eastAsia" w:ascii="黑体" w:hAnsi="黑体" w:eastAsia="黑体" w:cs="黑体"/>
          <w:color w:val="auto"/>
          <w:sz w:val="32"/>
          <w:szCs w:val="32"/>
          <w:highlight w:val="none"/>
        </w:rPr>
      </w:pPr>
      <w:bookmarkStart w:id="63" w:name="_Toc25399"/>
      <w:bookmarkStart w:id="64" w:name="_Toc439316880"/>
      <w:bookmarkStart w:id="65" w:name="_Toc54941341"/>
      <w:bookmarkStart w:id="66" w:name="_Toc8981"/>
      <w:r>
        <w:rPr>
          <w:rFonts w:hint="eastAsia" w:ascii="黑体" w:hAnsi="黑体" w:eastAsia="黑体" w:cs="黑体"/>
          <w:color w:val="auto"/>
          <w:sz w:val="32"/>
          <w:szCs w:val="32"/>
          <w:highlight w:val="none"/>
        </w:rPr>
        <w:t>上河院项目跨湖人行栈道桩基检测及建设工程质量检测服务合同</w:t>
      </w:r>
    </w:p>
    <w:p w14:paraId="51ED1855">
      <w:pPr>
        <w:pStyle w:val="2"/>
        <w:keepNext/>
        <w:keepLines/>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0" w:firstLineChars="0"/>
        <w:jc w:val="center"/>
        <w:textAlignment w:val="auto"/>
        <w:rPr>
          <w:rFonts w:hint="eastAsia" w:ascii="黑体" w:hAnsi="黑体" w:eastAsia="黑体" w:cs="黑体"/>
          <w:color w:val="auto"/>
          <w:sz w:val="32"/>
          <w:szCs w:val="32"/>
          <w:highlight w:val="none"/>
        </w:rPr>
      </w:pPr>
      <w:bookmarkStart w:id="67" w:name="_Toc32606"/>
      <w:r>
        <w:rPr>
          <w:rFonts w:hint="eastAsia" w:ascii="黑体" w:hAnsi="黑体" w:eastAsia="黑体" w:cs="黑体"/>
          <w:color w:val="auto"/>
          <w:sz w:val="32"/>
          <w:szCs w:val="32"/>
          <w:highlight w:val="none"/>
        </w:rPr>
        <w:t>第一部分  合同主要条款</w:t>
      </w:r>
      <w:bookmarkEnd w:id="67"/>
    </w:p>
    <w:p w14:paraId="0FCB62BA">
      <w:p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采购人（甲方）：</w:t>
      </w:r>
      <w:r>
        <w:rPr>
          <w:rFonts w:hint="eastAsia" w:ascii="仿宋" w:hAnsi="仿宋" w:eastAsia="仿宋" w:cs="仿宋"/>
          <w:color w:val="auto"/>
          <w:sz w:val="30"/>
          <w:szCs w:val="30"/>
          <w:highlight w:val="none"/>
          <w:u w:val="single"/>
        </w:rPr>
        <w:t xml:space="preserve"> 安庆市通达置业有限公司 </w:t>
      </w:r>
    </w:p>
    <w:p w14:paraId="089737FD">
      <w:p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u w:val="single"/>
        </w:rPr>
      </w:pPr>
      <w:r>
        <w:rPr>
          <w:rFonts w:hint="eastAsia" w:ascii="仿宋" w:hAnsi="仿宋" w:eastAsia="仿宋" w:cs="仿宋"/>
          <w:bCs/>
          <w:color w:val="auto"/>
          <w:sz w:val="30"/>
          <w:szCs w:val="30"/>
          <w:highlight w:val="none"/>
        </w:rPr>
        <w:t>成交人</w:t>
      </w:r>
      <w:r>
        <w:rPr>
          <w:rFonts w:hint="eastAsia" w:ascii="仿宋" w:hAnsi="仿宋" w:eastAsia="仿宋" w:cs="仿宋"/>
          <w:color w:val="auto"/>
          <w:sz w:val="30"/>
          <w:szCs w:val="30"/>
          <w:highlight w:val="none"/>
        </w:rPr>
        <w:t>（乙方）：</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p>
    <w:p w14:paraId="2C4BA427">
      <w:p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根据《中华人民共和国民法典》及</w:t>
      </w:r>
      <w:r>
        <w:rPr>
          <w:rFonts w:hint="eastAsia" w:ascii="仿宋" w:hAnsi="仿宋" w:eastAsia="仿宋" w:cs="仿宋"/>
          <w:color w:val="auto"/>
          <w:sz w:val="30"/>
          <w:szCs w:val="30"/>
          <w:highlight w:val="none"/>
          <w:u w:val="single"/>
        </w:rPr>
        <w:t xml:space="preserve"> 上河院项目跨湖人行栈道桩基检测及建设工程质量检测 </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val="en-US" w:eastAsia="zh-CN"/>
        </w:rPr>
        <w:t>比选</w:t>
      </w:r>
      <w:r>
        <w:rPr>
          <w:rFonts w:hint="eastAsia" w:ascii="仿宋" w:hAnsi="仿宋" w:eastAsia="仿宋" w:cs="仿宋"/>
          <w:color w:val="auto"/>
          <w:sz w:val="30"/>
          <w:szCs w:val="30"/>
          <w:highlight w:val="none"/>
        </w:rPr>
        <w:t>文件、</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文件等，甲乙双方经协商一致，签订如下合同条款，并共同遵守。</w:t>
      </w:r>
    </w:p>
    <w:p w14:paraId="6CE52B55">
      <w:pPr>
        <w:numPr>
          <w:ilvl w:val="0"/>
          <w:numId w:val="24"/>
        </w:numPr>
        <w:tabs>
          <w:tab w:val="left" w:pos="3640"/>
        </w:tabs>
        <w:autoSpaceDE w:val="0"/>
        <w:autoSpaceDN w:val="0"/>
        <w:adjustRightInd w:val="0"/>
        <w:snapToGrid w:val="0"/>
        <w:spacing w:line="480" w:lineRule="exact"/>
        <w:ind w:firstLine="602" w:firstLineChars="200"/>
        <w:outlineLvl w:val="1"/>
        <w:rPr>
          <w:rFonts w:hint="eastAsia" w:ascii="仿宋" w:hAnsi="仿宋" w:eastAsia="仿宋" w:cs="仿宋"/>
          <w:b/>
          <w:bCs/>
          <w:color w:val="auto"/>
          <w:sz w:val="30"/>
          <w:szCs w:val="30"/>
          <w:highlight w:val="none"/>
        </w:rPr>
      </w:pPr>
      <w:bookmarkStart w:id="68" w:name="_Toc11831"/>
      <w:r>
        <w:rPr>
          <w:rFonts w:hint="eastAsia" w:ascii="仿宋" w:hAnsi="仿宋" w:eastAsia="仿宋" w:cs="仿宋"/>
          <w:b/>
          <w:bCs/>
          <w:color w:val="auto"/>
          <w:sz w:val="30"/>
          <w:szCs w:val="30"/>
          <w:highlight w:val="none"/>
        </w:rPr>
        <w:t>工程概况</w:t>
      </w:r>
      <w:bookmarkEnd w:id="68"/>
    </w:p>
    <w:p w14:paraId="2EBC3A71">
      <w:pPr>
        <w:numPr>
          <w:ilvl w:val="0"/>
          <w:numId w:val="25"/>
        </w:num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项目名称：</w:t>
      </w:r>
      <w:r>
        <w:rPr>
          <w:rFonts w:hint="eastAsia" w:ascii="仿宋" w:hAnsi="仿宋" w:eastAsia="仿宋" w:cs="仿宋"/>
          <w:color w:val="auto"/>
          <w:sz w:val="30"/>
          <w:szCs w:val="30"/>
          <w:highlight w:val="none"/>
          <w:u w:val="single"/>
        </w:rPr>
        <w:t>上河院项目跨湖人行栈道桩基检测及建设工程质量检测。</w:t>
      </w:r>
    </w:p>
    <w:p w14:paraId="061ABD86">
      <w:pPr>
        <w:numPr>
          <w:ilvl w:val="0"/>
          <w:numId w:val="25"/>
        </w:num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项目地点：</w:t>
      </w:r>
      <w:r>
        <w:rPr>
          <w:rFonts w:hint="eastAsia" w:ascii="仿宋" w:hAnsi="仿宋" w:eastAsia="仿宋" w:cs="仿宋"/>
          <w:color w:val="auto"/>
          <w:sz w:val="30"/>
          <w:szCs w:val="30"/>
          <w:highlight w:val="none"/>
          <w:u w:val="single"/>
          <w:lang w:val="en-US" w:eastAsia="zh-CN"/>
        </w:rPr>
        <w:t>安庆市宜秀区</w:t>
      </w:r>
      <w:r>
        <w:rPr>
          <w:rFonts w:hint="eastAsia" w:ascii="仿宋" w:hAnsi="仿宋" w:eastAsia="仿宋" w:cs="仿宋"/>
          <w:color w:val="auto"/>
          <w:sz w:val="30"/>
          <w:szCs w:val="30"/>
          <w:highlight w:val="none"/>
          <w:u w:val="single"/>
        </w:rPr>
        <w:t>上河院项目跨湖人行栈道。</w:t>
      </w:r>
    </w:p>
    <w:p w14:paraId="4AE56132">
      <w:pPr>
        <w:numPr>
          <w:ilvl w:val="0"/>
          <w:numId w:val="25"/>
        </w:num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项目建设规模：</w:t>
      </w:r>
      <w:r>
        <w:rPr>
          <w:rFonts w:hint="eastAsia" w:ascii="仿宋" w:hAnsi="仿宋" w:eastAsia="仿宋" w:cs="仿宋"/>
          <w:color w:val="auto"/>
          <w:sz w:val="30"/>
          <w:szCs w:val="30"/>
          <w:highlight w:val="none"/>
          <w:u w:val="single"/>
        </w:rPr>
        <w:t>上河院项目跨湖人行栈道，包括但不限于1#景观栈道、2#景观栈道及主跨25m、长度149m的桥梁；</w:t>
      </w:r>
      <w:r>
        <w:rPr>
          <w:rFonts w:hint="eastAsia" w:ascii="仿宋" w:hAnsi="仿宋" w:eastAsia="仿宋" w:cs="仿宋"/>
          <w:color w:val="auto"/>
          <w:sz w:val="30"/>
          <w:szCs w:val="30"/>
          <w:highlight w:val="none"/>
          <w:u w:val="single"/>
          <w:lang w:val="en-US" w:eastAsia="zh-CN"/>
        </w:rPr>
        <w:t>施工内容</w:t>
      </w:r>
      <w:r>
        <w:rPr>
          <w:rFonts w:hint="eastAsia" w:ascii="仿宋" w:hAnsi="仿宋" w:eastAsia="仿宋" w:cs="仿宋"/>
          <w:color w:val="auto"/>
          <w:sz w:val="30"/>
          <w:szCs w:val="30"/>
          <w:highlight w:val="none"/>
          <w:u w:val="single"/>
        </w:rPr>
        <w:t>包括但不限于桩基工程、围堰工程、钢结构工程、钢筋混凝土工程、电气工程、景观绿化工程等，具体详见施工图设计文件</w:t>
      </w:r>
      <w:r>
        <w:rPr>
          <w:rFonts w:hint="eastAsia" w:ascii="仿宋" w:hAnsi="仿宋" w:eastAsia="仿宋" w:cs="仿宋"/>
          <w:color w:val="auto"/>
          <w:sz w:val="30"/>
          <w:szCs w:val="30"/>
          <w:highlight w:val="none"/>
          <w:u w:val="none"/>
          <w:lang w:eastAsia="zh-CN"/>
        </w:rPr>
        <w:t>。</w:t>
      </w:r>
    </w:p>
    <w:p w14:paraId="7A672A85">
      <w:pPr>
        <w:numPr>
          <w:ilvl w:val="0"/>
          <w:numId w:val="24"/>
        </w:numPr>
        <w:tabs>
          <w:tab w:val="left" w:pos="3640"/>
        </w:tabs>
        <w:autoSpaceDE w:val="0"/>
        <w:autoSpaceDN w:val="0"/>
        <w:adjustRightInd w:val="0"/>
        <w:snapToGrid w:val="0"/>
        <w:spacing w:line="480" w:lineRule="exact"/>
        <w:ind w:firstLine="602" w:firstLineChars="200"/>
        <w:outlineLvl w:val="1"/>
        <w:rPr>
          <w:rFonts w:hint="eastAsia" w:ascii="仿宋" w:hAnsi="仿宋" w:eastAsia="仿宋" w:cs="仿宋"/>
          <w:b/>
          <w:bCs/>
          <w:color w:val="auto"/>
          <w:sz w:val="30"/>
          <w:szCs w:val="30"/>
          <w:highlight w:val="none"/>
        </w:rPr>
      </w:pPr>
      <w:bookmarkStart w:id="69" w:name="_Toc22942"/>
      <w:r>
        <w:rPr>
          <w:rFonts w:hint="eastAsia" w:ascii="仿宋" w:hAnsi="仿宋" w:eastAsia="仿宋" w:cs="仿宋"/>
          <w:b/>
          <w:bCs/>
          <w:color w:val="auto"/>
          <w:sz w:val="30"/>
          <w:szCs w:val="30"/>
          <w:highlight w:val="none"/>
        </w:rPr>
        <w:t>检测服务范围与服务费</w:t>
      </w:r>
      <w:bookmarkEnd w:id="69"/>
    </w:p>
    <w:p w14:paraId="53AFAA9D">
      <w:pPr>
        <w:numPr>
          <w:ilvl w:val="0"/>
          <w:numId w:val="26"/>
        </w:num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服务范围</w:t>
      </w:r>
    </w:p>
    <w:p w14:paraId="00EF6811">
      <w:pPr>
        <w:keepNext w:val="0"/>
        <w:keepLines w:val="0"/>
        <w:pageBreakBefore w:val="0"/>
        <w:widowControl w:val="0"/>
        <w:numPr>
          <w:ilvl w:val="0"/>
          <w:numId w:val="27"/>
        </w:numPr>
        <w:tabs>
          <w:tab w:val="left" w:pos="3640"/>
        </w:tabs>
        <w:kinsoku/>
        <w:wordWrap/>
        <w:overflowPunct/>
        <w:topLinePunct w:val="0"/>
        <w:autoSpaceDE w:val="0"/>
        <w:autoSpaceDN w:val="0"/>
        <w:bidi w:val="0"/>
        <w:adjustRightInd w:val="0"/>
        <w:snapToGrid w:val="0"/>
        <w:spacing w:line="480" w:lineRule="exact"/>
        <w:ind w:leftChars="0"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桩基检测（地基基础工程检测）；检测方法、要求、内容及数量等详见施工图及相关规范，服务成果应达到或满足国家和行业标准、规程规范及</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lang w:eastAsia="zh-CN"/>
        </w:rPr>
        <w:t>要求的质量，满足工程验收需要，并为本项目竣工验收提供有关检测方面的技术支持。甲方保留调整检测项目发包范围和内容的权利，乙方无异议。</w:t>
      </w:r>
    </w:p>
    <w:p w14:paraId="37305C1C">
      <w:pPr>
        <w:keepNext w:val="0"/>
        <w:keepLines w:val="0"/>
        <w:pageBreakBefore w:val="0"/>
        <w:widowControl w:val="0"/>
        <w:numPr>
          <w:ilvl w:val="0"/>
          <w:numId w:val="0"/>
        </w:numPr>
        <w:tabs>
          <w:tab w:val="left" w:pos="3640"/>
        </w:tabs>
        <w:kinsoku/>
        <w:wordWrap/>
        <w:overflowPunct/>
        <w:topLinePunct w:val="0"/>
        <w:autoSpaceDE w:val="0"/>
        <w:autoSpaceDN w:val="0"/>
        <w:bidi w:val="0"/>
        <w:adjustRightInd w:val="0"/>
        <w:snapToGrid w:val="0"/>
        <w:spacing w:line="480" w:lineRule="exact"/>
        <w:ind w:leftChars="0"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检测范围包括但不限于以上内容，具体检测要求详见图纸及相关规范，检测报告应满足行业主管部门验收强制性要求。</w:t>
      </w:r>
    </w:p>
    <w:p w14:paraId="62D73038">
      <w:pPr>
        <w:keepNext w:val="0"/>
        <w:keepLines w:val="0"/>
        <w:pageBreakBefore w:val="0"/>
        <w:widowControl w:val="0"/>
        <w:numPr>
          <w:ilvl w:val="0"/>
          <w:numId w:val="0"/>
        </w:numPr>
        <w:tabs>
          <w:tab w:val="left" w:pos="3640"/>
        </w:tabs>
        <w:kinsoku/>
        <w:wordWrap/>
        <w:overflowPunct/>
        <w:topLinePunct w:val="0"/>
        <w:autoSpaceDE w:val="0"/>
        <w:autoSpaceDN w:val="0"/>
        <w:bidi w:val="0"/>
        <w:adjustRightInd w:val="0"/>
        <w:snapToGrid w:val="0"/>
        <w:spacing w:line="480" w:lineRule="exact"/>
        <w:ind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项目建设全过程工程质量检测服务，检测专项包括但不限于建筑材料及构配件、主体结构及装饰装修、市政工程材料、</w:t>
      </w:r>
      <w:r>
        <w:rPr>
          <w:rFonts w:hint="eastAsia" w:ascii="仿宋" w:hAnsi="仿宋" w:eastAsia="仿宋" w:cs="仿宋"/>
          <w:color w:val="auto"/>
          <w:sz w:val="30"/>
          <w:szCs w:val="30"/>
          <w:highlight w:val="none"/>
          <w:lang w:val="en-US" w:eastAsia="zh-CN"/>
        </w:rPr>
        <w:t>钢结构</w:t>
      </w:r>
      <w:r>
        <w:rPr>
          <w:rFonts w:hint="eastAsia" w:ascii="仿宋" w:hAnsi="仿宋" w:eastAsia="仿宋" w:cs="仿宋"/>
          <w:color w:val="auto"/>
          <w:sz w:val="30"/>
          <w:szCs w:val="30"/>
          <w:highlight w:val="none"/>
        </w:rPr>
        <w:t>、防雷检测以及项目竣工验收涉及的必要检测，具体检测要求详见图纸及相关规范，检测范围和检测报告应满足行业主管部门验收强制性要求。</w:t>
      </w:r>
    </w:p>
    <w:p w14:paraId="3749B532">
      <w:pPr>
        <w:numPr>
          <w:ilvl w:val="0"/>
          <w:numId w:val="26"/>
        </w:num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服务期限</w:t>
      </w:r>
    </w:p>
    <w:p w14:paraId="7461B094">
      <w:pPr>
        <w:keepNext w:val="0"/>
        <w:keepLines w:val="0"/>
        <w:pageBreakBefore w:val="0"/>
        <w:widowControl w:val="0"/>
        <w:numPr>
          <w:ilvl w:val="0"/>
          <w:numId w:val="0"/>
        </w:numPr>
        <w:tabs>
          <w:tab w:val="left" w:pos="3640"/>
        </w:tabs>
        <w:kinsoku/>
        <w:wordWrap/>
        <w:overflowPunct/>
        <w:topLinePunct w:val="0"/>
        <w:autoSpaceDE w:val="0"/>
        <w:autoSpaceDN w:val="0"/>
        <w:bidi w:val="0"/>
        <w:adjustRightInd w:val="0"/>
        <w:snapToGrid w:val="0"/>
        <w:spacing w:line="480" w:lineRule="exact"/>
        <w:ind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自采购人下达检测通知之日起至提交合格的经采购人确认的成果文件时止，检测单位应根据工程的施工进度情况合理安排检测工期，整个检测工期应配合总包施工的工期安排。</w:t>
      </w:r>
    </w:p>
    <w:p w14:paraId="62C00E9B">
      <w:p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成交人在接到采购人通知2天内必须组织人员进场，因成交人原因延误进场时间采购人有权按1000元/天的标准向成交人收取违约金。</w:t>
      </w:r>
    </w:p>
    <w:p w14:paraId="7CFD3F6D">
      <w:pPr>
        <w:numPr>
          <w:ilvl w:val="0"/>
          <w:numId w:val="26"/>
        </w:num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检测要求：</w:t>
      </w:r>
    </w:p>
    <w:p w14:paraId="71F63F37">
      <w:pPr>
        <w:numPr>
          <w:ilvl w:val="0"/>
          <w:numId w:val="28"/>
        </w:num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桩基检测（地基基础工程检测</w:t>
      </w:r>
      <w:r>
        <w:rPr>
          <w:rFonts w:hint="eastAsia" w:ascii="仿宋" w:hAnsi="仿宋" w:eastAsia="仿宋" w:cs="仿宋"/>
          <w:color w:val="auto"/>
          <w:sz w:val="30"/>
          <w:szCs w:val="30"/>
          <w:highlight w:val="none"/>
          <w:lang w:eastAsia="zh-CN"/>
        </w:rPr>
        <w:t>）</w:t>
      </w:r>
    </w:p>
    <w:p w14:paraId="38CABDB2">
      <w:pPr>
        <w:keepNext w:val="0"/>
        <w:keepLines w:val="0"/>
        <w:pageBreakBefore w:val="0"/>
        <w:widowControl w:val="0"/>
        <w:numPr>
          <w:ilvl w:val="0"/>
          <w:numId w:val="0"/>
        </w:numPr>
        <w:tabs>
          <w:tab w:val="left" w:pos="3640"/>
        </w:tabs>
        <w:kinsoku/>
        <w:wordWrap/>
        <w:overflowPunct/>
        <w:topLinePunct w:val="0"/>
        <w:autoSpaceDE w:val="0"/>
        <w:autoSpaceDN w:val="0"/>
        <w:bidi w:val="0"/>
        <w:adjustRightInd w:val="0"/>
        <w:snapToGrid w:val="0"/>
        <w:spacing w:line="480" w:lineRule="exact"/>
        <w:ind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工程桩检测前，先进行试桩检测，试桩检测合格后按照甲方要求时间进行工程桩的正式检测；正式检测之前，乙方必须按照设计图纸和规范，向甲方提供检测方案，经甲方及相关部门审批后执行。</w:t>
      </w:r>
    </w:p>
    <w:p w14:paraId="5BC68837">
      <w:pPr>
        <w:keepNext w:val="0"/>
        <w:keepLines w:val="0"/>
        <w:pageBreakBefore w:val="0"/>
        <w:widowControl w:val="0"/>
        <w:numPr>
          <w:ilvl w:val="0"/>
          <w:numId w:val="0"/>
        </w:numPr>
        <w:tabs>
          <w:tab w:val="left" w:pos="3640"/>
        </w:tabs>
        <w:kinsoku/>
        <w:wordWrap/>
        <w:overflowPunct/>
        <w:topLinePunct w:val="0"/>
        <w:autoSpaceDE w:val="0"/>
        <w:autoSpaceDN w:val="0"/>
        <w:bidi w:val="0"/>
        <w:adjustRightInd w:val="0"/>
        <w:snapToGrid w:val="0"/>
        <w:spacing w:line="480" w:lineRule="exact"/>
        <w:ind w:leftChars="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桩基检测方法及内容：</w:t>
      </w:r>
      <w:r>
        <w:rPr>
          <w:rFonts w:hint="eastAsia" w:ascii="仿宋" w:hAnsi="仿宋" w:eastAsia="仿宋" w:cs="仿宋"/>
          <w:color w:val="auto"/>
          <w:sz w:val="30"/>
          <w:szCs w:val="30"/>
          <w:highlight w:val="none"/>
          <w:lang w:val="en-US" w:eastAsia="zh-CN"/>
        </w:rPr>
        <w:t>①高、低应变法检测：按照设计图纸和规范规定内容，采取标准的检测技术和方法；②声波透射法检测：按照设计图纸和规范规定内容，采取标准的检测技术和方法。</w:t>
      </w:r>
    </w:p>
    <w:p w14:paraId="4C8D6CFF">
      <w:pPr>
        <w:keepNext w:val="0"/>
        <w:keepLines w:val="0"/>
        <w:pageBreakBefore w:val="0"/>
        <w:widowControl w:val="0"/>
        <w:numPr>
          <w:ilvl w:val="0"/>
          <w:numId w:val="0"/>
        </w:numPr>
        <w:tabs>
          <w:tab w:val="left" w:pos="3640"/>
        </w:tabs>
        <w:kinsoku/>
        <w:wordWrap/>
        <w:overflowPunct/>
        <w:topLinePunct w:val="0"/>
        <w:autoSpaceDE w:val="0"/>
        <w:autoSpaceDN w:val="0"/>
        <w:bidi w:val="0"/>
        <w:adjustRightInd w:val="0"/>
        <w:snapToGrid w:val="0"/>
        <w:spacing w:line="480" w:lineRule="exact"/>
        <w:ind w:leftChars="0" w:firstLine="600" w:firstLineChars="200"/>
        <w:textAlignment w:val="auto"/>
        <w:rPr>
          <w:rFonts w:hint="default" w:ascii="仿宋" w:hAnsi="仿宋" w:eastAsia="仿宋" w:cs="仿宋"/>
          <w:color w:val="auto"/>
          <w:sz w:val="30"/>
          <w:szCs w:val="30"/>
          <w:highlight w:val="none"/>
          <w:lang w:val="en-US" w:eastAsia="zh-CN"/>
        </w:rPr>
      </w:pPr>
      <w:r>
        <w:rPr>
          <w:rFonts w:hint="default" w:ascii="仿宋" w:hAnsi="仿宋" w:eastAsia="仿宋" w:cs="仿宋"/>
          <w:color w:val="auto"/>
          <w:sz w:val="30"/>
          <w:szCs w:val="30"/>
          <w:highlight w:val="none"/>
          <w:lang w:val="en-US" w:eastAsia="zh-CN"/>
        </w:rPr>
        <w:t>检测执行依据：</w:t>
      </w:r>
      <w:r>
        <w:rPr>
          <w:rFonts w:hint="eastAsia" w:ascii="仿宋" w:hAnsi="仿宋" w:eastAsia="仿宋" w:cs="仿宋"/>
          <w:color w:val="auto"/>
          <w:sz w:val="30"/>
          <w:szCs w:val="30"/>
          <w:highlight w:val="none"/>
          <w:lang w:val="en-US" w:eastAsia="zh-CN"/>
        </w:rPr>
        <w:t>①</w:t>
      </w:r>
      <w:r>
        <w:rPr>
          <w:rFonts w:hint="default" w:ascii="仿宋" w:hAnsi="仿宋" w:eastAsia="仿宋" w:cs="仿宋"/>
          <w:color w:val="auto"/>
          <w:sz w:val="30"/>
          <w:szCs w:val="30"/>
          <w:highlight w:val="none"/>
          <w:lang w:val="en-US" w:eastAsia="zh-CN"/>
        </w:rPr>
        <w:t>按国家、本地、行业现行有关规范、标准、要求执行，并须符合主管部门要求，符合甲方提供的有关图纸文件、技术要求。</w:t>
      </w:r>
      <w:r>
        <w:rPr>
          <w:rFonts w:hint="eastAsia" w:ascii="仿宋" w:hAnsi="仿宋" w:eastAsia="仿宋" w:cs="仿宋"/>
          <w:color w:val="auto"/>
          <w:sz w:val="30"/>
          <w:szCs w:val="30"/>
          <w:highlight w:val="none"/>
          <w:lang w:val="en-US" w:eastAsia="zh-CN"/>
        </w:rPr>
        <w:t>②</w:t>
      </w:r>
      <w:r>
        <w:rPr>
          <w:rFonts w:hint="default" w:ascii="仿宋" w:hAnsi="仿宋" w:eastAsia="仿宋" w:cs="仿宋"/>
          <w:color w:val="auto"/>
          <w:sz w:val="30"/>
          <w:szCs w:val="30"/>
          <w:highlight w:val="none"/>
          <w:lang w:val="en-US" w:eastAsia="zh-CN"/>
        </w:rPr>
        <w:t>执行国家行业标准《建筑基桩检测技术规范》（JGJ106-2014）、《基桩低应变动力检测规程JGJT93-95》《建筑地基处理技术规范》（JGJ79-2012）、《建筑基坑支护技术规程》（JGJ120-99）等规范、规程、标准，如有新标准，按最新标准执行。</w:t>
      </w:r>
    </w:p>
    <w:p w14:paraId="207D98DA">
      <w:pPr>
        <w:keepNext w:val="0"/>
        <w:keepLines w:val="0"/>
        <w:pageBreakBefore w:val="0"/>
        <w:widowControl w:val="0"/>
        <w:numPr>
          <w:ilvl w:val="0"/>
          <w:numId w:val="0"/>
        </w:numPr>
        <w:tabs>
          <w:tab w:val="left" w:pos="3640"/>
        </w:tabs>
        <w:kinsoku/>
        <w:wordWrap/>
        <w:overflowPunct/>
        <w:topLinePunct w:val="0"/>
        <w:autoSpaceDE w:val="0"/>
        <w:autoSpaceDN w:val="0"/>
        <w:bidi w:val="0"/>
        <w:adjustRightInd w:val="0"/>
        <w:snapToGrid w:val="0"/>
        <w:spacing w:line="480" w:lineRule="exact"/>
        <w:ind w:leftChars="0" w:firstLine="600" w:firstLineChars="200"/>
        <w:textAlignment w:val="auto"/>
        <w:rPr>
          <w:rFonts w:hint="default" w:ascii="仿宋" w:hAnsi="仿宋" w:eastAsia="仿宋" w:cs="仿宋"/>
          <w:color w:val="auto"/>
          <w:sz w:val="30"/>
          <w:szCs w:val="30"/>
          <w:highlight w:val="none"/>
          <w:lang w:val="en-US" w:eastAsia="zh-CN"/>
        </w:rPr>
      </w:pPr>
      <w:r>
        <w:rPr>
          <w:rFonts w:hint="default" w:ascii="仿宋" w:hAnsi="仿宋" w:eastAsia="仿宋" w:cs="仿宋"/>
          <w:color w:val="auto"/>
          <w:sz w:val="30"/>
          <w:szCs w:val="30"/>
          <w:highlight w:val="none"/>
          <w:lang w:val="en-US" w:eastAsia="zh-CN"/>
        </w:rPr>
        <w:t>工程桩检测前，先进行试桩检测，一段时间后再进行工程桩的检测，多次进场检测的一切费用亦包含在本包干综合单价内。</w:t>
      </w:r>
    </w:p>
    <w:p w14:paraId="4213FD2B">
      <w:pPr>
        <w:numPr>
          <w:ilvl w:val="0"/>
          <w:numId w:val="28"/>
        </w:num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建设工程质量</w:t>
      </w:r>
      <w:r>
        <w:rPr>
          <w:rFonts w:hint="eastAsia" w:ascii="仿宋" w:hAnsi="仿宋" w:eastAsia="仿宋" w:cs="仿宋"/>
          <w:color w:val="auto"/>
          <w:sz w:val="30"/>
          <w:szCs w:val="30"/>
          <w:highlight w:val="none"/>
        </w:rPr>
        <w:t>检测项目包括但不限于下表中列明的内容，项目竣工验收涉及的必要检测均属于本合同范围。</w:t>
      </w:r>
    </w:p>
    <w:tbl>
      <w:tblPr>
        <w:tblStyle w:val="61"/>
        <w:tblW w:w="9757" w:type="dxa"/>
        <w:jc w:val="center"/>
        <w:tblLayout w:type="autofit"/>
        <w:tblCellMar>
          <w:top w:w="0" w:type="dxa"/>
          <w:left w:w="108" w:type="dxa"/>
          <w:bottom w:w="0" w:type="dxa"/>
          <w:right w:w="108" w:type="dxa"/>
        </w:tblCellMar>
      </w:tblPr>
      <w:tblGrid>
        <w:gridCol w:w="690"/>
        <w:gridCol w:w="2127"/>
        <w:gridCol w:w="4380"/>
        <w:gridCol w:w="2560"/>
      </w:tblGrid>
      <w:tr w14:paraId="77DF3EF7">
        <w:trPr>
          <w:tblHeade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64178CCC">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14:paraId="43A44EBC">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检测项目</w:t>
            </w:r>
          </w:p>
        </w:tc>
        <w:tc>
          <w:tcPr>
            <w:tcW w:w="4380" w:type="dxa"/>
            <w:tcBorders>
              <w:top w:val="single" w:color="000000" w:sz="4" w:space="0"/>
              <w:left w:val="single" w:color="000000" w:sz="4" w:space="0"/>
              <w:bottom w:val="single" w:color="000000" w:sz="4" w:space="0"/>
              <w:right w:val="single" w:color="000000" w:sz="4" w:space="0"/>
            </w:tcBorders>
            <w:vAlign w:val="center"/>
          </w:tcPr>
          <w:p w14:paraId="3DE99F24">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必须检测参数或内容</w:t>
            </w:r>
          </w:p>
        </w:tc>
        <w:tc>
          <w:tcPr>
            <w:tcW w:w="2560" w:type="dxa"/>
            <w:tcBorders>
              <w:top w:val="single" w:color="000000" w:sz="4" w:space="0"/>
              <w:left w:val="single" w:color="000000" w:sz="4" w:space="0"/>
              <w:bottom w:val="single" w:color="000000" w:sz="4" w:space="0"/>
              <w:right w:val="single" w:color="000000" w:sz="4" w:space="0"/>
            </w:tcBorders>
            <w:vAlign w:val="center"/>
          </w:tcPr>
          <w:p w14:paraId="66A568C5">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按需检测参数或内容</w:t>
            </w:r>
          </w:p>
        </w:tc>
      </w:tr>
      <w:tr w14:paraId="54CFF167">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03836BDD">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0"/>
                <w:szCs w:val="20"/>
                <w:highlight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2127" w:type="dxa"/>
            <w:tcBorders>
              <w:top w:val="single" w:color="000000" w:sz="4" w:space="0"/>
              <w:left w:val="single" w:color="000000" w:sz="4" w:space="0"/>
              <w:bottom w:val="single" w:color="000000" w:sz="4" w:space="0"/>
              <w:right w:val="single" w:color="000000" w:sz="4" w:space="0"/>
            </w:tcBorders>
            <w:vAlign w:val="center"/>
          </w:tcPr>
          <w:p w14:paraId="1B1800B6">
            <w:pPr>
              <w:keepNext w:val="0"/>
              <w:keepLines w:val="0"/>
              <w:suppressLineNumbers w:val="0"/>
              <w:spacing w:before="0" w:beforeAutospacing="0" w:after="0" w:afterAutospacing="0"/>
              <w:ind w:left="0" w:right="0"/>
              <w:rPr>
                <w:rFonts w:hint="eastAsia" w:ascii="宋体" w:hAnsi="宋体" w:cs="宋体"/>
                <w:b/>
                <w:bCs/>
                <w:color w:val="auto"/>
                <w:sz w:val="20"/>
                <w:szCs w:val="20"/>
                <w:highlight w:val="none"/>
              </w:rPr>
            </w:pPr>
            <w:r>
              <w:rPr>
                <w:rFonts w:hint="eastAsia" w:ascii="宋体" w:hAnsi="宋体" w:eastAsia="宋体" w:cs="宋体"/>
                <w:b/>
                <w:bCs/>
                <w:i w:val="0"/>
                <w:iCs w:val="0"/>
                <w:color w:val="auto"/>
                <w:kern w:val="0"/>
                <w:sz w:val="20"/>
                <w:szCs w:val="20"/>
                <w:highlight w:val="none"/>
                <w:u w:val="none"/>
                <w:lang w:val="en-US" w:eastAsia="zh-CN" w:bidi="ar"/>
              </w:rPr>
              <w:t>建筑材料及构配件</w:t>
            </w:r>
          </w:p>
        </w:tc>
        <w:tc>
          <w:tcPr>
            <w:tcW w:w="4380" w:type="dxa"/>
            <w:tcBorders>
              <w:top w:val="single" w:color="000000" w:sz="4" w:space="0"/>
              <w:left w:val="single" w:color="000000" w:sz="4" w:space="0"/>
              <w:bottom w:val="single" w:color="000000" w:sz="4" w:space="0"/>
              <w:right w:val="single" w:color="000000" w:sz="4" w:space="0"/>
            </w:tcBorders>
            <w:vAlign w:val="center"/>
          </w:tcPr>
          <w:p w14:paraId="4DDA26C1">
            <w:pPr>
              <w:keepNext w:val="0"/>
              <w:keepLines w:val="0"/>
              <w:suppressLineNumbers w:val="0"/>
              <w:spacing w:before="0" w:beforeAutospacing="0" w:after="0" w:afterAutospacing="0"/>
              <w:ind w:left="0" w:right="0"/>
              <w:rPr>
                <w:rFonts w:hint="eastAsia" w:ascii="宋体" w:hAnsi="宋体" w:eastAsia="宋体" w:cs="宋体"/>
                <w:b/>
                <w:bCs/>
                <w:i w:val="0"/>
                <w:iCs w:val="0"/>
                <w:color w:val="auto"/>
                <w:kern w:val="0"/>
                <w:sz w:val="20"/>
                <w:szCs w:val="20"/>
                <w:highlight w:val="none"/>
                <w:u w:val="none"/>
                <w:lang w:val="en-US" w:eastAsia="zh-CN" w:bidi="ar"/>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6E21759E">
            <w:pPr>
              <w:keepNext w:val="0"/>
              <w:keepLines w:val="0"/>
              <w:suppressLineNumbers w:val="0"/>
              <w:spacing w:before="0" w:beforeAutospacing="0" w:after="0" w:afterAutospacing="0"/>
              <w:ind w:left="0" w:right="0"/>
              <w:rPr>
                <w:rFonts w:hint="eastAsia" w:ascii="宋体" w:hAnsi="宋体" w:eastAsia="宋体" w:cs="宋体"/>
                <w:b/>
                <w:bCs/>
                <w:i w:val="0"/>
                <w:iCs w:val="0"/>
                <w:color w:val="auto"/>
                <w:kern w:val="0"/>
                <w:sz w:val="20"/>
                <w:szCs w:val="20"/>
                <w:highlight w:val="none"/>
                <w:u w:val="none"/>
                <w:lang w:val="en-US" w:eastAsia="zh-CN" w:bidi="ar"/>
              </w:rPr>
            </w:pPr>
          </w:p>
        </w:tc>
      </w:tr>
      <w:tr w14:paraId="19CB4D20">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6038990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64A88EF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水泥</w:t>
            </w:r>
          </w:p>
        </w:tc>
        <w:tc>
          <w:tcPr>
            <w:tcW w:w="4380" w:type="dxa"/>
            <w:tcBorders>
              <w:top w:val="single" w:color="000000" w:sz="4" w:space="0"/>
              <w:left w:val="single" w:color="000000" w:sz="4" w:space="0"/>
              <w:bottom w:val="single" w:color="000000" w:sz="4" w:space="0"/>
              <w:right w:val="single" w:color="000000" w:sz="4" w:space="0"/>
            </w:tcBorders>
            <w:vAlign w:val="center"/>
          </w:tcPr>
          <w:p w14:paraId="4CEAC9EF">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凝结时间、安定性、胶砂强度、氯离子含量</w:t>
            </w:r>
          </w:p>
        </w:tc>
        <w:tc>
          <w:tcPr>
            <w:tcW w:w="2560" w:type="dxa"/>
            <w:tcBorders>
              <w:top w:val="single" w:color="000000" w:sz="4" w:space="0"/>
              <w:left w:val="single" w:color="000000" w:sz="4" w:space="0"/>
              <w:bottom w:val="single" w:color="000000" w:sz="4" w:space="0"/>
              <w:right w:val="single" w:color="000000" w:sz="4" w:space="0"/>
            </w:tcBorders>
            <w:vAlign w:val="center"/>
          </w:tcPr>
          <w:p w14:paraId="0EE994DE">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w:t>
            </w:r>
          </w:p>
        </w:tc>
      </w:tr>
      <w:tr w14:paraId="4F2127BA">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352174F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71B24F2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钢筋（含焊接与机械连接）</w:t>
            </w:r>
          </w:p>
        </w:tc>
        <w:tc>
          <w:tcPr>
            <w:tcW w:w="4380" w:type="dxa"/>
            <w:tcBorders>
              <w:top w:val="single" w:color="000000" w:sz="4" w:space="0"/>
              <w:left w:val="single" w:color="000000" w:sz="4" w:space="0"/>
              <w:bottom w:val="single" w:color="000000" w:sz="4" w:space="0"/>
              <w:right w:val="single" w:color="000000" w:sz="4" w:space="0"/>
            </w:tcBorders>
            <w:vAlign w:val="center"/>
          </w:tcPr>
          <w:p w14:paraId="4BE5317F">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工艺性、屈服强度、抗拉强度、断后伸长率、最大力下总延伸率、反向弯曲、重量偏差、残余变形</w:t>
            </w:r>
          </w:p>
        </w:tc>
        <w:tc>
          <w:tcPr>
            <w:tcW w:w="2560" w:type="dxa"/>
            <w:tcBorders>
              <w:top w:val="single" w:color="000000" w:sz="4" w:space="0"/>
              <w:left w:val="single" w:color="000000" w:sz="4" w:space="0"/>
              <w:bottom w:val="single" w:color="000000" w:sz="4" w:space="0"/>
              <w:right w:val="single" w:color="000000" w:sz="4" w:space="0"/>
            </w:tcBorders>
            <w:vAlign w:val="center"/>
          </w:tcPr>
          <w:p w14:paraId="5C0D7AF7">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弯曲性能</w:t>
            </w:r>
          </w:p>
        </w:tc>
      </w:tr>
      <w:tr w14:paraId="1021F036">
        <w:tblPrEx>
          <w:tblCellMar>
            <w:top w:w="0" w:type="dxa"/>
            <w:left w:w="108" w:type="dxa"/>
            <w:bottom w:w="0" w:type="dxa"/>
            <w:right w:w="108" w:type="dxa"/>
          </w:tblCellMar>
        </w:tblPrEx>
        <w:trPr>
          <w:jc w:val="center"/>
        </w:trPr>
        <w:tc>
          <w:tcPr>
            <w:tcW w:w="690" w:type="dxa"/>
            <w:vMerge w:val="restart"/>
            <w:tcBorders>
              <w:top w:val="single" w:color="000000" w:sz="4" w:space="0"/>
              <w:left w:val="single" w:color="000000" w:sz="4" w:space="0"/>
              <w:bottom w:val="single" w:color="000000" w:sz="4" w:space="0"/>
              <w:right w:val="single" w:color="000000" w:sz="4" w:space="0"/>
            </w:tcBorders>
            <w:noWrap/>
            <w:vAlign w:val="center"/>
          </w:tcPr>
          <w:p w14:paraId="303E905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127" w:type="dxa"/>
            <w:vMerge w:val="restart"/>
            <w:tcBorders>
              <w:top w:val="single" w:color="000000" w:sz="4" w:space="0"/>
              <w:left w:val="single" w:color="000000" w:sz="4" w:space="0"/>
              <w:bottom w:val="single" w:color="000000" w:sz="4" w:space="0"/>
              <w:right w:val="single" w:color="000000" w:sz="4" w:space="0"/>
            </w:tcBorders>
            <w:vAlign w:val="center"/>
          </w:tcPr>
          <w:p w14:paraId="1A380BF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骨料和集料（砂、石等）</w:t>
            </w:r>
          </w:p>
        </w:tc>
        <w:tc>
          <w:tcPr>
            <w:tcW w:w="4380" w:type="dxa"/>
            <w:tcBorders>
              <w:top w:val="single" w:color="000000" w:sz="4" w:space="0"/>
              <w:left w:val="single" w:color="000000" w:sz="4" w:space="0"/>
              <w:bottom w:val="single" w:color="000000" w:sz="4" w:space="0"/>
              <w:right w:val="single" w:color="000000" w:sz="4" w:space="0"/>
            </w:tcBorders>
            <w:vAlign w:val="center"/>
          </w:tcPr>
          <w:p w14:paraId="02496D72">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细骨料：颗粒级配、含泥量、泥块含量、亚甲蓝值与石粉含量（人工砂）、压碎指标（人工砂）、氯离子含量</w:t>
            </w:r>
          </w:p>
        </w:tc>
        <w:tc>
          <w:tcPr>
            <w:tcW w:w="2560" w:type="dxa"/>
            <w:tcBorders>
              <w:top w:val="single" w:color="000000" w:sz="4" w:space="0"/>
              <w:left w:val="single" w:color="000000" w:sz="4" w:space="0"/>
              <w:bottom w:val="single" w:color="000000" w:sz="4" w:space="0"/>
              <w:right w:val="single" w:color="000000" w:sz="4" w:space="0"/>
            </w:tcBorders>
            <w:vAlign w:val="center"/>
          </w:tcPr>
          <w:p w14:paraId="4BDA2469">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w:t>
            </w:r>
          </w:p>
        </w:tc>
      </w:tr>
      <w:tr w14:paraId="442F99D8">
        <w:tblPrEx>
          <w:tblCellMar>
            <w:top w:w="0" w:type="dxa"/>
            <w:left w:w="108" w:type="dxa"/>
            <w:bottom w:w="0" w:type="dxa"/>
            <w:right w:w="108" w:type="dxa"/>
          </w:tblCellMar>
        </w:tblPrEx>
        <w:trPr>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7EB5AD0F">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rPr>
            </w:pPr>
          </w:p>
        </w:tc>
        <w:tc>
          <w:tcPr>
            <w:tcW w:w="2127" w:type="dxa"/>
            <w:vMerge w:val="continue"/>
            <w:tcBorders>
              <w:top w:val="single" w:color="000000" w:sz="4" w:space="0"/>
              <w:left w:val="single" w:color="000000" w:sz="4" w:space="0"/>
              <w:bottom w:val="single" w:color="000000" w:sz="4" w:space="0"/>
              <w:right w:val="single" w:color="000000" w:sz="4" w:space="0"/>
            </w:tcBorders>
            <w:vAlign w:val="center"/>
          </w:tcPr>
          <w:p w14:paraId="6240E2CD">
            <w:pPr>
              <w:keepNext w:val="0"/>
              <w:keepLines w:val="0"/>
              <w:suppressLineNumbers w:val="0"/>
              <w:spacing w:before="0" w:beforeAutospacing="0" w:after="0" w:afterAutospacing="0"/>
              <w:ind w:left="0" w:right="0"/>
              <w:jc w:val="left"/>
              <w:rPr>
                <w:rFonts w:hint="eastAsia" w:ascii="宋体" w:hAnsi="宋体" w:cs="宋体"/>
                <w:color w:val="auto"/>
                <w:sz w:val="20"/>
                <w:szCs w:val="20"/>
                <w:highlight w:val="none"/>
              </w:rPr>
            </w:pPr>
          </w:p>
        </w:tc>
        <w:tc>
          <w:tcPr>
            <w:tcW w:w="4380" w:type="dxa"/>
            <w:tcBorders>
              <w:top w:val="single" w:color="000000" w:sz="4" w:space="0"/>
              <w:left w:val="single" w:color="000000" w:sz="4" w:space="0"/>
              <w:bottom w:val="single" w:color="000000" w:sz="4" w:space="0"/>
              <w:right w:val="single" w:color="000000" w:sz="4" w:space="0"/>
            </w:tcBorders>
            <w:vAlign w:val="center"/>
          </w:tcPr>
          <w:p w14:paraId="206F06B0">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粗骨料：颗粒级配、含泥量、泥块含量、压碎值指标、针片状颗粒含量</w:t>
            </w:r>
          </w:p>
        </w:tc>
        <w:tc>
          <w:tcPr>
            <w:tcW w:w="2560" w:type="dxa"/>
            <w:tcBorders>
              <w:top w:val="single" w:color="000000" w:sz="4" w:space="0"/>
              <w:left w:val="single" w:color="000000" w:sz="4" w:space="0"/>
              <w:bottom w:val="single" w:color="000000" w:sz="4" w:space="0"/>
              <w:right w:val="single" w:color="000000" w:sz="4" w:space="0"/>
            </w:tcBorders>
            <w:vAlign w:val="center"/>
          </w:tcPr>
          <w:p w14:paraId="276BBE33">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w:t>
            </w:r>
          </w:p>
        </w:tc>
      </w:tr>
      <w:tr w14:paraId="4D062185">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5786988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127" w:type="dxa"/>
            <w:tcBorders>
              <w:top w:val="single" w:color="000000" w:sz="4" w:space="0"/>
              <w:left w:val="single" w:color="000000" w:sz="4" w:space="0"/>
              <w:bottom w:val="single" w:color="000000" w:sz="4" w:space="0"/>
              <w:right w:val="single" w:color="000000" w:sz="4" w:space="0"/>
            </w:tcBorders>
            <w:vAlign w:val="center"/>
          </w:tcPr>
          <w:p w14:paraId="0A41A906">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混凝土（含试块）及拌合用水</w:t>
            </w:r>
          </w:p>
        </w:tc>
        <w:tc>
          <w:tcPr>
            <w:tcW w:w="4380" w:type="dxa"/>
            <w:tcBorders>
              <w:top w:val="single" w:color="000000" w:sz="4" w:space="0"/>
              <w:left w:val="single" w:color="000000" w:sz="4" w:space="0"/>
              <w:bottom w:val="single" w:color="000000" w:sz="4" w:space="0"/>
              <w:right w:val="single" w:color="000000" w:sz="4" w:space="0"/>
            </w:tcBorders>
            <w:vAlign w:val="center"/>
          </w:tcPr>
          <w:p w14:paraId="2C4F2DEB">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抗压强度、抗渗等级、坍落度、氯离子含量、拌合用水（氯离子含量）</w:t>
            </w:r>
          </w:p>
        </w:tc>
        <w:tc>
          <w:tcPr>
            <w:tcW w:w="2560" w:type="dxa"/>
            <w:tcBorders>
              <w:top w:val="single" w:color="000000" w:sz="4" w:space="0"/>
              <w:left w:val="single" w:color="000000" w:sz="4" w:space="0"/>
              <w:bottom w:val="single" w:color="000000" w:sz="4" w:space="0"/>
              <w:right w:val="single" w:color="000000" w:sz="4" w:space="0"/>
            </w:tcBorders>
            <w:vAlign w:val="center"/>
          </w:tcPr>
          <w:p w14:paraId="7B127BA6">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w:t>
            </w:r>
          </w:p>
        </w:tc>
      </w:tr>
      <w:tr w14:paraId="55C901C7">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66ECB7C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127" w:type="dxa"/>
            <w:tcBorders>
              <w:top w:val="single" w:color="000000" w:sz="4" w:space="0"/>
              <w:left w:val="single" w:color="000000" w:sz="4" w:space="0"/>
              <w:bottom w:val="single" w:color="000000" w:sz="4" w:space="0"/>
              <w:right w:val="single" w:color="000000" w:sz="4" w:space="0"/>
            </w:tcBorders>
            <w:vAlign w:val="center"/>
          </w:tcPr>
          <w:p w14:paraId="610069F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瓷砖及石材</w:t>
            </w:r>
          </w:p>
        </w:tc>
        <w:tc>
          <w:tcPr>
            <w:tcW w:w="4380" w:type="dxa"/>
            <w:tcBorders>
              <w:top w:val="single" w:color="000000" w:sz="4" w:space="0"/>
              <w:left w:val="single" w:color="000000" w:sz="4" w:space="0"/>
              <w:bottom w:val="single" w:color="000000" w:sz="4" w:space="0"/>
              <w:right w:val="single" w:color="000000" w:sz="4" w:space="0"/>
            </w:tcBorders>
            <w:vAlign w:val="center"/>
          </w:tcPr>
          <w:p w14:paraId="66C64041">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吸水率、弯曲强度</w:t>
            </w:r>
          </w:p>
        </w:tc>
        <w:tc>
          <w:tcPr>
            <w:tcW w:w="2560" w:type="dxa"/>
            <w:tcBorders>
              <w:top w:val="single" w:color="000000" w:sz="4" w:space="0"/>
              <w:left w:val="single" w:color="000000" w:sz="4" w:space="0"/>
              <w:bottom w:val="single" w:color="000000" w:sz="4" w:space="0"/>
              <w:right w:val="single" w:color="000000" w:sz="4" w:space="0"/>
            </w:tcBorders>
            <w:vAlign w:val="center"/>
          </w:tcPr>
          <w:p w14:paraId="34EDB268">
            <w:pPr>
              <w:keepNext w:val="0"/>
              <w:keepLines w:val="0"/>
              <w:widowControl/>
              <w:suppressLineNumbers w:val="0"/>
              <w:spacing w:before="0" w:beforeAutospacing="0" w:after="0" w:afterAutospacing="0"/>
              <w:ind w:left="0" w:right="0"/>
              <w:jc w:val="both"/>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抗冻性（耐冻融性）、放射性</w:t>
            </w:r>
          </w:p>
        </w:tc>
      </w:tr>
      <w:tr w14:paraId="3E1B80A8">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0926C7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二</w:t>
            </w:r>
          </w:p>
        </w:tc>
        <w:tc>
          <w:tcPr>
            <w:tcW w:w="2127" w:type="dxa"/>
            <w:tcBorders>
              <w:top w:val="single" w:color="000000" w:sz="4" w:space="0"/>
              <w:left w:val="single" w:color="000000" w:sz="4" w:space="0"/>
              <w:bottom w:val="single" w:color="000000" w:sz="4" w:space="0"/>
              <w:right w:val="single" w:color="000000" w:sz="4" w:space="0"/>
            </w:tcBorders>
            <w:vAlign w:val="center"/>
          </w:tcPr>
          <w:p w14:paraId="26BD7345">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主体结构及装饰装修</w:t>
            </w:r>
          </w:p>
        </w:tc>
        <w:tc>
          <w:tcPr>
            <w:tcW w:w="4380" w:type="dxa"/>
            <w:tcBorders>
              <w:top w:val="single" w:color="000000" w:sz="4" w:space="0"/>
              <w:left w:val="single" w:color="000000" w:sz="4" w:space="0"/>
              <w:bottom w:val="single" w:color="000000" w:sz="4" w:space="0"/>
              <w:right w:val="single" w:color="000000" w:sz="4" w:space="0"/>
            </w:tcBorders>
            <w:vAlign w:val="center"/>
          </w:tcPr>
          <w:p w14:paraId="7A2BC251">
            <w:pPr>
              <w:keepNext w:val="0"/>
              <w:keepLines w:val="0"/>
              <w:suppressLineNumbers w:val="0"/>
              <w:spacing w:before="0" w:beforeAutospacing="0" w:after="0" w:afterAutospacing="0"/>
              <w:ind w:left="0" w:right="0"/>
              <w:jc w:val="both"/>
              <w:rPr>
                <w:rFonts w:hint="eastAsia" w:ascii="宋体" w:hAnsi="宋体" w:eastAsia="宋体" w:cs="宋体"/>
                <w:b/>
                <w:bCs/>
                <w:i w:val="0"/>
                <w:iCs w:val="0"/>
                <w:color w:val="auto"/>
                <w:kern w:val="0"/>
                <w:sz w:val="20"/>
                <w:szCs w:val="20"/>
                <w:highlight w:val="none"/>
                <w:u w:val="none"/>
                <w:lang w:val="en-US" w:eastAsia="zh-CN" w:bidi="ar"/>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174A0496">
            <w:pPr>
              <w:keepNext w:val="0"/>
              <w:keepLines w:val="0"/>
              <w:suppressLineNumbers w:val="0"/>
              <w:spacing w:before="0" w:beforeAutospacing="0" w:after="0" w:afterAutospacing="0"/>
              <w:ind w:left="0" w:right="0"/>
              <w:jc w:val="both"/>
              <w:rPr>
                <w:rFonts w:hint="eastAsia" w:ascii="宋体" w:hAnsi="宋体" w:eastAsia="宋体" w:cs="宋体"/>
                <w:b/>
                <w:bCs/>
                <w:i w:val="0"/>
                <w:iCs w:val="0"/>
                <w:color w:val="auto"/>
                <w:kern w:val="0"/>
                <w:sz w:val="20"/>
                <w:szCs w:val="20"/>
                <w:highlight w:val="none"/>
                <w:u w:val="none"/>
                <w:lang w:val="en-US" w:eastAsia="zh-CN" w:bidi="ar"/>
              </w:rPr>
            </w:pPr>
          </w:p>
        </w:tc>
      </w:tr>
      <w:tr w14:paraId="4678AA3E">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66ECE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03B9A1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混凝土结构构件强度</w:t>
            </w:r>
          </w:p>
        </w:tc>
        <w:tc>
          <w:tcPr>
            <w:tcW w:w="4380" w:type="dxa"/>
            <w:tcBorders>
              <w:top w:val="single" w:color="000000" w:sz="4" w:space="0"/>
              <w:left w:val="single" w:color="000000" w:sz="4" w:space="0"/>
              <w:bottom w:val="single" w:color="000000" w:sz="4" w:space="0"/>
              <w:right w:val="single" w:color="000000" w:sz="4" w:space="0"/>
            </w:tcBorders>
            <w:vAlign w:val="center"/>
          </w:tcPr>
          <w:p w14:paraId="0CF90F8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混凝土强度（回弹法/钻芯法/回弹-钻芯综合法/超声回弹综合法等）</w:t>
            </w:r>
          </w:p>
        </w:tc>
        <w:tc>
          <w:tcPr>
            <w:tcW w:w="2560" w:type="dxa"/>
            <w:tcBorders>
              <w:top w:val="single" w:color="000000" w:sz="4" w:space="0"/>
              <w:left w:val="single" w:color="000000" w:sz="4" w:space="0"/>
              <w:bottom w:val="single" w:color="000000" w:sz="4" w:space="0"/>
              <w:right w:val="single" w:color="000000" w:sz="4" w:space="0"/>
            </w:tcBorders>
            <w:vAlign w:val="center"/>
          </w:tcPr>
          <w:p w14:paraId="3FF85B9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r>
      <w:tr w14:paraId="3DAC7B7A">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16D52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4F8CBD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钢筋及保护层厚度</w:t>
            </w:r>
          </w:p>
        </w:tc>
        <w:tc>
          <w:tcPr>
            <w:tcW w:w="4380" w:type="dxa"/>
            <w:tcBorders>
              <w:top w:val="single" w:color="000000" w:sz="4" w:space="0"/>
              <w:left w:val="single" w:color="000000" w:sz="4" w:space="0"/>
              <w:bottom w:val="single" w:color="000000" w:sz="4" w:space="0"/>
              <w:right w:val="single" w:color="000000" w:sz="4" w:space="0"/>
            </w:tcBorders>
            <w:vAlign w:val="center"/>
          </w:tcPr>
          <w:p w14:paraId="66E6605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钢筋保护层厚度、钢筋间距</w:t>
            </w:r>
          </w:p>
        </w:tc>
        <w:tc>
          <w:tcPr>
            <w:tcW w:w="2560" w:type="dxa"/>
            <w:tcBorders>
              <w:top w:val="single" w:color="000000" w:sz="4" w:space="0"/>
              <w:left w:val="single" w:color="000000" w:sz="4" w:space="0"/>
              <w:bottom w:val="single" w:color="000000" w:sz="4" w:space="0"/>
              <w:right w:val="single" w:color="000000" w:sz="4" w:space="0"/>
            </w:tcBorders>
            <w:vAlign w:val="center"/>
          </w:tcPr>
          <w:p w14:paraId="6FA5573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钢筋数量、直径、锈蚀状况</w:t>
            </w:r>
          </w:p>
        </w:tc>
      </w:tr>
      <w:tr w14:paraId="40A669C7">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76DDFB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2127" w:type="dxa"/>
            <w:tcBorders>
              <w:top w:val="single" w:color="000000" w:sz="4" w:space="0"/>
              <w:left w:val="single" w:color="000000" w:sz="4" w:space="0"/>
              <w:bottom w:val="single" w:color="000000" w:sz="4" w:space="0"/>
              <w:right w:val="single" w:color="000000" w:sz="4" w:space="0"/>
            </w:tcBorders>
            <w:vAlign w:val="center"/>
          </w:tcPr>
          <w:p w14:paraId="3234C5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装饰装修工程</w:t>
            </w:r>
          </w:p>
        </w:tc>
        <w:tc>
          <w:tcPr>
            <w:tcW w:w="4380" w:type="dxa"/>
            <w:tcBorders>
              <w:top w:val="single" w:color="000000" w:sz="4" w:space="0"/>
              <w:left w:val="single" w:color="000000" w:sz="4" w:space="0"/>
              <w:bottom w:val="single" w:color="000000" w:sz="4" w:space="0"/>
              <w:right w:val="single" w:color="000000" w:sz="4" w:space="0"/>
            </w:tcBorders>
            <w:vAlign w:val="center"/>
          </w:tcPr>
          <w:p w14:paraId="750AB46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2560" w:type="dxa"/>
            <w:tcBorders>
              <w:top w:val="single" w:color="000000" w:sz="4" w:space="0"/>
              <w:left w:val="single" w:color="000000" w:sz="4" w:space="0"/>
              <w:bottom w:val="single" w:color="000000" w:sz="4" w:space="0"/>
              <w:right w:val="single" w:color="000000" w:sz="4" w:space="0"/>
            </w:tcBorders>
            <w:vAlign w:val="center"/>
          </w:tcPr>
          <w:p w14:paraId="467FD49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饰面砖粘结强度、抹灰砂浆拉伸粘接强度</w:t>
            </w:r>
          </w:p>
        </w:tc>
      </w:tr>
      <w:tr w14:paraId="4E673712">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4FC670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三</w:t>
            </w:r>
          </w:p>
        </w:tc>
        <w:tc>
          <w:tcPr>
            <w:tcW w:w="2127" w:type="dxa"/>
            <w:tcBorders>
              <w:top w:val="single" w:color="000000" w:sz="4" w:space="0"/>
              <w:left w:val="single" w:color="000000" w:sz="4" w:space="0"/>
              <w:bottom w:val="single" w:color="000000" w:sz="4" w:space="0"/>
              <w:right w:val="single" w:color="000000" w:sz="4" w:space="0"/>
            </w:tcBorders>
            <w:vAlign w:val="center"/>
          </w:tcPr>
          <w:p w14:paraId="6F9E92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市政工程材料</w:t>
            </w:r>
          </w:p>
        </w:tc>
        <w:tc>
          <w:tcPr>
            <w:tcW w:w="4380" w:type="dxa"/>
            <w:tcBorders>
              <w:top w:val="single" w:color="000000" w:sz="4" w:space="0"/>
              <w:left w:val="single" w:color="000000" w:sz="4" w:space="0"/>
              <w:bottom w:val="single" w:color="000000" w:sz="4" w:space="0"/>
              <w:right w:val="single" w:color="000000" w:sz="4" w:space="0"/>
            </w:tcBorders>
            <w:vAlign w:val="center"/>
          </w:tcPr>
          <w:p w14:paraId="70985BE4">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792570D5">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p>
        </w:tc>
      </w:tr>
      <w:tr w14:paraId="4E0587F9">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63EA2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273090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土和无机结合稳定材料</w:t>
            </w:r>
          </w:p>
        </w:tc>
        <w:tc>
          <w:tcPr>
            <w:tcW w:w="4380" w:type="dxa"/>
            <w:tcBorders>
              <w:top w:val="single" w:color="000000" w:sz="4" w:space="0"/>
              <w:left w:val="single" w:color="000000" w:sz="4" w:space="0"/>
              <w:bottom w:val="single" w:color="000000" w:sz="4" w:space="0"/>
              <w:right w:val="single" w:color="000000" w:sz="4" w:space="0"/>
            </w:tcBorders>
            <w:vAlign w:val="center"/>
          </w:tcPr>
          <w:p w14:paraId="2D43200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土工试验（击实度、压实度）、水稳和级配设计配比</w:t>
            </w:r>
          </w:p>
        </w:tc>
        <w:tc>
          <w:tcPr>
            <w:tcW w:w="2560" w:type="dxa"/>
            <w:tcBorders>
              <w:top w:val="single" w:color="000000" w:sz="4" w:space="0"/>
              <w:left w:val="single" w:color="000000" w:sz="4" w:space="0"/>
              <w:bottom w:val="single" w:color="000000" w:sz="4" w:space="0"/>
              <w:right w:val="single" w:color="000000" w:sz="4" w:space="0"/>
            </w:tcBorders>
            <w:vAlign w:val="center"/>
          </w:tcPr>
          <w:p w14:paraId="0A496E4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r>
      <w:tr w14:paraId="6B231370">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4EB474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05716F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路面砖及路缘石</w:t>
            </w:r>
          </w:p>
        </w:tc>
        <w:tc>
          <w:tcPr>
            <w:tcW w:w="4380" w:type="dxa"/>
            <w:tcBorders>
              <w:top w:val="single" w:color="000000" w:sz="4" w:space="0"/>
              <w:left w:val="single" w:color="000000" w:sz="4" w:space="0"/>
              <w:bottom w:val="single" w:color="000000" w:sz="4" w:space="0"/>
              <w:right w:val="single" w:color="000000" w:sz="4" w:space="0"/>
            </w:tcBorders>
            <w:vAlign w:val="center"/>
          </w:tcPr>
          <w:p w14:paraId="45A7C12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抗压强度、抗折强度、防滑性能、耐磨性</w:t>
            </w:r>
          </w:p>
        </w:tc>
        <w:tc>
          <w:tcPr>
            <w:tcW w:w="2560" w:type="dxa"/>
            <w:tcBorders>
              <w:top w:val="single" w:color="000000" w:sz="4" w:space="0"/>
              <w:left w:val="single" w:color="000000" w:sz="4" w:space="0"/>
              <w:bottom w:val="single" w:color="000000" w:sz="4" w:space="0"/>
              <w:right w:val="single" w:color="000000" w:sz="4" w:space="0"/>
            </w:tcBorders>
            <w:vAlign w:val="center"/>
          </w:tcPr>
          <w:p w14:paraId="459F06C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抗冻性、透水系数、吸水率、抗盐冻性</w:t>
            </w:r>
          </w:p>
        </w:tc>
      </w:tr>
      <w:tr w14:paraId="6B7E8286">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2B9CBD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四</w:t>
            </w:r>
          </w:p>
        </w:tc>
        <w:tc>
          <w:tcPr>
            <w:tcW w:w="2127" w:type="dxa"/>
            <w:tcBorders>
              <w:top w:val="single" w:color="000000" w:sz="4" w:space="0"/>
              <w:left w:val="single" w:color="000000" w:sz="4" w:space="0"/>
              <w:bottom w:val="single" w:color="000000" w:sz="4" w:space="0"/>
              <w:right w:val="single" w:color="000000" w:sz="4" w:space="0"/>
            </w:tcBorders>
            <w:vAlign w:val="center"/>
          </w:tcPr>
          <w:p w14:paraId="2AE4B6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钢结构</w:t>
            </w:r>
          </w:p>
        </w:tc>
        <w:tc>
          <w:tcPr>
            <w:tcW w:w="4380" w:type="dxa"/>
            <w:tcBorders>
              <w:top w:val="single" w:color="000000" w:sz="4" w:space="0"/>
              <w:left w:val="single" w:color="000000" w:sz="4" w:space="0"/>
              <w:bottom w:val="single" w:color="000000" w:sz="4" w:space="0"/>
              <w:right w:val="single" w:color="000000" w:sz="4" w:space="0"/>
            </w:tcBorders>
            <w:vAlign w:val="center"/>
          </w:tcPr>
          <w:p w14:paraId="412A442A">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35A7CFD4">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p>
        </w:tc>
      </w:tr>
      <w:tr w14:paraId="6E89D985">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4CE3AE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58BEA9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钢材及焊接材料</w:t>
            </w:r>
          </w:p>
        </w:tc>
        <w:tc>
          <w:tcPr>
            <w:tcW w:w="4380" w:type="dxa"/>
            <w:tcBorders>
              <w:top w:val="single" w:color="000000" w:sz="4" w:space="0"/>
              <w:left w:val="single" w:color="000000" w:sz="4" w:space="0"/>
              <w:bottom w:val="single" w:color="000000" w:sz="4" w:space="0"/>
              <w:right w:val="single" w:color="000000" w:sz="4" w:space="0"/>
            </w:tcBorders>
            <w:vAlign w:val="center"/>
          </w:tcPr>
          <w:p w14:paraId="3CA6E20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屈服强度、抗拉强度、伸长率、厚度偏差</w:t>
            </w:r>
          </w:p>
        </w:tc>
        <w:tc>
          <w:tcPr>
            <w:tcW w:w="2560" w:type="dxa"/>
            <w:tcBorders>
              <w:top w:val="single" w:color="000000" w:sz="4" w:space="0"/>
              <w:left w:val="single" w:color="000000" w:sz="4" w:space="0"/>
              <w:bottom w:val="single" w:color="000000" w:sz="4" w:space="0"/>
              <w:right w:val="single" w:color="000000" w:sz="4" w:space="0"/>
            </w:tcBorders>
            <w:vAlign w:val="center"/>
          </w:tcPr>
          <w:p w14:paraId="43D5D83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冷弯性能</w:t>
            </w:r>
          </w:p>
        </w:tc>
      </w:tr>
      <w:tr w14:paraId="22907E6C">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2BFD4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0283B2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焊缝</w:t>
            </w:r>
          </w:p>
        </w:tc>
        <w:tc>
          <w:tcPr>
            <w:tcW w:w="4380" w:type="dxa"/>
            <w:tcBorders>
              <w:top w:val="single" w:color="000000" w:sz="4" w:space="0"/>
              <w:left w:val="single" w:color="000000" w:sz="4" w:space="0"/>
              <w:bottom w:val="single" w:color="000000" w:sz="4" w:space="0"/>
              <w:right w:val="single" w:color="000000" w:sz="4" w:space="0"/>
            </w:tcBorders>
            <w:vAlign w:val="center"/>
          </w:tcPr>
          <w:p w14:paraId="1231CD4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外观质量、内部缺陷探伤（超声法/射线法）</w:t>
            </w:r>
          </w:p>
        </w:tc>
        <w:tc>
          <w:tcPr>
            <w:tcW w:w="2560" w:type="dxa"/>
            <w:tcBorders>
              <w:top w:val="single" w:color="000000" w:sz="4" w:space="0"/>
              <w:left w:val="single" w:color="000000" w:sz="4" w:space="0"/>
              <w:bottom w:val="single" w:color="000000" w:sz="4" w:space="0"/>
              <w:right w:val="single" w:color="000000" w:sz="4" w:space="0"/>
            </w:tcBorders>
            <w:vAlign w:val="center"/>
          </w:tcPr>
          <w:p w14:paraId="1D9B71C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r>
      <w:tr w14:paraId="0033A1E8">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24AA9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2127" w:type="dxa"/>
            <w:tcBorders>
              <w:top w:val="single" w:color="000000" w:sz="4" w:space="0"/>
              <w:left w:val="single" w:color="000000" w:sz="4" w:space="0"/>
              <w:bottom w:val="single" w:color="000000" w:sz="4" w:space="0"/>
              <w:right w:val="single" w:color="000000" w:sz="4" w:space="0"/>
            </w:tcBorders>
            <w:vAlign w:val="center"/>
          </w:tcPr>
          <w:p w14:paraId="541996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钢结构防腐与防火涂装</w:t>
            </w:r>
          </w:p>
        </w:tc>
        <w:tc>
          <w:tcPr>
            <w:tcW w:w="4380" w:type="dxa"/>
            <w:tcBorders>
              <w:top w:val="single" w:color="000000" w:sz="4" w:space="0"/>
              <w:left w:val="single" w:color="000000" w:sz="4" w:space="0"/>
              <w:bottom w:val="single" w:color="000000" w:sz="4" w:space="0"/>
              <w:right w:val="single" w:color="000000" w:sz="4" w:space="0"/>
            </w:tcBorders>
            <w:vAlign w:val="center"/>
          </w:tcPr>
          <w:p w14:paraId="1131D48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涂层厚度</w:t>
            </w:r>
          </w:p>
        </w:tc>
        <w:tc>
          <w:tcPr>
            <w:tcW w:w="2560" w:type="dxa"/>
            <w:tcBorders>
              <w:top w:val="single" w:color="000000" w:sz="4" w:space="0"/>
              <w:left w:val="single" w:color="000000" w:sz="4" w:space="0"/>
              <w:bottom w:val="single" w:color="000000" w:sz="4" w:space="0"/>
              <w:right w:val="single" w:color="000000" w:sz="4" w:space="0"/>
            </w:tcBorders>
            <w:vAlign w:val="center"/>
          </w:tcPr>
          <w:p w14:paraId="03DBCC9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涂料粘结强度、涂料抗压强度、涂层附着力</w:t>
            </w:r>
          </w:p>
        </w:tc>
      </w:tr>
      <w:tr w14:paraId="15FEB03F">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786F2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2127" w:type="dxa"/>
            <w:tcBorders>
              <w:top w:val="single" w:color="000000" w:sz="4" w:space="0"/>
              <w:left w:val="single" w:color="000000" w:sz="4" w:space="0"/>
              <w:bottom w:val="single" w:color="000000" w:sz="4" w:space="0"/>
              <w:right w:val="single" w:color="000000" w:sz="4" w:space="0"/>
            </w:tcBorders>
            <w:vAlign w:val="center"/>
          </w:tcPr>
          <w:p w14:paraId="022E25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高强度螺栓及普通紧固件</w:t>
            </w:r>
          </w:p>
        </w:tc>
        <w:tc>
          <w:tcPr>
            <w:tcW w:w="4380" w:type="dxa"/>
            <w:tcBorders>
              <w:top w:val="single" w:color="000000" w:sz="4" w:space="0"/>
              <w:left w:val="single" w:color="000000" w:sz="4" w:space="0"/>
              <w:bottom w:val="single" w:color="000000" w:sz="4" w:space="0"/>
              <w:right w:val="single" w:color="000000" w:sz="4" w:space="0"/>
            </w:tcBorders>
            <w:vAlign w:val="center"/>
          </w:tcPr>
          <w:p w14:paraId="3539567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抗滑移系数、硬度</w:t>
            </w:r>
          </w:p>
        </w:tc>
        <w:tc>
          <w:tcPr>
            <w:tcW w:w="2560" w:type="dxa"/>
            <w:tcBorders>
              <w:top w:val="single" w:color="000000" w:sz="4" w:space="0"/>
              <w:left w:val="single" w:color="000000" w:sz="4" w:space="0"/>
              <w:bottom w:val="single" w:color="000000" w:sz="4" w:space="0"/>
              <w:right w:val="single" w:color="000000" w:sz="4" w:space="0"/>
            </w:tcBorders>
            <w:vAlign w:val="center"/>
          </w:tcPr>
          <w:p w14:paraId="7C919AC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紧固轴力、扭矩系数、最小拉力载荷（普通紧固件）</w:t>
            </w:r>
          </w:p>
        </w:tc>
      </w:tr>
      <w:tr w14:paraId="72FC287F">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497CD9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五</w:t>
            </w:r>
          </w:p>
        </w:tc>
        <w:tc>
          <w:tcPr>
            <w:tcW w:w="2127" w:type="dxa"/>
            <w:tcBorders>
              <w:top w:val="single" w:color="000000" w:sz="4" w:space="0"/>
              <w:left w:val="single" w:color="000000" w:sz="4" w:space="0"/>
              <w:bottom w:val="single" w:color="000000" w:sz="4" w:space="0"/>
              <w:right w:val="single" w:color="000000" w:sz="4" w:space="0"/>
            </w:tcBorders>
            <w:vAlign w:val="center"/>
          </w:tcPr>
          <w:p w14:paraId="2CD665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防雷检测</w:t>
            </w:r>
          </w:p>
        </w:tc>
        <w:tc>
          <w:tcPr>
            <w:tcW w:w="4380" w:type="dxa"/>
            <w:tcBorders>
              <w:top w:val="single" w:color="000000" w:sz="4" w:space="0"/>
              <w:left w:val="single" w:color="000000" w:sz="4" w:space="0"/>
              <w:bottom w:val="single" w:color="000000" w:sz="4" w:space="0"/>
              <w:right w:val="single" w:color="000000" w:sz="4" w:space="0"/>
            </w:tcBorders>
            <w:vAlign w:val="center"/>
          </w:tcPr>
          <w:p w14:paraId="4D0794B6">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619E0124">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p>
        </w:tc>
      </w:tr>
      <w:tr w14:paraId="048F8F27">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700A6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7FE624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防雷检测</w:t>
            </w:r>
          </w:p>
        </w:tc>
        <w:tc>
          <w:tcPr>
            <w:tcW w:w="4380" w:type="dxa"/>
            <w:tcBorders>
              <w:top w:val="single" w:color="000000" w:sz="4" w:space="0"/>
              <w:left w:val="single" w:color="000000" w:sz="4" w:space="0"/>
              <w:bottom w:val="single" w:color="000000" w:sz="4" w:space="0"/>
              <w:right w:val="single" w:color="000000" w:sz="4" w:space="0"/>
            </w:tcBorders>
            <w:vAlign w:val="center"/>
          </w:tcPr>
          <w:p w14:paraId="617B027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包括但不限于引下线、接地电阻、各类金属构件接地、电气设备等电接地等，具体检测要求详见图纸及相关规范，检测成果应满足行业主管部门验收强制性要求。需参加发包人组织的质量检查。</w:t>
            </w:r>
          </w:p>
        </w:tc>
        <w:tc>
          <w:tcPr>
            <w:tcW w:w="2560" w:type="dxa"/>
            <w:tcBorders>
              <w:top w:val="single" w:color="000000" w:sz="4" w:space="0"/>
              <w:left w:val="single" w:color="000000" w:sz="4" w:space="0"/>
              <w:bottom w:val="single" w:color="000000" w:sz="4" w:space="0"/>
              <w:right w:val="single" w:color="000000" w:sz="4" w:space="0"/>
            </w:tcBorders>
            <w:vAlign w:val="center"/>
          </w:tcPr>
          <w:p w14:paraId="13D2805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r>
      <w:tr w14:paraId="2D1520FD">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2D20B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六</w:t>
            </w:r>
          </w:p>
        </w:tc>
        <w:tc>
          <w:tcPr>
            <w:tcW w:w="2127" w:type="dxa"/>
            <w:tcBorders>
              <w:top w:val="single" w:color="000000" w:sz="4" w:space="0"/>
              <w:left w:val="single" w:color="000000" w:sz="4" w:space="0"/>
              <w:bottom w:val="single" w:color="000000" w:sz="4" w:space="0"/>
              <w:right w:val="single" w:color="000000" w:sz="4" w:space="0"/>
            </w:tcBorders>
            <w:vAlign w:val="center"/>
          </w:tcPr>
          <w:p w14:paraId="026DE5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其他</w:t>
            </w:r>
          </w:p>
        </w:tc>
        <w:tc>
          <w:tcPr>
            <w:tcW w:w="4380" w:type="dxa"/>
            <w:tcBorders>
              <w:top w:val="single" w:color="000000" w:sz="4" w:space="0"/>
              <w:left w:val="single" w:color="000000" w:sz="4" w:space="0"/>
              <w:bottom w:val="single" w:color="000000" w:sz="4" w:space="0"/>
              <w:right w:val="single" w:color="000000" w:sz="4" w:space="0"/>
            </w:tcBorders>
            <w:vAlign w:val="center"/>
          </w:tcPr>
          <w:p w14:paraId="7C6F429D">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p>
        </w:tc>
        <w:tc>
          <w:tcPr>
            <w:tcW w:w="2560" w:type="dxa"/>
            <w:tcBorders>
              <w:top w:val="single" w:color="000000" w:sz="4" w:space="0"/>
              <w:left w:val="single" w:color="000000" w:sz="4" w:space="0"/>
              <w:bottom w:val="single" w:color="000000" w:sz="4" w:space="0"/>
              <w:right w:val="single" w:color="000000" w:sz="4" w:space="0"/>
            </w:tcBorders>
            <w:vAlign w:val="center"/>
          </w:tcPr>
          <w:p w14:paraId="4A89E8AF">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kern w:val="0"/>
                <w:sz w:val="20"/>
                <w:szCs w:val="20"/>
                <w:highlight w:val="none"/>
                <w:u w:val="none"/>
                <w:lang w:val="en-US" w:eastAsia="zh-CN" w:bidi="ar"/>
              </w:rPr>
            </w:pPr>
          </w:p>
        </w:tc>
      </w:tr>
      <w:tr w14:paraId="535DFAA6">
        <w:tblPrEx>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32730A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1100C9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其他</w:t>
            </w:r>
          </w:p>
        </w:tc>
        <w:tc>
          <w:tcPr>
            <w:tcW w:w="4380" w:type="dxa"/>
            <w:tcBorders>
              <w:top w:val="single" w:color="000000" w:sz="4" w:space="0"/>
              <w:left w:val="single" w:color="000000" w:sz="4" w:space="0"/>
              <w:bottom w:val="single" w:color="000000" w:sz="4" w:space="0"/>
              <w:right w:val="single" w:color="000000" w:sz="4" w:space="0"/>
            </w:tcBorders>
            <w:vAlign w:val="center"/>
          </w:tcPr>
          <w:p w14:paraId="265BB7F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根据图纸、规范、技术标准及验收要求，本项目必须进行检测的内容。</w:t>
            </w:r>
          </w:p>
        </w:tc>
        <w:tc>
          <w:tcPr>
            <w:tcW w:w="2560" w:type="dxa"/>
            <w:tcBorders>
              <w:top w:val="single" w:color="000000" w:sz="4" w:space="0"/>
              <w:left w:val="single" w:color="000000" w:sz="4" w:space="0"/>
              <w:bottom w:val="single" w:color="000000" w:sz="4" w:space="0"/>
              <w:right w:val="single" w:color="000000" w:sz="4" w:space="0"/>
            </w:tcBorders>
            <w:vAlign w:val="center"/>
          </w:tcPr>
          <w:p w14:paraId="137EB54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r>
    </w:tbl>
    <w:p w14:paraId="1786E50B">
      <w:pPr>
        <w:keepNext w:val="0"/>
        <w:keepLines w:val="0"/>
        <w:pageBreakBefore w:val="0"/>
        <w:widowControl w:val="0"/>
        <w:tabs>
          <w:tab w:val="left" w:pos="3640"/>
        </w:tabs>
        <w:kinsoku/>
        <w:wordWrap/>
        <w:overflowPunct/>
        <w:topLinePunct w:val="0"/>
        <w:autoSpaceDE w:val="0"/>
        <w:autoSpaceDN w:val="0"/>
        <w:bidi w:val="0"/>
        <w:adjustRightInd w:val="0"/>
        <w:snapToGrid w:val="0"/>
        <w:spacing w:line="4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说明：</w:t>
      </w:r>
    </w:p>
    <w:p w14:paraId="167D2C8B">
      <w:pPr>
        <w:keepNext w:val="0"/>
        <w:keepLines w:val="0"/>
        <w:pageBreakBefore w:val="0"/>
        <w:widowControl w:val="0"/>
        <w:numPr>
          <w:ilvl w:val="0"/>
          <w:numId w:val="29"/>
        </w:numPr>
        <w:tabs>
          <w:tab w:val="left" w:pos="3640"/>
        </w:tabs>
        <w:kinsoku/>
        <w:wordWrap/>
        <w:overflowPunct/>
        <w:topLinePunct w:val="0"/>
        <w:autoSpaceDE w:val="0"/>
        <w:autoSpaceDN w:val="0"/>
        <w:bidi w:val="0"/>
        <w:adjustRightInd w:val="0"/>
        <w:snapToGrid w:val="0"/>
        <w:spacing w:line="48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“必须检测参数或内容”是根据图纸、规范、技术标准及验收要求，本项目必须进行检测的内容；“按需检测参数或内容”是根据项目实际情况可能涉及到的检测内容；供应商已综合考虑上述风险因素审慎报价；</w:t>
      </w:r>
    </w:p>
    <w:p w14:paraId="61A3E428">
      <w:pPr>
        <w:keepNext w:val="0"/>
        <w:keepLines w:val="0"/>
        <w:pageBreakBefore w:val="0"/>
        <w:widowControl w:val="0"/>
        <w:numPr>
          <w:ilvl w:val="0"/>
          <w:numId w:val="29"/>
        </w:numPr>
        <w:tabs>
          <w:tab w:val="left" w:pos="3640"/>
        </w:tabs>
        <w:kinsoku/>
        <w:wordWrap/>
        <w:overflowPunct/>
        <w:topLinePunct w:val="0"/>
        <w:autoSpaceDE w:val="0"/>
        <w:autoSpaceDN w:val="0"/>
        <w:bidi w:val="0"/>
        <w:adjustRightInd w:val="0"/>
        <w:snapToGrid w:val="0"/>
        <w:spacing w:line="48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“必须检测参数或内容”除上表列明内容外，还包括图纸、规范、技术标准及验收要求的其他必要的检测。</w:t>
      </w:r>
    </w:p>
    <w:p w14:paraId="1D9AE42C">
      <w:pPr>
        <w:keepNext w:val="0"/>
        <w:keepLines w:val="0"/>
        <w:pageBreakBefore w:val="0"/>
        <w:widowControl w:val="0"/>
        <w:numPr>
          <w:ilvl w:val="0"/>
          <w:numId w:val="29"/>
        </w:numPr>
        <w:tabs>
          <w:tab w:val="left" w:pos="3640"/>
        </w:tabs>
        <w:kinsoku/>
        <w:wordWrap/>
        <w:overflowPunct/>
        <w:topLinePunct w:val="0"/>
        <w:autoSpaceDE w:val="0"/>
        <w:autoSpaceDN w:val="0"/>
        <w:bidi w:val="0"/>
        <w:adjustRightInd w:val="0"/>
        <w:snapToGrid w:val="0"/>
        <w:spacing w:line="48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该项目检测内容包含但不限于以上内容，项目直至竣工验收所有必需的建筑工程质量检测均包含在本合同范围，如涉及直接影响工程建设主体结构质量的原材料、成品、半成品验收检测；种植土检测等。</w:t>
      </w:r>
    </w:p>
    <w:p w14:paraId="3C9870C8">
      <w:pPr>
        <w:numPr>
          <w:ilvl w:val="0"/>
          <w:numId w:val="28"/>
        </w:num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检测项目、数量及频率应满足下列要求：</w:t>
      </w:r>
    </w:p>
    <w:p w14:paraId="3F05194D">
      <w:pPr>
        <w:numPr>
          <w:ilvl w:val="0"/>
          <w:numId w:val="30"/>
        </w:num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国家、地方相关规范、规定，以及行政主管部门要求；</w:t>
      </w:r>
    </w:p>
    <w:p w14:paraId="2A46CD1F">
      <w:pPr>
        <w:numPr>
          <w:ilvl w:val="0"/>
          <w:numId w:val="30"/>
        </w:num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设计、施工及采购人的要求；</w:t>
      </w:r>
    </w:p>
    <w:p w14:paraId="264A908B">
      <w:pPr>
        <w:numPr>
          <w:ilvl w:val="0"/>
          <w:numId w:val="30"/>
        </w:num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项目各阶段验收需要；</w:t>
      </w:r>
    </w:p>
    <w:p w14:paraId="30EA60F2">
      <w:pPr>
        <w:numPr>
          <w:ilvl w:val="0"/>
          <w:numId w:val="30"/>
        </w:num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项目竣工验收及档案移交需要；</w:t>
      </w:r>
    </w:p>
    <w:p w14:paraId="58FB003F">
      <w:pPr>
        <w:numPr>
          <w:ilvl w:val="0"/>
          <w:numId w:val="30"/>
        </w:num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检测数量及频率包括建设单位对工程质量有怀疑的部位需要增加检测项目；</w:t>
      </w:r>
    </w:p>
    <w:p w14:paraId="2C2EA83B">
      <w:pPr>
        <w:numPr>
          <w:ilvl w:val="0"/>
          <w:numId w:val="30"/>
        </w:num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其他说明：未涉及项目按国家、省、市、区相关技术标准和管理规定以及采购人要求执行。上述检测数量及频率按照相关标准及规定取定；施工过程中，采购人有权对工程质量有怀疑的部位增加检测频率，成交人需无条件配合，不得以此为理由增加费用。注：采购人对于检测部位及频率有决定调整的权利，具体检测部位和数量由建设单位依据相关规定确认。成交人需无条件配合，不得以此为理由增加费用。</w:t>
      </w:r>
    </w:p>
    <w:p w14:paraId="38ACCFB4">
      <w:pPr>
        <w:numPr>
          <w:ilvl w:val="0"/>
          <w:numId w:val="28"/>
        </w:num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检测单位需派专人（取样员）配拉样品车，到工地现场取样，不得要求施工人员去实验室送样。</w:t>
      </w:r>
    </w:p>
    <w:p w14:paraId="2CDF412A">
      <w:pPr>
        <w:numPr>
          <w:ilvl w:val="0"/>
          <w:numId w:val="28"/>
        </w:num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成果的提交：乙方提交的成果应符合国家、本地及相关行业现行的规范、规程、标准及甲方、主管部门的要求</w:t>
      </w:r>
      <w:r>
        <w:rPr>
          <w:rFonts w:hint="eastAsia" w:ascii="仿宋" w:hAnsi="仿宋" w:eastAsia="仿宋" w:cs="仿宋"/>
          <w:color w:val="auto"/>
          <w:sz w:val="30"/>
          <w:szCs w:val="30"/>
          <w:highlight w:val="none"/>
          <w:lang w:eastAsia="zh-CN"/>
        </w:rPr>
        <w:t>。</w:t>
      </w:r>
    </w:p>
    <w:p w14:paraId="6B21972A">
      <w:pPr>
        <w:numPr>
          <w:ilvl w:val="0"/>
          <w:numId w:val="28"/>
        </w:num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质量标准：乙方须按发包人设计图纸、相关规范及当地建筑业主管部门要求进行地基基础工程检测及建设工程质量检测，检测过程和检测成果须符合图纸设计要求及相关规范、标准要求，保证一次性通过当地建筑业主管部门的验收及备案。</w:t>
      </w:r>
    </w:p>
    <w:p w14:paraId="2960C025">
      <w:p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.检测服务费</w:t>
      </w:r>
    </w:p>
    <w:p w14:paraId="7FB8177D">
      <w:pPr>
        <w:numPr>
          <w:ilvl w:val="0"/>
          <w:numId w:val="31"/>
        </w:numPr>
        <w:tabs>
          <w:tab w:val="left" w:pos="3640"/>
        </w:tabs>
        <w:autoSpaceDE w:val="0"/>
        <w:autoSpaceDN w:val="0"/>
        <w:spacing w:line="54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合同暂定总价：人民币（含税）</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none"/>
          <w:lang w:val="en-US" w:eastAsia="zh-CN"/>
        </w:rPr>
        <w:t>。</w:t>
      </w:r>
      <w:r>
        <w:rPr>
          <w:rFonts w:hint="eastAsia" w:ascii="仿宋" w:hAnsi="仿宋" w:eastAsia="仿宋" w:cs="仿宋"/>
          <w:color w:val="auto"/>
          <w:sz w:val="30"/>
          <w:szCs w:val="30"/>
          <w:highlight w:val="none"/>
        </w:rPr>
        <w:t>本项目实行固定总价合同，合同总价已包括了为实施和完成合同工程所需的劳务、材料、机械、临时工程、税金、保险、利润、检测机构人员服务费、辅助人员费、设施设备费、一般办公费、特殊办公费、检测费、交通费、通讯费、管理费、考核费、招标代理服务费、人员及设备保险费</w:t>
      </w:r>
      <w:r>
        <w:rPr>
          <w:rFonts w:hint="eastAsia" w:ascii="仿宋" w:hAnsi="仿宋" w:eastAsia="仿宋" w:cs="仿宋"/>
          <w:color w:val="auto"/>
          <w:sz w:val="30"/>
          <w:szCs w:val="30"/>
          <w:highlight w:val="none"/>
          <w:lang w:eastAsia="zh-CN"/>
        </w:rPr>
        <w:t>、机械设备进退场费、机械设备（含配件）的各种损耗、机械设备场内二次运输、技术处理费、技术措施费、赶工费、文明施工措施费、临时设施费及其他措施费、编制及生成报告的各项费用、税金及利润</w:t>
      </w:r>
      <w:r>
        <w:rPr>
          <w:rFonts w:hint="eastAsia" w:ascii="仿宋" w:hAnsi="仿宋" w:eastAsia="仿宋" w:cs="仿宋"/>
          <w:color w:val="auto"/>
          <w:sz w:val="30"/>
          <w:szCs w:val="30"/>
          <w:highlight w:val="none"/>
        </w:rPr>
        <w:t>等为完成检测服务的全部费用以及合同的所有责任、义务和一般风险，乙方（成交人）自行踏勘现场，特别是需考虑检测过程中的工期、安全管理的特殊性等因素。</w:t>
      </w:r>
    </w:p>
    <w:p w14:paraId="3845AB58">
      <w:pPr>
        <w:numPr>
          <w:ilvl w:val="0"/>
          <w:numId w:val="31"/>
        </w:numPr>
        <w:tabs>
          <w:tab w:val="left" w:pos="3640"/>
        </w:tabs>
        <w:autoSpaceDE w:val="0"/>
        <w:autoSpaceDN w:val="0"/>
        <w:spacing w:line="54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水、电（含线路损耗）费用由乙方支付给相关单位，综合考虑在合同价中。</w:t>
      </w:r>
    </w:p>
    <w:p w14:paraId="3BC39A95">
      <w:pPr>
        <w:numPr>
          <w:ilvl w:val="0"/>
          <w:numId w:val="31"/>
        </w:numPr>
        <w:tabs>
          <w:tab w:val="left" w:pos="3640"/>
        </w:tabs>
        <w:autoSpaceDE w:val="0"/>
        <w:autoSpaceDN w:val="0"/>
        <w:spacing w:line="54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经设计、主管部门认可，甲方有权调整合同所列检测方法、数量等。</w:t>
      </w:r>
    </w:p>
    <w:p w14:paraId="546A24A0">
      <w:pPr>
        <w:numPr>
          <w:ilvl w:val="0"/>
          <w:numId w:val="31"/>
        </w:numPr>
        <w:tabs>
          <w:tab w:val="left" w:pos="3640"/>
        </w:tabs>
        <w:autoSpaceDE w:val="0"/>
        <w:autoSpaceDN w:val="0"/>
        <w:spacing w:line="54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总价为包干价，检测范围包括但不限于约定内容，检测范围和检测报告应满足行业主管部门验收要求，满足图纸所有检测内容。成交（中标）价格作为合同签订及结算的依据，除另有约定外不再根据工期的调整而变动。</w:t>
      </w:r>
    </w:p>
    <w:p w14:paraId="070BDEAD">
      <w:pPr>
        <w:numPr>
          <w:ilvl w:val="0"/>
          <w:numId w:val="31"/>
        </w:numPr>
        <w:tabs>
          <w:tab w:val="left" w:pos="3640"/>
        </w:tabs>
        <w:autoSpaceDE w:val="0"/>
        <w:autoSpaceDN w:val="0"/>
        <w:spacing w:line="54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采购人不提供任何设备、设施及办公房屋。成交人自行解决试验室、办公、驻地建设，应自行具备通讯、交通、食宿、仪器、设备、照相、摄影、录音、照明等检测所需的各类设施条件，上述费用均包含在投标报价中，不再另行计取。</w:t>
      </w:r>
    </w:p>
    <w:p w14:paraId="6D6A5070">
      <w:pPr>
        <w:numPr>
          <w:ilvl w:val="0"/>
          <w:numId w:val="31"/>
        </w:numPr>
        <w:tabs>
          <w:tab w:val="left" w:pos="3640"/>
        </w:tabs>
        <w:autoSpaceDE w:val="0"/>
        <w:autoSpaceDN w:val="0"/>
        <w:spacing w:line="54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清单内有列明但实际未检测的项目结算时不计价。</w:t>
      </w:r>
    </w:p>
    <w:p w14:paraId="6D08DC58">
      <w:pPr>
        <w:keepNext w:val="0"/>
        <w:keepLines w:val="0"/>
        <w:pageBreakBefore w:val="0"/>
        <w:widowControl w:val="0"/>
        <w:numPr>
          <w:ilvl w:val="0"/>
          <w:numId w:val="31"/>
        </w:numPr>
        <w:tabs>
          <w:tab w:val="left" w:pos="3640"/>
        </w:tabs>
        <w:kinsoku/>
        <w:wordWrap/>
        <w:overflowPunct/>
        <w:topLinePunct w:val="0"/>
        <w:autoSpaceDE w:val="0"/>
        <w:autoSpaceDN w:val="0"/>
        <w:bidi w:val="0"/>
        <w:adjustRightInd w:val="0"/>
        <w:snapToGrid w:val="0"/>
        <w:spacing w:line="5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调价方法</w:t>
      </w:r>
      <w:r>
        <w:rPr>
          <w:rFonts w:hint="eastAsia" w:ascii="仿宋" w:hAnsi="仿宋" w:eastAsia="仿宋" w:cs="仿宋"/>
          <w:color w:val="auto"/>
          <w:sz w:val="30"/>
          <w:szCs w:val="30"/>
          <w:highlight w:val="none"/>
          <w:lang w:eastAsia="zh-CN"/>
        </w:rPr>
        <w:t>：</w:t>
      </w:r>
    </w:p>
    <w:p w14:paraId="73566996">
      <w:pPr>
        <w:keepNext w:val="0"/>
        <w:keepLines w:val="0"/>
        <w:pageBreakBefore w:val="0"/>
        <w:widowControl w:val="0"/>
        <w:numPr>
          <w:ilvl w:val="0"/>
          <w:numId w:val="32"/>
        </w:numPr>
        <w:tabs>
          <w:tab w:val="left" w:pos="3640"/>
        </w:tabs>
        <w:kinsoku/>
        <w:wordWrap/>
        <w:overflowPunct/>
        <w:topLinePunct w:val="0"/>
        <w:autoSpaceDE w:val="0"/>
        <w:autoSpaceDN w:val="0"/>
        <w:bidi w:val="0"/>
        <w:adjustRightInd w:val="0"/>
        <w:snapToGrid w:val="0"/>
        <w:spacing w:line="54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结算时除发生合同约定允许调整的情况外，其他不作调整合同价格，乙方不得因其他任何原因提出调整合同价格</w:t>
      </w:r>
      <w:r>
        <w:rPr>
          <w:rFonts w:hint="eastAsia" w:ascii="仿宋" w:hAnsi="仿宋" w:eastAsia="仿宋" w:cs="仿宋"/>
          <w:color w:val="auto"/>
          <w:sz w:val="30"/>
          <w:szCs w:val="30"/>
          <w:highlight w:val="none"/>
          <w:lang w:eastAsia="zh-CN"/>
        </w:rPr>
        <w:t>；</w:t>
      </w:r>
    </w:p>
    <w:p w14:paraId="3C12609C">
      <w:pPr>
        <w:keepNext w:val="0"/>
        <w:keepLines w:val="0"/>
        <w:pageBreakBefore w:val="0"/>
        <w:widowControl w:val="0"/>
        <w:numPr>
          <w:ilvl w:val="0"/>
          <w:numId w:val="32"/>
        </w:numPr>
        <w:tabs>
          <w:tab w:val="left" w:pos="3640"/>
        </w:tabs>
        <w:kinsoku/>
        <w:wordWrap/>
        <w:overflowPunct/>
        <w:topLinePunct w:val="0"/>
        <w:autoSpaceDE w:val="0"/>
        <w:autoSpaceDN w:val="0"/>
        <w:bidi w:val="0"/>
        <w:adjustRightInd w:val="0"/>
        <w:snapToGrid w:val="0"/>
        <w:spacing w:line="54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合同范围内，因甲方原因引起的设计变更、工程变更导致费用变化，经甲方现场代表或甲方委托的监理公司确认的，据实办理工程签证，调整结算价。如因乙方原因导致工程量增加则不予办理任何签证。</w:t>
      </w:r>
    </w:p>
    <w:p w14:paraId="22FF9F14">
      <w:pPr>
        <w:keepNext w:val="0"/>
        <w:keepLines w:val="0"/>
        <w:pageBreakBefore w:val="0"/>
        <w:widowControl w:val="0"/>
        <w:numPr>
          <w:ilvl w:val="0"/>
          <w:numId w:val="32"/>
        </w:numPr>
        <w:tabs>
          <w:tab w:val="left" w:pos="3640"/>
        </w:tabs>
        <w:kinsoku/>
        <w:wordWrap/>
        <w:overflowPunct/>
        <w:topLinePunct w:val="0"/>
        <w:autoSpaceDE w:val="0"/>
        <w:autoSpaceDN w:val="0"/>
        <w:bidi w:val="0"/>
        <w:adjustRightInd w:val="0"/>
        <w:snapToGrid w:val="0"/>
        <w:spacing w:line="54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签证办理程序</w:t>
      </w:r>
      <w:r>
        <w:rPr>
          <w:rFonts w:hint="eastAsia" w:ascii="仿宋" w:hAnsi="仿宋" w:eastAsia="仿宋" w:cs="仿宋"/>
          <w:color w:val="auto"/>
          <w:sz w:val="30"/>
          <w:szCs w:val="30"/>
          <w:highlight w:val="none"/>
          <w:lang w:eastAsia="zh-CN"/>
        </w:rPr>
        <w:t>：乙方应在签证内容完工并验收合格后</w:t>
      </w:r>
      <w:r>
        <w:rPr>
          <w:rFonts w:hint="eastAsia" w:ascii="仿宋" w:hAnsi="仿宋" w:eastAsia="仿宋" w:cs="仿宋"/>
          <w:color w:val="auto"/>
          <w:sz w:val="30"/>
          <w:szCs w:val="30"/>
          <w:highlight w:val="none"/>
          <w:lang w:val="en-US" w:eastAsia="zh-CN"/>
        </w:rPr>
        <w:t>七个工作日</w:t>
      </w:r>
      <w:r>
        <w:rPr>
          <w:rFonts w:hint="eastAsia" w:ascii="仿宋" w:hAnsi="仿宋" w:eastAsia="仿宋" w:cs="仿宋"/>
          <w:color w:val="auto"/>
          <w:sz w:val="30"/>
          <w:szCs w:val="30"/>
          <w:highlight w:val="none"/>
          <w:lang w:eastAsia="zh-CN"/>
        </w:rPr>
        <w:t>内向甲方提出书面签证要求（按甲方要求提交签证及原始凭证等资料），经甲方现场代表或甲方委托的监理单位审查，如确属于甲方原因导致签证的，甲方现场代表或甲方委托的监理单位应在收到书面签证后七个工作日内予以签证，增减的工程费用在工程结算时支付或扣除。乙方延期提交签证的，当工程费用增加时，视为乙方放弃签证要求，当工程费用减少时以甲方的预算造价为准（上述各项签证以甲方书面确认的为准）。</w:t>
      </w:r>
    </w:p>
    <w:p w14:paraId="18D9200C">
      <w:pPr>
        <w:keepNext w:val="0"/>
        <w:keepLines w:val="0"/>
        <w:pageBreakBefore w:val="0"/>
        <w:widowControl w:val="0"/>
        <w:numPr>
          <w:ilvl w:val="0"/>
          <w:numId w:val="32"/>
        </w:numPr>
        <w:tabs>
          <w:tab w:val="left" w:pos="3640"/>
        </w:tabs>
        <w:kinsoku/>
        <w:wordWrap/>
        <w:overflowPunct/>
        <w:topLinePunct w:val="0"/>
        <w:autoSpaceDE w:val="0"/>
        <w:autoSpaceDN w:val="0"/>
        <w:bidi w:val="0"/>
        <w:adjustRightInd w:val="0"/>
        <w:snapToGrid w:val="0"/>
        <w:spacing w:line="54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费用调整计算方法</w:t>
      </w:r>
      <w:r>
        <w:rPr>
          <w:rFonts w:hint="eastAsia" w:ascii="仿宋" w:hAnsi="仿宋" w:eastAsia="仿宋" w:cs="仿宋"/>
          <w:color w:val="auto"/>
          <w:sz w:val="30"/>
          <w:szCs w:val="30"/>
          <w:highlight w:val="none"/>
          <w:lang w:eastAsia="zh-CN"/>
        </w:rPr>
        <w:t>：合同中有相同的项目，其单价按合同中的单价确定；合同中有类似的项目，单价参照合同中类似项目的单价确定；合同中无类似的项目，由乙方根据合同的组价原则提出适当单价，经甲方或其委托人审定后，作为结算依据。</w:t>
      </w:r>
    </w:p>
    <w:p w14:paraId="366B0F8B">
      <w:pPr>
        <w:keepNext w:val="0"/>
        <w:keepLines w:val="0"/>
        <w:pageBreakBefore w:val="0"/>
        <w:widowControl w:val="0"/>
        <w:numPr>
          <w:ilvl w:val="0"/>
          <w:numId w:val="32"/>
        </w:numPr>
        <w:tabs>
          <w:tab w:val="left" w:pos="3640"/>
        </w:tabs>
        <w:kinsoku/>
        <w:wordWrap/>
        <w:overflowPunct/>
        <w:topLinePunct w:val="0"/>
        <w:autoSpaceDE w:val="0"/>
        <w:autoSpaceDN w:val="0"/>
        <w:bidi w:val="0"/>
        <w:adjustRightInd w:val="0"/>
        <w:snapToGrid w:val="0"/>
        <w:spacing w:line="54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甲方确认的签证的工程款的支付：在工程结算时申请支付，随工程结算款同时结算。</w:t>
      </w:r>
    </w:p>
    <w:p w14:paraId="229CBE5E">
      <w:pPr>
        <w:numPr>
          <w:ilvl w:val="0"/>
          <w:numId w:val="24"/>
        </w:numPr>
        <w:tabs>
          <w:tab w:val="left" w:pos="3640"/>
        </w:tabs>
        <w:autoSpaceDE w:val="0"/>
        <w:autoSpaceDN w:val="0"/>
        <w:adjustRightInd w:val="0"/>
        <w:snapToGrid w:val="0"/>
        <w:spacing w:line="480" w:lineRule="exact"/>
        <w:ind w:firstLine="602" w:firstLineChars="200"/>
        <w:outlineLvl w:val="1"/>
        <w:rPr>
          <w:rFonts w:hint="eastAsia" w:ascii="仿宋" w:hAnsi="仿宋" w:eastAsia="仿宋" w:cs="仿宋"/>
          <w:b/>
          <w:bCs/>
          <w:color w:val="auto"/>
          <w:sz w:val="30"/>
          <w:szCs w:val="30"/>
          <w:highlight w:val="none"/>
        </w:rPr>
      </w:pPr>
      <w:bookmarkStart w:id="70" w:name="_Toc12547"/>
      <w:r>
        <w:rPr>
          <w:rFonts w:hint="eastAsia" w:ascii="仿宋" w:hAnsi="仿宋" w:eastAsia="仿宋" w:cs="仿宋"/>
          <w:b/>
          <w:bCs/>
          <w:color w:val="auto"/>
          <w:sz w:val="30"/>
          <w:szCs w:val="30"/>
          <w:highlight w:val="none"/>
        </w:rPr>
        <w:t>合同词语含义</w:t>
      </w:r>
      <w:bookmarkEnd w:id="70"/>
    </w:p>
    <w:p w14:paraId="723FE25A">
      <w:p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合同中的有关词语含义与《通用条件》中赋予它们的定义相同。 </w:t>
      </w:r>
    </w:p>
    <w:p w14:paraId="17DB9E78">
      <w:pPr>
        <w:numPr>
          <w:ilvl w:val="0"/>
          <w:numId w:val="24"/>
        </w:numPr>
        <w:tabs>
          <w:tab w:val="left" w:pos="3640"/>
        </w:tabs>
        <w:autoSpaceDE w:val="0"/>
        <w:autoSpaceDN w:val="0"/>
        <w:adjustRightInd w:val="0"/>
        <w:snapToGrid w:val="0"/>
        <w:spacing w:line="480" w:lineRule="exact"/>
        <w:ind w:firstLine="602" w:firstLineChars="200"/>
        <w:outlineLvl w:val="1"/>
        <w:rPr>
          <w:rFonts w:hint="eastAsia" w:ascii="仿宋" w:hAnsi="仿宋" w:eastAsia="仿宋" w:cs="仿宋"/>
          <w:b/>
          <w:bCs/>
          <w:color w:val="auto"/>
          <w:sz w:val="30"/>
          <w:szCs w:val="30"/>
          <w:highlight w:val="none"/>
        </w:rPr>
      </w:pPr>
      <w:bookmarkStart w:id="71" w:name="_Toc22963"/>
      <w:r>
        <w:rPr>
          <w:rFonts w:hint="eastAsia" w:ascii="仿宋" w:hAnsi="仿宋" w:eastAsia="仿宋" w:cs="仿宋"/>
          <w:b/>
          <w:bCs/>
          <w:color w:val="auto"/>
          <w:sz w:val="30"/>
          <w:szCs w:val="30"/>
          <w:highlight w:val="none"/>
        </w:rPr>
        <w:t>合同组成部分</w:t>
      </w:r>
      <w:bookmarkEnd w:id="71"/>
    </w:p>
    <w:p w14:paraId="5F5B1A2A">
      <w:p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1.成交通知书；</w:t>
      </w:r>
    </w:p>
    <w:p w14:paraId="45079C6B">
      <w:p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比选</w:t>
      </w:r>
      <w:r>
        <w:rPr>
          <w:rFonts w:hint="eastAsia" w:ascii="仿宋" w:hAnsi="仿宋" w:eastAsia="仿宋" w:cs="仿宋"/>
          <w:color w:val="auto"/>
          <w:sz w:val="30"/>
          <w:szCs w:val="30"/>
          <w:highlight w:val="none"/>
        </w:rPr>
        <w:t>文件（含清单、图纸及补充说明）；</w:t>
      </w:r>
    </w:p>
    <w:p w14:paraId="50088292">
      <w:p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3.专用合同条款及其附件；</w:t>
      </w:r>
    </w:p>
    <w:p w14:paraId="718602BD">
      <w:p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4.技术标准和要求；</w:t>
      </w:r>
    </w:p>
    <w:p w14:paraId="3D23F57C">
      <w:p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5.通用合同条款；</w:t>
      </w:r>
    </w:p>
    <w:p w14:paraId="278D7462">
      <w:p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6.投标函及其附录；</w:t>
      </w:r>
    </w:p>
    <w:p w14:paraId="78B6A160">
      <w:p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7.已标价工程量清单或预算书；</w:t>
      </w:r>
    </w:p>
    <w:p w14:paraId="1159CE8C">
      <w:p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8.其他合同文件。</w:t>
      </w:r>
    </w:p>
    <w:p w14:paraId="10F0A956">
      <w:p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组成合同的各项文件互相解释，互为说明。</w:t>
      </w:r>
      <w:r>
        <w:rPr>
          <w:rFonts w:hint="eastAsia" w:ascii="仿宋" w:hAnsi="仿宋" w:eastAsia="仿宋" w:cs="仿宋"/>
          <w:color w:val="auto"/>
          <w:sz w:val="30"/>
          <w:szCs w:val="30"/>
          <w:highlight w:val="none"/>
          <w:lang w:val="en-US" w:eastAsia="zh-CN"/>
        </w:rPr>
        <w:t>本合同</w:t>
      </w:r>
      <w:r>
        <w:rPr>
          <w:rFonts w:hint="eastAsia" w:ascii="仿宋" w:hAnsi="仿宋" w:eastAsia="仿宋" w:cs="仿宋"/>
          <w:color w:val="auto"/>
          <w:sz w:val="30"/>
          <w:szCs w:val="30"/>
          <w:highlight w:val="none"/>
        </w:rPr>
        <w:t>解释合同文件的优先顺序如下：</w:t>
      </w:r>
      <w:r>
        <w:rPr>
          <w:rFonts w:hint="eastAsia" w:ascii="仿宋" w:hAnsi="仿宋" w:eastAsia="仿宋" w:cs="仿宋"/>
          <w:color w:val="auto"/>
          <w:sz w:val="30"/>
          <w:szCs w:val="30"/>
          <w:highlight w:val="none"/>
          <w:u w:val="single"/>
        </w:rPr>
        <w:t>①合同补充协议（如果有包括合同履行过程中双方有关工程的洽商、变更、会议纪要等书面协议或其他文件）；②合同协议书；③</w:t>
      </w:r>
      <w:r>
        <w:rPr>
          <w:rFonts w:hint="eastAsia" w:ascii="仿宋" w:hAnsi="仿宋" w:eastAsia="仿宋" w:cs="仿宋"/>
          <w:color w:val="auto"/>
          <w:sz w:val="30"/>
          <w:szCs w:val="30"/>
          <w:highlight w:val="none"/>
          <w:u w:val="single"/>
          <w:lang w:val="en-US" w:eastAsia="zh-CN"/>
        </w:rPr>
        <w:t>成交</w:t>
      </w:r>
      <w:r>
        <w:rPr>
          <w:rFonts w:hint="eastAsia" w:ascii="仿宋" w:hAnsi="仿宋" w:eastAsia="仿宋" w:cs="仿宋"/>
          <w:color w:val="auto"/>
          <w:sz w:val="30"/>
          <w:szCs w:val="30"/>
          <w:highlight w:val="none"/>
          <w:u w:val="single"/>
        </w:rPr>
        <w:t>通知书；④</w:t>
      </w:r>
      <w:r>
        <w:rPr>
          <w:rFonts w:hint="eastAsia" w:ascii="仿宋" w:hAnsi="仿宋" w:eastAsia="仿宋" w:cs="仿宋"/>
          <w:color w:val="auto"/>
          <w:sz w:val="30"/>
          <w:szCs w:val="30"/>
          <w:highlight w:val="none"/>
          <w:u w:val="single"/>
          <w:lang w:val="en-US" w:eastAsia="zh-CN"/>
        </w:rPr>
        <w:t>比选</w:t>
      </w:r>
      <w:r>
        <w:rPr>
          <w:rFonts w:hint="eastAsia" w:ascii="仿宋" w:hAnsi="仿宋" w:eastAsia="仿宋" w:cs="仿宋"/>
          <w:color w:val="auto"/>
          <w:sz w:val="30"/>
          <w:szCs w:val="30"/>
          <w:highlight w:val="none"/>
          <w:u w:val="single"/>
        </w:rPr>
        <w:t>文件及答疑（含清单、图纸及补充说明）；⑤专用</w:t>
      </w:r>
      <w:r>
        <w:rPr>
          <w:rFonts w:hint="eastAsia" w:ascii="仿宋" w:hAnsi="仿宋" w:eastAsia="仿宋" w:cs="仿宋"/>
          <w:color w:val="auto"/>
          <w:sz w:val="30"/>
          <w:szCs w:val="30"/>
          <w:highlight w:val="none"/>
          <w:u w:val="single"/>
          <w:lang w:val="en-US" w:eastAsia="zh-CN"/>
        </w:rPr>
        <w:t>合同</w:t>
      </w:r>
      <w:r>
        <w:rPr>
          <w:rFonts w:hint="eastAsia" w:ascii="仿宋" w:hAnsi="仿宋" w:eastAsia="仿宋" w:cs="仿宋"/>
          <w:color w:val="auto"/>
          <w:sz w:val="30"/>
          <w:szCs w:val="30"/>
          <w:highlight w:val="none"/>
          <w:u w:val="single"/>
        </w:rPr>
        <w:t>条款及其附件；⑥技术标准和要求；⑦通用合同条款⑧投标函及其附录；⑨已标价工程量清单或预算书；⑩其他合同文件</w:t>
      </w:r>
      <w:r>
        <w:rPr>
          <w:rFonts w:hint="eastAsia" w:ascii="仿宋" w:hAnsi="仿宋" w:eastAsia="仿宋" w:cs="仿宋"/>
          <w:color w:val="auto"/>
          <w:sz w:val="30"/>
          <w:szCs w:val="30"/>
          <w:highlight w:val="none"/>
        </w:rPr>
        <w:t>。</w:t>
      </w:r>
    </w:p>
    <w:p w14:paraId="3D558F46">
      <w:pPr>
        <w:numPr>
          <w:ilvl w:val="0"/>
          <w:numId w:val="24"/>
        </w:numPr>
        <w:tabs>
          <w:tab w:val="left" w:pos="3640"/>
        </w:tabs>
        <w:autoSpaceDE w:val="0"/>
        <w:autoSpaceDN w:val="0"/>
        <w:adjustRightInd w:val="0"/>
        <w:snapToGrid w:val="0"/>
        <w:spacing w:line="480" w:lineRule="exact"/>
        <w:ind w:firstLine="602" w:firstLineChars="200"/>
        <w:outlineLvl w:val="1"/>
        <w:rPr>
          <w:rFonts w:hint="eastAsia" w:ascii="仿宋" w:hAnsi="仿宋" w:eastAsia="仿宋" w:cs="仿宋"/>
          <w:b/>
          <w:bCs/>
          <w:color w:val="auto"/>
          <w:sz w:val="30"/>
          <w:szCs w:val="30"/>
          <w:highlight w:val="none"/>
        </w:rPr>
      </w:pPr>
      <w:bookmarkStart w:id="72" w:name="_Toc24568"/>
      <w:r>
        <w:rPr>
          <w:rFonts w:hint="eastAsia" w:ascii="仿宋" w:hAnsi="仿宋" w:eastAsia="仿宋" w:cs="仿宋"/>
          <w:b/>
          <w:bCs/>
          <w:color w:val="auto"/>
          <w:sz w:val="30"/>
          <w:szCs w:val="30"/>
          <w:highlight w:val="none"/>
        </w:rPr>
        <w:t>承诺</w:t>
      </w:r>
      <w:bookmarkEnd w:id="72"/>
    </w:p>
    <w:p w14:paraId="16665609">
      <w:pPr>
        <w:keepNext w:val="0"/>
        <w:keepLines w:val="0"/>
        <w:pageBreakBefore w:val="0"/>
        <w:widowControl w:val="0"/>
        <w:numPr>
          <w:ilvl w:val="0"/>
          <w:numId w:val="33"/>
        </w:numPr>
        <w:tabs>
          <w:tab w:val="left" w:pos="3640"/>
        </w:tabs>
        <w:kinsoku/>
        <w:wordWrap/>
        <w:overflowPunct/>
        <w:topLinePunct w:val="0"/>
        <w:autoSpaceDE w:val="0"/>
        <w:autoSpaceDN w:val="0"/>
        <w:bidi w:val="0"/>
        <w:adjustRightInd w:val="0"/>
        <w:snapToGrid w:val="0"/>
        <w:spacing w:line="54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检测人向委托人承诺，按照本合同的规定，承担本合同约定范围内的检测业务。</w:t>
      </w:r>
    </w:p>
    <w:p w14:paraId="11880055">
      <w:pPr>
        <w:keepNext w:val="0"/>
        <w:keepLines w:val="0"/>
        <w:pageBreakBefore w:val="0"/>
        <w:widowControl w:val="0"/>
        <w:numPr>
          <w:ilvl w:val="0"/>
          <w:numId w:val="33"/>
        </w:numPr>
        <w:tabs>
          <w:tab w:val="left" w:pos="3640"/>
        </w:tabs>
        <w:kinsoku/>
        <w:wordWrap/>
        <w:overflowPunct/>
        <w:topLinePunct w:val="0"/>
        <w:autoSpaceDE w:val="0"/>
        <w:autoSpaceDN w:val="0"/>
        <w:bidi w:val="0"/>
        <w:adjustRightInd w:val="0"/>
        <w:snapToGrid w:val="0"/>
        <w:spacing w:line="54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未经发包人书面同意，承包人不得将签订、履行本协议所知晓的与发包人或本项目相关的信息、资料以及与发包人合作事宜向本协议以外的任何第三方（包括但不限于承包人合作单位、媒体等）披露、泄露。不得将双方之间的合作事宜、合作关系用于其对外宣传和广告用途。</w:t>
      </w:r>
    </w:p>
    <w:p w14:paraId="0F792204">
      <w:pPr>
        <w:keepNext w:val="0"/>
        <w:keepLines w:val="0"/>
        <w:pageBreakBefore w:val="0"/>
        <w:widowControl w:val="0"/>
        <w:numPr>
          <w:ilvl w:val="0"/>
          <w:numId w:val="33"/>
        </w:numPr>
        <w:tabs>
          <w:tab w:val="left" w:pos="3640"/>
        </w:tabs>
        <w:kinsoku/>
        <w:wordWrap/>
        <w:overflowPunct/>
        <w:topLinePunct w:val="0"/>
        <w:autoSpaceDE w:val="0"/>
        <w:autoSpaceDN w:val="0"/>
        <w:bidi w:val="0"/>
        <w:adjustRightInd w:val="0"/>
        <w:snapToGrid w:val="0"/>
        <w:spacing w:line="54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未经发包人同意，承包人不得擅自使用“安庆安通”“安庆通达”“安庆交控”“上河院”字样以及发包人关联公司、产业的名称、商标、商号、标识、标志对其公司的项目、产品进行宣传。且承包人不得有诋毁发包人的品牌形象、声誉等行为。</w:t>
      </w:r>
    </w:p>
    <w:p w14:paraId="2B31F365">
      <w:pPr>
        <w:keepNext w:val="0"/>
        <w:keepLines w:val="0"/>
        <w:pageBreakBefore w:val="0"/>
        <w:widowControl w:val="0"/>
        <w:numPr>
          <w:ilvl w:val="0"/>
          <w:numId w:val="33"/>
        </w:numPr>
        <w:tabs>
          <w:tab w:val="left" w:pos="3640"/>
        </w:tabs>
        <w:kinsoku/>
        <w:wordWrap/>
        <w:overflowPunct/>
        <w:topLinePunct w:val="0"/>
        <w:autoSpaceDE w:val="0"/>
        <w:autoSpaceDN w:val="0"/>
        <w:bidi w:val="0"/>
        <w:adjustRightInd w:val="0"/>
        <w:snapToGrid w:val="0"/>
        <w:spacing w:line="54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上述</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条及本条的约定在本合同期满、解除或终止后仍然有效。如承包人违反上述约定，承包人需向发包人支付合同总价10%的违约金；如导致发包人品牌形象受损的，承包人需向发包人支付合同总价30%的违约金，该违约金不足以弥补发包人损失的，承包人应当赔偿发包人的全部损失。</w:t>
      </w:r>
    </w:p>
    <w:p w14:paraId="6EFF566E">
      <w:pPr>
        <w:numPr>
          <w:ilvl w:val="0"/>
          <w:numId w:val="24"/>
        </w:numPr>
        <w:tabs>
          <w:tab w:val="left" w:pos="3640"/>
        </w:tabs>
        <w:autoSpaceDE w:val="0"/>
        <w:autoSpaceDN w:val="0"/>
        <w:adjustRightInd w:val="0"/>
        <w:snapToGrid w:val="0"/>
        <w:spacing w:line="480" w:lineRule="exact"/>
        <w:ind w:firstLine="602" w:firstLineChars="200"/>
        <w:outlineLvl w:val="1"/>
        <w:rPr>
          <w:rFonts w:hint="eastAsia" w:ascii="仿宋" w:hAnsi="仿宋" w:eastAsia="仿宋" w:cs="仿宋"/>
          <w:b/>
          <w:bCs/>
          <w:color w:val="auto"/>
          <w:sz w:val="30"/>
          <w:szCs w:val="30"/>
          <w:highlight w:val="none"/>
        </w:rPr>
      </w:pPr>
      <w:bookmarkStart w:id="73" w:name="_Toc25949"/>
      <w:r>
        <w:rPr>
          <w:rFonts w:hint="eastAsia" w:ascii="仿宋" w:hAnsi="仿宋" w:eastAsia="仿宋" w:cs="仿宋"/>
          <w:b/>
          <w:bCs/>
          <w:color w:val="auto"/>
          <w:sz w:val="30"/>
          <w:szCs w:val="30"/>
          <w:highlight w:val="none"/>
        </w:rPr>
        <w:t>合同生效</w:t>
      </w:r>
      <w:bookmarkEnd w:id="73"/>
    </w:p>
    <w:p w14:paraId="54A3BEE2">
      <w:pPr>
        <w:numPr>
          <w:ilvl w:val="0"/>
          <w:numId w:val="34"/>
        </w:numPr>
        <w:tabs>
          <w:tab w:val="left" w:pos="1080"/>
        </w:tabs>
        <w:adjustRightInd w:val="0"/>
        <w:snapToGrid w:val="0"/>
        <w:spacing w:line="5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本合同自双方签字盖章后生效。</w:t>
      </w:r>
    </w:p>
    <w:p w14:paraId="28DEC6EF">
      <w:pPr>
        <w:numPr>
          <w:ilvl w:val="0"/>
          <w:numId w:val="34"/>
        </w:numPr>
        <w:tabs>
          <w:tab w:val="left" w:pos="1080"/>
        </w:tabs>
        <w:adjustRightInd w:val="0"/>
        <w:snapToGrid w:val="0"/>
        <w:spacing w:line="5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本合同未尽事宜，双方另行协商，签署补充合同。</w:t>
      </w:r>
    </w:p>
    <w:p w14:paraId="058288B5">
      <w:pPr>
        <w:numPr>
          <w:ilvl w:val="0"/>
          <w:numId w:val="34"/>
        </w:numPr>
        <w:tabs>
          <w:tab w:val="left" w:pos="1080"/>
        </w:tabs>
        <w:adjustRightInd w:val="0"/>
        <w:snapToGrid w:val="0"/>
        <w:spacing w:line="5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bCs/>
          <w:color w:val="auto"/>
          <w:sz w:val="30"/>
          <w:szCs w:val="30"/>
          <w:highlight w:val="none"/>
        </w:rPr>
        <w:t>双方遵循自愿平等，互利有偿和诚实信用原则，对合同履行过程中产生的问题，通过友好协商解决。</w:t>
      </w:r>
    </w:p>
    <w:p w14:paraId="7BC33EF9">
      <w:pPr>
        <w:numPr>
          <w:ilvl w:val="0"/>
          <w:numId w:val="34"/>
        </w:numPr>
        <w:tabs>
          <w:tab w:val="left" w:pos="1080"/>
        </w:tabs>
        <w:adjustRightInd w:val="0"/>
        <w:snapToGrid w:val="0"/>
        <w:spacing w:line="5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甲、乙双方发生争议时应本着互利互惠的原则协商解决，协商不成时，向工程所在地人民法院起诉。</w:t>
      </w:r>
    </w:p>
    <w:p w14:paraId="0C53D1A5">
      <w:pPr>
        <w:numPr>
          <w:ilvl w:val="0"/>
          <w:numId w:val="34"/>
        </w:numPr>
        <w:tabs>
          <w:tab w:val="left" w:pos="1080"/>
        </w:tabs>
        <w:adjustRightInd w:val="0"/>
        <w:snapToGrid w:val="0"/>
        <w:spacing w:line="5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w:t>
      </w:r>
      <w:r>
        <w:rPr>
          <w:rFonts w:hint="eastAsia" w:ascii="仿宋" w:hAnsi="仿宋" w:eastAsia="仿宋" w:cs="仿宋"/>
          <w:bCs/>
          <w:color w:val="auto"/>
          <w:sz w:val="30"/>
          <w:szCs w:val="30"/>
          <w:highlight w:val="none"/>
        </w:rPr>
        <w:t>附表</w:t>
      </w:r>
      <w:r>
        <w:rPr>
          <w:rFonts w:hint="eastAsia" w:ascii="仿宋" w:hAnsi="仿宋" w:eastAsia="仿宋" w:cs="仿宋"/>
          <w:color w:val="auto"/>
          <w:sz w:val="30"/>
          <w:szCs w:val="30"/>
          <w:highlight w:val="none"/>
        </w:rPr>
        <w:t>及附件与本合同具有同等法律效力。</w:t>
      </w:r>
    </w:p>
    <w:p w14:paraId="069E4BBC">
      <w:pPr>
        <w:numPr>
          <w:ilvl w:val="0"/>
          <w:numId w:val="34"/>
        </w:numPr>
        <w:tabs>
          <w:tab w:val="left" w:pos="1080"/>
        </w:tabs>
        <w:adjustRightInd w:val="0"/>
        <w:snapToGrid w:val="0"/>
        <w:spacing w:line="5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w:t>
      </w:r>
      <w:r>
        <w:rPr>
          <w:rFonts w:hint="eastAsia" w:ascii="仿宋" w:hAnsi="仿宋" w:eastAsia="仿宋" w:cs="仿宋"/>
          <w:bCs/>
          <w:color w:val="auto"/>
          <w:sz w:val="30"/>
          <w:szCs w:val="30"/>
          <w:highlight w:val="none"/>
        </w:rPr>
        <w:t>合同</w:t>
      </w:r>
      <w:r>
        <w:rPr>
          <w:rFonts w:hint="eastAsia" w:ascii="仿宋" w:hAnsi="仿宋" w:eastAsia="仿宋" w:cs="仿宋"/>
          <w:color w:val="auto"/>
          <w:sz w:val="30"/>
          <w:szCs w:val="30"/>
          <w:highlight w:val="none"/>
        </w:rPr>
        <w:t>文本壹式</w:t>
      </w:r>
      <w:r>
        <w:rPr>
          <w:rFonts w:hint="eastAsia" w:ascii="仿宋" w:hAnsi="仿宋" w:eastAsia="仿宋" w:cs="仿宋"/>
          <w:color w:val="auto"/>
          <w:sz w:val="30"/>
          <w:szCs w:val="30"/>
          <w:highlight w:val="none"/>
          <w:u w:val="single"/>
        </w:rPr>
        <w:t xml:space="preserve"> 捌 </w:t>
      </w:r>
      <w:r>
        <w:rPr>
          <w:rFonts w:hint="eastAsia" w:ascii="仿宋" w:hAnsi="仿宋" w:eastAsia="仿宋" w:cs="仿宋"/>
          <w:color w:val="auto"/>
          <w:sz w:val="30"/>
          <w:szCs w:val="30"/>
          <w:highlight w:val="none"/>
        </w:rPr>
        <w:t>份，甲方持</w:t>
      </w:r>
      <w:r>
        <w:rPr>
          <w:rFonts w:hint="eastAsia" w:ascii="仿宋" w:hAnsi="仿宋" w:eastAsia="仿宋" w:cs="仿宋"/>
          <w:color w:val="auto"/>
          <w:sz w:val="30"/>
          <w:szCs w:val="30"/>
          <w:highlight w:val="none"/>
          <w:u w:val="single"/>
        </w:rPr>
        <w:t xml:space="preserve"> 陆 </w:t>
      </w:r>
      <w:r>
        <w:rPr>
          <w:rFonts w:hint="eastAsia" w:ascii="仿宋" w:hAnsi="仿宋" w:eastAsia="仿宋" w:cs="仿宋"/>
          <w:color w:val="auto"/>
          <w:sz w:val="30"/>
          <w:szCs w:val="30"/>
          <w:highlight w:val="none"/>
        </w:rPr>
        <w:t>份，乙方持</w:t>
      </w:r>
      <w:r>
        <w:rPr>
          <w:rFonts w:hint="eastAsia" w:ascii="仿宋" w:hAnsi="仿宋" w:eastAsia="仿宋" w:cs="仿宋"/>
          <w:color w:val="auto"/>
          <w:sz w:val="30"/>
          <w:szCs w:val="30"/>
          <w:highlight w:val="none"/>
          <w:u w:val="single"/>
        </w:rPr>
        <w:t xml:space="preserve"> 贰 </w:t>
      </w:r>
      <w:r>
        <w:rPr>
          <w:rFonts w:hint="eastAsia" w:ascii="仿宋" w:hAnsi="仿宋" w:eastAsia="仿宋" w:cs="仿宋"/>
          <w:color w:val="auto"/>
          <w:sz w:val="30"/>
          <w:szCs w:val="30"/>
          <w:highlight w:val="none"/>
        </w:rPr>
        <w:t>份，具有同等法律效力。</w:t>
      </w:r>
    </w:p>
    <w:p w14:paraId="01CC25E5">
      <w:pPr>
        <w:numPr>
          <w:ilvl w:val="0"/>
          <w:numId w:val="24"/>
        </w:numPr>
        <w:tabs>
          <w:tab w:val="left" w:pos="3640"/>
        </w:tabs>
        <w:autoSpaceDE w:val="0"/>
        <w:autoSpaceDN w:val="0"/>
        <w:adjustRightInd w:val="0"/>
        <w:snapToGrid w:val="0"/>
        <w:spacing w:line="480" w:lineRule="exact"/>
        <w:ind w:firstLine="602" w:firstLineChars="200"/>
        <w:outlineLvl w:val="1"/>
        <w:rPr>
          <w:rFonts w:hint="eastAsia" w:ascii="仿宋" w:hAnsi="仿宋" w:eastAsia="仿宋" w:cs="仿宋"/>
          <w:b/>
          <w:bCs/>
          <w:color w:val="auto"/>
          <w:sz w:val="30"/>
          <w:szCs w:val="30"/>
          <w:highlight w:val="none"/>
        </w:rPr>
      </w:pPr>
      <w:bookmarkStart w:id="74" w:name="_Toc262"/>
      <w:r>
        <w:rPr>
          <w:rFonts w:hint="eastAsia" w:ascii="仿宋" w:hAnsi="仿宋" w:eastAsia="仿宋" w:cs="仿宋"/>
          <w:b/>
          <w:bCs/>
          <w:color w:val="auto"/>
          <w:sz w:val="30"/>
          <w:szCs w:val="30"/>
          <w:highlight w:val="none"/>
        </w:rPr>
        <w:t>合同份数</w:t>
      </w:r>
      <w:bookmarkEnd w:id="74"/>
    </w:p>
    <w:p w14:paraId="0FD67752">
      <w:pPr>
        <w:tabs>
          <w:tab w:val="left" w:pos="3640"/>
        </w:tabs>
        <w:autoSpaceDE w:val="0"/>
        <w:autoSpaceDN w:val="0"/>
        <w:adjustRightInd w:val="0"/>
        <w:snapToGrid w:val="0"/>
        <w:spacing w:line="480" w:lineRule="exact"/>
        <w:ind w:firstLine="600" w:firstLineChars="200"/>
        <w:rPr>
          <w:rFonts w:hint="eastAsia" w:ascii="仿宋" w:hAnsi="仿宋" w:eastAsia="仿宋" w:cs="仿宋"/>
          <w:bCs/>
          <w:color w:val="auto"/>
          <w:sz w:val="30"/>
          <w:szCs w:val="30"/>
          <w:highlight w:val="none"/>
        </w:rPr>
      </w:pPr>
      <w:r>
        <w:rPr>
          <w:rFonts w:hint="eastAsia" w:ascii="仿宋" w:hAnsi="仿宋" w:eastAsia="仿宋" w:cs="仿宋"/>
          <w:color w:val="auto"/>
          <w:sz w:val="30"/>
          <w:szCs w:val="30"/>
          <w:highlight w:val="none"/>
        </w:rPr>
        <w:t>本合同一式</w:t>
      </w:r>
      <w:r>
        <w:rPr>
          <w:rFonts w:hint="eastAsia" w:ascii="仿宋" w:hAnsi="仿宋" w:eastAsia="仿宋" w:cs="仿宋"/>
          <w:color w:val="auto"/>
          <w:sz w:val="30"/>
          <w:szCs w:val="30"/>
          <w:highlight w:val="none"/>
          <w:u w:val="single"/>
        </w:rPr>
        <w:t xml:space="preserve"> 捌 </w:t>
      </w:r>
      <w:r>
        <w:rPr>
          <w:rFonts w:hint="eastAsia" w:ascii="仿宋" w:hAnsi="仿宋" w:eastAsia="仿宋" w:cs="仿宋"/>
          <w:color w:val="auto"/>
          <w:sz w:val="30"/>
          <w:szCs w:val="30"/>
          <w:highlight w:val="none"/>
        </w:rPr>
        <w:t>份，均具有同等法律效力，发包人执</w:t>
      </w:r>
      <w:r>
        <w:rPr>
          <w:rFonts w:hint="eastAsia" w:ascii="仿宋" w:hAnsi="仿宋" w:eastAsia="仿宋" w:cs="仿宋"/>
          <w:color w:val="auto"/>
          <w:sz w:val="30"/>
          <w:szCs w:val="30"/>
          <w:highlight w:val="none"/>
          <w:u w:val="single"/>
        </w:rPr>
        <w:t xml:space="preserve"> 陆 </w:t>
      </w:r>
      <w:r>
        <w:rPr>
          <w:rFonts w:hint="eastAsia" w:ascii="仿宋" w:hAnsi="仿宋" w:eastAsia="仿宋" w:cs="仿宋"/>
          <w:color w:val="auto"/>
          <w:sz w:val="30"/>
          <w:szCs w:val="30"/>
          <w:highlight w:val="none"/>
        </w:rPr>
        <w:t>份，承包人执</w:t>
      </w:r>
      <w:r>
        <w:rPr>
          <w:rFonts w:hint="eastAsia" w:ascii="仿宋" w:hAnsi="仿宋" w:eastAsia="仿宋" w:cs="仿宋"/>
          <w:color w:val="auto"/>
          <w:sz w:val="30"/>
          <w:szCs w:val="30"/>
          <w:highlight w:val="none"/>
          <w:u w:val="single"/>
        </w:rPr>
        <w:t xml:space="preserve"> 贰 </w:t>
      </w:r>
      <w:r>
        <w:rPr>
          <w:rFonts w:hint="eastAsia" w:ascii="仿宋" w:hAnsi="仿宋" w:eastAsia="仿宋" w:cs="仿宋"/>
          <w:color w:val="auto"/>
          <w:sz w:val="30"/>
          <w:szCs w:val="30"/>
          <w:highlight w:val="none"/>
        </w:rPr>
        <w:t>份。</w:t>
      </w:r>
    </w:p>
    <w:p w14:paraId="31AC2FF4">
      <w:pPr>
        <w:adjustRightInd w:val="0"/>
        <w:snapToGrid w:val="0"/>
        <w:spacing w:line="480" w:lineRule="exact"/>
        <w:rPr>
          <w:rFonts w:hint="eastAsia" w:ascii="仿宋" w:hAnsi="仿宋" w:eastAsia="仿宋" w:cs="仿宋"/>
          <w:color w:val="auto"/>
          <w:sz w:val="30"/>
          <w:szCs w:val="30"/>
          <w:highlight w:val="none"/>
          <w:u w:val="dotted"/>
        </w:rPr>
      </w:pPr>
      <w:r>
        <w:rPr>
          <w:rFonts w:hint="eastAsia" w:ascii="仿宋" w:hAnsi="仿宋" w:eastAsia="仿宋" w:cs="仿宋"/>
          <w:color w:val="auto"/>
          <w:sz w:val="30"/>
          <w:szCs w:val="30"/>
          <w:highlight w:val="none"/>
          <w:u w:val="dotted"/>
        </w:rPr>
        <w:t xml:space="preserve">                                                                 </w:t>
      </w:r>
    </w:p>
    <w:p w14:paraId="35B85FBC">
      <w:p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以下无正文，为合同签署页。</w:t>
      </w:r>
    </w:p>
    <w:p w14:paraId="3AE5AADB">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6FBD6A1C">
      <w:p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p>
    <w:tbl>
      <w:tblPr>
        <w:tblStyle w:val="61"/>
        <w:tblW w:w="9835"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4813"/>
        <w:gridCol w:w="5022"/>
      </w:tblGrid>
      <w:tr w14:paraId="08C1369C">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13" w:type="dxa"/>
            <w:tcBorders>
              <w:top w:val="nil"/>
              <w:left w:val="nil"/>
              <w:bottom w:val="nil"/>
              <w:right w:val="nil"/>
            </w:tcBorders>
          </w:tcPr>
          <w:p w14:paraId="17D86682">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u w:val="single"/>
              </w:rPr>
            </w:pPr>
            <w:r>
              <w:rPr>
                <w:rFonts w:hint="eastAsia" w:ascii="仿宋" w:hAnsi="仿宋" w:eastAsia="仿宋" w:cs="仿宋"/>
                <w:bCs/>
                <w:color w:val="auto"/>
                <w:sz w:val="26"/>
                <w:szCs w:val="26"/>
                <w:highlight w:val="none"/>
                <w:u w:val="dotted"/>
              </w:rPr>
              <w:br w:type="page"/>
            </w:r>
            <w:r>
              <w:rPr>
                <w:rFonts w:hint="eastAsia" w:ascii="仿宋" w:hAnsi="仿宋" w:eastAsia="仿宋" w:cs="仿宋"/>
                <w:color w:val="auto"/>
                <w:sz w:val="26"/>
                <w:szCs w:val="26"/>
                <w:highlight w:val="none"/>
              </w:rPr>
              <w:t>发包人（盖章）：</w:t>
            </w:r>
            <w:r>
              <w:rPr>
                <w:rFonts w:hint="eastAsia" w:ascii="仿宋" w:hAnsi="仿宋" w:eastAsia="仿宋" w:cs="仿宋"/>
                <w:color w:val="auto"/>
                <w:sz w:val="26"/>
                <w:szCs w:val="26"/>
                <w:highlight w:val="none"/>
                <w:u w:val="single"/>
              </w:rPr>
              <w:t xml:space="preserve"> 安庆市通达置业有限公司 </w:t>
            </w:r>
          </w:p>
          <w:p w14:paraId="63E13F9F">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法定代表人或其委托代理人（签字）：</w:t>
            </w:r>
          </w:p>
          <w:p w14:paraId="5352B205">
            <w:pPr>
              <w:pStyle w:val="9"/>
              <w:keepNext w:val="0"/>
              <w:keepLines w:val="0"/>
              <w:suppressLineNumbers w:val="0"/>
              <w:wordWrap/>
              <w:snapToGrid w:val="0"/>
              <w:spacing w:before="0" w:beforeAutospacing="0" w:after="0" w:afterAutospacing="0" w:line="560" w:lineRule="exact"/>
              <w:ind w:left="0" w:right="0"/>
              <w:rPr>
                <w:rFonts w:hint="default"/>
                <w:color w:val="auto"/>
                <w:szCs w:val="20"/>
                <w:highlight w:val="none"/>
              </w:rPr>
            </w:pPr>
          </w:p>
          <w:p w14:paraId="26843BF1">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u w:val="single"/>
              </w:rPr>
            </w:pPr>
            <w:r>
              <w:rPr>
                <w:rFonts w:hint="eastAsia" w:ascii="仿宋" w:hAnsi="仿宋" w:eastAsia="仿宋" w:cs="仿宋"/>
                <w:color w:val="auto"/>
                <w:sz w:val="26"/>
                <w:szCs w:val="26"/>
                <w:highlight w:val="none"/>
              </w:rPr>
              <w:t>纳税人识别码：</w:t>
            </w:r>
            <w:r>
              <w:rPr>
                <w:rFonts w:hint="eastAsia" w:ascii="仿宋" w:hAnsi="仿宋" w:eastAsia="仿宋" w:cs="仿宋"/>
                <w:color w:val="auto"/>
                <w:sz w:val="26"/>
                <w:szCs w:val="26"/>
                <w:highlight w:val="none"/>
                <w:u w:val="single"/>
              </w:rPr>
              <w:t xml:space="preserve">91340811MAE6NY6C2G </w:t>
            </w:r>
          </w:p>
          <w:p w14:paraId="39FC4306">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地  址：</w:t>
            </w:r>
            <w:r>
              <w:rPr>
                <w:rFonts w:hint="eastAsia" w:ascii="仿宋" w:hAnsi="仿宋" w:eastAsia="仿宋" w:cs="仿宋"/>
                <w:color w:val="auto"/>
                <w:sz w:val="26"/>
                <w:szCs w:val="26"/>
                <w:highlight w:val="none"/>
                <w:u w:val="single"/>
              </w:rPr>
              <w:t>安徽省安庆市宜秀区大龙山镇兴宜路学苑大厦五楼安庆龙科建设发展有限责任公司502室</w:t>
            </w:r>
            <w:r>
              <w:rPr>
                <w:rFonts w:hint="eastAsia" w:ascii="仿宋" w:hAnsi="仿宋" w:cs="仿宋"/>
                <w:color w:val="auto"/>
                <w:sz w:val="26"/>
                <w:szCs w:val="26"/>
                <w:highlight w:val="none"/>
                <w:u w:val="single"/>
              </w:rPr>
              <w:t xml:space="preserve"> </w:t>
            </w:r>
          </w:p>
          <w:p w14:paraId="1DA4190B">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u w:val="single"/>
              </w:rPr>
            </w:pPr>
            <w:r>
              <w:rPr>
                <w:rFonts w:hint="eastAsia" w:ascii="仿宋" w:hAnsi="仿宋" w:eastAsia="仿宋" w:cs="仿宋"/>
                <w:color w:val="auto"/>
                <w:sz w:val="26"/>
                <w:szCs w:val="26"/>
                <w:highlight w:val="none"/>
              </w:rPr>
              <w:t>法定代表人：</w:t>
            </w:r>
            <w:r>
              <w:rPr>
                <w:rFonts w:hint="eastAsia" w:ascii="仿宋" w:hAnsi="仿宋" w:eastAsia="仿宋" w:cs="仿宋"/>
                <w:color w:val="auto"/>
                <w:sz w:val="26"/>
                <w:szCs w:val="26"/>
                <w:highlight w:val="none"/>
                <w:u w:val="single"/>
              </w:rPr>
              <w:t xml:space="preserve">陈金苗 </w:t>
            </w:r>
          </w:p>
          <w:p w14:paraId="3B6188FF">
            <w:pPr>
              <w:keepNext w:val="0"/>
              <w:keepLines w:val="0"/>
              <w:suppressLineNumbers w:val="0"/>
              <w:adjustRightInd w:val="0"/>
              <w:snapToGrid w:val="0"/>
              <w:spacing w:before="0" w:beforeAutospacing="0" w:after="0" w:afterAutospacing="0" w:line="560" w:lineRule="exact"/>
              <w:ind w:left="0" w:right="0"/>
              <w:jc w:val="left"/>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开户银行：</w:t>
            </w:r>
            <w:r>
              <w:rPr>
                <w:rFonts w:hint="eastAsia" w:ascii="仿宋" w:hAnsi="仿宋" w:eastAsia="仿宋" w:cs="仿宋"/>
                <w:color w:val="auto"/>
                <w:sz w:val="26"/>
                <w:szCs w:val="26"/>
                <w:highlight w:val="none"/>
                <w:u w:val="single"/>
              </w:rPr>
              <w:t>中国农业银行股份有限公司安庆龙城支行</w:t>
            </w:r>
          </w:p>
          <w:p w14:paraId="27D17BD9">
            <w:pPr>
              <w:keepNext w:val="0"/>
              <w:keepLines w:val="0"/>
              <w:suppressLineNumbers w:val="0"/>
              <w:adjustRightInd w:val="0"/>
              <w:snapToGrid w:val="0"/>
              <w:spacing w:before="0" w:beforeAutospacing="0" w:after="0" w:afterAutospacing="0" w:line="560" w:lineRule="exact"/>
              <w:ind w:left="0" w:right="0"/>
              <w:jc w:val="left"/>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账  号：</w:t>
            </w:r>
            <w:r>
              <w:rPr>
                <w:rFonts w:hint="eastAsia" w:ascii="仿宋" w:hAnsi="仿宋" w:eastAsia="仿宋" w:cs="仿宋"/>
                <w:color w:val="auto"/>
                <w:sz w:val="26"/>
                <w:szCs w:val="26"/>
                <w:highlight w:val="none"/>
                <w:u w:val="single"/>
              </w:rPr>
              <w:t xml:space="preserve"> 12652701040024600 </w:t>
            </w:r>
          </w:p>
        </w:tc>
        <w:tc>
          <w:tcPr>
            <w:tcW w:w="5022" w:type="dxa"/>
            <w:tcBorders>
              <w:top w:val="nil"/>
              <w:left w:val="nil"/>
              <w:bottom w:val="nil"/>
              <w:right w:val="nil"/>
            </w:tcBorders>
          </w:tcPr>
          <w:p w14:paraId="6CA0EB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default" w:ascii="仿宋" w:hAnsi="仿宋" w:eastAsia="仿宋" w:cs="仿宋"/>
                <w:color w:val="auto"/>
                <w:sz w:val="26"/>
                <w:szCs w:val="26"/>
                <w:highlight w:val="none"/>
                <w:lang w:val="en-US" w:eastAsia="zh-CN"/>
              </w:rPr>
            </w:pPr>
            <w:r>
              <w:rPr>
                <w:rFonts w:hint="eastAsia" w:ascii="仿宋" w:hAnsi="仿宋" w:eastAsia="仿宋" w:cs="仿宋"/>
                <w:color w:val="auto"/>
                <w:sz w:val="26"/>
                <w:szCs w:val="26"/>
                <w:highlight w:val="none"/>
              </w:rPr>
              <w:t>承包人（盖章）：</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p w14:paraId="017D4C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p>
          <w:p w14:paraId="7D9A56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法定代表人或其委托代理人（签字）：</w:t>
            </w:r>
          </w:p>
          <w:p w14:paraId="167AEF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p>
          <w:p w14:paraId="5E099A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u w:val="single"/>
                <w:lang w:val="en-US" w:eastAsia="zh-CN"/>
              </w:rPr>
            </w:pPr>
            <w:r>
              <w:rPr>
                <w:rFonts w:hint="eastAsia" w:ascii="仿宋" w:hAnsi="仿宋" w:eastAsia="仿宋" w:cs="仿宋"/>
                <w:color w:val="auto"/>
                <w:sz w:val="26"/>
                <w:szCs w:val="26"/>
                <w:highlight w:val="none"/>
              </w:rPr>
              <w:t>纳税人识别码：</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p w14:paraId="039375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u w:val="single"/>
                <w:lang w:val="en-US" w:eastAsia="zh-CN"/>
              </w:rPr>
            </w:pPr>
            <w:r>
              <w:rPr>
                <w:rFonts w:hint="eastAsia" w:ascii="仿宋" w:hAnsi="仿宋" w:eastAsia="仿宋" w:cs="仿宋"/>
                <w:color w:val="auto"/>
                <w:sz w:val="26"/>
                <w:szCs w:val="26"/>
                <w:highlight w:val="none"/>
              </w:rPr>
              <w:t>地  址：</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p w14:paraId="24A933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u w:val="single"/>
                <w:lang w:val="en-US" w:eastAsia="zh-CN"/>
              </w:rPr>
            </w:pPr>
          </w:p>
          <w:p w14:paraId="1FC242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default" w:ascii="仿宋" w:hAnsi="仿宋" w:eastAsia="仿宋" w:cs="仿宋"/>
                <w:color w:val="auto"/>
                <w:sz w:val="26"/>
                <w:szCs w:val="26"/>
                <w:highlight w:val="none"/>
                <w:u w:val="single"/>
                <w:lang w:val="en-US" w:eastAsia="zh-CN"/>
              </w:rPr>
            </w:pPr>
          </w:p>
          <w:p w14:paraId="52E7FA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u w:val="single"/>
              </w:rPr>
            </w:pPr>
            <w:r>
              <w:rPr>
                <w:rFonts w:hint="eastAsia" w:ascii="仿宋" w:hAnsi="仿宋" w:eastAsia="仿宋" w:cs="仿宋"/>
                <w:color w:val="auto"/>
                <w:sz w:val="26"/>
                <w:szCs w:val="26"/>
                <w:highlight w:val="none"/>
              </w:rPr>
              <w:t>法定代表人：</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r>
              <w:rPr>
                <w:rFonts w:hint="eastAsia" w:ascii="仿宋" w:hAnsi="仿宋" w:eastAsia="仿宋" w:cs="仿宋"/>
                <w:color w:val="auto"/>
                <w:sz w:val="26"/>
                <w:szCs w:val="26"/>
                <w:highlight w:val="none"/>
                <w:u w:val="single"/>
              </w:rPr>
              <w:t xml:space="preserve"> </w:t>
            </w:r>
          </w:p>
          <w:p w14:paraId="5F28E811">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开户银行：</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p w14:paraId="66A58DE4">
            <w:pPr>
              <w:pStyle w:val="27"/>
              <w:keepNext w:val="0"/>
              <w:keepLines w:val="0"/>
              <w:pageBreakBefore w:val="0"/>
              <w:widowControl w:val="0"/>
              <w:suppressLineNumbers w:val="0"/>
              <w:shd w:val="clear"/>
              <w:tabs>
                <w:tab w:val="left" w:pos="567"/>
              </w:tabs>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p>
          <w:p w14:paraId="70AE7081">
            <w:pPr>
              <w:pStyle w:val="27"/>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账  号：</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tc>
      </w:tr>
    </w:tbl>
    <w:p w14:paraId="7758B7B0">
      <w:pP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br w:type="page"/>
      </w:r>
    </w:p>
    <w:p w14:paraId="218BE3E9">
      <w:pPr>
        <w:pStyle w:val="2"/>
        <w:keepNext/>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小标宋简体" w:hAnsi="方正小标宋简体" w:eastAsia="方正小标宋简体" w:cs="方正小标宋简体"/>
          <w:color w:val="auto"/>
          <w:sz w:val="36"/>
          <w:szCs w:val="36"/>
          <w:highlight w:val="none"/>
        </w:rPr>
      </w:pPr>
      <w:bookmarkStart w:id="75" w:name="_Toc3377"/>
      <w:r>
        <w:rPr>
          <w:rFonts w:hint="eastAsia" w:ascii="方正小标宋简体" w:hAnsi="方正小标宋简体" w:eastAsia="方正小标宋简体" w:cs="方正小标宋简体"/>
          <w:color w:val="auto"/>
          <w:sz w:val="36"/>
          <w:szCs w:val="36"/>
          <w:highlight w:val="none"/>
        </w:rPr>
        <w:t>第二部分  通用合同条款</w:t>
      </w:r>
      <w:bookmarkEnd w:id="75"/>
    </w:p>
    <w:p w14:paraId="0EB3169F">
      <w:pPr>
        <w:adjustRightInd w:val="0"/>
        <w:snapToGrid w:val="0"/>
        <w:spacing w:line="480" w:lineRule="exact"/>
        <w:ind w:firstLine="560" w:firstLineChars="200"/>
        <w:outlineLvl w:val="1"/>
        <w:rPr>
          <w:rFonts w:hint="eastAsia" w:ascii="仿宋" w:hAnsi="仿宋" w:eastAsia="仿宋" w:cs="仿宋"/>
          <w:color w:val="auto"/>
          <w:sz w:val="28"/>
          <w:szCs w:val="28"/>
          <w:highlight w:val="none"/>
        </w:rPr>
      </w:pPr>
      <w:bookmarkStart w:id="76" w:name="_Toc25392"/>
      <w:r>
        <w:rPr>
          <w:rFonts w:hint="eastAsia" w:ascii="仿宋" w:hAnsi="仿宋" w:eastAsia="仿宋" w:cs="仿宋"/>
          <w:color w:val="auto"/>
          <w:sz w:val="28"/>
          <w:szCs w:val="28"/>
          <w:highlight w:val="none"/>
        </w:rPr>
        <w:t>1. 一般规定</w:t>
      </w:r>
      <w:bookmarkEnd w:id="76"/>
    </w:p>
    <w:p w14:paraId="0777955A">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77" w:name="_Toc27106"/>
      <w:r>
        <w:rPr>
          <w:rFonts w:hint="eastAsia" w:ascii="仿宋" w:hAnsi="仿宋" w:eastAsia="仿宋" w:cs="仿宋"/>
          <w:color w:val="auto"/>
          <w:sz w:val="28"/>
          <w:szCs w:val="28"/>
          <w:highlight w:val="none"/>
        </w:rPr>
        <w:t>1.1定义</w:t>
      </w:r>
      <w:bookmarkEnd w:id="77"/>
    </w:p>
    <w:p w14:paraId="11A94B08">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下列名词和用语，除上下文另有规定外，有如下含义：</w:t>
      </w:r>
    </w:p>
    <w:p w14:paraId="26B02143">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1.1.1“项目”是指委托人委托检测人实施</w:t>
      </w:r>
      <w:r>
        <w:rPr>
          <w:rFonts w:hint="eastAsia" w:ascii="仿宋" w:hAnsi="仿宋" w:eastAsia="仿宋" w:cs="仿宋"/>
          <w:color w:val="auto"/>
          <w:sz w:val="28"/>
          <w:szCs w:val="28"/>
          <w:highlight w:val="none"/>
          <w:u w:val="single"/>
        </w:rPr>
        <w:t xml:space="preserve"> 上河院项目跨湖人行栈道桩基检测及建设工程质量 </w:t>
      </w:r>
      <w:r>
        <w:rPr>
          <w:rFonts w:hint="eastAsia" w:ascii="仿宋" w:hAnsi="仿宋" w:eastAsia="仿宋" w:cs="仿宋"/>
          <w:color w:val="auto"/>
          <w:sz w:val="28"/>
          <w:szCs w:val="28"/>
          <w:highlight w:val="none"/>
        </w:rPr>
        <w:t>检测相关服务的工程。</w:t>
      </w:r>
    </w:p>
    <w:p w14:paraId="4DF8D963">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1.1.2“委托人”或“发包人”或“招标人”或“甲方”或“业主”或“采购人”或“建设单位”等是指承担建设管理责任和委托检测人的一方，以及其合法继承人和允许的受让人。</w:t>
      </w:r>
    </w:p>
    <w:p w14:paraId="5EB880D5">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1.1.3检测人”或“检测单位”或“受托人”或“承包人”或“乙方”或“成交人”或“投标人”</w:t>
      </w:r>
      <w:r>
        <w:rPr>
          <w:rFonts w:hint="eastAsia" w:ascii="仿宋" w:hAnsi="仿宋" w:eastAsia="仿宋" w:cs="仿宋"/>
          <w:color w:val="auto"/>
          <w:sz w:val="28"/>
          <w:szCs w:val="28"/>
          <w:highlight w:val="none"/>
          <w:lang w:val="en-US" w:eastAsia="zh-CN"/>
        </w:rPr>
        <w:t>或“供应商”</w:t>
      </w:r>
      <w:r>
        <w:rPr>
          <w:rFonts w:hint="eastAsia" w:ascii="仿宋" w:hAnsi="仿宋" w:eastAsia="仿宋" w:cs="仿宋"/>
          <w:color w:val="auto"/>
          <w:sz w:val="28"/>
          <w:szCs w:val="28"/>
          <w:highlight w:val="none"/>
        </w:rPr>
        <w:t>等是指承担项目检测服务的一方，以及其合法继承人。</w:t>
      </w:r>
    </w:p>
    <w:p w14:paraId="67334B5C">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1.1.4“设计人”是指与委托人签订勘察设计合同的第三方。</w:t>
      </w:r>
    </w:p>
    <w:p w14:paraId="45789005">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“书面形式”是指有形表现所载内容的形式，包括合同文件、信件、电报、传真、邮件等。</w:t>
      </w:r>
    </w:p>
    <w:p w14:paraId="35DEFC69">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1.1.6“项目负责人”是指经检测人的法定代表人书面授权，全面负责履行本合同、主持本合同检测工作的负责人。</w:t>
      </w:r>
    </w:p>
    <w:p w14:paraId="468628E0">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1.1.7“第三方”是指除委托人和检测人以外的法人或组织。</w:t>
      </w:r>
    </w:p>
    <w:p w14:paraId="23DB0653">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1.1.8“正常工作”是指双方在合同专用条款中约定，委托人委托的检测工作范围和内容。</w:t>
      </w:r>
    </w:p>
    <w:p w14:paraId="248E55AD">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1.1.9“附加工作”是指委托人委托检测范围以外，通过双方书面协议另外增加的内容，以及由于委托人或第三方原因，使检测工作受到实质性阻碍或重大延误，因增加工作量而增加的工作。 </w:t>
      </w:r>
    </w:p>
    <w:p w14:paraId="0379982E">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1.1.10“额外工作”是指正常工作和附加工作以外，由于委托人、设计人或因不可抗力的原因而暂停或终止检测业务，其善后工作或恢复检测业务所需的工作。 </w:t>
      </w:r>
    </w:p>
    <w:p w14:paraId="6ACFD761">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 xml:space="preserve">“不可抗力”是指双方均不能正常合理预见、避免、控制和克服，使得任何一方无法履行合同义务的客观事件，如战争、暴乱、破坏性地震、飞行物坠落、瘟疫等。 </w:t>
      </w:r>
    </w:p>
    <w:p w14:paraId="428686B2">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商业秘密”是指委托人、检测人各自所拥有的，不公开的管理信息、商业数据、项目信息、技术方法、工艺方法、计算机源代码或文档等，或由委托人、检测人在履行本合同时明确指明为商业秘密的，法律所认可的信息。 </w:t>
      </w:r>
    </w:p>
    <w:p w14:paraId="3DEA2837">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“服务期”是指从合同约定的开始检测业务之日起至实际完成全部检测业务之日止的期间。 </w:t>
      </w:r>
    </w:p>
    <w:p w14:paraId="5B159FBE">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 xml:space="preserve">“日”是指任何一天零时至第二天零时的时间段。 </w:t>
      </w:r>
    </w:p>
    <w:p w14:paraId="679E2D17">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“月”是指根据公历从一个月份中任何一天开始到下一个月相应日期的前一天的时间段。</w:t>
      </w:r>
    </w:p>
    <w:p w14:paraId="113F1A81">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78" w:name="_Toc4909"/>
      <w:r>
        <w:rPr>
          <w:rFonts w:hint="eastAsia" w:ascii="仿宋" w:hAnsi="仿宋" w:eastAsia="仿宋" w:cs="仿宋"/>
          <w:color w:val="auto"/>
          <w:sz w:val="28"/>
          <w:szCs w:val="28"/>
          <w:highlight w:val="none"/>
        </w:rPr>
        <w:t>1.2解释</w:t>
      </w:r>
      <w:bookmarkEnd w:id="78"/>
      <w:r>
        <w:rPr>
          <w:rFonts w:hint="eastAsia" w:ascii="仿宋" w:hAnsi="仿宋" w:eastAsia="仿宋" w:cs="仿宋"/>
          <w:color w:val="auto"/>
          <w:sz w:val="28"/>
          <w:szCs w:val="28"/>
          <w:highlight w:val="none"/>
        </w:rPr>
        <w:t xml:space="preserve"> </w:t>
      </w:r>
    </w:p>
    <w:p w14:paraId="3CE86FC6">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构成合同的文件应被认为是互为说明的。如果合同文件中的约定之间产生含糊或歧义，合同文件按以下约定的优先顺序进行解释：</w:t>
      </w:r>
    </w:p>
    <w:p w14:paraId="3C14DF83">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解释合同文件的优先顺序为：①合同补充协议（如果有包括合同履行过程中双方有关工程的洽商、变更、会议纪要等书面协议或其他文件）；②合同协议书；③成交通知书；④比选文件及答疑（含清单、图纸及补充说明）；⑤专用合同条款及其附件；⑥技术标准和要求；⑦通用合同条款⑧投标函及其附录；⑨已标价工程量清单或预算书；⑩其他合同文件。</w:t>
      </w:r>
    </w:p>
    <w:p w14:paraId="07CF839A">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79" w:name="_Toc6358"/>
      <w:r>
        <w:rPr>
          <w:rFonts w:hint="eastAsia" w:ascii="仿宋" w:hAnsi="仿宋" w:eastAsia="仿宋" w:cs="仿宋"/>
          <w:color w:val="auto"/>
          <w:sz w:val="28"/>
          <w:szCs w:val="28"/>
          <w:highlight w:val="none"/>
        </w:rPr>
        <w:t>1.3法律</w:t>
      </w:r>
      <w:bookmarkEnd w:id="79"/>
      <w:r>
        <w:rPr>
          <w:rFonts w:hint="eastAsia" w:ascii="仿宋" w:hAnsi="仿宋" w:eastAsia="仿宋" w:cs="仿宋"/>
          <w:color w:val="auto"/>
          <w:sz w:val="28"/>
          <w:szCs w:val="28"/>
          <w:highlight w:val="none"/>
        </w:rPr>
        <w:t xml:space="preserve"> </w:t>
      </w:r>
    </w:p>
    <w:p w14:paraId="3EF86AB6">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适用于合同的法律包括中华人民共和国法律、行政法规、部门规章，以及工程所在地的地方法规、自治条例、单行条例和地方政府规章。 </w:t>
      </w:r>
    </w:p>
    <w:p w14:paraId="5B2291B2">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80" w:name="_Toc5683"/>
      <w:r>
        <w:rPr>
          <w:rFonts w:hint="eastAsia" w:ascii="仿宋" w:hAnsi="仿宋" w:eastAsia="仿宋" w:cs="仿宋"/>
          <w:color w:val="auto"/>
          <w:sz w:val="28"/>
          <w:szCs w:val="28"/>
          <w:highlight w:val="none"/>
        </w:rPr>
        <w:t>1.4通信联络</w:t>
      </w:r>
      <w:bookmarkEnd w:id="80"/>
      <w:r>
        <w:rPr>
          <w:rFonts w:hint="eastAsia" w:ascii="仿宋" w:hAnsi="仿宋" w:eastAsia="仿宋" w:cs="仿宋"/>
          <w:color w:val="auto"/>
          <w:sz w:val="28"/>
          <w:szCs w:val="28"/>
          <w:highlight w:val="none"/>
        </w:rPr>
        <w:t xml:space="preserve"> </w:t>
      </w:r>
    </w:p>
    <w:p w14:paraId="583C41BD">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1.4.1 本合同要求的每一指令、证书、提交件、建议书、记录、批准、通知和答复函均应以可读、可复制和可记录的形式并用本合同约定语言的书面形式表达。 </w:t>
      </w:r>
    </w:p>
    <w:p w14:paraId="1AB2D4F7">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1.4.2 当函件送达专用合同条款中写明的收件人地址或邮箱时，函件即为生效。若收件人提供了最新地址或邮箱（新地址或邮箱须提前不少于5个工作日以书面形式通知对方），则当函件送达收件人提供的最新地址或邮箱时，函件即为生效。</w:t>
      </w:r>
    </w:p>
    <w:p w14:paraId="59A0D162">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81" w:name="_Toc31298"/>
      <w:r>
        <w:rPr>
          <w:rFonts w:hint="eastAsia" w:ascii="仿宋" w:hAnsi="仿宋" w:eastAsia="仿宋" w:cs="仿宋"/>
          <w:color w:val="auto"/>
          <w:sz w:val="28"/>
          <w:szCs w:val="28"/>
          <w:highlight w:val="none"/>
        </w:rPr>
        <w:t>1.5语言文字</w:t>
      </w:r>
      <w:bookmarkEnd w:id="81"/>
      <w:r>
        <w:rPr>
          <w:rFonts w:hint="eastAsia" w:ascii="仿宋" w:hAnsi="仿宋" w:eastAsia="仿宋" w:cs="仿宋"/>
          <w:color w:val="auto"/>
          <w:sz w:val="28"/>
          <w:szCs w:val="28"/>
          <w:highlight w:val="none"/>
        </w:rPr>
        <w:t xml:space="preserve"> </w:t>
      </w:r>
    </w:p>
    <w:p w14:paraId="098D8BA6">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除专用术语外，合同使用的语言文字为中文。必要时专用术语应附有中文注释。 </w:t>
      </w:r>
    </w:p>
    <w:p w14:paraId="16331A20">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82" w:name="_Toc25615"/>
      <w:r>
        <w:rPr>
          <w:rFonts w:hint="eastAsia" w:ascii="仿宋" w:hAnsi="仿宋" w:eastAsia="仿宋" w:cs="仿宋"/>
          <w:color w:val="auto"/>
          <w:sz w:val="28"/>
          <w:szCs w:val="28"/>
          <w:highlight w:val="none"/>
        </w:rPr>
        <w:t>1.6转包和分包</w:t>
      </w:r>
      <w:bookmarkEnd w:id="82"/>
      <w:r>
        <w:rPr>
          <w:rFonts w:hint="eastAsia" w:ascii="仿宋" w:hAnsi="仿宋" w:eastAsia="仿宋" w:cs="仿宋"/>
          <w:color w:val="auto"/>
          <w:sz w:val="28"/>
          <w:szCs w:val="28"/>
          <w:highlight w:val="none"/>
        </w:rPr>
        <w:t xml:space="preserve"> </w:t>
      </w:r>
    </w:p>
    <w:p w14:paraId="417E07A8">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检测人不得转包检测业务；允许分包的检测：非主体、非关键性工作检测进行分包，经监理单位和委托人同意后允许分包。接受分包的第三人资质要求：符合相关法律法规及相关资质规定要求。</w:t>
      </w:r>
    </w:p>
    <w:p w14:paraId="1AF87D31">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83" w:name="_Toc9582"/>
      <w:r>
        <w:rPr>
          <w:rFonts w:hint="eastAsia" w:ascii="仿宋" w:hAnsi="仿宋" w:eastAsia="仿宋" w:cs="仿宋"/>
          <w:color w:val="auto"/>
          <w:sz w:val="28"/>
          <w:szCs w:val="28"/>
          <w:highlight w:val="none"/>
        </w:rPr>
        <w:t>1.7资料的所有权</w:t>
      </w:r>
      <w:bookmarkEnd w:id="83"/>
      <w:r>
        <w:rPr>
          <w:rFonts w:hint="eastAsia" w:ascii="仿宋" w:hAnsi="仿宋" w:eastAsia="仿宋" w:cs="仿宋"/>
          <w:color w:val="auto"/>
          <w:sz w:val="28"/>
          <w:szCs w:val="28"/>
          <w:highlight w:val="none"/>
        </w:rPr>
        <w:t xml:space="preserve"> </w:t>
      </w:r>
    </w:p>
    <w:p w14:paraId="49E78D61">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1.7.1 检测人仅在提供检测服务时有权使用委托人提供的资料。检测服务全部完成后，检测人应将委托人提供的资料归还委托人。 </w:t>
      </w:r>
    </w:p>
    <w:p w14:paraId="53278E24">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1.7.2 委托人有权根据检测人的服务范围使用检测人提供的资料。 </w:t>
      </w:r>
    </w:p>
    <w:p w14:paraId="2F84D4FE">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84" w:name="_Toc25324"/>
      <w:r>
        <w:rPr>
          <w:rFonts w:hint="eastAsia" w:ascii="仿宋" w:hAnsi="仿宋" w:eastAsia="仿宋" w:cs="仿宋"/>
          <w:color w:val="auto"/>
          <w:sz w:val="28"/>
          <w:szCs w:val="28"/>
          <w:highlight w:val="none"/>
        </w:rPr>
        <w:t>1.8出版</w:t>
      </w:r>
      <w:bookmarkEnd w:id="84"/>
      <w:r>
        <w:rPr>
          <w:rFonts w:hint="eastAsia" w:ascii="仿宋" w:hAnsi="仿宋" w:eastAsia="仿宋" w:cs="仿宋"/>
          <w:color w:val="auto"/>
          <w:sz w:val="28"/>
          <w:szCs w:val="28"/>
          <w:highlight w:val="none"/>
        </w:rPr>
        <w:t xml:space="preserve"> </w:t>
      </w:r>
    </w:p>
    <w:p w14:paraId="15EBECEB">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检测人在合同履行期间及合同终止后单独或与他人联合出版有关本工程检测及相关服务的资料，须征得委托人的同意。 </w:t>
      </w:r>
    </w:p>
    <w:p w14:paraId="16ECA247">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85" w:name="_Toc27599"/>
      <w:r>
        <w:rPr>
          <w:rFonts w:hint="eastAsia" w:ascii="仿宋" w:hAnsi="仿宋" w:eastAsia="仿宋" w:cs="仿宋"/>
          <w:color w:val="auto"/>
          <w:sz w:val="28"/>
          <w:szCs w:val="28"/>
          <w:highlight w:val="none"/>
        </w:rPr>
        <w:t>1.9廉洁与诚信</w:t>
      </w:r>
      <w:bookmarkEnd w:id="85"/>
      <w:r>
        <w:rPr>
          <w:rFonts w:hint="eastAsia" w:ascii="仿宋" w:hAnsi="仿宋" w:eastAsia="仿宋" w:cs="仿宋"/>
          <w:color w:val="auto"/>
          <w:sz w:val="28"/>
          <w:szCs w:val="28"/>
          <w:highlight w:val="none"/>
        </w:rPr>
        <w:t xml:space="preserve"> </w:t>
      </w:r>
    </w:p>
    <w:p w14:paraId="0F1A4C65">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1.9.1 检测人及其人员不得接受工程承包人的任何报酬或者经济利益。</w:t>
      </w:r>
    </w:p>
    <w:p w14:paraId="7EF186EB">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1.9.2 检测人不得与承包人合谋或参与可能与委托人的利益相冲突的任何活动。</w:t>
      </w:r>
    </w:p>
    <w:p w14:paraId="12D1E979">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1.9.3 在合同实施过程中，检测人应保证检测服务工作资料及相关记录的真实性，禁止弄虚作假。</w:t>
      </w:r>
    </w:p>
    <w:p w14:paraId="19F6836D">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86" w:name="_Toc31362"/>
      <w:r>
        <w:rPr>
          <w:rFonts w:hint="eastAsia" w:ascii="仿宋" w:hAnsi="仿宋" w:eastAsia="仿宋" w:cs="仿宋"/>
          <w:color w:val="auto"/>
          <w:sz w:val="28"/>
          <w:szCs w:val="28"/>
          <w:highlight w:val="none"/>
        </w:rPr>
        <w:t>1.10保密</w:t>
      </w:r>
      <w:bookmarkEnd w:id="86"/>
      <w:r>
        <w:rPr>
          <w:rFonts w:hint="eastAsia" w:ascii="仿宋" w:hAnsi="仿宋" w:eastAsia="仿宋" w:cs="仿宋"/>
          <w:color w:val="auto"/>
          <w:sz w:val="28"/>
          <w:szCs w:val="28"/>
          <w:highlight w:val="none"/>
        </w:rPr>
        <w:t xml:space="preserve"> </w:t>
      </w:r>
    </w:p>
    <w:p w14:paraId="211CB67B">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除合同履行需要外，合同各方不得披露在合同履行过程中获得的信息，不得泄露与本工程、本合同业务有关的保密资料。 </w:t>
      </w:r>
    </w:p>
    <w:p w14:paraId="659143E7">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1.11联合体各方共同的和各自的责任 </w:t>
      </w:r>
    </w:p>
    <w:p w14:paraId="10E6F01A">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联合体各方应共同与委托人签订合同协议书。联合体各方均应被认为在履行合同上对委托人负有共同的和连带的责任。联合体承包的，履约保证金须以联合体牵头人的名义提交；发包人每次付款前，承包人须以联合体牵头人名义向发包人提供增值税专用发票，承包人不得因其联合体内部及外部的资金收付及税务问题影响本合同履行，否则视为承包人违约，发包人有权按3万元/次的标准向承包人收取违约金；</w:t>
      </w:r>
    </w:p>
    <w:p w14:paraId="0695E09A">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联合体应向委托人提交由联合体各方共同签署的联合体协议书，明确联合体牵头人，联合体牵头人负责与委托人或其委托人代表联系，并接受指示。联合体牵头人应指定一名检测负责人并通知委托人，负责组织联合体各成员全面履行合同； </w:t>
      </w:r>
    </w:p>
    <w:p w14:paraId="3ED62E8A">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（3）联合体应以联合体牵头人为主组建现场检测机构负责具体实施检测工作，联合体各方不得按组成单位分标实施检测。 </w:t>
      </w:r>
    </w:p>
    <w:p w14:paraId="39C43F9F">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（4）联合体协议经委托人确认后作为合同附件，在履行合同过程中，未经委托人同意，不得修改联合体协议，不得改变其内部组成或法律地位。 </w:t>
      </w:r>
    </w:p>
    <w:p w14:paraId="38C98849">
      <w:pPr>
        <w:adjustRightInd w:val="0"/>
        <w:snapToGrid w:val="0"/>
        <w:spacing w:line="480" w:lineRule="exact"/>
        <w:ind w:firstLine="560" w:firstLineChars="200"/>
        <w:outlineLvl w:val="1"/>
        <w:rPr>
          <w:rFonts w:hint="eastAsia" w:ascii="仿宋" w:hAnsi="仿宋" w:eastAsia="仿宋" w:cs="仿宋"/>
          <w:color w:val="auto"/>
          <w:sz w:val="28"/>
          <w:szCs w:val="28"/>
          <w:highlight w:val="none"/>
        </w:rPr>
      </w:pPr>
      <w:bookmarkStart w:id="87" w:name="_Toc18954"/>
      <w:r>
        <w:rPr>
          <w:rFonts w:hint="eastAsia" w:ascii="仿宋" w:hAnsi="仿宋" w:eastAsia="仿宋" w:cs="仿宋"/>
          <w:color w:val="auto"/>
          <w:sz w:val="28"/>
          <w:szCs w:val="28"/>
          <w:highlight w:val="none"/>
        </w:rPr>
        <w:t>2. 委托人的义务</w:t>
      </w:r>
      <w:bookmarkEnd w:id="87"/>
      <w:r>
        <w:rPr>
          <w:rFonts w:hint="eastAsia" w:ascii="仿宋" w:hAnsi="仿宋" w:eastAsia="仿宋" w:cs="仿宋"/>
          <w:color w:val="auto"/>
          <w:sz w:val="28"/>
          <w:szCs w:val="28"/>
          <w:highlight w:val="none"/>
        </w:rPr>
        <w:t xml:space="preserve"> </w:t>
      </w:r>
    </w:p>
    <w:p w14:paraId="267E23F9">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2.1 按照合同约定和行业规定，实施对检测工作的管理及对检测人的考核。 </w:t>
      </w:r>
    </w:p>
    <w:p w14:paraId="5036DDEC">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2.2 负责组织对检测大纲的审定。与检测人签订合同并按照合同约定支付酬金。 </w:t>
      </w:r>
    </w:p>
    <w:p w14:paraId="63EC9819">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2.3 在合同双方约定的范围和时间内免费向检测人提供工程检测所需要的，且与之相适应的工程资料、设计图纸和其他文件。 </w:t>
      </w:r>
    </w:p>
    <w:p w14:paraId="0693F078">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 明确委托人代表，负责与检测人的联络。</w:t>
      </w:r>
    </w:p>
    <w:p w14:paraId="747CE8F5">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2.5 按合同约定时间，就检测人书面提交并要求做出决定的一切事宜做出决定，并书面答复检测人。 </w:t>
      </w:r>
    </w:p>
    <w:p w14:paraId="7701F623">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2.6 在检测工作正式实施前，组织召开检测工作所涉及相关单位的例会。 </w:t>
      </w:r>
    </w:p>
    <w:p w14:paraId="214C95BA">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 组织检测人及相关单位对检测过程中发现的工程质量问题进行分析、验证和处理。对检测人与相关单位之间出现的分歧意见及时组织建设方、设计方、监理方、施工方进行研究确定。</w:t>
      </w:r>
    </w:p>
    <w:p w14:paraId="1218C189">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2.8 发包人无须为承包人派驻现场的工作人员提供必要的工作生活等方便条件。</w:t>
      </w:r>
    </w:p>
    <w:p w14:paraId="5AC56AC0">
      <w:pPr>
        <w:adjustRightInd w:val="0"/>
        <w:snapToGrid w:val="0"/>
        <w:spacing w:line="480" w:lineRule="exact"/>
        <w:ind w:firstLine="560" w:firstLineChars="200"/>
        <w:outlineLvl w:val="1"/>
        <w:rPr>
          <w:rFonts w:hint="eastAsia" w:ascii="仿宋" w:hAnsi="仿宋" w:eastAsia="仿宋" w:cs="仿宋"/>
          <w:color w:val="auto"/>
          <w:sz w:val="28"/>
          <w:szCs w:val="28"/>
          <w:highlight w:val="none"/>
        </w:rPr>
      </w:pPr>
      <w:bookmarkStart w:id="88" w:name="_Toc16765"/>
      <w:r>
        <w:rPr>
          <w:rFonts w:hint="eastAsia" w:ascii="仿宋" w:hAnsi="仿宋" w:eastAsia="仿宋" w:cs="仿宋"/>
          <w:color w:val="auto"/>
          <w:sz w:val="28"/>
          <w:szCs w:val="28"/>
          <w:highlight w:val="none"/>
        </w:rPr>
        <w:t>3. 检测人的义务</w:t>
      </w:r>
      <w:bookmarkEnd w:id="88"/>
      <w:r>
        <w:rPr>
          <w:rFonts w:hint="eastAsia" w:ascii="仿宋" w:hAnsi="仿宋" w:eastAsia="仿宋" w:cs="仿宋"/>
          <w:color w:val="auto"/>
          <w:sz w:val="28"/>
          <w:szCs w:val="28"/>
          <w:highlight w:val="none"/>
        </w:rPr>
        <w:t xml:space="preserve"> </w:t>
      </w:r>
    </w:p>
    <w:p w14:paraId="629D3A9D">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89" w:name="_Toc24113"/>
      <w:r>
        <w:rPr>
          <w:rFonts w:hint="eastAsia" w:ascii="仿宋" w:hAnsi="仿宋" w:eastAsia="仿宋" w:cs="仿宋"/>
          <w:color w:val="auto"/>
          <w:sz w:val="28"/>
          <w:szCs w:val="28"/>
          <w:highlight w:val="none"/>
        </w:rPr>
        <w:t>3.1一般义务</w:t>
      </w:r>
      <w:bookmarkEnd w:id="89"/>
      <w:r>
        <w:rPr>
          <w:rFonts w:hint="eastAsia" w:ascii="仿宋" w:hAnsi="仿宋" w:eastAsia="仿宋" w:cs="仿宋"/>
          <w:color w:val="auto"/>
          <w:sz w:val="28"/>
          <w:szCs w:val="28"/>
          <w:highlight w:val="none"/>
        </w:rPr>
        <w:t xml:space="preserve"> </w:t>
      </w:r>
    </w:p>
    <w:p w14:paraId="44DE8455">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 按合同约定的内容完成</w:t>
      </w:r>
      <w:r>
        <w:rPr>
          <w:rFonts w:hint="eastAsia" w:ascii="仿宋" w:hAnsi="仿宋" w:eastAsia="仿宋" w:cs="仿宋"/>
          <w:color w:val="auto"/>
          <w:sz w:val="28"/>
          <w:szCs w:val="28"/>
          <w:highlight w:val="none"/>
          <w:u w:val="single"/>
        </w:rPr>
        <w:t xml:space="preserve"> 上河院项目跨湖人行栈道桩基检测及建设工程质量检测 </w:t>
      </w:r>
      <w:r>
        <w:rPr>
          <w:rFonts w:hint="eastAsia" w:ascii="仿宋" w:hAnsi="仿宋" w:eastAsia="仿宋" w:cs="仿宋"/>
          <w:color w:val="auto"/>
          <w:sz w:val="28"/>
          <w:szCs w:val="28"/>
          <w:highlight w:val="none"/>
        </w:rPr>
        <w:t xml:space="preserve">检测工作。严格执行法律、法规、规章，依据有关规程、规范、工程建设强制性标准进行检测，并对检测质量负责。 </w:t>
      </w:r>
    </w:p>
    <w:p w14:paraId="27878EEA">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3.1.2 按投标文件的承诺和检测工作需要派出检测人员并配备相应的仪器设备、设施，且符合本合同专用条款中的具体规定。在派出前，将拟派的检测机构人员名单等及时向委托人报告，并接受委托人的检查。 </w:t>
      </w:r>
    </w:p>
    <w:p w14:paraId="16827F47">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3.1.3 按照标准化管理的要求，制定检测机构的工作制度，明确工作内容、工作标准和岗位职责，实现检测人员配置、现场核对和过程控制标准化，提高检测工作质量，促进工程质量的提高。 </w:t>
      </w:r>
    </w:p>
    <w:p w14:paraId="27597939">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3.1.4 根据国家和地方有关技术标准及检测规程、规范等，结合本工程实际，编制检测大纲，报委托人审批后组织实施。 </w:t>
      </w:r>
    </w:p>
    <w:p w14:paraId="2E8C3C8D">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3.1.5 接受委托人及其代表发出的符合本合同要求的质量标准要求或指令。对委托人发出的违反国家法律、法规或工程建设强制性标准的指令，有权拒绝执行，同时向委托人提出意见和建议，必要时可直接向有关部门报告。 </w:t>
      </w:r>
    </w:p>
    <w:p w14:paraId="54FBB394">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3.1.6 收到相关文件资料后，要检查文件是否齐全、完整，如有缺失应及时通知委托人补齐，在委托人组织下尽快开展现场核对和检测工作。 </w:t>
      </w:r>
    </w:p>
    <w:p w14:paraId="5725241C">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3.1.7 按合同约定期限完成标段内的各项检测任务、提供中间检测报告、编制正式检测报告。对检测中发现的重大质量缺陷和工程隐患在 24 小时内报委托人。 </w:t>
      </w:r>
    </w:p>
    <w:p w14:paraId="46E71CDD">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3.1.8 无正当理由，不得拒绝委托人认为有必要的检测附加工作。 </w:t>
      </w:r>
    </w:p>
    <w:p w14:paraId="2B4B2A32">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3.1.9 接受委托人组织的检测质量考核工作，并承担相应责任。</w:t>
      </w:r>
    </w:p>
    <w:p w14:paraId="7D9E86D1">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3.1.10 负责与监理单位共同督促施工单位及时自检。</w:t>
      </w:r>
    </w:p>
    <w:p w14:paraId="45A70B24">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3.1.11承包人应保护发包人可能有的知识产权，不得向第三人泄露、转让发包人提交的产品图纸等技术经济资料。</w:t>
      </w:r>
    </w:p>
    <w:p w14:paraId="346350CD">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90" w:name="_Toc8030"/>
      <w:r>
        <w:rPr>
          <w:rFonts w:hint="eastAsia" w:ascii="仿宋" w:hAnsi="仿宋" w:eastAsia="仿宋" w:cs="仿宋"/>
          <w:color w:val="auto"/>
          <w:sz w:val="28"/>
          <w:szCs w:val="28"/>
          <w:highlight w:val="none"/>
        </w:rPr>
        <w:t>3.2检测机构和人员</w:t>
      </w:r>
      <w:bookmarkEnd w:id="90"/>
      <w:r>
        <w:rPr>
          <w:rFonts w:hint="eastAsia" w:ascii="仿宋" w:hAnsi="仿宋" w:eastAsia="仿宋" w:cs="仿宋"/>
          <w:color w:val="auto"/>
          <w:sz w:val="28"/>
          <w:szCs w:val="28"/>
          <w:highlight w:val="none"/>
        </w:rPr>
        <w:t xml:space="preserve"> </w:t>
      </w:r>
    </w:p>
    <w:p w14:paraId="611F9173">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3.2.1 检测人应组建满足检测及相关服务工作需要的项目检测机构，按照投标承诺配足人员及设备，交通、通讯工具及办公、生活设施，确保工作、生活独立。 </w:t>
      </w:r>
    </w:p>
    <w:p w14:paraId="131BE5D6">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3.2.2 检测人应在合同签订时按投标承诺向委托人报送委派的项目负责人和技术负责人。 </w:t>
      </w:r>
    </w:p>
    <w:p w14:paraId="304CFC4A">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3.2.3 在履行合同期间，检测机构人员应保持相对稳定，以保证检测服务工作的正常进行。检测人可根据工程进展和业务需要对检测机构人员做出合理调整。</w:t>
      </w:r>
    </w:p>
    <w:p w14:paraId="1477698B">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3.2.4 项目负责人和技术负责人一般不得更换。因特殊原因需要更换时，应在更换前14 日书面通知委托人并取得委托人同意。若更换现场其他检测人员，应以不低于原检测人员资格的人员替换，并提前 7 日书面通知委托人并经委托人同意后方可更换。检测单位更换投标文件中确定的项目负责人和技术负责人，处违约金5000元/人·次；变更投标文件中确定的现场检测人员，处违约金 1000 元/人·次；。</w:t>
      </w:r>
    </w:p>
    <w:p w14:paraId="4418B7FD">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3.2.5 委托人如发现检测人员未能正常履行检测职责或与第三方合谋损害委托人利益、检测工作不能满足现场需要时，有权要求更换检测人员，检测人应无条件执行。替换人员的资格、业绩均不得低于被替换人员。 </w:t>
      </w:r>
    </w:p>
    <w:p w14:paraId="03572B1F">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3.2.6 检测人员存在以下情况之一，检测人应及时更换： </w:t>
      </w:r>
    </w:p>
    <w:p w14:paraId="421DFF4E">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（1）违法或涉嫌犯罪； </w:t>
      </w:r>
    </w:p>
    <w:p w14:paraId="13D83246">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（2）在检测工作中弄虚作假的； </w:t>
      </w:r>
    </w:p>
    <w:p w14:paraId="680D6039">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（3）不能胜任所担任的岗位要求； </w:t>
      </w:r>
    </w:p>
    <w:p w14:paraId="64315EC5">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（4）严重违反职业道德。 </w:t>
      </w:r>
    </w:p>
    <w:p w14:paraId="550D9344">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3.2.7 检测人须配备足够的检测仪器、设备及交通工具，且仪器设备经过计量部门的鉴定并在有效期内。确保所有检测仪器、设备在检测过程中状态良好、性能稳定、满足进度要求。对不能满足工程检测工作需要的仪器、设备，委托人有权要求更换。 </w:t>
      </w:r>
    </w:p>
    <w:p w14:paraId="04D78088">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91" w:name="_Toc29870"/>
      <w:r>
        <w:rPr>
          <w:rFonts w:hint="eastAsia" w:ascii="仿宋" w:hAnsi="仿宋" w:eastAsia="仿宋" w:cs="仿宋"/>
          <w:color w:val="auto"/>
          <w:sz w:val="28"/>
          <w:szCs w:val="28"/>
          <w:highlight w:val="none"/>
        </w:rPr>
        <w:t>3.3保障检测人员合法权益</w:t>
      </w:r>
      <w:bookmarkEnd w:id="91"/>
      <w:r>
        <w:rPr>
          <w:rFonts w:hint="eastAsia" w:ascii="仿宋" w:hAnsi="仿宋" w:eastAsia="仿宋" w:cs="仿宋"/>
          <w:color w:val="auto"/>
          <w:sz w:val="28"/>
          <w:szCs w:val="28"/>
          <w:highlight w:val="none"/>
        </w:rPr>
        <w:t xml:space="preserve"> </w:t>
      </w:r>
    </w:p>
    <w:p w14:paraId="5A6A994D">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3.3.1 检测人应按照检测人员资格要求与投标承诺与检测人员签订劳动合同，并按时发放工资。 </w:t>
      </w:r>
    </w:p>
    <w:p w14:paraId="46880C25">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3.3.2 检测人应按有关法律法规保证检测人员享有休息的权利。 </w:t>
      </w:r>
    </w:p>
    <w:p w14:paraId="6C46B3DE">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3.3.3 检测人应按照国家有关法律法规要求做好检测人员职业健康和安全管理工作。 </w:t>
      </w:r>
    </w:p>
    <w:p w14:paraId="6F6F2FFA">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3.3.4 检测人应按有关法律规定，为检测人员办理保险。 </w:t>
      </w:r>
    </w:p>
    <w:p w14:paraId="17906C0E">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92" w:name="_Toc20006"/>
      <w:r>
        <w:rPr>
          <w:rFonts w:hint="eastAsia" w:ascii="仿宋" w:hAnsi="仿宋" w:eastAsia="仿宋" w:cs="仿宋"/>
          <w:color w:val="auto"/>
          <w:sz w:val="28"/>
          <w:szCs w:val="28"/>
          <w:highlight w:val="none"/>
        </w:rPr>
        <w:t>3.4履约担保</w:t>
      </w:r>
      <w:bookmarkEnd w:id="92"/>
      <w:r>
        <w:rPr>
          <w:rFonts w:hint="eastAsia" w:ascii="仿宋" w:hAnsi="仿宋" w:eastAsia="仿宋" w:cs="仿宋"/>
          <w:color w:val="auto"/>
          <w:sz w:val="28"/>
          <w:szCs w:val="28"/>
          <w:highlight w:val="none"/>
        </w:rPr>
        <w:t xml:space="preserve"> </w:t>
      </w:r>
    </w:p>
    <w:p w14:paraId="1A8E0DA9">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检测人应保证其履约担保在本合同服务期内一直有效。委托人应在合同责任期满后60 日内将履约担保余额退还给检测人。担保数额和形式在专用合同条款中约定。 </w:t>
      </w:r>
    </w:p>
    <w:p w14:paraId="56AEC530">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93" w:name="_Toc2488"/>
      <w:r>
        <w:rPr>
          <w:rFonts w:hint="eastAsia" w:ascii="仿宋" w:hAnsi="仿宋" w:eastAsia="仿宋" w:cs="仿宋"/>
          <w:color w:val="auto"/>
          <w:sz w:val="28"/>
          <w:szCs w:val="28"/>
          <w:highlight w:val="none"/>
        </w:rPr>
        <w:t>3.5检测大纲</w:t>
      </w:r>
      <w:bookmarkEnd w:id="93"/>
      <w:r>
        <w:rPr>
          <w:rFonts w:hint="eastAsia" w:ascii="仿宋" w:hAnsi="仿宋" w:eastAsia="仿宋" w:cs="仿宋"/>
          <w:color w:val="auto"/>
          <w:sz w:val="28"/>
          <w:szCs w:val="28"/>
          <w:highlight w:val="none"/>
        </w:rPr>
        <w:t xml:space="preserve"> </w:t>
      </w:r>
    </w:p>
    <w:p w14:paraId="09CFB681">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3.5.1 检测人应在合同签订后 14 日内将检测大纲报委托人审定。</w:t>
      </w:r>
    </w:p>
    <w:p w14:paraId="00993434">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3.5.2 检测大纲应根据项目特点进行编制，明确项目检测机构的工作目标、工作要求及机构安排，确定具体的工作制度、程序、方法和措施。检测大纲的内容应符合检测管理办法和</w:t>
      </w:r>
      <w:r>
        <w:rPr>
          <w:rFonts w:hint="eastAsia" w:ascii="仿宋" w:hAnsi="仿宋" w:eastAsia="仿宋" w:cs="仿宋"/>
          <w:color w:val="auto"/>
          <w:sz w:val="28"/>
          <w:szCs w:val="28"/>
          <w:highlight w:val="none"/>
          <w:lang w:eastAsia="zh-CN"/>
        </w:rPr>
        <w:t>比选文件</w:t>
      </w:r>
      <w:r>
        <w:rPr>
          <w:rFonts w:hint="eastAsia" w:ascii="仿宋" w:hAnsi="仿宋" w:eastAsia="仿宋" w:cs="仿宋"/>
          <w:color w:val="auto"/>
          <w:sz w:val="28"/>
          <w:szCs w:val="28"/>
          <w:highlight w:val="none"/>
        </w:rPr>
        <w:t xml:space="preserve">的有关要求。 </w:t>
      </w:r>
    </w:p>
    <w:p w14:paraId="1074715B">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3.5.3 检测大纲需经检测机构总体负责人签字并加盖检测人公章。 </w:t>
      </w:r>
    </w:p>
    <w:p w14:paraId="5E2D67F4">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94" w:name="_Toc17028"/>
      <w:r>
        <w:rPr>
          <w:rFonts w:hint="eastAsia" w:ascii="仿宋" w:hAnsi="仿宋" w:eastAsia="仿宋" w:cs="仿宋"/>
          <w:color w:val="auto"/>
          <w:sz w:val="28"/>
          <w:szCs w:val="28"/>
          <w:highlight w:val="none"/>
        </w:rPr>
        <w:t>3.6检测主要内容</w:t>
      </w:r>
      <w:bookmarkEnd w:id="94"/>
      <w:r>
        <w:rPr>
          <w:rFonts w:hint="eastAsia" w:ascii="仿宋" w:hAnsi="仿宋" w:eastAsia="仿宋" w:cs="仿宋"/>
          <w:color w:val="auto"/>
          <w:sz w:val="28"/>
          <w:szCs w:val="28"/>
          <w:highlight w:val="none"/>
        </w:rPr>
        <w:t xml:space="preserve"> </w:t>
      </w:r>
    </w:p>
    <w:p w14:paraId="0EF9F451">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3.6.1 本次招标范围内所有内容。 </w:t>
      </w:r>
    </w:p>
    <w:p w14:paraId="261E7C2D">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95" w:name="_Toc19274"/>
      <w:r>
        <w:rPr>
          <w:rFonts w:hint="eastAsia" w:ascii="仿宋" w:hAnsi="仿宋" w:eastAsia="仿宋" w:cs="仿宋"/>
          <w:color w:val="auto"/>
          <w:sz w:val="28"/>
          <w:szCs w:val="28"/>
          <w:highlight w:val="none"/>
        </w:rPr>
        <w:t>3.7检测时限要求</w:t>
      </w:r>
      <w:bookmarkEnd w:id="95"/>
      <w:r>
        <w:rPr>
          <w:rFonts w:hint="eastAsia" w:ascii="仿宋" w:hAnsi="仿宋" w:eastAsia="仿宋" w:cs="仿宋"/>
          <w:color w:val="auto"/>
          <w:sz w:val="28"/>
          <w:szCs w:val="28"/>
          <w:highlight w:val="none"/>
        </w:rPr>
        <w:t xml:space="preserve"> </w:t>
      </w:r>
    </w:p>
    <w:p w14:paraId="7A8E9F63">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检测人应按合同约定的时限完成相应工程质量检测工作及相关服务。 </w:t>
      </w:r>
    </w:p>
    <w:p w14:paraId="4C859F63">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96" w:name="_Toc30312"/>
      <w:r>
        <w:rPr>
          <w:rFonts w:hint="eastAsia" w:ascii="仿宋" w:hAnsi="仿宋" w:eastAsia="仿宋" w:cs="仿宋"/>
          <w:color w:val="auto"/>
          <w:sz w:val="28"/>
          <w:szCs w:val="28"/>
          <w:highlight w:val="none"/>
        </w:rPr>
        <w:t>3.8检测意见处理</w:t>
      </w:r>
      <w:bookmarkEnd w:id="96"/>
      <w:r>
        <w:rPr>
          <w:rFonts w:hint="eastAsia" w:ascii="仿宋" w:hAnsi="仿宋" w:eastAsia="仿宋" w:cs="仿宋"/>
          <w:color w:val="auto"/>
          <w:sz w:val="28"/>
          <w:szCs w:val="28"/>
          <w:highlight w:val="none"/>
        </w:rPr>
        <w:t xml:space="preserve"> </w:t>
      </w:r>
    </w:p>
    <w:p w14:paraId="3D406DB6">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3.8.1 检测人应向委托人按合同约定期限完成标段内的各项检测任务、提供中间报告、编制正式检测报告。检测报告包括基本情况、存在问题及建议等内容，检测报告应经项目负责人、专业负责人、检测人员签字并加盖检测专用章、CMA 章及检测人公章，对已实行执业注册制度的专业，应由相应专业的注册工程师签字并加盖执业印章。 </w:t>
      </w:r>
    </w:p>
    <w:p w14:paraId="6BBDA34D">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3.8.2 检测人与相关单位存在分歧意见时应及时报委托人。 </w:t>
      </w:r>
    </w:p>
    <w:p w14:paraId="652EA60D">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97" w:name="_Toc18416"/>
      <w:r>
        <w:rPr>
          <w:rFonts w:hint="eastAsia" w:ascii="仿宋" w:hAnsi="仿宋" w:eastAsia="仿宋" w:cs="仿宋"/>
          <w:color w:val="auto"/>
          <w:sz w:val="28"/>
          <w:szCs w:val="28"/>
          <w:highlight w:val="none"/>
        </w:rPr>
        <w:t>3.9检测报告编写及提交</w:t>
      </w:r>
      <w:bookmarkEnd w:id="97"/>
      <w:r>
        <w:rPr>
          <w:rFonts w:hint="eastAsia" w:ascii="仿宋" w:hAnsi="仿宋" w:eastAsia="仿宋" w:cs="仿宋"/>
          <w:color w:val="auto"/>
          <w:sz w:val="28"/>
          <w:szCs w:val="28"/>
          <w:highlight w:val="none"/>
        </w:rPr>
        <w:t xml:space="preserve"> </w:t>
      </w:r>
    </w:p>
    <w:p w14:paraId="49A51BE9">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3.9.1 检测人应按合同约定时间、份数将检测中间报告、正式检测报告、重大问题报告、委托人要求提交的检测业务范围内的其他报告报送委托人。 </w:t>
      </w:r>
    </w:p>
    <w:p w14:paraId="5E2C95A8">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3.9.2 所有书面报告均应同时提交完整的电子版本，所有的检测报告均以纸质中文版为准。 </w:t>
      </w:r>
    </w:p>
    <w:p w14:paraId="6F7629F7">
      <w:pPr>
        <w:adjustRightInd w:val="0"/>
        <w:snapToGrid w:val="0"/>
        <w:spacing w:line="480" w:lineRule="exact"/>
        <w:ind w:firstLine="560" w:firstLineChars="200"/>
        <w:outlineLvl w:val="1"/>
        <w:rPr>
          <w:rFonts w:hint="eastAsia" w:ascii="仿宋" w:hAnsi="仿宋" w:eastAsia="仿宋" w:cs="仿宋"/>
          <w:color w:val="auto"/>
          <w:sz w:val="28"/>
          <w:szCs w:val="28"/>
          <w:highlight w:val="none"/>
        </w:rPr>
      </w:pPr>
      <w:bookmarkStart w:id="98" w:name="_Toc12575"/>
      <w:r>
        <w:rPr>
          <w:rFonts w:hint="eastAsia" w:ascii="仿宋" w:hAnsi="仿宋" w:eastAsia="仿宋" w:cs="仿宋"/>
          <w:color w:val="auto"/>
          <w:sz w:val="28"/>
          <w:szCs w:val="28"/>
          <w:highlight w:val="none"/>
        </w:rPr>
        <w:t>4. 责任和保险</w:t>
      </w:r>
      <w:bookmarkEnd w:id="98"/>
      <w:r>
        <w:rPr>
          <w:rFonts w:hint="eastAsia" w:ascii="仿宋" w:hAnsi="仿宋" w:eastAsia="仿宋" w:cs="仿宋"/>
          <w:color w:val="auto"/>
          <w:sz w:val="28"/>
          <w:szCs w:val="28"/>
          <w:highlight w:val="none"/>
        </w:rPr>
        <w:t xml:space="preserve"> </w:t>
      </w:r>
    </w:p>
    <w:p w14:paraId="2334E411">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99" w:name="_Toc6379"/>
      <w:r>
        <w:rPr>
          <w:rFonts w:hint="eastAsia" w:ascii="仿宋" w:hAnsi="仿宋" w:eastAsia="仿宋" w:cs="仿宋"/>
          <w:color w:val="auto"/>
          <w:sz w:val="28"/>
          <w:szCs w:val="28"/>
          <w:highlight w:val="none"/>
        </w:rPr>
        <w:t>4.1检测人责任</w:t>
      </w:r>
      <w:bookmarkEnd w:id="99"/>
      <w:r>
        <w:rPr>
          <w:rFonts w:hint="eastAsia" w:ascii="仿宋" w:hAnsi="仿宋" w:eastAsia="仿宋" w:cs="仿宋"/>
          <w:color w:val="auto"/>
          <w:sz w:val="28"/>
          <w:szCs w:val="28"/>
          <w:highlight w:val="none"/>
        </w:rPr>
        <w:t xml:space="preserve"> </w:t>
      </w:r>
    </w:p>
    <w:p w14:paraId="3F1E130D">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4.1.1 检测人要严格执行法律法规和规章，依据有关规程、规范、工程建设强制性标准和设计图纸要求对合同内容进行检测，并对检测质量负责。 </w:t>
      </w:r>
    </w:p>
    <w:p w14:paraId="7FCDC05F">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4.1.2 充分了解与工程有关的各方面情况，编写检测大纲，按审定的检测大纲开展检测工作。 </w:t>
      </w:r>
    </w:p>
    <w:p w14:paraId="1359F6DF">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4.1.3 设置现场工作机构，具体实施现场检测工作。 </w:t>
      </w:r>
    </w:p>
    <w:p w14:paraId="7D609450">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4.1.4 配置仪器、设备、交通工具和人员，满足检测工作需要。 </w:t>
      </w:r>
    </w:p>
    <w:p w14:paraId="7D26AFF4">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4.1.5 提交中间检测意见和检测报告。 </w:t>
      </w:r>
    </w:p>
    <w:p w14:paraId="50391D40">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4.1.6 完成正式检测报告。 </w:t>
      </w:r>
    </w:p>
    <w:p w14:paraId="3A23F299">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100" w:name="_Toc362"/>
      <w:r>
        <w:rPr>
          <w:rFonts w:hint="eastAsia" w:ascii="仿宋" w:hAnsi="仿宋" w:eastAsia="仿宋" w:cs="仿宋"/>
          <w:color w:val="auto"/>
          <w:sz w:val="28"/>
          <w:szCs w:val="28"/>
          <w:highlight w:val="none"/>
        </w:rPr>
        <w:t>4.2委托人责任</w:t>
      </w:r>
      <w:bookmarkEnd w:id="100"/>
      <w:r>
        <w:rPr>
          <w:rFonts w:hint="eastAsia" w:ascii="仿宋" w:hAnsi="仿宋" w:eastAsia="仿宋" w:cs="仿宋"/>
          <w:color w:val="auto"/>
          <w:sz w:val="28"/>
          <w:szCs w:val="28"/>
          <w:highlight w:val="none"/>
        </w:rPr>
        <w:t xml:space="preserve"> </w:t>
      </w:r>
    </w:p>
    <w:p w14:paraId="101EA2F7">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4.2.1 委托人应按照法律法规及本合同约定履行义务并承担相应的责任。 </w:t>
      </w:r>
    </w:p>
    <w:p w14:paraId="025E86DF">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4.2.2 与检测人签订工程质量检测合同，明确检测的相关事宜。 </w:t>
      </w:r>
    </w:p>
    <w:p w14:paraId="7F68C1C5">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4.2.3 组织检测人及相关单位对检测过程中发现的工程质量问题进行分析、验证和处理。 </w:t>
      </w:r>
    </w:p>
    <w:p w14:paraId="70DE9B93">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4.2.4 具体负责对检测人的考核。 </w:t>
      </w:r>
    </w:p>
    <w:p w14:paraId="270354A9">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4.2.5 未按合同约定支付检测人费用的，应承担相应违约责任。 </w:t>
      </w:r>
    </w:p>
    <w:p w14:paraId="45D38D6B">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101" w:name="_Toc2678"/>
      <w:r>
        <w:rPr>
          <w:rFonts w:hint="eastAsia" w:ascii="仿宋" w:hAnsi="仿宋" w:eastAsia="仿宋" w:cs="仿宋"/>
          <w:color w:val="auto"/>
          <w:sz w:val="28"/>
          <w:szCs w:val="28"/>
          <w:highlight w:val="none"/>
        </w:rPr>
        <w:t>4.3违约责任</w:t>
      </w:r>
      <w:bookmarkEnd w:id="101"/>
      <w:r>
        <w:rPr>
          <w:rFonts w:hint="eastAsia" w:ascii="仿宋" w:hAnsi="仿宋" w:eastAsia="仿宋" w:cs="仿宋"/>
          <w:color w:val="auto"/>
          <w:sz w:val="28"/>
          <w:szCs w:val="28"/>
          <w:highlight w:val="none"/>
        </w:rPr>
        <w:t xml:space="preserve"> </w:t>
      </w:r>
    </w:p>
    <w:p w14:paraId="5FE51A49">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4.3.1 委托人和检测人未履行或不当履行本合同约定的义务，应承担相应违约责任。 </w:t>
      </w:r>
    </w:p>
    <w:p w14:paraId="732E493E">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4.3.2 检测人违约的，委托人可要求检测人整改并按照合同约定进行处理。 </w:t>
      </w:r>
    </w:p>
    <w:p w14:paraId="51BCD0D9">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4.3.3 检测人由于其检测质量未达到要求的，给委托人造成损失的，按合同约定支付相应违约金，并对给委托人造成的损失承担相应赔偿责任。</w:t>
      </w:r>
    </w:p>
    <w:p w14:paraId="53A50274">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4.3.4 检测单位进场后须依据施工图及现场施工条件制定检测方案报建设单位审批，并严格按照审定的检测方案开展检测试验工作。若发现检测单位未按规定检测频率检测、检测工作不及时延误工程进度、检测结果尤其是不合格结果未及时上报招标人的，处违约金 2000 元/次。</w:t>
      </w:r>
    </w:p>
    <w:p w14:paraId="7C5BEC03">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4.3.5 现场取样、试验过程中吃拿卡要、与相关单位串通、弄虚作假或伪造检测数据、出具虚假检测报告处违约金 10000 元/次。</w:t>
      </w:r>
    </w:p>
    <w:p w14:paraId="6D7A210E">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4.3.6 经检测合格的工序，如在质量监督部门工程质量抽检中鉴定为不合格，每发现一次，处违约金 10000 元/次，三次以上（不含三次）的，业主有权解除合同。</w:t>
      </w:r>
    </w:p>
    <w:p w14:paraId="0152FA92">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4.3.7 凡在工程质保期内出现的结构工程重大质量事故，业主有权扣除试验检测单位余下的检测费用，并依据国家有关规定，追究其责任。</w:t>
      </w:r>
    </w:p>
    <w:p w14:paraId="6763567A">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4.3.8 工作应根据施工及检测规范要求及时进行，不能影响施工进度，并保证检测报告的及时反馈，因检测工作影响进度及其它损失的，业主将追究其相应的责任，并处以 2000 元/项/天违约金。</w:t>
      </w:r>
    </w:p>
    <w:p w14:paraId="68F9834D">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4.3.9以上违约情况，业主有权解除项目检测服务合同，拒付检测费，检测单位应承担业主委托其它检测单位对该工程已完工程量所作的综合试验评定费用；若给业主或工程项目造成损失的，由检测单位予以赔偿；业主可视情况将检测单位不良行为抄送建设主管部门及招标主管部门。</w:t>
      </w:r>
    </w:p>
    <w:p w14:paraId="472F0560">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102" w:name="_Toc298"/>
      <w:r>
        <w:rPr>
          <w:rFonts w:hint="eastAsia" w:ascii="仿宋" w:hAnsi="仿宋" w:eastAsia="仿宋" w:cs="仿宋"/>
          <w:color w:val="auto"/>
          <w:sz w:val="28"/>
          <w:szCs w:val="28"/>
          <w:highlight w:val="none"/>
        </w:rPr>
        <w:t>4.4保险</w:t>
      </w:r>
      <w:bookmarkEnd w:id="102"/>
      <w:r>
        <w:rPr>
          <w:rFonts w:hint="eastAsia" w:ascii="仿宋" w:hAnsi="仿宋" w:eastAsia="仿宋" w:cs="仿宋"/>
          <w:color w:val="auto"/>
          <w:sz w:val="28"/>
          <w:szCs w:val="28"/>
          <w:highlight w:val="none"/>
        </w:rPr>
        <w:t xml:space="preserve"> </w:t>
      </w:r>
    </w:p>
    <w:p w14:paraId="71EE1CFF">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合同双方办理与工程有关的保险，具体事宜在专用合同条款中约定。</w:t>
      </w:r>
    </w:p>
    <w:p w14:paraId="56DB5CC5">
      <w:pPr>
        <w:adjustRightInd w:val="0"/>
        <w:snapToGrid w:val="0"/>
        <w:spacing w:line="480" w:lineRule="exact"/>
        <w:ind w:firstLine="560" w:firstLineChars="200"/>
        <w:outlineLvl w:val="1"/>
        <w:rPr>
          <w:rFonts w:hint="eastAsia" w:ascii="仿宋" w:hAnsi="仿宋" w:eastAsia="仿宋" w:cs="仿宋"/>
          <w:color w:val="auto"/>
          <w:sz w:val="28"/>
          <w:szCs w:val="28"/>
          <w:highlight w:val="none"/>
        </w:rPr>
      </w:pPr>
      <w:bookmarkStart w:id="103" w:name="_Toc6963"/>
      <w:r>
        <w:rPr>
          <w:rFonts w:hint="eastAsia" w:ascii="仿宋" w:hAnsi="仿宋" w:eastAsia="仿宋" w:cs="仿宋"/>
          <w:color w:val="auto"/>
          <w:sz w:val="28"/>
          <w:szCs w:val="28"/>
          <w:highlight w:val="none"/>
        </w:rPr>
        <w:t>5. 支付</w:t>
      </w:r>
      <w:bookmarkEnd w:id="103"/>
      <w:r>
        <w:rPr>
          <w:rFonts w:hint="eastAsia" w:ascii="仿宋" w:hAnsi="仿宋" w:eastAsia="仿宋" w:cs="仿宋"/>
          <w:color w:val="auto"/>
          <w:sz w:val="28"/>
          <w:szCs w:val="28"/>
          <w:highlight w:val="none"/>
        </w:rPr>
        <w:t xml:space="preserve"> </w:t>
      </w:r>
    </w:p>
    <w:p w14:paraId="3882CE67">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5.1 本合同约定的检测费为检测人完成本合同约定的检测工作及承担相应责任和义务所需的全部费用。该费用按照专用合同条款约定的时间和数额予以支付。支付检测费采用人民币支付。 </w:t>
      </w:r>
    </w:p>
    <w:p w14:paraId="0D352149">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5.2 委托人应按照合同约定分期支付检测费。 </w:t>
      </w:r>
    </w:p>
    <w:p w14:paraId="4A4A9528">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5.3 附加工作和额外工作由双方通过工程联系单等文件另行约定或签订补充协议，按照项目已有清单单价或参照投标报价确定，并按联系单或补充协议约定的方式予以支付。 </w:t>
      </w:r>
    </w:p>
    <w:p w14:paraId="2A48FCBE">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5.4 变更或新增工程的估价原则：</w:t>
      </w:r>
      <w:r>
        <w:rPr>
          <w:rFonts w:hint="eastAsia" w:ascii="仿宋" w:hAnsi="仿宋" w:eastAsia="仿宋" w:cs="仿宋"/>
          <w:color w:val="auto"/>
          <w:sz w:val="28"/>
          <w:szCs w:val="28"/>
          <w:highlight w:val="none"/>
          <w:u w:val="single"/>
        </w:rPr>
        <w:t>不适用</w:t>
      </w:r>
      <w:r>
        <w:rPr>
          <w:rFonts w:hint="eastAsia" w:ascii="仿宋" w:hAnsi="仿宋" w:eastAsia="仿宋" w:cs="仿宋"/>
          <w:color w:val="auto"/>
          <w:sz w:val="28"/>
          <w:szCs w:val="28"/>
          <w:highlight w:val="none"/>
        </w:rPr>
        <w:t xml:space="preserve">。 </w:t>
      </w:r>
    </w:p>
    <w:p w14:paraId="4D14DD5D">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5.5 如果委托人无正当理由在规定的支付期限内未支付检测费用，委托人应向检测人支付滞纳金。滞纳金从规定支付期限最后一天的次日开始计算，并按当期中国人民银行公布的人民币短期贷款利率计算。 </w:t>
      </w:r>
    </w:p>
    <w:p w14:paraId="347D188B">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5.6 委托人除按本合同协议书的约定支付检测费用外，不再向检测人提供任何设备、设施、服务和费用。</w:t>
      </w:r>
    </w:p>
    <w:p w14:paraId="3E236B95">
      <w:pPr>
        <w:adjustRightInd w:val="0"/>
        <w:snapToGrid w:val="0"/>
        <w:spacing w:line="480" w:lineRule="exact"/>
        <w:ind w:firstLine="560" w:firstLineChars="200"/>
        <w:outlineLvl w:val="1"/>
        <w:rPr>
          <w:rFonts w:hint="eastAsia" w:ascii="仿宋" w:hAnsi="仿宋" w:eastAsia="仿宋" w:cs="仿宋"/>
          <w:color w:val="auto"/>
          <w:sz w:val="28"/>
          <w:szCs w:val="28"/>
          <w:highlight w:val="none"/>
        </w:rPr>
      </w:pPr>
      <w:bookmarkStart w:id="104" w:name="_Toc30619"/>
      <w:r>
        <w:rPr>
          <w:rFonts w:hint="eastAsia" w:ascii="仿宋" w:hAnsi="仿宋" w:eastAsia="仿宋" w:cs="仿宋"/>
          <w:color w:val="auto"/>
          <w:sz w:val="28"/>
          <w:szCs w:val="28"/>
          <w:highlight w:val="none"/>
        </w:rPr>
        <w:t>6. 合同的生效、变更和终止</w:t>
      </w:r>
      <w:bookmarkEnd w:id="104"/>
      <w:r>
        <w:rPr>
          <w:rFonts w:hint="eastAsia" w:ascii="仿宋" w:hAnsi="仿宋" w:eastAsia="仿宋" w:cs="仿宋"/>
          <w:color w:val="auto"/>
          <w:sz w:val="28"/>
          <w:szCs w:val="28"/>
          <w:highlight w:val="none"/>
        </w:rPr>
        <w:t xml:space="preserve"> </w:t>
      </w:r>
    </w:p>
    <w:p w14:paraId="6FE2F9DC">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6.1 本合同按协议书中的约定生效。 </w:t>
      </w:r>
    </w:p>
    <w:p w14:paraId="719858BE">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6.2 任何一方提出变更请求时，经双方协商一致后可补充协议。 </w:t>
      </w:r>
    </w:p>
    <w:p w14:paraId="7C91598C">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6.3 满足以下全部条件，本合同即终止：</w:t>
      </w:r>
    </w:p>
    <w:p w14:paraId="6F2538AE">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（1）本工程已办理竣工验收手续，且缺陷责任期期满； </w:t>
      </w:r>
    </w:p>
    <w:p w14:paraId="01FC6FEA">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（2）检测人完成本合同约定的工程检测及相关服务全部工作； </w:t>
      </w:r>
    </w:p>
    <w:p w14:paraId="4C5E0B7F">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（3）委托人与检测人结清并支付检测服务费用。 </w:t>
      </w:r>
    </w:p>
    <w:p w14:paraId="4EEBD66A">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6.4 在本合同有效期内，由于双方无法预见和控制的原因导致本合同全部或部分服务无法继续履行或继续履行已无意义，委托人可以提前要求解除本合同或解除检测人的部分义务。检测人应立即作出合理安排，停止全部或部分服务，并使开支减至最小。</w:t>
      </w:r>
    </w:p>
    <w:p w14:paraId="488D71BB">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解除合同的协议必须采取书面形式。 </w:t>
      </w:r>
    </w:p>
    <w:p w14:paraId="7550E8E0">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6.5 由于非检测人的原因导致工程建设全部或部分暂停，委托人可以书面形式通知检测人要求暂停全部或部分服务。</w:t>
      </w:r>
    </w:p>
    <w:p w14:paraId="3C02C054">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检测人应立即安排停止服务并将开支减至最小。委托人应将有关决定以书面形式通知检测人。由此导致检测人的损失应由委托人予以相应补偿。</w:t>
      </w:r>
    </w:p>
    <w:p w14:paraId="5099202B">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人暂停部分工程检测及相关服务持续时间超过180日，委托人可发出解除合同约定该部分义务的通知；若全部暂停服务的持续时间超过180日,委托人可发出解除合同的通知。合同解除日为发出解除合同的通知之日起第14日。</w:t>
      </w:r>
    </w:p>
    <w:p w14:paraId="1D7400AB">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检测人应承担相应的违约责任。</w:t>
      </w:r>
    </w:p>
    <w:p w14:paraId="064A5AF2">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6.6 如果因非检测人原因，导致检测人不能全部或部分履行合同约定服务时，检测人应立即通知委托人，要求暂停全部或部分合同约定的服务。当暂停原因消除后，检测人应尽快恢复履行合同约定的服务。</w:t>
      </w:r>
    </w:p>
    <w:p w14:paraId="6D8F9994">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6.7 当检测人无正当理由而未履行其合同约定的义务时，委托人可以书面形式通知检测人要求限期改正。若委托人在发出通知后 7 日内没有收到检测人书面形式的合理解释，则可在 7 日内发出解除本合同的通知。发出解除合同通知后的第 7 日合同解除。</w:t>
      </w:r>
    </w:p>
    <w:p w14:paraId="3903AE4A">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检测人应承担相应的违约责任，委托人按专用合同条款的约定将工程检测及相关服务费用支付至合同解除日。</w:t>
      </w:r>
    </w:p>
    <w:p w14:paraId="5D421988">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6.8 检测人在本合同约定的支付之日起 28 日后仍未收到服务费用，则检测人可向委托人发出催付通知。通知发出后 14 日委托人仍未支付或提出检测人可以接受的延后支付安排，检测人可向委托人发出暂停服务的通知并自行暂停全部或部分服务。暂停服务后14 日内检测人仍未获得服务费用或委托人的合理答复，检测人可向委托人发出解除合同的通知。合同解除日为应支付服务费用之日起第 56 日。</w:t>
      </w:r>
    </w:p>
    <w:p w14:paraId="4BDA6FA4">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委托人通知暂停工程检测及相关服务且暂停期超过 180 日，检测人可发出解除合同的通知。合同解除日为发出解除合同的通知之日起第 14 日。</w:t>
      </w:r>
    </w:p>
    <w:p w14:paraId="15F9BC60">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委托人应承担解除合同的违约责任。 </w:t>
      </w:r>
    </w:p>
    <w:p w14:paraId="28BC6187">
      <w:pPr>
        <w:adjustRightInd w:val="0"/>
        <w:snapToGrid w:val="0"/>
        <w:spacing w:line="480" w:lineRule="exact"/>
        <w:ind w:firstLine="560" w:firstLineChars="200"/>
        <w:outlineLvl w:val="1"/>
        <w:rPr>
          <w:rFonts w:hint="eastAsia" w:ascii="仿宋" w:hAnsi="仿宋" w:eastAsia="仿宋" w:cs="仿宋"/>
          <w:color w:val="auto"/>
          <w:sz w:val="28"/>
          <w:szCs w:val="28"/>
          <w:highlight w:val="none"/>
        </w:rPr>
      </w:pPr>
      <w:bookmarkStart w:id="105" w:name="_Toc13323"/>
      <w:r>
        <w:rPr>
          <w:rFonts w:hint="eastAsia" w:ascii="仿宋" w:hAnsi="仿宋" w:eastAsia="仿宋" w:cs="仿宋"/>
          <w:color w:val="auto"/>
          <w:sz w:val="28"/>
          <w:szCs w:val="28"/>
          <w:highlight w:val="none"/>
        </w:rPr>
        <w:t>7. 争议的解决</w:t>
      </w:r>
      <w:bookmarkEnd w:id="105"/>
      <w:r>
        <w:rPr>
          <w:rFonts w:hint="eastAsia" w:ascii="仿宋" w:hAnsi="仿宋" w:eastAsia="仿宋" w:cs="仿宋"/>
          <w:color w:val="auto"/>
          <w:sz w:val="28"/>
          <w:szCs w:val="28"/>
          <w:highlight w:val="none"/>
        </w:rPr>
        <w:t xml:space="preserve"> </w:t>
      </w:r>
    </w:p>
    <w:p w14:paraId="5DF649CA">
      <w:pPr>
        <w:adjustRightInd w:val="0"/>
        <w:snapToGrid w:val="0"/>
        <w:spacing w:line="480" w:lineRule="exact"/>
        <w:ind w:firstLine="560" w:firstLineChars="200"/>
        <w:rPr>
          <w:rFonts w:hint="eastAsia" w:ascii="宋体" w:hAnsi="宋体"/>
          <w:color w:val="auto"/>
          <w:szCs w:val="21"/>
          <w:highlight w:val="none"/>
        </w:rPr>
      </w:pPr>
      <w:r>
        <w:rPr>
          <w:rFonts w:hint="eastAsia" w:ascii="仿宋" w:hAnsi="仿宋" w:eastAsia="仿宋" w:cs="仿宋"/>
          <w:color w:val="auto"/>
          <w:sz w:val="28"/>
          <w:szCs w:val="28"/>
          <w:highlight w:val="none"/>
        </w:rPr>
        <w:t>凡因执行本合同或与本合同相关事项而发生争议时，双方应通过友好协商予以解决。如友好协商未能达成一致，可按专用合同条款中约定的方式解决。</w:t>
      </w:r>
    </w:p>
    <w:p w14:paraId="4C79AABD">
      <w:pP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br w:type="page"/>
      </w:r>
    </w:p>
    <w:p w14:paraId="72980520">
      <w:pPr>
        <w:pStyle w:val="2"/>
        <w:keepNext/>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小标宋简体" w:hAnsi="方正小标宋简体" w:eastAsia="方正小标宋简体" w:cs="方正小标宋简体"/>
          <w:color w:val="auto"/>
          <w:sz w:val="36"/>
          <w:szCs w:val="36"/>
          <w:highlight w:val="none"/>
        </w:rPr>
      </w:pPr>
      <w:bookmarkStart w:id="106" w:name="_Toc22067"/>
      <w:r>
        <w:rPr>
          <w:rFonts w:hint="eastAsia" w:ascii="方正小标宋简体" w:hAnsi="方正小标宋简体" w:eastAsia="方正小标宋简体" w:cs="方正小标宋简体"/>
          <w:color w:val="auto"/>
          <w:sz w:val="36"/>
          <w:szCs w:val="36"/>
          <w:highlight w:val="none"/>
        </w:rPr>
        <w:t>第三部分  专用合同条款</w:t>
      </w:r>
      <w:bookmarkEnd w:id="106"/>
    </w:p>
    <w:p w14:paraId="4D098F1D">
      <w:pPr>
        <w:adjustRightInd w:val="0"/>
        <w:snapToGrid w:val="0"/>
        <w:spacing w:line="480" w:lineRule="exact"/>
        <w:ind w:firstLine="560" w:firstLineChars="200"/>
        <w:outlineLvl w:val="1"/>
        <w:rPr>
          <w:rFonts w:hint="eastAsia" w:ascii="仿宋" w:hAnsi="仿宋" w:eastAsia="仿宋" w:cs="仿宋"/>
          <w:color w:val="auto"/>
          <w:sz w:val="28"/>
          <w:szCs w:val="28"/>
          <w:highlight w:val="none"/>
        </w:rPr>
      </w:pPr>
      <w:bookmarkStart w:id="107" w:name="_Toc17415"/>
      <w:r>
        <w:rPr>
          <w:rFonts w:hint="eastAsia" w:ascii="仿宋" w:hAnsi="仿宋" w:eastAsia="仿宋" w:cs="仿宋"/>
          <w:color w:val="auto"/>
          <w:sz w:val="28"/>
          <w:szCs w:val="28"/>
          <w:highlight w:val="none"/>
        </w:rPr>
        <w:t>1. 一般规定</w:t>
      </w:r>
      <w:bookmarkEnd w:id="107"/>
      <w:r>
        <w:rPr>
          <w:rFonts w:hint="eastAsia" w:ascii="仿宋" w:hAnsi="仿宋" w:eastAsia="仿宋" w:cs="仿宋"/>
          <w:color w:val="auto"/>
          <w:sz w:val="28"/>
          <w:szCs w:val="28"/>
          <w:highlight w:val="none"/>
        </w:rPr>
        <w:t xml:space="preserve"> </w:t>
      </w:r>
    </w:p>
    <w:p w14:paraId="02C43A5C">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108" w:name="_Toc11673"/>
      <w:r>
        <w:rPr>
          <w:rFonts w:hint="eastAsia" w:ascii="仿宋" w:hAnsi="仿宋" w:eastAsia="仿宋" w:cs="仿宋"/>
          <w:color w:val="auto"/>
          <w:sz w:val="28"/>
          <w:szCs w:val="28"/>
          <w:highlight w:val="none"/>
        </w:rPr>
        <w:t>1.1定义</w:t>
      </w:r>
      <w:bookmarkEnd w:id="108"/>
      <w:r>
        <w:rPr>
          <w:rFonts w:hint="eastAsia" w:ascii="仿宋" w:hAnsi="仿宋" w:eastAsia="仿宋" w:cs="仿宋"/>
          <w:color w:val="auto"/>
          <w:sz w:val="28"/>
          <w:szCs w:val="28"/>
          <w:highlight w:val="none"/>
        </w:rPr>
        <w:t xml:space="preserve"> </w:t>
      </w:r>
    </w:p>
    <w:p w14:paraId="3CFF8156">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1.1.2款补充：</w:t>
      </w:r>
    </w:p>
    <w:p w14:paraId="311196A3">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委托人名称：</w:t>
      </w:r>
      <w:r>
        <w:rPr>
          <w:rFonts w:hint="eastAsia" w:ascii="仿宋" w:hAnsi="仿宋" w:eastAsia="仿宋" w:cs="仿宋"/>
          <w:color w:val="auto"/>
          <w:sz w:val="28"/>
          <w:szCs w:val="28"/>
          <w:highlight w:val="none"/>
          <w:u w:val="single"/>
        </w:rPr>
        <w:t xml:space="preserve"> 安庆市通达置业有限公司 </w:t>
      </w:r>
      <w:r>
        <w:rPr>
          <w:rFonts w:hint="eastAsia" w:ascii="仿宋" w:hAnsi="仿宋" w:eastAsia="仿宋" w:cs="仿宋"/>
          <w:color w:val="auto"/>
          <w:sz w:val="28"/>
          <w:szCs w:val="28"/>
          <w:highlight w:val="none"/>
        </w:rPr>
        <w:t>；</w:t>
      </w:r>
    </w:p>
    <w:p w14:paraId="0ACCC642">
      <w:pPr>
        <w:adjustRightInd w:val="0"/>
        <w:snapToGrid w:val="0"/>
        <w:spacing w:line="48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单位地址：</w:t>
      </w:r>
      <w:r>
        <w:rPr>
          <w:rFonts w:hint="eastAsia" w:ascii="仿宋" w:hAnsi="仿宋" w:eastAsia="仿宋" w:cs="仿宋"/>
          <w:color w:val="auto"/>
          <w:sz w:val="28"/>
          <w:szCs w:val="28"/>
          <w:highlight w:val="none"/>
          <w:u w:val="single"/>
        </w:rPr>
        <w:t xml:space="preserve"> 安庆市宜秀区振风大道与龙眠山路交叉口东北角安庆市安通建设集团有限公司办公楼</w:t>
      </w:r>
      <w:r>
        <w:rPr>
          <w:rFonts w:hint="eastAsia" w:ascii="仿宋" w:hAnsi="仿宋" w:eastAsia="仿宋" w:cs="仿宋"/>
          <w:color w:val="auto"/>
          <w:sz w:val="28"/>
          <w:szCs w:val="28"/>
          <w:highlight w:val="none"/>
        </w:rPr>
        <w:t xml:space="preserve"> ；</w:t>
      </w:r>
    </w:p>
    <w:p w14:paraId="6CDE79B0">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u w:val="single"/>
        </w:rPr>
        <w:t xml:space="preserve"> 薛建兵 </w:t>
      </w:r>
      <w:r>
        <w:rPr>
          <w:rFonts w:hint="eastAsia" w:ascii="仿宋" w:hAnsi="仿宋" w:eastAsia="仿宋" w:cs="仿宋"/>
          <w:color w:val="auto"/>
          <w:sz w:val="28"/>
          <w:szCs w:val="28"/>
          <w:highlight w:val="none"/>
        </w:rPr>
        <w:t>；</w:t>
      </w:r>
    </w:p>
    <w:p w14:paraId="2DEF391E">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r>
        <w:rPr>
          <w:rFonts w:hint="eastAsia" w:ascii="仿宋" w:hAnsi="仿宋" w:eastAsia="仿宋" w:cs="仿宋"/>
          <w:color w:val="auto"/>
          <w:sz w:val="28"/>
          <w:szCs w:val="28"/>
          <w:highlight w:val="none"/>
          <w:u w:val="single"/>
        </w:rPr>
        <w:t xml:space="preserve"> 757734109@qq.com、597361351@qq.com（该电子邮箱作为发包人下发文件的有效路径之一） </w:t>
      </w:r>
      <w:r>
        <w:rPr>
          <w:rFonts w:hint="eastAsia" w:ascii="仿宋" w:hAnsi="仿宋" w:eastAsia="仿宋" w:cs="仿宋"/>
          <w:color w:val="auto"/>
          <w:sz w:val="28"/>
          <w:szCs w:val="28"/>
          <w:highlight w:val="none"/>
        </w:rPr>
        <w:t>；</w:t>
      </w:r>
    </w:p>
    <w:p w14:paraId="4D6F0831">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电话号码：</w:t>
      </w:r>
      <w:r>
        <w:rPr>
          <w:rFonts w:hint="eastAsia" w:ascii="仿宋" w:hAnsi="仿宋" w:eastAsia="仿宋" w:cs="仿宋"/>
          <w:color w:val="auto"/>
          <w:sz w:val="28"/>
          <w:szCs w:val="28"/>
          <w:highlight w:val="none"/>
          <w:u w:val="single"/>
        </w:rPr>
        <w:t xml:space="preserve"> 15905657002 </w:t>
      </w:r>
      <w:r>
        <w:rPr>
          <w:rFonts w:hint="eastAsia" w:ascii="仿宋" w:hAnsi="仿宋" w:eastAsia="仿宋" w:cs="仿宋"/>
          <w:color w:val="auto"/>
          <w:sz w:val="28"/>
          <w:szCs w:val="28"/>
          <w:highlight w:val="none"/>
        </w:rPr>
        <w:t xml:space="preserve">； </w:t>
      </w:r>
    </w:p>
    <w:p w14:paraId="7A4E84B6">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 款补充：</w:t>
      </w:r>
    </w:p>
    <w:p w14:paraId="31463DB1">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检测人名称：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6EB987A4">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单位地址：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5E957E56">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281C887A">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（该电子邮箱为</w:t>
      </w:r>
      <w:r>
        <w:rPr>
          <w:rFonts w:hint="eastAsia" w:ascii="仿宋" w:hAnsi="仿宋" w:eastAsia="仿宋" w:cs="仿宋"/>
          <w:color w:val="auto"/>
          <w:sz w:val="28"/>
          <w:szCs w:val="28"/>
          <w:highlight w:val="none"/>
          <w:u w:val="single"/>
          <w:lang w:val="en-US" w:eastAsia="zh-CN"/>
        </w:rPr>
        <w:t>检测</w:t>
      </w:r>
      <w:r>
        <w:rPr>
          <w:rFonts w:hint="eastAsia" w:ascii="仿宋" w:hAnsi="仿宋" w:eastAsia="仿宋" w:cs="仿宋"/>
          <w:color w:val="auto"/>
          <w:sz w:val="28"/>
          <w:szCs w:val="28"/>
          <w:highlight w:val="none"/>
          <w:u w:val="single"/>
        </w:rPr>
        <w:t>人</w:t>
      </w:r>
      <w:r>
        <w:rPr>
          <w:rFonts w:hint="eastAsia" w:ascii="仿宋" w:hAnsi="仿宋" w:eastAsia="仿宋" w:cs="仿宋"/>
          <w:color w:val="auto"/>
          <w:sz w:val="28"/>
          <w:szCs w:val="28"/>
          <w:highlight w:val="none"/>
          <w:u w:val="single"/>
          <w:lang w:val="en-US" w:eastAsia="zh-CN"/>
        </w:rPr>
        <w:t>接收</w:t>
      </w:r>
      <w:r>
        <w:rPr>
          <w:rFonts w:hint="eastAsia" w:ascii="仿宋" w:hAnsi="仿宋" w:eastAsia="仿宋" w:cs="仿宋"/>
          <w:color w:val="auto"/>
          <w:sz w:val="28"/>
          <w:szCs w:val="28"/>
          <w:highlight w:val="none"/>
          <w:u w:val="single"/>
        </w:rPr>
        <w:t>文件的有效路径之一）</w:t>
      </w:r>
      <w:r>
        <w:rPr>
          <w:rFonts w:hint="eastAsia" w:ascii="仿宋" w:hAnsi="仿宋" w:eastAsia="仿宋" w:cs="仿宋"/>
          <w:color w:val="auto"/>
          <w:sz w:val="28"/>
          <w:szCs w:val="28"/>
          <w:highlight w:val="none"/>
        </w:rPr>
        <w:t>；</w:t>
      </w:r>
    </w:p>
    <w:p w14:paraId="69AC84FD">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1A76C17E">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1.1.6款补充： </w:t>
      </w:r>
    </w:p>
    <w:p w14:paraId="58E9C19C">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检测人项目负责人姓名：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0B8F62F8">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检测人项目负责人联系方式：</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16D4880E">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109" w:name="_Toc2023"/>
      <w:r>
        <w:rPr>
          <w:rFonts w:hint="eastAsia" w:ascii="仿宋" w:hAnsi="仿宋" w:eastAsia="仿宋" w:cs="仿宋"/>
          <w:color w:val="auto"/>
          <w:sz w:val="28"/>
          <w:szCs w:val="28"/>
          <w:highlight w:val="none"/>
        </w:rPr>
        <w:t>1.4通信联络</w:t>
      </w:r>
      <w:bookmarkEnd w:id="109"/>
      <w:r>
        <w:rPr>
          <w:rFonts w:hint="eastAsia" w:ascii="仿宋" w:hAnsi="仿宋" w:eastAsia="仿宋" w:cs="仿宋"/>
          <w:color w:val="auto"/>
          <w:sz w:val="28"/>
          <w:szCs w:val="28"/>
          <w:highlight w:val="none"/>
        </w:rPr>
        <w:t xml:space="preserve"> </w:t>
      </w:r>
    </w:p>
    <w:p w14:paraId="72745142">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1.4.2款补充： </w:t>
      </w:r>
    </w:p>
    <w:p w14:paraId="735E3873">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委托人的收件地址：</w:t>
      </w:r>
      <w:r>
        <w:rPr>
          <w:rFonts w:hint="eastAsia" w:ascii="仿宋" w:hAnsi="仿宋" w:eastAsia="仿宋" w:cs="仿宋"/>
          <w:color w:val="auto"/>
          <w:sz w:val="28"/>
          <w:szCs w:val="28"/>
          <w:highlight w:val="none"/>
          <w:u w:val="single"/>
        </w:rPr>
        <w:t xml:space="preserve"> 安庆市宜秀区</w:t>
      </w:r>
      <w:r>
        <w:rPr>
          <w:rFonts w:hint="eastAsia" w:ascii="仿宋" w:hAnsi="仿宋" w:eastAsia="仿宋" w:cs="仿宋"/>
          <w:color w:val="auto"/>
          <w:sz w:val="28"/>
          <w:szCs w:val="28"/>
          <w:highlight w:val="none"/>
          <w:u w:val="single"/>
          <w:lang w:val="en-US" w:eastAsia="zh-CN"/>
        </w:rPr>
        <w:t>上河院项目施工现场发包人办公室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2E008E14">
      <w:pPr>
        <w:keepNext w:val="0"/>
        <w:keepLines w:val="0"/>
        <w:pageBreakBefore w:val="0"/>
        <w:widowControl w:val="0"/>
        <w:shd w:val="clea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 w:hAnsi="仿宋" w:eastAsia="仿宋" w:cs="仿宋"/>
          <w:color w:val="auto"/>
          <w:sz w:val="28"/>
          <w:szCs w:val="28"/>
          <w:highlight w:val="none"/>
        </w:rPr>
      </w:pPr>
      <w:bookmarkStart w:id="110" w:name="_Toc25438"/>
      <w:r>
        <w:rPr>
          <w:rFonts w:hint="eastAsia" w:ascii="仿宋" w:hAnsi="仿宋" w:eastAsia="仿宋" w:cs="仿宋"/>
          <w:color w:val="auto"/>
          <w:sz w:val="28"/>
          <w:szCs w:val="28"/>
          <w:highlight w:val="none"/>
        </w:rPr>
        <w:t>检测人的收件地址：</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邮箱</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w:t>
      </w:r>
    </w:p>
    <w:p w14:paraId="5D61A004">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1.6转包和分包</w:t>
      </w:r>
      <w:bookmarkEnd w:id="110"/>
      <w:r>
        <w:rPr>
          <w:rFonts w:hint="eastAsia" w:ascii="仿宋" w:hAnsi="仿宋" w:eastAsia="仿宋" w:cs="仿宋"/>
          <w:color w:val="auto"/>
          <w:sz w:val="28"/>
          <w:szCs w:val="28"/>
          <w:highlight w:val="none"/>
        </w:rPr>
        <w:t xml:space="preserve"> </w:t>
      </w:r>
    </w:p>
    <w:p w14:paraId="0544A85A">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检测人不得转包检测业务；</w:t>
      </w:r>
      <w:r>
        <w:rPr>
          <w:rFonts w:hint="eastAsia" w:ascii="仿宋" w:hAnsi="仿宋" w:eastAsia="仿宋" w:cs="仿宋"/>
          <w:color w:val="auto"/>
          <w:sz w:val="28"/>
          <w:szCs w:val="28"/>
          <w:highlight w:val="none"/>
          <w:u w:val="single"/>
        </w:rPr>
        <w:t>桩基检测（地基基础工程检测）</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建筑材料及构配件、主体结构及装饰装修</w:t>
      </w:r>
      <w:r>
        <w:rPr>
          <w:rFonts w:hint="eastAsia" w:ascii="仿宋" w:hAnsi="仿宋" w:eastAsia="仿宋" w:cs="仿宋"/>
          <w:color w:val="auto"/>
          <w:sz w:val="28"/>
          <w:szCs w:val="28"/>
          <w:highlight w:val="none"/>
        </w:rPr>
        <w:t>检测专项禁止分包；允许分包的检测：</w:t>
      </w:r>
      <w:r>
        <w:rPr>
          <w:rFonts w:hint="eastAsia" w:ascii="仿宋" w:hAnsi="仿宋" w:eastAsia="仿宋" w:cs="仿宋"/>
          <w:color w:val="auto"/>
          <w:sz w:val="28"/>
          <w:szCs w:val="28"/>
          <w:highlight w:val="none"/>
          <w:u w:val="single"/>
        </w:rPr>
        <w:t>禁止分包范围外的非主体、非关键性检测工作若涉及承包人资质范围外的内容可依法进行分包，同时须经监理单位和委托人同意</w:t>
      </w:r>
      <w:r>
        <w:rPr>
          <w:rFonts w:hint="eastAsia" w:ascii="仿宋" w:hAnsi="仿宋" w:eastAsia="仿宋" w:cs="仿宋"/>
          <w:color w:val="auto"/>
          <w:sz w:val="28"/>
          <w:szCs w:val="28"/>
          <w:highlight w:val="none"/>
        </w:rPr>
        <w:t>。接受分包的第三人资质要求：</w:t>
      </w:r>
      <w:r>
        <w:rPr>
          <w:rFonts w:hint="eastAsia" w:ascii="仿宋" w:hAnsi="仿宋" w:eastAsia="仿宋" w:cs="仿宋"/>
          <w:color w:val="auto"/>
          <w:sz w:val="28"/>
          <w:szCs w:val="28"/>
          <w:highlight w:val="none"/>
          <w:u w:val="single"/>
        </w:rPr>
        <w:t>符合相关法律法规及相关资质规定要求</w:t>
      </w:r>
      <w:r>
        <w:rPr>
          <w:rFonts w:hint="eastAsia" w:ascii="仿宋" w:hAnsi="仿宋" w:eastAsia="仿宋" w:cs="仿宋"/>
          <w:color w:val="auto"/>
          <w:sz w:val="28"/>
          <w:szCs w:val="28"/>
          <w:highlight w:val="none"/>
        </w:rPr>
        <w:t>。</w:t>
      </w:r>
    </w:p>
    <w:p w14:paraId="35FB3D0B">
      <w:pPr>
        <w:numPr>
          <w:ilvl w:val="0"/>
          <w:numId w:val="35"/>
        </w:numPr>
        <w:adjustRightInd w:val="0"/>
        <w:snapToGrid w:val="0"/>
        <w:spacing w:line="480" w:lineRule="exact"/>
        <w:ind w:firstLine="560" w:firstLineChars="200"/>
        <w:outlineLvl w:val="1"/>
        <w:rPr>
          <w:rFonts w:hint="eastAsia" w:ascii="仿宋" w:hAnsi="仿宋" w:eastAsia="仿宋" w:cs="仿宋"/>
          <w:color w:val="auto"/>
          <w:sz w:val="28"/>
          <w:szCs w:val="28"/>
          <w:highlight w:val="none"/>
        </w:rPr>
      </w:pPr>
      <w:bookmarkStart w:id="111" w:name="_Toc17287"/>
      <w:r>
        <w:rPr>
          <w:rFonts w:hint="eastAsia" w:ascii="仿宋" w:hAnsi="仿宋" w:eastAsia="仿宋" w:cs="仿宋"/>
          <w:color w:val="auto"/>
          <w:sz w:val="28"/>
          <w:szCs w:val="28"/>
          <w:highlight w:val="none"/>
        </w:rPr>
        <w:t>委托人的义务</w:t>
      </w:r>
      <w:bookmarkEnd w:id="111"/>
      <w:r>
        <w:rPr>
          <w:rFonts w:hint="eastAsia" w:ascii="仿宋" w:hAnsi="仿宋" w:eastAsia="仿宋" w:cs="仿宋"/>
          <w:color w:val="auto"/>
          <w:sz w:val="28"/>
          <w:szCs w:val="28"/>
          <w:highlight w:val="none"/>
        </w:rPr>
        <w:t xml:space="preserve"> </w:t>
      </w:r>
    </w:p>
    <w:p w14:paraId="02619941">
      <w:pPr>
        <w:adjustRightInd w:val="0"/>
        <w:snapToGrid w:val="0"/>
        <w:spacing w:line="48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2.2.1 委托人对重要岗位检测人员的要求约定：</w:t>
      </w:r>
      <w:r>
        <w:rPr>
          <w:rFonts w:hint="eastAsia" w:ascii="仿宋" w:hAnsi="仿宋" w:eastAsia="仿宋" w:cs="仿宋"/>
          <w:color w:val="auto"/>
          <w:sz w:val="28"/>
          <w:szCs w:val="28"/>
          <w:highlight w:val="none"/>
          <w:u w:val="single"/>
        </w:rPr>
        <w:t>拟配最低人员要求</w:t>
      </w:r>
      <w:r>
        <w:rPr>
          <w:rFonts w:hint="eastAsia" w:ascii="仿宋" w:hAnsi="仿宋" w:eastAsia="仿宋" w:cs="仿宋"/>
          <w:color w:val="auto"/>
          <w:sz w:val="28"/>
          <w:szCs w:val="28"/>
          <w:highlight w:val="none"/>
          <w:u w:val="single"/>
          <w:lang w:val="en-US" w:eastAsia="zh-CN"/>
        </w:rPr>
        <w:t>详见下表</w:t>
      </w:r>
      <w:r>
        <w:rPr>
          <w:rFonts w:hint="eastAsia" w:ascii="仿宋" w:hAnsi="仿宋" w:eastAsia="仿宋" w:cs="仿宋"/>
          <w:color w:val="auto"/>
          <w:sz w:val="28"/>
          <w:szCs w:val="28"/>
          <w:highlight w:val="none"/>
        </w:rPr>
        <w:t>。</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4031"/>
        <w:gridCol w:w="1211"/>
        <w:gridCol w:w="2153"/>
      </w:tblGrid>
      <w:tr w14:paraId="4357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68" w:type="dxa"/>
            <w:vAlign w:val="center"/>
          </w:tcPr>
          <w:p w14:paraId="294E2FD8">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岗位</w:t>
            </w:r>
          </w:p>
        </w:tc>
        <w:tc>
          <w:tcPr>
            <w:tcW w:w="4395" w:type="dxa"/>
            <w:vAlign w:val="center"/>
          </w:tcPr>
          <w:p w14:paraId="051B0DA9">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要求</w:t>
            </w:r>
          </w:p>
        </w:tc>
        <w:tc>
          <w:tcPr>
            <w:tcW w:w="1290" w:type="dxa"/>
            <w:vAlign w:val="center"/>
          </w:tcPr>
          <w:p w14:paraId="64803333">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人员数量</w:t>
            </w:r>
          </w:p>
        </w:tc>
        <w:tc>
          <w:tcPr>
            <w:tcW w:w="2327" w:type="dxa"/>
            <w:vAlign w:val="center"/>
          </w:tcPr>
          <w:p w14:paraId="3AD63661">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备注</w:t>
            </w:r>
          </w:p>
        </w:tc>
      </w:tr>
      <w:tr w14:paraId="6828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8" w:type="dxa"/>
            <w:vAlign w:val="center"/>
          </w:tcPr>
          <w:p w14:paraId="2A10F4EC">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仿宋" w:hAnsi="仿宋" w:eastAsia="仿宋" w:cs="仿宋"/>
                <w:bCs/>
                <w:color w:val="auto"/>
                <w:szCs w:val="20"/>
                <w:highlight w:val="none"/>
              </w:rPr>
            </w:pPr>
            <w:r>
              <w:rPr>
                <w:rFonts w:hint="eastAsia" w:ascii="仿宋" w:hAnsi="仿宋" w:eastAsia="仿宋" w:cs="仿宋"/>
                <w:bCs/>
                <w:color w:val="auto"/>
                <w:szCs w:val="20"/>
                <w:highlight w:val="none"/>
              </w:rPr>
              <w:t>项目负责人</w:t>
            </w:r>
          </w:p>
        </w:tc>
        <w:tc>
          <w:tcPr>
            <w:tcW w:w="4395" w:type="dxa"/>
            <w:vAlign w:val="center"/>
          </w:tcPr>
          <w:p w14:paraId="2F2918BB">
            <w:pPr>
              <w:keepNext/>
              <w:keepLines/>
              <w:suppressLineNumbers w:val="0"/>
              <w:wordWrap w:val="0"/>
              <w:autoSpaceDE w:val="0"/>
              <w:autoSpaceDN w:val="0"/>
              <w:adjustRightInd w:val="0"/>
              <w:snapToGrid w:val="0"/>
              <w:spacing w:before="0" w:beforeAutospacing="0" w:after="0" w:afterAutospacing="0"/>
              <w:ind w:left="0" w:right="0"/>
              <w:jc w:val="left"/>
              <w:rPr>
                <w:rFonts w:hint="eastAsia" w:ascii="仿宋" w:hAnsi="仿宋" w:eastAsia="仿宋" w:cs="仿宋"/>
                <w:bCs/>
                <w:color w:val="auto"/>
                <w:szCs w:val="20"/>
                <w:highlight w:val="none"/>
              </w:rPr>
            </w:pPr>
            <w:r>
              <w:rPr>
                <w:rFonts w:hint="eastAsia" w:ascii="仿宋" w:hAnsi="仿宋" w:eastAsia="仿宋" w:cs="仿宋"/>
                <w:bCs/>
                <w:color w:val="auto"/>
                <w:szCs w:val="20"/>
                <w:highlight w:val="none"/>
              </w:rPr>
              <w:t>具有检测人员岗位证书或试验检测师或试验检测工程师证书</w:t>
            </w:r>
          </w:p>
        </w:tc>
        <w:tc>
          <w:tcPr>
            <w:tcW w:w="1290" w:type="dxa"/>
            <w:vAlign w:val="center"/>
          </w:tcPr>
          <w:p w14:paraId="4D7A9849">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仿宋" w:hAnsi="仿宋" w:eastAsia="仿宋" w:cs="仿宋"/>
                <w:bCs/>
                <w:color w:val="auto"/>
                <w:szCs w:val="20"/>
                <w:highlight w:val="none"/>
              </w:rPr>
            </w:pPr>
            <w:r>
              <w:rPr>
                <w:rFonts w:hint="eastAsia" w:ascii="仿宋" w:hAnsi="仿宋" w:eastAsia="仿宋" w:cs="仿宋"/>
                <w:bCs/>
                <w:color w:val="auto"/>
                <w:szCs w:val="20"/>
                <w:highlight w:val="none"/>
              </w:rPr>
              <w:t>1</w:t>
            </w:r>
          </w:p>
        </w:tc>
        <w:tc>
          <w:tcPr>
            <w:tcW w:w="2327" w:type="dxa"/>
            <w:vAlign w:val="center"/>
          </w:tcPr>
          <w:p w14:paraId="591A322B">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仿宋" w:hAnsi="仿宋" w:eastAsia="仿宋" w:cs="仿宋"/>
                <w:bCs/>
                <w:color w:val="auto"/>
                <w:szCs w:val="20"/>
                <w:highlight w:val="none"/>
              </w:rPr>
            </w:pPr>
          </w:p>
        </w:tc>
      </w:tr>
      <w:tr w14:paraId="5234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8" w:type="dxa"/>
            <w:vAlign w:val="center"/>
          </w:tcPr>
          <w:p w14:paraId="24062860">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仿宋" w:hAnsi="仿宋" w:eastAsia="仿宋" w:cs="仿宋"/>
                <w:bCs/>
                <w:color w:val="auto"/>
                <w:szCs w:val="20"/>
                <w:highlight w:val="none"/>
              </w:rPr>
            </w:pPr>
            <w:r>
              <w:rPr>
                <w:rFonts w:hint="eastAsia" w:ascii="仿宋" w:hAnsi="仿宋" w:eastAsia="仿宋" w:cs="仿宋"/>
                <w:bCs/>
                <w:color w:val="auto"/>
                <w:szCs w:val="20"/>
                <w:highlight w:val="none"/>
              </w:rPr>
              <w:t>技术负责人</w:t>
            </w:r>
          </w:p>
        </w:tc>
        <w:tc>
          <w:tcPr>
            <w:tcW w:w="4395" w:type="dxa"/>
            <w:vAlign w:val="center"/>
          </w:tcPr>
          <w:p w14:paraId="3995B692">
            <w:pPr>
              <w:keepNext/>
              <w:keepLines/>
              <w:suppressLineNumbers w:val="0"/>
              <w:wordWrap w:val="0"/>
              <w:autoSpaceDE w:val="0"/>
              <w:autoSpaceDN w:val="0"/>
              <w:adjustRightInd w:val="0"/>
              <w:snapToGrid w:val="0"/>
              <w:spacing w:before="0" w:beforeAutospacing="0" w:after="0" w:afterAutospacing="0"/>
              <w:ind w:left="0" w:right="0"/>
              <w:jc w:val="left"/>
              <w:rPr>
                <w:rFonts w:hint="eastAsia" w:ascii="仿宋" w:hAnsi="仿宋" w:eastAsia="仿宋" w:cs="仿宋"/>
                <w:bCs/>
                <w:color w:val="auto"/>
                <w:szCs w:val="20"/>
                <w:highlight w:val="none"/>
              </w:rPr>
            </w:pPr>
            <w:r>
              <w:rPr>
                <w:rFonts w:hint="eastAsia" w:ascii="仿宋" w:hAnsi="仿宋" w:eastAsia="仿宋" w:cs="仿宋"/>
                <w:bCs/>
                <w:color w:val="auto"/>
                <w:szCs w:val="20"/>
                <w:highlight w:val="none"/>
              </w:rPr>
              <w:t>具有检测人员岗位证书或试验检测师或试验检测工程师证书</w:t>
            </w:r>
          </w:p>
        </w:tc>
        <w:tc>
          <w:tcPr>
            <w:tcW w:w="1290" w:type="dxa"/>
            <w:vAlign w:val="center"/>
          </w:tcPr>
          <w:p w14:paraId="5D005107">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仿宋" w:hAnsi="仿宋" w:eastAsia="仿宋" w:cs="仿宋"/>
                <w:bCs/>
                <w:color w:val="auto"/>
                <w:szCs w:val="20"/>
                <w:highlight w:val="none"/>
              </w:rPr>
            </w:pPr>
            <w:r>
              <w:rPr>
                <w:rFonts w:hint="eastAsia" w:ascii="仿宋" w:hAnsi="仿宋" w:eastAsia="仿宋" w:cs="仿宋"/>
                <w:bCs/>
                <w:color w:val="auto"/>
                <w:szCs w:val="20"/>
                <w:highlight w:val="none"/>
              </w:rPr>
              <w:t>1</w:t>
            </w:r>
          </w:p>
        </w:tc>
        <w:tc>
          <w:tcPr>
            <w:tcW w:w="2327" w:type="dxa"/>
            <w:vAlign w:val="center"/>
          </w:tcPr>
          <w:p w14:paraId="1B866221">
            <w:pPr>
              <w:keepNext/>
              <w:keepLines/>
              <w:suppressLineNumbers w:val="0"/>
              <w:wordWrap w:val="0"/>
              <w:autoSpaceDE w:val="0"/>
              <w:autoSpaceDN w:val="0"/>
              <w:adjustRightInd w:val="0"/>
              <w:snapToGrid w:val="0"/>
              <w:spacing w:before="0" w:beforeAutospacing="0" w:after="0" w:afterAutospacing="0"/>
              <w:ind w:left="0" w:right="0"/>
              <w:jc w:val="center"/>
              <w:rPr>
                <w:rFonts w:hint="eastAsia" w:ascii="仿宋" w:hAnsi="仿宋" w:eastAsia="仿宋" w:cs="仿宋"/>
                <w:bCs/>
                <w:color w:val="auto"/>
                <w:szCs w:val="20"/>
                <w:highlight w:val="none"/>
              </w:rPr>
            </w:pPr>
          </w:p>
        </w:tc>
      </w:tr>
      <w:tr w14:paraId="325D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8" w:type="dxa"/>
            <w:vAlign w:val="center"/>
          </w:tcPr>
          <w:p w14:paraId="7FF2AAE7">
            <w:pPr>
              <w:keepNext/>
              <w:keepLines/>
              <w:pageBreakBefore w:val="0"/>
              <w:widowControl w:val="0"/>
              <w:suppressLineNumbers w:val="0"/>
              <w:shd w:val="clear"/>
              <w:kinsoku/>
              <w:wordWrap w:val="0"/>
              <w:overflowPunct/>
              <w:topLinePunct w:val="0"/>
              <w:autoSpaceDE w:val="0"/>
              <w:autoSpaceDN w:val="0"/>
              <w:bidi w:val="0"/>
              <w:adjustRightInd w:val="0"/>
              <w:snapToGrid w:val="0"/>
              <w:spacing w:before="0" w:beforeAutospacing="0" w:after="0" w:afterAutospacing="0" w:line="240" w:lineRule="auto"/>
              <w:ind w:left="0" w:right="0"/>
              <w:jc w:val="center"/>
              <w:textAlignment w:val="auto"/>
              <w:outlineLvl w:val="9"/>
              <w:rPr>
                <w:rFonts w:hint="eastAsia" w:ascii="仿宋" w:hAnsi="仿宋" w:eastAsia="仿宋" w:cs="仿宋"/>
                <w:bCs/>
                <w:color w:val="auto"/>
                <w:szCs w:val="20"/>
                <w:highlight w:val="none"/>
              </w:rPr>
            </w:pPr>
            <w:r>
              <w:rPr>
                <w:rFonts w:hint="eastAsia" w:ascii="仿宋" w:hAnsi="仿宋" w:eastAsia="仿宋" w:cs="仿宋"/>
                <w:b w:val="0"/>
                <w:bCs/>
                <w:color w:val="auto"/>
                <w:szCs w:val="20"/>
                <w:highlight w:val="none"/>
                <w:vertAlign w:val="baseline"/>
                <w:lang w:val="en-US" w:eastAsia="zh-CN"/>
              </w:rPr>
              <w:t>资料员</w:t>
            </w:r>
          </w:p>
        </w:tc>
        <w:tc>
          <w:tcPr>
            <w:tcW w:w="4395" w:type="dxa"/>
            <w:vAlign w:val="center"/>
          </w:tcPr>
          <w:p w14:paraId="03547DE4">
            <w:pPr>
              <w:keepNext/>
              <w:keepLines/>
              <w:pageBreakBefore w:val="0"/>
              <w:widowControl w:val="0"/>
              <w:suppressLineNumbers w:val="0"/>
              <w:shd w:val="clear"/>
              <w:kinsoku/>
              <w:wordWrap w:val="0"/>
              <w:overflowPunct/>
              <w:topLinePunct w:val="0"/>
              <w:autoSpaceDE w:val="0"/>
              <w:autoSpaceDN w:val="0"/>
              <w:bidi w:val="0"/>
              <w:adjustRightInd w:val="0"/>
              <w:snapToGrid w:val="0"/>
              <w:spacing w:before="0" w:beforeAutospacing="0" w:after="0" w:afterAutospacing="0" w:line="240" w:lineRule="auto"/>
              <w:ind w:left="0" w:right="0"/>
              <w:jc w:val="left"/>
              <w:textAlignment w:val="auto"/>
              <w:outlineLvl w:val="9"/>
              <w:rPr>
                <w:rFonts w:hint="eastAsia" w:ascii="仿宋" w:hAnsi="仿宋" w:eastAsia="仿宋" w:cs="仿宋"/>
                <w:bCs/>
                <w:color w:val="auto"/>
                <w:szCs w:val="20"/>
                <w:highlight w:val="none"/>
              </w:rPr>
            </w:pPr>
            <w:r>
              <w:rPr>
                <w:rFonts w:hint="eastAsia" w:ascii="仿宋" w:hAnsi="仿宋" w:eastAsia="仿宋" w:cs="仿宋"/>
                <w:b w:val="0"/>
                <w:bCs/>
                <w:color w:val="auto"/>
                <w:szCs w:val="20"/>
                <w:highlight w:val="none"/>
                <w:vertAlign w:val="baseline"/>
                <w:lang w:val="en-US" w:eastAsia="zh-CN"/>
              </w:rPr>
              <w:t>均须具有检测人员岗位资格证书</w:t>
            </w:r>
          </w:p>
        </w:tc>
        <w:tc>
          <w:tcPr>
            <w:tcW w:w="1290" w:type="dxa"/>
            <w:vAlign w:val="center"/>
          </w:tcPr>
          <w:p w14:paraId="238EB3B1">
            <w:pPr>
              <w:keepNext/>
              <w:keepLines/>
              <w:pageBreakBefore w:val="0"/>
              <w:widowControl w:val="0"/>
              <w:suppressLineNumbers w:val="0"/>
              <w:shd w:val="clear"/>
              <w:kinsoku/>
              <w:wordWrap w:val="0"/>
              <w:overflowPunct/>
              <w:topLinePunct w:val="0"/>
              <w:autoSpaceDE w:val="0"/>
              <w:autoSpaceDN w:val="0"/>
              <w:bidi w:val="0"/>
              <w:adjustRightInd w:val="0"/>
              <w:snapToGrid w:val="0"/>
              <w:spacing w:before="0" w:beforeAutospacing="0" w:after="0" w:afterAutospacing="0" w:line="240" w:lineRule="auto"/>
              <w:ind w:left="0" w:right="0"/>
              <w:jc w:val="center"/>
              <w:textAlignment w:val="auto"/>
              <w:outlineLvl w:val="9"/>
              <w:rPr>
                <w:rFonts w:hint="eastAsia" w:ascii="仿宋" w:hAnsi="仿宋" w:eastAsia="仿宋" w:cs="仿宋"/>
                <w:bCs/>
                <w:color w:val="auto"/>
                <w:szCs w:val="20"/>
                <w:highlight w:val="none"/>
              </w:rPr>
            </w:pPr>
            <w:r>
              <w:rPr>
                <w:rFonts w:hint="eastAsia" w:ascii="仿宋" w:hAnsi="仿宋" w:eastAsia="仿宋" w:cs="仿宋"/>
                <w:b w:val="0"/>
                <w:bCs/>
                <w:color w:val="auto"/>
                <w:szCs w:val="20"/>
                <w:highlight w:val="none"/>
                <w:vertAlign w:val="baseline"/>
                <w:lang w:val="en-US" w:eastAsia="zh-CN"/>
              </w:rPr>
              <w:t>1</w:t>
            </w:r>
          </w:p>
        </w:tc>
        <w:tc>
          <w:tcPr>
            <w:tcW w:w="2327" w:type="dxa"/>
            <w:vAlign w:val="center"/>
          </w:tcPr>
          <w:p w14:paraId="622AA4C3">
            <w:pPr>
              <w:keepNext/>
              <w:keepLines/>
              <w:pageBreakBefore w:val="0"/>
              <w:widowControl w:val="0"/>
              <w:suppressLineNumbers w:val="0"/>
              <w:shd w:val="clear"/>
              <w:kinsoku/>
              <w:wordWrap w:val="0"/>
              <w:overflowPunct/>
              <w:topLinePunct w:val="0"/>
              <w:autoSpaceDE w:val="0"/>
              <w:autoSpaceDN w:val="0"/>
              <w:bidi w:val="0"/>
              <w:adjustRightInd w:val="0"/>
              <w:snapToGrid w:val="0"/>
              <w:spacing w:before="0" w:beforeAutospacing="0" w:after="0" w:afterAutospacing="0" w:line="240" w:lineRule="auto"/>
              <w:ind w:left="0" w:right="0"/>
              <w:jc w:val="center"/>
              <w:textAlignment w:val="auto"/>
              <w:outlineLvl w:val="9"/>
              <w:rPr>
                <w:rFonts w:hint="eastAsia" w:ascii="仿宋" w:hAnsi="仿宋" w:eastAsia="仿宋" w:cs="仿宋"/>
                <w:bCs/>
                <w:color w:val="auto"/>
                <w:szCs w:val="20"/>
                <w:highlight w:val="none"/>
              </w:rPr>
            </w:pPr>
          </w:p>
        </w:tc>
      </w:tr>
    </w:tbl>
    <w:p w14:paraId="4D403570">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未经甲方同意，乙方委派的</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负责人和技术负责人与本合同约定的人选不一致的，乙方应承担违约责任，</w:t>
      </w:r>
      <w:r>
        <w:rPr>
          <w:rFonts w:hint="eastAsia" w:ascii="仿宋" w:hAnsi="仿宋" w:eastAsia="仿宋" w:cs="仿宋"/>
          <w:color w:val="auto"/>
          <w:sz w:val="28"/>
          <w:szCs w:val="28"/>
          <w:highlight w:val="none"/>
          <w:lang w:val="en-US" w:eastAsia="zh-CN"/>
        </w:rPr>
        <w:t>甲方有权按合同约定向乙方收取违约金</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rPr>
        <w:t>保留单方解除合同的权利。</w:t>
      </w:r>
    </w:p>
    <w:p w14:paraId="1D8F4ECC">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2.3 试验检测设备及场所 </w:t>
      </w:r>
    </w:p>
    <w:p w14:paraId="1DCEAE18">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外地检测机构在安庆的分支机构应具备在本地所开展检测业务相适应的试验场所和检测设备，应取得安徽省市场监督管理局对检验检测机构资质认定(CMA认证)，并且符合工程检测项目如混凝土试块、环刀、压实度等检测的时效性或真实性要求。</w:t>
      </w:r>
    </w:p>
    <w:p w14:paraId="1CF99B39">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 委托人提供的工程资料、设计图纸和其他文件具体为：</w:t>
      </w:r>
      <w:r>
        <w:rPr>
          <w:rFonts w:hint="eastAsia" w:ascii="仿宋" w:hAnsi="仿宋" w:eastAsia="仿宋" w:cs="仿宋"/>
          <w:color w:val="auto"/>
          <w:sz w:val="28"/>
          <w:szCs w:val="28"/>
          <w:highlight w:val="none"/>
          <w:u w:val="single"/>
        </w:rPr>
        <w:t xml:space="preserve"> 施工图纸 </w:t>
      </w:r>
      <w:r>
        <w:rPr>
          <w:rFonts w:hint="eastAsia" w:ascii="仿宋" w:hAnsi="仿宋" w:eastAsia="仿宋" w:cs="仿宋"/>
          <w:color w:val="auto"/>
          <w:sz w:val="28"/>
          <w:szCs w:val="28"/>
          <w:highlight w:val="none"/>
        </w:rPr>
        <w:t>；提供的时间具体为</w:t>
      </w:r>
      <w:r>
        <w:rPr>
          <w:rFonts w:hint="eastAsia" w:ascii="仿宋" w:hAnsi="仿宋" w:eastAsia="仿宋" w:cs="仿宋"/>
          <w:color w:val="auto"/>
          <w:sz w:val="28"/>
          <w:szCs w:val="28"/>
          <w:highlight w:val="none"/>
          <w:u w:val="single"/>
        </w:rPr>
        <w:t>检测工作开始前一周内提供</w:t>
      </w:r>
      <w:r>
        <w:rPr>
          <w:rFonts w:hint="eastAsia" w:ascii="仿宋" w:hAnsi="仿宋" w:eastAsia="仿宋" w:cs="仿宋"/>
          <w:color w:val="auto"/>
          <w:sz w:val="28"/>
          <w:szCs w:val="28"/>
          <w:highlight w:val="none"/>
        </w:rPr>
        <w:t>；份数分别为：</w:t>
      </w:r>
      <w:r>
        <w:rPr>
          <w:rFonts w:hint="eastAsia" w:ascii="仿宋" w:hAnsi="仿宋" w:eastAsia="仿宋" w:cs="仿宋"/>
          <w:color w:val="auto"/>
          <w:sz w:val="28"/>
          <w:szCs w:val="28"/>
          <w:highlight w:val="none"/>
          <w:u w:val="single"/>
        </w:rPr>
        <w:t xml:space="preserve"> 1 </w:t>
      </w:r>
      <w:r>
        <w:rPr>
          <w:rFonts w:hint="eastAsia" w:ascii="仿宋" w:hAnsi="仿宋" w:eastAsia="仿宋" w:cs="仿宋"/>
          <w:color w:val="auto"/>
          <w:sz w:val="28"/>
          <w:szCs w:val="28"/>
          <w:highlight w:val="none"/>
        </w:rPr>
        <w:t xml:space="preserve">份 。 </w:t>
      </w:r>
    </w:p>
    <w:p w14:paraId="2EC49EA4">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 委托人代表为：</w:t>
      </w:r>
      <w:r>
        <w:rPr>
          <w:rFonts w:hint="eastAsia" w:ascii="仿宋" w:hAnsi="仿宋" w:eastAsia="仿宋" w:cs="仿宋"/>
          <w:color w:val="auto"/>
          <w:sz w:val="28"/>
          <w:szCs w:val="28"/>
          <w:highlight w:val="none"/>
          <w:u w:val="single"/>
        </w:rPr>
        <w:t xml:space="preserve"> 薛建兵 </w:t>
      </w:r>
      <w:r>
        <w:rPr>
          <w:rFonts w:hint="eastAsia" w:ascii="仿宋" w:hAnsi="仿宋" w:eastAsia="仿宋" w:cs="仿宋"/>
          <w:color w:val="auto"/>
          <w:sz w:val="28"/>
          <w:szCs w:val="28"/>
          <w:highlight w:val="none"/>
        </w:rPr>
        <w:t>； 委托人代表电话为：</w:t>
      </w:r>
      <w:r>
        <w:rPr>
          <w:rFonts w:hint="eastAsia" w:ascii="仿宋" w:hAnsi="仿宋" w:eastAsia="仿宋" w:cs="仿宋"/>
          <w:color w:val="auto"/>
          <w:sz w:val="28"/>
          <w:szCs w:val="28"/>
          <w:highlight w:val="none"/>
          <w:u w:val="single"/>
        </w:rPr>
        <w:t xml:space="preserve"> 15905657002 </w:t>
      </w:r>
      <w:r>
        <w:rPr>
          <w:rFonts w:hint="eastAsia" w:ascii="仿宋" w:hAnsi="仿宋" w:eastAsia="仿宋" w:cs="仿宋"/>
          <w:color w:val="auto"/>
          <w:sz w:val="28"/>
          <w:szCs w:val="28"/>
          <w:highlight w:val="none"/>
        </w:rPr>
        <w:t>；</w:t>
      </w:r>
    </w:p>
    <w:p w14:paraId="4806D79D">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 书面答复检测人的时间为：</w:t>
      </w:r>
      <w:r>
        <w:rPr>
          <w:rFonts w:hint="eastAsia" w:ascii="仿宋" w:hAnsi="仿宋" w:eastAsia="仿宋" w:cs="仿宋"/>
          <w:color w:val="auto"/>
          <w:sz w:val="28"/>
          <w:szCs w:val="28"/>
          <w:highlight w:val="none"/>
          <w:u w:val="single"/>
        </w:rPr>
        <w:t xml:space="preserve"> 14 </w:t>
      </w:r>
      <w:r>
        <w:rPr>
          <w:rFonts w:hint="eastAsia" w:ascii="仿宋" w:hAnsi="仿宋" w:eastAsia="仿宋" w:cs="仿宋"/>
          <w:color w:val="auto"/>
          <w:sz w:val="28"/>
          <w:szCs w:val="28"/>
          <w:highlight w:val="none"/>
        </w:rPr>
        <w:t xml:space="preserve">日。 </w:t>
      </w:r>
    </w:p>
    <w:p w14:paraId="498A7A4D">
      <w:pPr>
        <w:adjustRightInd w:val="0"/>
        <w:snapToGrid w:val="0"/>
        <w:spacing w:line="480" w:lineRule="exact"/>
        <w:ind w:firstLine="560" w:firstLineChars="200"/>
        <w:outlineLvl w:val="1"/>
        <w:rPr>
          <w:rFonts w:hint="eastAsia" w:ascii="仿宋" w:hAnsi="仿宋" w:eastAsia="仿宋" w:cs="仿宋"/>
          <w:color w:val="auto"/>
          <w:sz w:val="28"/>
          <w:szCs w:val="28"/>
          <w:highlight w:val="none"/>
        </w:rPr>
      </w:pPr>
      <w:bookmarkStart w:id="112" w:name="_Toc30290"/>
      <w:r>
        <w:rPr>
          <w:rFonts w:hint="eastAsia" w:ascii="仿宋" w:hAnsi="仿宋" w:eastAsia="仿宋" w:cs="仿宋"/>
          <w:color w:val="auto"/>
          <w:sz w:val="28"/>
          <w:szCs w:val="28"/>
          <w:highlight w:val="none"/>
        </w:rPr>
        <w:t>3. 检测人义务</w:t>
      </w:r>
      <w:bookmarkEnd w:id="112"/>
      <w:r>
        <w:rPr>
          <w:rFonts w:hint="eastAsia" w:ascii="仿宋" w:hAnsi="仿宋" w:eastAsia="仿宋" w:cs="仿宋"/>
          <w:color w:val="auto"/>
          <w:sz w:val="28"/>
          <w:szCs w:val="28"/>
          <w:highlight w:val="none"/>
        </w:rPr>
        <w:t xml:space="preserve"> </w:t>
      </w:r>
    </w:p>
    <w:p w14:paraId="6082B4C3">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113" w:name="_Toc9039"/>
      <w:r>
        <w:rPr>
          <w:rFonts w:hint="eastAsia" w:ascii="仿宋" w:hAnsi="仿宋" w:eastAsia="仿宋" w:cs="仿宋"/>
          <w:color w:val="auto"/>
          <w:sz w:val="28"/>
          <w:szCs w:val="28"/>
          <w:highlight w:val="none"/>
        </w:rPr>
        <w:t>3.1一般义务</w:t>
      </w:r>
      <w:bookmarkEnd w:id="113"/>
      <w:r>
        <w:rPr>
          <w:rFonts w:hint="eastAsia" w:ascii="仿宋" w:hAnsi="仿宋" w:eastAsia="仿宋" w:cs="仿宋"/>
          <w:color w:val="auto"/>
          <w:sz w:val="28"/>
          <w:szCs w:val="28"/>
          <w:highlight w:val="none"/>
        </w:rPr>
        <w:t xml:space="preserve"> </w:t>
      </w:r>
    </w:p>
    <w:p w14:paraId="546AC641">
      <w:pPr>
        <w:numPr>
          <w:ilvl w:val="2"/>
          <w:numId w:val="26"/>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检测工程项目为：</w:t>
      </w:r>
    </w:p>
    <w:p w14:paraId="5A55DE6F">
      <w:pPr>
        <w:keepNext w:val="0"/>
        <w:keepLines w:val="0"/>
        <w:pageBreakBefore w:val="0"/>
        <w:widowControl w:val="0"/>
        <w:numPr>
          <w:ilvl w:val="0"/>
          <w:numId w:val="36"/>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桩基检测（地基基础工程检测）；检测方法、要求、内容及数量等详见施工图及相关规范，服务成果应达到或满足国家和行业标准、规程规范及采购人要求的质量，满足工程验收需要，并为本项目竣工验收提供有关检测方面的技术支持。甲方保留调整检测项目发包范围和内容的权利，乙方无异议。</w:t>
      </w:r>
    </w:p>
    <w:p w14:paraId="6A3E619F">
      <w:pPr>
        <w:adjustRightInd w:val="0"/>
        <w:snapToGrid w:val="0"/>
        <w:spacing w:line="48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检测范围包括但不限于以上内容，具体检测要求详见图纸及相关规范，检测报告应满足行业主管部门验收强制性要求。</w:t>
      </w:r>
    </w:p>
    <w:p w14:paraId="115D800C">
      <w:pPr>
        <w:keepNext w:val="0"/>
        <w:keepLines w:val="0"/>
        <w:pageBreakBefore w:val="0"/>
        <w:widowControl w:val="0"/>
        <w:numPr>
          <w:ilvl w:val="0"/>
          <w:numId w:val="36"/>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项目建设全过程工程质量检测服务，检测专项包括但不限于建筑材料及构配件、主体结构及装饰装修、市政工程材料、钢结构、防雷检测以及项目竣工验收涉及的必要检测，具体检测要求详见图纸及相关规范，检测范围和检测报告应满足行业主管部门验收强制性要求</w:t>
      </w:r>
      <w:r>
        <w:rPr>
          <w:rFonts w:hint="eastAsia" w:ascii="仿宋" w:hAnsi="仿宋" w:eastAsia="仿宋" w:cs="仿宋"/>
          <w:color w:val="auto"/>
          <w:sz w:val="28"/>
          <w:szCs w:val="28"/>
          <w:highlight w:val="none"/>
        </w:rPr>
        <w:t xml:space="preserve">。 </w:t>
      </w:r>
    </w:p>
    <w:p w14:paraId="4B0612B7">
      <w:pPr>
        <w:keepNext w:val="0"/>
        <w:keepLines w:val="0"/>
        <w:pageBreakBefore w:val="0"/>
        <w:widowControl w:val="0"/>
        <w:numPr>
          <w:ilvl w:val="0"/>
          <w:numId w:val="36"/>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服务期限：</w:t>
      </w:r>
      <w:r>
        <w:rPr>
          <w:rFonts w:hint="eastAsia" w:ascii="仿宋" w:hAnsi="仿宋" w:eastAsia="仿宋" w:cs="仿宋"/>
          <w:color w:val="auto"/>
          <w:sz w:val="28"/>
          <w:szCs w:val="28"/>
          <w:highlight w:val="none"/>
          <w:u w:val="single"/>
        </w:rPr>
        <w:t>自招标人下达检测通知之日起至提交合格的经招标人确认的成果文件时止，检测单位应根据工程的施工进度情况合理安排检测工期，整个检测工期应配合总包施工的工期安排</w:t>
      </w:r>
      <w:r>
        <w:rPr>
          <w:rFonts w:hint="eastAsia" w:ascii="仿宋" w:hAnsi="仿宋" w:eastAsia="仿宋" w:cs="仿宋"/>
          <w:color w:val="auto"/>
          <w:sz w:val="28"/>
          <w:szCs w:val="28"/>
          <w:highlight w:val="none"/>
        </w:rPr>
        <w:t xml:space="preserve">。 </w:t>
      </w:r>
    </w:p>
    <w:p w14:paraId="5C132A7D">
      <w:pPr>
        <w:keepNext w:val="0"/>
        <w:keepLines w:val="0"/>
        <w:pageBreakBefore w:val="0"/>
        <w:widowControl w:val="0"/>
        <w:numPr>
          <w:ilvl w:val="0"/>
          <w:numId w:val="36"/>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乙方自行解决现场用水、用电及临时设施。</w:t>
      </w:r>
    </w:p>
    <w:p w14:paraId="4A6C3C93">
      <w:pPr>
        <w:keepNext w:val="0"/>
        <w:keepLines w:val="0"/>
        <w:pageBreakBefore w:val="0"/>
        <w:widowControl w:val="0"/>
        <w:numPr>
          <w:ilvl w:val="0"/>
          <w:numId w:val="36"/>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检测人义务：</w:t>
      </w:r>
    </w:p>
    <w:p w14:paraId="108888C1">
      <w:pPr>
        <w:keepNext w:val="0"/>
        <w:keepLines w:val="0"/>
        <w:pageBreakBefore w:val="0"/>
        <w:widowControl w:val="0"/>
        <w:numPr>
          <w:ilvl w:val="0"/>
          <w:numId w:val="37"/>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向甲方书面提出检测现场准备工作要求。成交人在接到采购人通知2天内必须组织人员进场，因成交人原因延误进场时间的，采购人有权对其进行处罚。</w:t>
      </w:r>
    </w:p>
    <w:p w14:paraId="0A7A22FB">
      <w:pPr>
        <w:keepNext w:val="0"/>
        <w:keepLines w:val="0"/>
        <w:pageBreakBefore w:val="0"/>
        <w:widowControl w:val="0"/>
        <w:numPr>
          <w:ilvl w:val="0"/>
          <w:numId w:val="37"/>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签订后三日内，成交人须根据本项目施工图纸和技术规范编制切实可行的检测方案（含数量、频率、方法、标准等）报采购人审批，并按审批后方案认真检测，成交人只对采购人负责，严禁听从监理单位与施工单位，否则，予以重罚直至终止合同。</w:t>
      </w:r>
    </w:p>
    <w:p w14:paraId="20A34DD9">
      <w:pPr>
        <w:keepNext w:val="0"/>
        <w:keepLines w:val="0"/>
        <w:pageBreakBefore w:val="0"/>
        <w:widowControl w:val="0"/>
        <w:numPr>
          <w:ilvl w:val="0"/>
          <w:numId w:val="37"/>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成交人须保证本公司出具的实验数据</w:t>
      </w:r>
      <w:r>
        <w:rPr>
          <w:rFonts w:hint="eastAsia" w:ascii="仿宋" w:hAnsi="仿宋" w:eastAsia="仿宋" w:cs="仿宋"/>
          <w:color w:val="auto"/>
          <w:sz w:val="28"/>
          <w:szCs w:val="28"/>
          <w:highlight w:val="none"/>
          <w:lang w:val="en-US" w:eastAsia="zh-CN"/>
        </w:rPr>
        <w:t>和</w:t>
      </w:r>
      <w:r>
        <w:rPr>
          <w:rFonts w:hint="eastAsia" w:ascii="仿宋" w:hAnsi="仿宋" w:eastAsia="仿宋" w:cs="仿宋"/>
          <w:color w:val="auto"/>
          <w:sz w:val="28"/>
          <w:szCs w:val="28"/>
          <w:highlight w:val="none"/>
        </w:rPr>
        <w:t>检测数据能够准确、及时、真实</w:t>
      </w:r>
      <w:r>
        <w:rPr>
          <w:rFonts w:hint="eastAsia" w:ascii="仿宋" w:hAnsi="仿宋" w:eastAsia="仿宋" w:cs="仿宋"/>
          <w:color w:val="auto"/>
          <w:sz w:val="28"/>
          <w:szCs w:val="28"/>
          <w:highlight w:val="none"/>
          <w:lang w:val="en-US" w:eastAsia="zh-CN"/>
        </w:rPr>
        <w:t>地</w:t>
      </w:r>
      <w:r>
        <w:rPr>
          <w:rFonts w:hint="eastAsia" w:ascii="仿宋" w:hAnsi="仿宋" w:eastAsia="仿宋" w:cs="仿宋"/>
          <w:color w:val="auto"/>
          <w:sz w:val="28"/>
          <w:szCs w:val="28"/>
          <w:highlight w:val="none"/>
        </w:rPr>
        <w:t>反映工程实体质量，并对本公司出具的所有试验报告负法律责任。成交人必须确保其各项检测数据真实有效，并能准确反映检测项目的质量情况。现场取样须符合设计及规范要求，取样分布、分层均匀，成交人违反上述规定要求，造成工程质量、安全事故的，采购人将依据国家有关规定，追究其责任。</w:t>
      </w:r>
    </w:p>
    <w:p w14:paraId="2F5A4457">
      <w:pPr>
        <w:keepNext w:val="0"/>
        <w:keepLines w:val="0"/>
        <w:pageBreakBefore w:val="0"/>
        <w:widowControl w:val="0"/>
        <w:numPr>
          <w:ilvl w:val="0"/>
          <w:numId w:val="37"/>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提供检测设备、仪器及压重物并负责安装及进退场。</w:t>
      </w:r>
    </w:p>
    <w:p w14:paraId="34FC8A1C">
      <w:pPr>
        <w:keepNext w:val="0"/>
        <w:keepLines w:val="0"/>
        <w:pageBreakBefore w:val="0"/>
        <w:widowControl w:val="0"/>
        <w:numPr>
          <w:ilvl w:val="0"/>
          <w:numId w:val="37"/>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按本合同的约定进行检测，按甲方要求分批提供检测结果报告</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份数按甲方要求</w:t>
      </w:r>
      <w:r>
        <w:rPr>
          <w:rFonts w:hint="eastAsia" w:ascii="仿宋" w:hAnsi="仿宋" w:eastAsia="仿宋" w:cs="仿宋"/>
          <w:color w:val="auto"/>
          <w:sz w:val="28"/>
          <w:szCs w:val="28"/>
          <w:highlight w:val="none"/>
        </w:rPr>
        <w:t>。成交人的检测结果，要第一时间以书面形式快报给采购人及监理。成交人须定期向采购人汇报月度检测内容及下一步工作安排，以便使试验检测工作更好</w:t>
      </w:r>
      <w:r>
        <w:rPr>
          <w:rFonts w:hint="eastAsia" w:ascii="仿宋" w:hAnsi="仿宋" w:eastAsia="仿宋" w:cs="仿宋"/>
          <w:color w:val="auto"/>
          <w:sz w:val="28"/>
          <w:szCs w:val="28"/>
          <w:highlight w:val="none"/>
          <w:lang w:val="en-US" w:eastAsia="zh-CN"/>
        </w:rPr>
        <w:t>地</w:t>
      </w:r>
      <w:r>
        <w:rPr>
          <w:rFonts w:hint="eastAsia" w:ascii="仿宋" w:hAnsi="仿宋" w:eastAsia="仿宋" w:cs="仿宋"/>
          <w:color w:val="auto"/>
          <w:sz w:val="28"/>
          <w:szCs w:val="28"/>
          <w:highlight w:val="none"/>
        </w:rPr>
        <w:t>服务于工程施工。</w:t>
      </w:r>
    </w:p>
    <w:p w14:paraId="574B191B">
      <w:pPr>
        <w:keepNext w:val="0"/>
        <w:keepLines w:val="0"/>
        <w:pageBreakBefore w:val="0"/>
        <w:widowControl w:val="0"/>
        <w:numPr>
          <w:ilvl w:val="0"/>
          <w:numId w:val="37"/>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保证检测公正，方法科学，数据准确，服务及时。保证具有承接项目所需的资质和资格，保证检测结果报告符合执行规范、规程和地方管理条例规定。</w:t>
      </w:r>
    </w:p>
    <w:p w14:paraId="770EFED7">
      <w:pPr>
        <w:keepNext w:val="0"/>
        <w:keepLines w:val="0"/>
        <w:pageBreakBefore w:val="0"/>
        <w:widowControl w:val="0"/>
        <w:numPr>
          <w:ilvl w:val="0"/>
          <w:numId w:val="37"/>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提交的检测报告应盖有国家或本地主管部门认可的有关标志。</w:t>
      </w:r>
    </w:p>
    <w:p w14:paraId="15537CBD">
      <w:pPr>
        <w:keepNext w:val="0"/>
        <w:keepLines w:val="0"/>
        <w:pageBreakBefore w:val="0"/>
        <w:widowControl w:val="0"/>
        <w:numPr>
          <w:ilvl w:val="0"/>
          <w:numId w:val="37"/>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在施工过程中必须确保安全，遵守安全守则。检测过程中，因乙方自身原因所引起的安全事故由乙方负全责；乙方的设备、材料、人员等的生产安全及社会保险由乙方自行承担；出现工伤事故及造成甲方或第三人财产损失的，由乙方承担全部责任。</w:t>
      </w:r>
    </w:p>
    <w:p w14:paraId="3EE5113D">
      <w:pPr>
        <w:keepNext w:val="0"/>
        <w:keepLines w:val="0"/>
        <w:pageBreakBefore w:val="0"/>
        <w:widowControl w:val="0"/>
        <w:numPr>
          <w:ilvl w:val="0"/>
          <w:numId w:val="37"/>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乙方应在甲方要求的时间内，按甲方现场工程师指定的形式及详细程度申报施工进度计划及详细的检测方案并根据工程师的审核意见予以修改、完善和认真落实。</w:t>
      </w:r>
    </w:p>
    <w:p w14:paraId="74D31BF0">
      <w:pPr>
        <w:keepNext w:val="0"/>
        <w:keepLines w:val="0"/>
        <w:pageBreakBefore w:val="0"/>
        <w:widowControl w:val="0"/>
        <w:numPr>
          <w:ilvl w:val="0"/>
          <w:numId w:val="37"/>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确保检测方案通过甲方及主管部门的审查，确保该项目严格按</w:t>
      </w:r>
      <w:r>
        <w:rPr>
          <w:rFonts w:hint="eastAsia" w:ascii="仿宋" w:hAnsi="仿宋" w:eastAsia="仿宋" w:cs="仿宋"/>
          <w:bCs/>
          <w:color w:val="auto"/>
          <w:sz w:val="28"/>
          <w:szCs w:val="28"/>
          <w:highlight w:val="none"/>
        </w:rPr>
        <w:t>《建筑基桩检测技术规范》（JGJ106-2014）</w:t>
      </w:r>
      <w:r>
        <w:rPr>
          <w:rFonts w:hint="eastAsia" w:ascii="仿宋" w:hAnsi="仿宋" w:eastAsia="仿宋" w:cs="仿宋"/>
          <w:color w:val="auto"/>
          <w:sz w:val="28"/>
          <w:szCs w:val="28"/>
          <w:highlight w:val="none"/>
        </w:rPr>
        <w:t>等国家、本地、行业相关规范、规程、标准等进行检测，确保检测质量，并对测试结果负责；确保提供的检测结果通过甲方及主管部门的审查验收。</w:t>
      </w:r>
    </w:p>
    <w:p w14:paraId="61E3AAAA">
      <w:pPr>
        <w:keepNext w:val="0"/>
        <w:keepLines w:val="0"/>
        <w:pageBreakBefore w:val="0"/>
        <w:widowControl w:val="0"/>
        <w:numPr>
          <w:ilvl w:val="0"/>
          <w:numId w:val="37"/>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自收到发包人的有关资料和技术要求之日起，根据发包人的有关资料和技术要求于3 日内完成</w:t>
      </w:r>
      <w:r>
        <w:rPr>
          <w:rFonts w:hint="eastAsia" w:ascii="仿宋" w:hAnsi="仿宋" w:eastAsia="仿宋" w:cs="仿宋"/>
          <w:color w:val="auto"/>
          <w:sz w:val="28"/>
          <w:szCs w:val="28"/>
          <w:highlight w:val="none"/>
          <w:lang w:val="en-US" w:eastAsia="zh-CN"/>
        </w:rPr>
        <w:t>检测</w:t>
      </w:r>
      <w:r>
        <w:rPr>
          <w:rFonts w:hint="eastAsia" w:ascii="仿宋" w:hAnsi="仿宋" w:eastAsia="仿宋" w:cs="仿宋"/>
          <w:color w:val="auto"/>
          <w:sz w:val="28"/>
          <w:szCs w:val="28"/>
          <w:highlight w:val="none"/>
        </w:rPr>
        <w:t>方案的编制，交发包人监理及设计单位审定，施测方案经发包人监理及设计单位审定合格后方可进行施工（具体开工时间以发包人或发包人委托的监理单位下发的开工令为准）。</w:t>
      </w:r>
    </w:p>
    <w:p w14:paraId="09642818">
      <w:pPr>
        <w:keepNext w:val="0"/>
        <w:keepLines w:val="0"/>
        <w:pageBreakBefore w:val="0"/>
        <w:widowControl w:val="0"/>
        <w:numPr>
          <w:ilvl w:val="0"/>
          <w:numId w:val="37"/>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成交人必须配合采购人做好资料备案工作，检测人员须服从采购人的协调与安排，及时完成采购人临时指派的其他检测任务，按采购人要求参加工程调度会或验收等。</w:t>
      </w:r>
    </w:p>
    <w:p w14:paraId="30042254">
      <w:pPr>
        <w:keepNext w:val="0"/>
        <w:keepLines w:val="0"/>
        <w:pageBreakBefore w:val="0"/>
        <w:widowControl w:val="0"/>
        <w:numPr>
          <w:ilvl w:val="0"/>
          <w:numId w:val="37"/>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本项目满足规范要求的桩基检测</w:t>
      </w:r>
      <w:r>
        <w:rPr>
          <w:rFonts w:hint="eastAsia" w:ascii="仿宋" w:hAnsi="仿宋" w:eastAsia="仿宋" w:cs="仿宋"/>
          <w:color w:val="auto"/>
          <w:sz w:val="28"/>
          <w:szCs w:val="28"/>
          <w:highlight w:val="none"/>
          <w:lang w:val="en-US" w:eastAsia="zh-CN"/>
        </w:rPr>
        <w:t>及建设工程质量检测项</w:t>
      </w:r>
      <w:r>
        <w:rPr>
          <w:rFonts w:hint="eastAsia" w:ascii="仿宋" w:hAnsi="仿宋" w:eastAsia="仿宋" w:cs="仿宋"/>
          <w:color w:val="auto"/>
          <w:sz w:val="28"/>
          <w:szCs w:val="28"/>
          <w:highlight w:val="none"/>
        </w:rPr>
        <w:t>目均包含在</w:t>
      </w:r>
      <w:r>
        <w:rPr>
          <w:rFonts w:hint="eastAsia" w:ascii="仿宋" w:hAnsi="仿宋" w:eastAsia="仿宋" w:cs="仿宋"/>
          <w:color w:val="auto"/>
          <w:sz w:val="28"/>
          <w:szCs w:val="28"/>
          <w:highlight w:val="none"/>
          <w:lang w:val="en-US" w:eastAsia="zh-CN"/>
        </w:rPr>
        <w:t>本合同</w:t>
      </w:r>
      <w:r>
        <w:rPr>
          <w:rFonts w:hint="eastAsia" w:ascii="仿宋" w:hAnsi="仿宋" w:eastAsia="仿宋" w:cs="仿宋"/>
          <w:color w:val="auto"/>
          <w:sz w:val="28"/>
          <w:szCs w:val="28"/>
          <w:highlight w:val="none"/>
        </w:rPr>
        <w:t>范围内。</w:t>
      </w:r>
      <w:r>
        <w:rPr>
          <w:rFonts w:hint="eastAsia" w:ascii="仿宋" w:hAnsi="仿宋" w:eastAsia="仿宋" w:cs="仿宋"/>
          <w:color w:val="auto"/>
          <w:sz w:val="28"/>
          <w:szCs w:val="28"/>
          <w:highlight w:val="none"/>
          <w:lang w:val="en-US" w:eastAsia="zh-CN"/>
        </w:rPr>
        <w:t>成交人</w:t>
      </w:r>
      <w:r>
        <w:rPr>
          <w:rFonts w:hint="eastAsia" w:ascii="仿宋" w:hAnsi="仿宋" w:eastAsia="仿宋" w:cs="仿宋"/>
          <w:color w:val="auto"/>
          <w:sz w:val="28"/>
          <w:szCs w:val="28"/>
          <w:highlight w:val="none"/>
        </w:rPr>
        <w:t>须遵守并执行国家、省、市等出台的工程建设的相关检测文件。</w:t>
      </w:r>
      <w:r>
        <w:rPr>
          <w:rFonts w:hint="eastAsia" w:ascii="仿宋" w:hAnsi="仿宋" w:eastAsia="仿宋" w:cs="仿宋"/>
          <w:color w:val="auto"/>
          <w:sz w:val="28"/>
          <w:szCs w:val="28"/>
          <w:highlight w:val="none"/>
          <w:lang w:val="en-US" w:eastAsia="zh-CN"/>
        </w:rPr>
        <w:t>成交人的检测活动须</w:t>
      </w:r>
      <w:r>
        <w:rPr>
          <w:rFonts w:hint="eastAsia" w:ascii="仿宋" w:hAnsi="仿宋" w:eastAsia="仿宋" w:cs="仿宋"/>
          <w:color w:val="auto"/>
          <w:sz w:val="28"/>
          <w:szCs w:val="28"/>
          <w:highlight w:val="none"/>
        </w:rPr>
        <w:t>符合现行国家、行业技术标准，设计图纸及国家、省、市建设主管部门的相关文件规定，以满足工程施工及验收的需要。</w:t>
      </w:r>
    </w:p>
    <w:p w14:paraId="4308E5D3">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3.1.2 补充以下内容： </w:t>
      </w:r>
    </w:p>
    <w:p w14:paraId="4765A658">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应遵循《建设工程质量检测管理办法》（建设部令第 57 号）、安徽省和招标人相关管理规定。 </w:t>
      </w:r>
    </w:p>
    <w:p w14:paraId="21AB5DE1">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114" w:name="_Toc20140"/>
      <w:r>
        <w:rPr>
          <w:rFonts w:hint="eastAsia" w:ascii="仿宋" w:hAnsi="仿宋" w:eastAsia="仿宋" w:cs="仿宋"/>
          <w:color w:val="auto"/>
          <w:sz w:val="28"/>
          <w:szCs w:val="28"/>
          <w:highlight w:val="none"/>
        </w:rPr>
        <w:t>3.2检测机构和人员</w:t>
      </w:r>
      <w:bookmarkEnd w:id="114"/>
      <w:r>
        <w:rPr>
          <w:rFonts w:hint="eastAsia" w:ascii="仿宋" w:hAnsi="仿宋" w:eastAsia="仿宋" w:cs="仿宋"/>
          <w:color w:val="auto"/>
          <w:sz w:val="28"/>
          <w:szCs w:val="28"/>
          <w:highlight w:val="none"/>
        </w:rPr>
        <w:t xml:space="preserve"> </w:t>
      </w:r>
    </w:p>
    <w:p w14:paraId="463D4765">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3.2.1 补充以下内容 </w:t>
      </w:r>
    </w:p>
    <w:p w14:paraId="37E8D28C">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检测机构办公地点：</w:t>
      </w:r>
      <w:r>
        <w:rPr>
          <w:rFonts w:hint="eastAsia" w:ascii="仿宋" w:hAnsi="仿宋" w:eastAsia="仿宋" w:cs="仿宋"/>
          <w:color w:val="auto"/>
          <w:sz w:val="28"/>
          <w:szCs w:val="28"/>
          <w:highlight w:val="none"/>
          <w:u w:val="single"/>
        </w:rPr>
        <w:t>安庆市城区检测场所及施工现场</w:t>
      </w:r>
      <w:r>
        <w:rPr>
          <w:rFonts w:hint="eastAsia" w:ascii="仿宋" w:hAnsi="仿宋" w:eastAsia="仿宋" w:cs="仿宋"/>
          <w:color w:val="auto"/>
          <w:sz w:val="28"/>
          <w:szCs w:val="28"/>
          <w:highlight w:val="none"/>
        </w:rPr>
        <w:t>；工作方式：</w:t>
      </w:r>
      <w:r>
        <w:rPr>
          <w:rFonts w:hint="eastAsia" w:ascii="仿宋" w:hAnsi="仿宋" w:eastAsia="仿宋" w:cs="仿宋"/>
          <w:color w:val="auto"/>
          <w:sz w:val="28"/>
          <w:szCs w:val="28"/>
          <w:highlight w:val="none"/>
          <w:u w:val="single"/>
        </w:rPr>
        <w:t>在安庆市城区自有检测场所或成立现场试验（实验）室开展检测业务；承包人在承担检测业务所在地的人员、仪器设备、检测场所、质量保证体系等应当满足开展相应建设工程质量检测活动的要求。无论承包人在安庆市城区自有检测场所或成立现场试验（实验）室开展检测业务，检测场地均须根据本项目的规模和特点，设置办公室和各功能室，办公室和各功能室要分隔开，布局合理，仪器设备摆放科学整齐，派专人负责监督取样、接样、样品唯一性标识安贴、台账记录等相关工作</w:t>
      </w:r>
      <w:r>
        <w:rPr>
          <w:rFonts w:hint="eastAsia" w:ascii="仿宋" w:hAnsi="仿宋" w:eastAsia="仿宋" w:cs="仿宋"/>
          <w:color w:val="auto"/>
          <w:sz w:val="28"/>
          <w:szCs w:val="28"/>
          <w:highlight w:val="none"/>
        </w:rPr>
        <w:t>。</w:t>
      </w:r>
    </w:p>
    <w:p w14:paraId="79E20B10">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如中标人资质从业范围内无法满足该项目的检测项目，经监理人和招标人认可后，中标人可委托具备相应检测能力、资质的检测单位完成检测，并出具相应的检测报告，但所有费用应包含在本次投标报价中，且中标人必须对所有检测结果负总责</w:t>
      </w:r>
      <w:r>
        <w:rPr>
          <w:rFonts w:hint="eastAsia" w:ascii="仿宋" w:hAnsi="仿宋" w:eastAsia="仿宋" w:cs="仿宋"/>
          <w:color w:val="auto"/>
          <w:sz w:val="28"/>
          <w:szCs w:val="28"/>
          <w:highlight w:val="none"/>
        </w:rPr>
        <w:t>。</w:t>
      </w:r>
    </w:p>
    <w:p w14:paraId="6FCF6C94">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115" w:name="_Toc28227"/>
      <w:r>
        <w:rPr>
          <w:rFonts w:hint="eastAsia" w:ascii="仿宋" w:hAnsi="仿宋" w:eastAsia="仿宋" w:cs="仿宋"/>
          <w:color w:val="auto"/>
          <w:sz w:val="28"/>
          <w:szCs w:val="28"/>
          <w:highlight w:val="none"/>
        </w:rPr>
        <w:t>3.4履约担保</w:t>
      </w:r>
      <w:bookmarkEnd w:id="115"/>
      <w:r>
        <w:rPr>
          <w:rFonts w:hint="eastAsia" w:ascii="仿宋" w:hAnsi="仿宋" w:eastAsia="仿宋" w:cs="仿宋"/>
          <w:color w:val="auto"/>
          <w:sz w:val="28"/>
          <w:szCs w:val="28"/>
          <w:highlight w:val="none"/>
        </w:rPr>
        <w:t xml:space="preserve"> </w:t>
      </w:r>
    </w:p>
    <w:p w14:paraId="03856F11">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履约担保金额为：</w:t>
      </w:r>
      <w:r>
        <w:rPr>
          <w:rFonts w:hint="eastAsia" w:ascii="仿宋" w:hAnsi="仿宋" w:eastAsia="仿宋" w:cs="仿宋"/>
          <w:color w:val="auto"/>
          <w:sz w:val="28"/>
          <w:szCs w:val="28"/>
          <w:highlight w:val="none"/>
          <w:u w:val="single"/>
        </w:rPr>
        <w:t>成交价的 2％</w:t>
      </w:r>
      <w:r>
        <w:rPr>
          <w:rFonts w:hint="eastAsia" w:ascii="仿宋" w:hAnsi="仿宋" w:eastAsia="仿宋" w:cs="仿宋"/>
          <w:color w:val="auto"/>
          <w:sz w:val="28"/>
          <w:szCs w:val="28"/>
          <w:highlight w:val="none"/>
        </w:rPr>
        <w:t xml:space="preserve">； </w:t>
      </w:r>
    </w:p>
    <w:p w14:paraId="3102980C">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履约担保的形式：</w:t>
      </w:r>
      <w:r>
        <w:rPr>
          <w:rFonts w:hint="eastAsia" w:ascii="仿宋" w:hAnsi="仿宋" w:eastAsia="仿宋" w:cs="仿宋"/>
          <w:color w:val="auto"/>
          <w:sz w:val="28"/>
          <w:szCs w:val="28"/>
          <w:highlight w:val="none"/>
          <w:u w:val="single"/>
        </w:rPr>
        <w:t>☑转账/电汇 ☑支票 ☑汇票 ☑银行保函 ☑其他发包人认可的形式。联合体中标的，履约保证金须以联合体牵头人的名义提交。</w:t>
      </w:r>
    </w:p>
    <w:p w14:paraId="4B8FD907">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履约担保递交时间：</w:t>
      </w:r>
      <w:r>
        <w:rPr>
          <w:rFonts w:hint="eastAsia" w:ascii="仿宋" w:hAnsi="仿宋" w:eastAsia="仿宋" w:cs="仿宋"/>
          <w:color w:val="auto"/>
          <w:sz w:val="28"/>
          <w:szCs w:val="28"/>
          <w:highlight w:val="none"/>
          <w:u w:val="single"/>
        </w:rPr>
        <w:t>合同签订前按规定提交履约担保，若检测人在规定时限内未提交保证金的，委托人有权取消其中标资格；</w:t>
      </w:r>
      <w:r>
        <w:rPr>
          <w:rFonts w:hint="eastAsia" w:ascii="仿宋" w:hAnsi="仿宋" w:eastAsia="仿宋" w:cs="仿宋"/>
          <w:color w:val="auto"/>
          <w:sz w:val="28"/>
          <w:szCs w:val="28"/>
          <w:highlight w:val="none"/>
        </w:rPr>
        <w:t xml:space="preserve"> </w:t>
      </w:r>
    </w:p>
    <w:p w14:paraId="6885C51F">
      <w:pPr>
        <w:adjustRightInd w:val="0"/>
        <w:snapToGrid w:val="0"/>
        <w:spacing w:line="48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履约担保返还：</w:t>
      </w:r>
      <w:r>
        <w:rPr>
          <w:rFonts w:hint="eastAsia" w:ascii="仿宋" w:hAnsi="仿宋" w:eastAsia="仿宋" w:cs="仿宋"/>
          <w:color w:val="auto"/>
          <w:sz w:val="28"/>
          <w:szCs w:val="28"/>
          <w:highlight w:val="none"/>
          <w:u w:val="single"/>
        </w:rPr>
        <w:t>担保有效期满 14 日内（最迟不得超过项目竣工验收通过后 28 天）</w:t>
      </w:r>
      <w:r>
        <w:rPr>
          <w:rFonts w:hint="eastAsia" w:ascii="仿宋" w:hAnsi="仿宋" w:eastAsia="仿宋" w:cs="仿宋"/>
          <w:color w:val="auto"/>
          <w:sz w:val="28"/>
          <w:szCs w:val="28"/>
          <w:highlight w:val="none"/>
        </w:rPr>
        <w:t xml:space="preserve">。 </w:t>
      </w:r>
    </w:p>
    <w:p w14:paraId="6EE81F75">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116" w:name="_Toc16489"/>
      <w:r>
        <w:rPr>
          <w:rFonts w:hint="eastAsia" w:ascii="仿宋" w:hAnsi="仿宋" w:eastAsia="仿宋" w:cs="仿宋"/>
          <w:color w:val="auto"/>
          <w:sz w:val="28"/>
          <w:szCs w:val="28"/>
          <w:highlight w:val="none"/>
        </w:rPr>
        <w:t>3.7检测时限要求</w:t>
      </w:r>
      <w:bookmarkEnd w:id="116"/>
      <w:r>
        <w:rPr>
          <w:rFonts w:hint="eastAsia" w:ascii="仿宋" w:hAnsi="仿宋" w:eastAsia="仿宋" w:cs="仿宋"/>
          <w:color w:val="auto"/>
          <w:sz w:val="28"/>
          <w:szCs w:val="28"/>
          <w:highlight w:val="none"/>
        </w:rPr>
        <w:t xml:space="preserve"> </w:t>
      </w:r>
    </w:p>
    <w:p w14:paraId="5A0BCC9B">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补充以下内容： </w:t>
      </w:r>
    </w:p>
    <w:p w14:paraId="11B52EF4">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（1）总承包单位需提前 2 天向委托人上报检测计划，由委托人提前 1 天给检测人下达检测计划及任务，检测人应在检测计划及任务下达后安排检测工作，最迟不得超过 36 小时。</w:t>
      </w:r>
    </w:p>
    <w:p w14:paraId="6ED6F58B">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117" w:name="_Toc13674"/>
      <w:r>
        <w:rPr>
          <w:rFonts w:hint="eastAsia" w:ascii="仿宋" w:hAnsi="仿宋" w:eastAsia="仿宋" w:cs="仿宋"/>
          <w:color w:val="auto"/>
          <w:sz w:val="28"/>
          <w:szCs w:val="28"/>
          <w:highlight w:val="none"/>
        </w:rPr>
        <w:t>3.9检测报告编写及提交</w:t>
      </w:r>
      <w:bookmarkEnd w:id="117"/>
      <w:r>
        <w:rPr>
          <w:rFonts w:hint="eastAsia" w:ascii="仿宋" w:hAnsi="仿宋" w:eastAsia="仿宋" w:cs="仿宋"/>
          <w:color w:val="auto"/>
          <w:sz w:val="28"/>
          <w:szCs w:val="28"/>
          <w:highlight w:val="none"/>
        </w:rPr>
        <w:t xml:space="preserve"> </w:t>
      </w:r>
    </w:p>
    <w:p w14:paraId="4796CA76">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3.9.1 补充以下内容： </w:t>
      </w:r>
    </w:p>
    <w:p w14:paraId="7EE1D92B">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（1）中间报告。检测人现场提供，报送份数：3 份。 </w:t>
      </w:r>
    </w:p>
    <w:p w14:paraId="395551B0">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（2）检测周报。检测人每周一前提交上周的周报电子版，报送份数：1 份。</w:t>
      </w:r>
    </w:p>
    <w:p w14:paraId="192BAB93">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（3）检测月报。检测人每月 26 日提交本月的月报，报送份数：4 份。 </w:t>
      </w:r>
    </w:p>
    <w:p w14:paraId="3B61E9B0">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（4）检测分报告。分别于检测工作结束后 20 日内提交检测分报告，报送份数：6 份。 </w:t>
      </w:r>
    </w:p>
    <w:p w14:paraId="364EE320">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（5）检测总报告。全部检测工作结束后 30 日内提交检测总报告，报送份数：6 份。 </w:t>
      </w:r>
    </w:p>
    <w:p w14:paraId="0B6C0278">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（6）重大问题报告。检测中发现重大问题，应在 24 小时之内向委托人提供书面检测报告，报送份数：4 份。 </w:t>
      </w:r>
    </w:p>
    <w:p w14:paraId="49A75FC7">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（7）委托人要求提交的检测业务范围内的其它报告：按委托人要求执行。</w:t>
      </w:r>
    </w:p>
    <w:p w14:paraId="35123940">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（8）检测单位须定期向招标人汇报月度检测内容及下一步工作安排，以便使试验检测工作更好服务于工程施工。检测单位须参加招标人组织的工地例会及检查活动。</w:t>
      </w:r>
    </w:p>
    <w:p w14:paraId="172B0B91">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（9）各类材料的检测报告出具时间要求：抗压强度检测不超过 28 天，配合比设计及骨料检测不超过 3 天，其他工程材料应满足招标人相关检测时间要求。同时检测报告出具时间应满足相关检测规范标准且不得影响工程报验进度。</w:t>
      </w:r>
    </w:p>
    <w:p w14:paraId="47F657A2">
      <w:pPr>
        <w:adjustRightInd w:val="0"/>
        <w:snapToGrid w:val="0"/>
        <w:spacing w:line="480" w:lineRule="exact"/>
        <w:ind w:firstLine="560" w:firstLineChars="200"/>
        <w:outlineLvl w:val="1"/>
        <w:rPr>
          <w:rFonts w:hint="default" w:ascii="仿宋" w:hAnsi="仿宋" w:eastAsia="仿宋" w:cs="仿宋"/>
          <w:color w:val="auto"/>
          <w:sz w:val="28"/>
          <w:szCs w:val="28"/>
          <w:highlight w:val="none"/>
          <w:lang w:val="en-US" w:eastAsia="zh-CN"/>
        </w:rPr>
      </w:pPr>
      <w:bookmarkStart w:id="118" w:name="_Toc22909"/>
      <w:r>
        <w:rPr>
          <w:rFonts w:hint="eastAsia" w:ascii="仿宋" w:hAnsi="仿宋" w:eastAsia="仿宋" w:cs="仿宋"/>
          <w:color w:val="auto"/>
          <w:sz w:val="28"/>
          <w:szCs w:val="28"/>
          <w:highlight w:val="none"/>
        </w:rPr>
        <w:t>4. 责任和保险</w:t>
      </w:r>
      <w:bookmarkEnd w:id="118"/>
      <w:r>
        <w:rPr>
          <w:rFonts w:hint="eastAsia" w:ascii="仿宋" w:hAnsi="仿宋" w:eastAsia="仿宋" w:cs="仿宋"/>
          <w:color w:val="auto"/>
          <w:sz w:val="28"/>
          <w:szCs w:val="28"/>
          <w:highlight w:val="none"/>
        </w:rPr>
        <w:t xml:space="preserve"> </w:t>
      </w:r>
      <w:bookmarkStart w:id="119" w:name="_Toc21419"/>
    </w:p>
    <w:p w14:paraId="429F02A3">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4.3违约责任</w:t>
      </w:r>
      <w:bookmarkEnd w:id="119"/>
      <w:r>
        <w:rPr>
          <w:rFonts w:hint="eastAsia" w:ascii="仿宋" w:hAnsi="仿宋" w:eastAsia="仿宋" w:cs="仿宋"/>
          <w:color w:val="auto"/>
          <w:sz w:val="28"/>
          <w:szCs w:val="28"/>
          <w:highlight w:val="none"/>
        </w:rPr>
        <w:t xml:space="preserve"> </w:t>
      </w:r>
    </w:p>
    <w:p w14:paraId="69350A45">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4.3.1 </w:t>
      </w:r>
    </w:p>
    <w:p w14:paraId="32D7D7DA">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补充以下内容： </w:t>
      </w:r>
    </w:p>
    <w:p w14:paraId="1D80976C">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（1）在项目建设过程中，根据项目实际进展或委托人要求，如需要增加检测人员完成检测工作的，检测人应无条件配合，否则处以 1000 元/人次的违约金。</w:t>
      </w:r>
    </w:p>
    <w:p w14:paraId="693DB9D0">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（2）检测人须在安庆市本地具有中心试验室，若检测人已有试验室，合同签订前委托人有权对试验室进行现场考察认证；若检测人新建试验室，经委托人验收通过后投入使用。 </w:t>
      </w:r>
    </w:p>
    <w:p w14:paraId="000E4785">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检测人须在工地现场设立办公室；同时检测人须按照委托人要求在施工现场配备相应检测人员负责监督取样、接样、样品唯一性标识安贴、台账记录、简易土工试验相关工作。若发包人认为有必要，检测人须按发包人要求在特定阶段或特殊时期安排人员驻场（不少于1名），否则视为承包人违约，发包人有权按照 </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00 元/人·次向承包人收取违约金，并要求承包人整改到位。</w:t>
      </w:r>
    </w:p>
    <w:p w14:paraId="3EDA5C75">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（4）检测人履约期如更换人员，须经委托人书面同意，且更换的人员资质及经验不得低于</w:t>
      </w:r>
      <w:r>
        <w:rPr>
          <w:rFonts w:hint="eastAsia" w:ascii="仿宋" w:hAnsi="仿宋" w:eastAsia="仿宋" w:cs="仿宋"/>
          <w:color w:val="auto"/>
          <w:sz w:val="28"/>
          <w:szCs w:val="28"/>
          <w:highlight w:val="none"/>
          <w:lang w:eastAsia="zh-CN"/>
        </w:rPr>
        <w:t>比选文件</w:t>
      </w:r>
      <w:r>
        <w:rPr>
          <w:rFonts w:hint="eastAsia" w:ascii="仿宋" w:hAnsi="仿宋" w:eastAsia="仿宋" w:cs="仿宋"/>
          <w:color w:val="auto"/>
          <w:sz w:val="28"/>
          <w:szCs w:val="28"/>
          <w:highlight w:val="none"/>
        </w:rPr>
        <w:t>及服务合同约定的人员要求，否则委托人有权视情况</w:t>
      </w:r>
      <w:r>
        <w:rPr>
          <w:rFonts w:hint="eastAsia" w:ascii="仿宋" w:hAnsi="仿宋" w:eastAsia="仿宋" w:cs="仿宋"/>
          <w:color w:val="auto"/>
          <w:sz w:val="28"/>
          <w:szCs w:val="28"/>
          <w:highlight w:val="none"/>
          <w:lang w:val="en-US" w:eastAsia="zh-CN"/>
        </w:rPr>
        <w:t>按合同约定向检测人收取违约金</w:t>
      </w:r>
      <w:r>
        <w:rPr>
          <w:rFonts w:hint="eastAsia" w:ascii="仿宋" w:hAnsi="仿宋" w:eastAsia="仿宋" w:cs="仿宋"/>
          <w:color w:val="auto"/>
          <w:sz w:val="28"/>
          <w:szCs w:val="28"/>
          <w:highlight w:val="none"/>
        </w:rPr>
        <w:t>，情况严重的，委托人有权立即解除合同并追究对方责任。</w:t>
      </w:r>
    </w:p>
    <w:p w14:paraId="5A19D59C">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（5）检测人应保障检测作业安全，对检测过程中发生的安全事故承担全部责任，若因此给委托人造成损失，应予以赔偿。 </w:t>
      </w:r>
    </w:p>
    <w:p w14:paraId="2C24B8BC">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（6）检测人应出具合法有效的检测报告，并在规定时间内报送委托人；出现特殊情况的，报送检测报告时间须满足委托人要求，否则检测人须按 1000 元/次的标准支付违约金。 </w:t>
      </w:r>
    </w:p>
    <w:p w14:paraId="17CFCFD4">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（7）检测人须根据现场实际进度情况向委托人汇报检测内容及下一步工作安排，以便使试验检测工作更好服务于工程施工。若由于检测人原因未及时提供相应检测服务的，出现第一次扣除违约金 1000 元，出现第二次扣除违约金 2000 元，出现第三次则直接扣除违约金 5000 元；且委托人有权解除合同，扣除履约保证金和未支付的检测款，同时检测人须完善已检测资料并移交委托人，并在接委托人通知后 15 日内无条件退场，由此引发的一切损失由检测人承担。 </w:t>
      </w:r>
    </w:p>
    <w:p w14:paraId="1A64AF17">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（8）检测人必须配合委托人做好资料备案工作，检测人员须服从委托人的协调与安排，及时完成委托人临时指派的其他任务，并按委托人要求参加工程调度会或验收等，未服从委托人合理安排的，检测人需按照 1000 元/次的标准支付违约金。 </w:t>
      </w:r>
    </w:p>
    <w:p w14:paraId="239DCC3D">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（9）检测人不得以任何形式要求总承包单位及现场施工单位购买指定材料，若出现此种情形，委托人有权解除合同。 </w:t>
      </w:r>
    </w:p>
    <w:p w14:paraId="77B1138D">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（10）检测人出具的检测报告若与现场实际情况不符，检测人应承担由此造成的所有损失。同时，检测人须按 1000 元/次的标准向委托人支付违约金。</w:t>
      </w:r>
    </w:p>
    <w:p w14:paraId="5F480ECB">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（11）委托人有权在任何阶段对检测人进行阶段性检查。若发现检测人与现场总承包单位及现场施工单位串通造假,对委托人造成损失的，负责赔偿所有损失并追究法律责任，同时没收履约保证金,清除出场。 </w:t>
      </w:r>
    </w:p>
    <w:p w14:paraId="6A6C6446">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（12）若因检测人原因，提供错误检测结果，造成一切后果由检测人承担，检测人赔偿所造成的损失。同时，委托人可按照 1000 元/次的标准向检测人收取违约金。 </w:t>
      </w:r>
    </w:p>
    <w:p w14:paraId="5B4FCC29">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（13）所有检测不得影响分部分项验收，检测人需加班加点，必要时提前做好预检测并做好协调工作。否则，委托人可按照 1000 元/次的标准向检测人收取违约金。 </w:t>
      </w:r>
    </w:p>
    <w:p w14:paraId="1F582EF7">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（14）若检测人在服务质量上存在严重缺陷，委托人除对检测人</w:t>
      </w:r>
      <w:r>
        <w:rPr>
          <w:rFonts w:hint="eastAsia" w:ascii="仿宋" w:hAnsi="仿宋" w:eastAsia="仿宋" w:cs="仿宋"/>
          <w:color w:val="auto"/>
          <w:sz w:val="28"/>
          <w:szCs w:val="28"/>
          <w:highlight w:val="none"/>
          <w:lang w:val="en-US" w:eastAsia="zh-CN"/>
        </w:rPr>
        <w:t>处以</w:t>
      </w:r>
      <w:r>
        <w:rPr>
          <w:rFonts w:hint="eastAsia" w:ascii="仿宋" w:hAnsi="仿宋" w:eastAsia="仿宋" w:cs="仿宋"/>
          <w:color w:val="auto"/>
          <w:sz w:val="28"/>
          <w:szCs w:val="28"/>
          <w:highlight w:val="none"/>
        </w:rPr>
        <w:t xml:space="preserve">违约金外，并有权解除合同。 </w:t>
      </w:r>
    </w:p>
    <w:p w14:paraId="150E8D0E">
      <w:pPr>
        <w:adjustRightInd w:val="0"/>
        <w:snapToGrid w:val="0"/>
        <w:spacing w:line="48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（15）检测要求： </w:t>
      </w:r>
    </w:p>
    <w:p w14:paraId="6A4604F6">
      <w:pPr>
        <w:numPr>
          <w:ilvl w:val="0"/>
          <w:numId w:val="38"/>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按照“施工单位取样、监理单位见证、建设单位委托、检测机构监督检测”的原则开展检测活动，各责任单位建立相应台账。 </w:t>
      </w:r>
    </w:p>
    <w:p w14:paraId="1B393806">
      <w:pPr>
        <w:numPr>
          <w:ilvl w:val="0"/>
          <w:numId w:val="38"/>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机构应委派具有行业主管部门颁发的检测试验人所有检测报告原始记录员岗位证书的检测人员担任相应工程的检测员，监督施工单位取样人员的取样工作，指导待检项目安贴唯一性标识，按照相关检测规程开展检测业务，配备满足工程检测要求的检测试验人员和检测设备，做好检测数据的实时上传和存档。</w:t>
      </w:r>
    </w:p>
    <w:p w14:paraId="7D26EBCF">
      <w:pPr>
        <w:numPr>
          <w:ilvl w:val="0"/>
          <w:numId w:val="38"/>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检测机构对其检测数据和检测报告的真实性、准确性负责,及时出具真实客观、具有法律效力的检测报告，单独建立不合格检测报告台帐，配合招标人、监理人开展的各类相关检查活动。</w:t>
      </w:r>
    </w:p>
    <w:p w14:paraId="593155CA">
      <w:pPr>
        <w:numPr>
          <w:ilvl w:val="0"/>
          <w:numId w:val="38"/>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检测机构须配备必要的现场检测仪器和设备并安排专人驻点服务。</w:t>
      </w:r>
    </w:p>
    <w:p w14:paraId="54B50E4F">
      <w:pPr>
        <w:numPr>
          <w:ilvl w:val="0"/>
          <w:numId w:val="38"/>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检测机构在项目开工前应编制完成《工程质量检测方案》交监理人审核，在工程检测工作开展前对参建各方进行检测交底。</w:t>
      </w:r>
    </w:p>
    <w:p w14:paraId="40F2C411">
      <w:pPr>
        <w:numPr>
          <w:ilvl w:val="0"/>
          <w:numId w:val="38"/>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《工程质量检测方案》须满足工程设计及相关规范和验收要求，且检测方案中应包含检测项目清单、工程总量、计算公式以及规范依据，经确认后的检测方案作为项目检测合同价计算的依据。</w:t>
      </w:r>
    </w:p>
    <w:p w14:paraId="3C589213">
      <w:pPr>
        <w:numPr>
          <w:ilvl w:val="0"/>
          <w:numId w:val="38"/>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检测机构领取检测任务后，当日即开展检测工作，严格按照《工程质量检测方案》、设计图纸、规范标准和检测规程开展检测，检测完成后当日出具检测结果，及时出具检测报告。</w:t>
      </w:r>
    </w:p>
    <w:p w14:paraId="2CE8AAD6">
      <w:pPr>
        <w:numPr>
          <w:ilvl w:val="0"/>
          <w:numId w:val="38"/>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检测机构出具的检测报告一式</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份提交给委托人，委托人</w:t>
      </w:r>
      <w:r>
        <w:rPr>
          <w:rFonts w:hint="eastAsia" w:ascii="仿宋" w:hAnsi="仿宋" w:eastAsia="仿宋" w:cs="仿宋"/>
          <w:color w:val="auto"/>
          <w:sz w:val="28"/>
          <w:szCs w:val="28"/>
          <w:highlight w:val="none"/>
          <w:lang w:val="en-US" w:eastAsia="zh-CN"/>
        </w:rPr>
        <w:t>3份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监理人、施工单位各一份。</w:t>
      </w:r>
    </w:p>
    <w:p w14:paraId="74EE959A">
      <w:pPr>
        <w:numPr>
          <w:ilvl w:val="0"/>
          <w:numId w:val="38"/>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检测机构出具的检测报告应按相关规定、规范留存原始记录备查，留存期限不得低于项目所有专项验收合格、竣工验收合格后1年。</w:t>
      </w:r>
    </w:p>
    <w:p w14:paraId="7FEE282E">
      <w:pPr>
        <w:numPr>
          <w:ilvl w:val="0"/>
          <w:numId w:val="38"/>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检测结果及检测报告应第一时间通知招标人及监理人，当施工单位人员先于委托人或监理人知晓检测结果及检测报告的，检测单位应向委托人支付违约金1000元/次。</w:t>
      </w:r>
    </w:p>
    <w:p w14:paraId="6E887AFF">
      <w:pPr>
        <w:numPr>
          <w:ilvl w:val="0"/>
          <w:numId w:val="38"/>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单位出具的检测报告结论不合格的，应参与对工程质量检测成果的综合分析，并依据分析结果向委托人提出工程质量控制、质量改进和质量问题处理的意见与建议。总监理工程师应根据检测结果提出处理意见，监督施工单位开展下一步工作，受委托的机构负责复检。</w:t>
      </w:r>
    </w:p>
    <w:p w14:paraId="04E38672">
      <w:pPr>
        <w:numPr>
          <w:ilvl w:val="0"/>
          <w:numId w:val="38"/>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受检单位对检测结果有异议的，应在三个工作日内提出，由双方共同认可的检测机构复检。不合格项目的复检费用由责任单位承担，并按照合同约定追究责任单位违约责任。 </w:t>
      </w:r>
    </w:p>
    <w:p w14:paraId="27A975FE">
      <w:pPr>
        <w:numPr>
          <w:ilvl w:val="0"/>
          <w:numId w:val="38"/>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项目完工，所有专项工程验收合格、竣工验收合格，检测单位编制《检测工作总结》，监理单位收集整理检测报告及相关资料，并按规定移交。 </w:t>
      </w:r>
    </w:p>
    <w:p w14:paraId="2B205C0E">
      <w:pPr>
        <w:numPr>
          <w:ilvl w:val="0"/>
          <w:numId w:val="38"/>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见证、取样、检测等相关人员无专业资格证书的，检测单位应按1000元/人·次的标准向委托人支付违约金；擅自变更上述人员或缺岗不到位的，支付违约金1000元/人次。 </w:t>
      </w:r>
    </w:p>
    <w:p w14:paraId="13784334">
      <w:pPr>
        <w:numPr>
          <w:ilvl w:val="0"/>
          <w:numId w:val="38"/>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检测机构的《工程质量检测方案》编制应符合设计及相关规范和标准要求，如发现方案编制出现明显错误，应向委托人支付违约金5000元/次； </w:t>
      </w:r>
    </w:p>
    <w:p w14:paraId="07B6EBA0">
      <w:pPr>
        <w:numPr>
          <w:ilvl w:val="0"/>
          <w:numId w:val="38"/>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委托、见证、取样、检测等文件和资料不齐全，不完整，检测单位应向委托人支付违约金1000元/次。 </w:t>
      </w:r>
    </w:p>
    <w:p w14:paraId="0F7A026A">
      <w:pPr>
        <w:numPr>
          <w:ilvl w:val="0"/>
          <w:numId w:val="38"/>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检测单位须严格按照相关规范、检测方案开展工程检测。检测工作未及时开展，检测报告未及时上报，造成工程质量问题及建设滞后的，检测机构应向委托人支付违约金 1000元/次; </w:t>
      </w:r>
    </w:p>
    <w:p w14:paraId="56BB5334">
      <w:pPr>
        <w:numPr>
          <w:ilvl w:val="0"/>
          <w:numId w:val="38"/>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在项目实施过程中，若出现虚假报告，受托人须承担法律责任，并承担委托人因虚假报告而造成的一切损失。若发现受托人发生以下几种情况，委托人将视情节轻重对有关人员提出警告、责令更正、通报批评直至解除检测服务协议，并向行业主管部门通报，受托人还须支付委托人1000～5000元的违约金，且赔偿委托人遭受的超过违约金数额的损失；构成犯罪的将依法追究刑事责任。 </w:t>
      </w:r>
    </w:p>
    <w:p w14:paraId="6B73E2A8">
      <w:pPr>
        <w:numPr>
          <w:ilvl w:val="0"/>
          <w:numId w:val="39"/>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受托人人员责任心不强、检测工作不到位，出具错误检测数据或错误鉴定结论，导致工程出现质量问题或发生质量事故，造成经济损失或不良影响的；</w:t>
      </w:r>
    </w:p>
    <w:p w14:paraId="57CB2F08">
      <w:pPr>
        <w:numPr>
          <w:ilvl w:val="0"/>
          <w:numId w:val="39"/>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受托人检测制度不全，检测仪器设备不全，档案资料不按规定存档；</w:t>
      </w:r>
    </w:p>
    <w:p w14:paraId="28D8243E">
      <w:pPr>
        <w:numPr>
          <w:ilvl w:val="0"/>
          <w:numId w:val="39"/>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受托人发现有危及工程结构安全和重要使用功能安全的问题时，未及时向委托人报告；</w:t>
      </w:r>
    </w:p>
    <w:p w14:paraId="06F32C4E">
      <w:pPr>
        <w:numPr>
          <w:ilvl w:val="0"/>
          <w:numId w:val="39"/>
        </w:num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受托人人员利用职权徇私舞弊，牟取私利，收受、索取贿赂，检测频率不满足合同及规范要求，伪造检测数据，与承包商串通欺骗委托人。 </w:t>
      </w:r>
    </w:p>
    <w:p w14:paraId="39F74E47">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4.3.2 </w:t>
      </w:r>
    </w:p>
    <w:p w14:paraId="5F82DE7F">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检测人违约责任： </w:t>
      </w:r>
    </w:p>
    <w:p w14:paraId="3A9E8CC6">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（1）检测人无故单方解除合同的，应按总服务费用的 50%向委托人支付违约金。 </w:t>
      </w:r>
    </w:p>
    <w:p w14:paraId="6F8B4B36">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（2）检测人未按合同约定的期限完成检测工作的，每逾期一周向委托人支付总服务费用 3%的违约金，逾期超过 4 周仍未完成的，委托人有权单方解除本合同，自解除合同的书面通知到达检测人时，本合同自行终止，检测人除退还已收合同款、赔偿由此给委托人造成的所有损失外，还应向委托人承担本合同总金额 10%的违约金。 </w:t>
      </w:r>
    </w:p>
    <w:p w14:paraId="4DD15B2A">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（3）检测人未按合同约定的范围、内容、质量等开展检测工作，检测人应当无条件整改，因此造成逾期的，检测人按照专用条款 4.3.2（2）条的约定承担违约责任。 </w:t>
      </w:r>
    </w:p>
    <w:p w14:paraId="73A34088">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（4）检测人违约给委托人造成经济损失的，除支付违约金外，还应当赔偿委托人的全部经济损失，该损失包括委托人因主张债权而支付的一切费用（该费用包括但不限于诉讼费、律师费、保全费、食宿费等）。</w:t>
      </w:r>
    </w:p>
    <w:p w14:paraId="58EF9F49">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（5）同一违约违规行为在合同文件不同处有不统一表述的，以最高标准收取赔偿或违约金。</w:t>
      </w:r>
    </w:p>
    <w:p w14:paraId="7BBE9359">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（6）本合同所称发包人损失包括但不限于直接损失、间接损失、行政处罚、发包人为维护自身权益而支出的律师费、评估费、鉴定费、公证费、公告费、保全担保费、诉讼费、保全费等。</w:t>
      </w:r>
    </w:p>
    <w:p w14:paraId="5927C9BF">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4.3.3 </w:t>
      </w:r>
    </w:p>
    <w:p w14:paraId="66738D82">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补充以下内容： </w:t>
      </w:r>
    </w:p>
    <w:p w14:paraId="7A08AE5B">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上述检测质量未达到要求，给委托人造成损失的，或者检测结果严重失真或出现检测质量事故的，委托人将根据责任大小和影响程度，扣减检测人总检测费的5%-10%；问题严重者，委托人将解除合同，检测人承担相应责任。 </w:t>
      </w:r>
    </w:p>
    <w:p w14:paraId="3A15DC1C">
      <w:pPr>
        <w:adjustRightInd w:val="0"/>
        <w:snapToGrid w:val="0"/>
        <w:spacing w:line="480" w:lineRule="exact"/>
        <w:ind w:firstLine="560" w:firstLineChars="200"/>
        <w:outlineLvl w:val="2"/>
        <w:rPr>
          <w:rFonts w:hint="eastAsia" w:ascii="仿宋" w:hAnsi="仿宋" w:eastAsia="仿宋" w:cs="仿宋"/>
          <w:color w:val="auto"/>
          <w:sz w:val="28"/>
          <w:szCs w:val="28"/>
          <w:highlight w:val="none"/>
        </w:rPr>
      </w:pPr>
      <w:bookmarkStart w:id="120" w:name="_Toc8923"/>
      <w:r>
        <w:rPr>
          <w:rFonts w:hint="eastAsia" w:ascii="仿宋" w:hAnsi="仿宋" w:eastAsia="仿宋" w:cs="仿宋"/>
          <w:color w:val="auto"/>
          <w:sz w:val="28"/>
          <w:szCs w:val="28"/>
          <w:highlight w:val="none"/>
        </w:rPr>
        <w:t>4.4保险</w:t>
      </w:r>
      <w:bookmarkEnd w:id="120"/>
      <w:r>
        <w:rPr>
          <w:rFonts w:hint="eastAsia" w:ascii="仿宋" w:hAnsi="仿宋" w:eastAsia="仿宋" w:cs="仿宋"/>
          <w:color w:val="auto"/>
          <w:sz w:val="28"/>
          <w:szCs w:val="28"/>
          <w:highlight w:val="none"/>
        </w:rPr>
        <w:t xml:space="preserve"> </w:t>
      </w:r>
    </w:p>
    <w:p w14:paraId="73A9EC2B">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检测人投保职业责任险的约定：</w:t>
      </w:r>
      <w:r>
        <w:rPr>
          <w:rFonts w:hint="eastAsia" w:ascii="仿宋" w:hAnsi="仿宋" w:eastAsia="仿宋" w:cs="仿宋"/>
          <w:color w:val="auto"/>
          <w:sz w:val="28"/>
          <w:szCs w:val="28"/>
          <w:highlight w:val="none"/>
          <w:u w:val="single"/>
        </w:rPr>
        <w:t>按照国家有关规定执行</w:t>
      </w:r>
      <w:r>
        <w:rPr>
          <w:rFonts w:hint="eastAsia" w:ascii="仿宋" w:hAnsi="仿宋" w:eastAsia="仿宋" w:cs="仿宋"/>
          <w:color w:val="auto"/>
          <w:sz w:val="28"/>
          <w:szCs w:val="28"/>
          <w:highlight w:val="none"/>
        </w:rPr>
        <w:t xml:space="preserve">。 </w:t>
      </w:r>
    </w:p>
    <w:p w14:paraId="58D63132">
      <w:pPr>
        <w:adjustRightInd w:val="0"/>
        <w:snapToGrid w:val="0"/>
        <w:spacing w:line="480" w:lineRule="exact"/>
        <w:ind w:firstLine="560" w:firstLineChars="200"/>
        <w:outlineLvl w:val="1"/>
        <w:rPr>
          <w:rFonts w:hint="eastAsia" w:ascii="仿宋" w:hAnsi="仿宋" w:eastAsia="仿宋" w:cs="仿宋"/>
          <w:color w:val="auto"/>
          <w:sz w:val="28"/>
          <w:szCs w:val="28"/>
          <w:highlight w:val="none"/>
        </w:rPr>
      </w:pPr>
      <w:bookmarkStart w:id="121" w:name="_Toc26961"/>
      <w:r>
        <w:rPr>
          <w:rFonts w:hint="eastAsia" w:ascii="仿宋" w:hAnsi="仿宋" w:eastAsia="仿宋" w:cs="仿宋"/>
          <w:color w:val="auto"/>
          <w:sz w:val="28"/>
          <w:szCs w:val="28"/>
          <w:highlight w:val="none"/>
        </w:rPr>
        <w:t>5. 支付</w:t>
      </w:r>
      <w:bookmarkEnd w:id="121"/>
      <w:r>
        <w:rPr>
          <w:rFonts w:hint="eastAsia" w:ascii="仿宋" w:hAnsi="仿宋" w:eastAsia="仿宋" w:cs="仿宋"/>
          <w:color w:val="auto"/>
          <w:sz w:val="28"/>
          <w:szCs w:val="28"/>
          <w:highlight w:val="none"/>
        </w:rPr>
        <w:t xml:space="preserve"> </w:t>
      </w:r>
    </w:p>
    <w:p w14:paraId="2C2A2382">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5.2 补充以下内容： </w:t>
      </w:r>
    </w:p>
    <w:p w14:paraId="78CAA229">
      <w:pPr>
        <w:pStyle w:val="83"/>
        <w:adjustRightInd w:val="0"/>
        <w:snapToGrid w:val="0"/>
        <w:spacing w:before="0" w:beforeAutospacing="0" w:after="0" w:afterAutospacing="0" w:line="480" w:lineRule="exact"/>
        <w:ind w:left="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（1）进度款：</w:t>
      </w:r>
      <w:r>
        <w:rPr>
          <w:rFonts w:hint="eastAsia" w:ascii="仿宋" w:hAnsi="仿宋" w:eastAsia="仿宋" w:cs="仿宋"/>
          <w:color w:val="auto"/>
          <w:sz w:val="28"/>
          <w:szCs w:val="28"/>
          <w:highlight w:val="none"/>
          <w:u w:val="single"/>
        </w:rPr>
        <w:t>每季度按实际已完成价款的60%支付，成交人须不晚于每季度最后一月25号前向采购人报送请款书，采购人组织相关单位完成审核后，20个工作日内完成支付</w:t>
      </w:r>
      <w:r>
        <w:rPr>
          <w:rFonts w:hint="eastAsia" w:ascii="仿宋" w:hAnsi="仿宋" w:eastAsia="仿宋" w:cs="仿宋"/>
          <w:color w:val="auto"/>
          <w:sz w:val="28"/>
          <w:szCs w:val="28"/>
          <w:highlight w:val="none"/>
        </w:rPr>
        <w:t>；</w:t>
      </w:r>
    </w:p>
    <w:p w14:paraId="3C2300BF">
      <w:pPr>
        <w:pStyle w:val="83"/>
        <w:adjustRightInd w:val="0"/>
        <w:snapToGrid w:val="0"/>
        <w:spacing w:before="0" w:beforeAutospacing="0" w:after="0" w:afterAutospacing="0" w:line="480" w:lineRule="exact"/>
        <w:ind w:left="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（2）完工款：</w:t>
      </w:r>
      <w:r>
        <w:rPr>
          <w:rFonts w:hint="eastAsia" w:ascii="仿宋" w:hAnsi="仿宋" w:eastAsia="仿宋" w:cs="仿宋"/>
          <w:color w:val="auto"/>
          <w:sz w:val="28"/>
          <w:szCs w:val="28"/>
          <w:highlight w:val="none"/>
          <w:u w:val="single"/>
        </w:rPr>
        <w:t>本项目取得竣工联合验收意见书后，成交人可向采购人报送请款书，采购人组织相关单位完成审核后，20个工作日内支付至相应实际已完成价款的80%</w:t>
      </w:r>
      <w:r>
        <w:rPr>
          <w:rFonts w:hint="eastAsia" w:ascii="仿宋" w:hAnsi="仿宋" w:eastAsia="仿宋" w:cs="仿宋"/>
          <w:color w:val="auto"/>
          <w:sz w:val="28"/>
          <w:szCs w:val="28"/>
          <w:highlight w:val="none"/>
        </w:rPr>
        <w:t>；</w:t>
      </w:r>
    </w:p>
    <w:p w14:paraId="69C57890">
      <w:pPr>
        <w:pStyle w:val="83"/>
        <w:adjustRightInd w:val="0"/>
        <w:snapToGrid w:val="0"/>
        <w:spacing w:before="0" w:beforeAutospacing="0" w:after="0" w:afterAutospacing="0" w:line="480" w:lineRule="exact"/>
        <w:ind w:left="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（3）结算款：</w:t>
      </w:r>
      <w:r>
        <w:rPr>
          <w:rFonts w:hint="eastAsia" w:ascii="仿宋" w:hAnsi="仿宋" w:eastAsia="仿宋" w:cs="仿宋"/>
          <w:color w:val="auto"/>
          <w:sz w:val="28"/>
          <w:szCs w:val="28"/>
          <w:highlight w:val="none"/>
          <w:u w:val="single"/>
        </w:rPr>
        <w:t>竣工结算审核完成，成交人提交符合要求的全部检测报告后可向采购人报送请款书，采购人组织相关单位完成审核后，20个工作日内付至结算价款的97%，质保期（两年）满后一次性付清余款；质保期自上河院项目</w:t>
      </w:r>
      <w:r>
        <w:rPr>
          <w:rFonts w:hint="eastAsia" w:ascii="仿宋" w:hAnsi="仿宋" w:eastAsia="仿宋" w:cs="仿宋"/>
          <w:color w:val="auto"/>
          <w:sz w:val="28"/>
          <w:szCs w:val="28"/>
          <w:highlight w:val="none"/>
          <w:u w:val="single"/>
          <w:lang w:val="en-US" w:eastAsia="zh-CN"/>
        </w:rPr>
        <w:t>跨湖人行栈道</w:t>
      </w:r>
      <w:r>
        <w:rPr>
          <w:rFonts w:hint="eastAsia" w:ascii="仿宋" w:hAnsi="仿宋" w:eastAsia="仿宋" w:cs="仿宋"/>
          <w:color w:val="auto"/>
          <w:sz w:val="28"/>
          <w:szCs w:val="28"/>
          <w:highlight w:val="none"/>
          <w:u w:val="single"/>
        </w:rPr>
        <w:t>竣工验收合格之日起计算</w:t>
      </w:r>
      <w:r>
        <w:rPr>
          <w:rFonts w:hint="eastAsia" w:ascii="仿宋" w:hAnsi="仿宋" w:eastAsia="仿宋" w:cs="仿宋"/>
          <w:color w:val="auto"/>
          <w:sz w:val="28"/>
          <w:szCs w:val="28"/>
          <w:highlight w:val="none"/>
        </w:rPr>
        <w:t>；</w:t>
      </w:r>
    </w:p>
    <w:p w14:paraId="57AF1822">
      <w:pPr>
        <w:pStyle w:val="83"/>
        <w:adjustRightInd w:val="0"/>
        <w:snapToGrid w:val="0"/>
        <w:spacing w:before="0" w:beforeAutospacing="0" w:after="0" w:afterAutospacing="0" w:line="480" w:lineRule="exact"/>
        <w:ind w:left="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（4）其他要求：</w:t>
      </w:r>
      <w:r>
        <w:rPr>
          <w:rFonts w:hint="eastAsia" w:ascii="仿宋" w:hAnsi="仿宋" w:eastAsia="仿宋" w:cs="仿宋"/>
          <w:color w:val="auto"/>
          <w:sz w:val="28"/>
          <w:szCs w:val="28"/>
          <w:highlight w:val="none"/>
          <w:u w:val="single"/>
        </w:rPr>
        <w:t>①采购人每次付款前，成交人须提供相应的符合要求的检测报告，同时提供真实、有效的增值税专用发票（按支付金额开具含税发票）。②联合体中标的，发包人支付承包人的所有款项均付至联合体牵头人账户，付款前由联合体牵头人向发包人提供增值税专用发票，其他问题由联合体成员之间自行解决。承包人不得因其联合体内部及外部的资金收付及税务问题影响本合同履行，否则视为承包人违约，发包人有权按合同暂定总价的10%向承包人收取违约金</w:t>
      </w:r>
      <w:r>
        <w:rPr>
          <w:rFonts w:hint="eastAsia" w:ascii="仿宋" w:hAnsi="仿宋" w:eastAsia="仿宋" w:cs="仿宋"/>
          <w:color w:val="auto"/>
          <w:sz w:val="28"/>
          <w:szCs w:val="28"/>
          <w:highlight w:val="none"/>
        </w:rPr>
        <w:t>。</w:t>
      </w:r>
    </w:p>
    <w:p w14:paraId="733DB8CC">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5.3 附加工作和额外工作已包含在合同总价中，不再另行支付。 </w:t>
      </w:r>
    </w:p>
    <w:p w14:paraId="21E77242">
      <w:pPr>
        <w:adjustRightInd w:val="0"/>
        <w:snapToGrid w:val="0"/>
        <w:spacing w:line="480" w:lineRule="exact"/>
        <w:ind w:firstLine="560" w:firstLineChars="200"/>
        <w:outlineLvl w:val="1"/>
        <w:rPr>
          <w:rFonts w:hint="eastAsia" w:ascii="仿宋" w:hAnsi="仿宋" w:eastAsia="仿宋" w:cs="仿宋"/>
          <w:color w:val="auto"/>
          <w:sz w:val="28"/>
          <w:szCs w:val="28"/>
          <w:highlight w:val="none"/>
        </w:rPr>
      </w:pPr>
      <w:bookmarkStart w:id="122" w:name="_Toc29268"/>
      <w:r>
        <w:rPr>
          <w:rFonts w:hint="eastAsia" w:ascii="仿宋" w:hAnsi="仿宋" w:eastAsia="仿宋" w:cs="仿宋"/>
          <w:color w:val="auto"/>
          <w:sz w:val="28"/>
          <w:szCs w:val="28"/>
          <w:highlight w:val="none"/>
        </w:rPr>
        <w:t>6. 合同的生效、变更和终止</w:t>
      </w:r>
      <w:bookmarkEnd w:id="122"/>
      <w:r>
        <w:rPr>
          <w:rFonts w:hint="eastAsia" w:ascii="仿宋" w:hAnsi="仿宋" w:eastAsia="仿宋" w:cs="仿宋"/>
          <w:color w:val="auto"/>
          <w:sz w:val="28"/>
          <w:szCs w:val="28"/>
          <w:highlight w:val="none"/>
        </w:rPr>
        <w:t xml:space="preserve"> </w:t>
      </w:r>
    </w:p>
    <w:p w14:paraId="4717031A">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补充以下内容： </w:t>
      </w:r>
    </w:p>
    <w:p w14:paraId="5E312532">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承包人无故终止合同，应向发包人支付合同暂定总价的30%作为违约金。</w:t>
      </w:r>
    </w:p>
    <w:p w14:paraId="58DECDF7">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本合同未尽事宜：双方协商解决并另行签订补充协议，补充协议具有同等法律效力。 </w:t>
      </w:r>
    </w:p>
    <w:p w14:paraId="76906E8B">
      <w:pPr>
        <w:adjustRightInd w:val="0"/>
        <w:snapToGrid w:val="0"/>
        <w:spacing w:line="480" w:lineRule="exact"/>
        <w:ind w:firstLine="560" w:firstLineChars="200"/>
        <w:outlineLvl w:val="1"/>
        <w:rPr>
          <w:rFonts w:hint="eastAsia" w:ascii="仿宋" w:hAnsi="仿宋" w:eastAsia="仿宋" w:cs="仿宋"/>
          <w:color w:val="auto"/>
          <w:sz w:val="28"/>
          <w:szCs w:val="28"/>
          <w:highlight w:val="none"/>
        </w:rPr>
      </w:pPr>
      <w:bookmarkStart w:id="123" w:name="_Toc6344"/>
      <w:r>
        <w:rPr>
          <w:rFonts w:hint="eastAsia" w:ascii="仿宋" w:hAnsi="仿宋" w:eastAsia="仿宋" w:cs="仿宋"/>
          <w:color w:val="auto"/>
          <w:sz w:val="28"/>
          <w:szCs w:val="28"/>
          <w:highlight w:val="none"/>
        </w:rPr>
        <w:t>7. 争议的解决</w:t>
      </w:r>
      <w:bookmarkEnd w:id="123"/>
      <w:r>
        <w:rPr>
          <w:rFonts w:hint="eastAsia" w:ascii="仿宋" w:hAnsi="仿宋" w:eastAsia="仿宋" w:cs="仿宋"/>
          <w:color w:val="auto"/>
          <w:sz w:val="28"/>
          <w:szCs w:val="28"/>
          <w:highlight w:val="none"/>
        </w:rPr>
        <w:t xml:space="preserve"> </w:t>
      </w:r>
    </w:p>
    <w:p w14:paraId="1DEDC754">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凡因执行本合同或与本合同相关事项而发生争议时，双方应通过友好协商予以解决。如友好协商未能达成一致，合同当事人友好协商解决不成，提请项目所在地人民法院诉讼。</w:t>
      </w:r>
    </w:p>
    <w:p w14:paraId="4604ACAB">
      <w:pPr>
        <w:adjustRightInd w:val="0"/>
        <w:snapToGrid w:val="0"/>
        <w:spacing w:line="480" w:lineRule="exact"/>
        <w:ind w:firstLine="560" w:firstLineChars="200"/>
        <w:outlineLvl w:val="1"/>
        <w:rPr>
          <w:rFonts w:hint="eastAsia" w:ascii="仿宋" w:hAnsi="仿宋" w:eastAsia="仿宋" w:cs="仿宋"/>
          <w:color w:val="auto"/>
          <w:sz w:val="28"/>
          <w:szCs w:val="28"/>
          <w:highlight w:val="none"/>
        </w:rPr>
      </w:pPr>
      <w:bookmarkStart w:id="124" w:name="_Toc22313"/>
      <w:bookmarkStart w:id="125" w:name="_Toc13928"/>
      <w:bookmarkStart w:id="126" w:name="_Toc6362"/>
      <w:bookmarkStart w:id="127" w:name="_Toc15641"/>
      <w:bookmarkStart w:id="128" w:name="_Toc27337"/>
      <w:bookmarkStart w:id="129" w:name="_Toc7394"/>
      <w:r>
        <w:rPr>
          <w:rFonts w:hint="eastAsia" w:ascii="仿宋" w:hAnsi="仿宋" w:eastAsia="仿宋" w:cs="仿宋"/>
          <w:color w:val="auto"/>
          <w:sz w:val="28"/>
          <w:szCs w:val="28"/>
          <w:highlight w:val="none"/>
        </w:rPr>
        <w:t>8. 专用合同条款附件</w:t>
      </w:r>
      <w:bookmarkEnd w:id="124"/>
      <w:bookmarkEnd w:id="125"/>
      <w:bookmarkEnd w:id="126"/>
      <w:bookmarkEnd w:id="127"/>
      <w:bookmarkEnd w:id="128"/>
      <w:bookmarkEnd w:id="129"/>
    </w:p>
    <w:p w14:paraId="3C60FD14">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附件1 桩基检测</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建设工程质量检测工程量价格清单</w:t>
      </w:r>
    </w:p>
    <w:p w14:paraId="6FD9C3C0">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附件2 承包人营业执照及相关证件 </w:t>
      </w:r>
    </w:p>
    <w:p w14:paraId="103794A3">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附件3 廉政协议 </w:t>
      </w:r>
    </w:p>
    <w:p w14:paraId="3F4DFCAB">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附件4 安全生产合同 </w:t>
      </w:r>
    </w:p>
    <w:p w14:paraId="2DE30297">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附件5 履约保证金</w:t>
      </w:r>
    </w:p>
    <w:p w14:paraId="78E725DB">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附件6 检测机构主要检测人员配备</w:t>
      </w:r>
    </w:p>
    <w:p w14:paraId="56A43BF1">
      <w:pPr>
        <w:adjustRightInd w:val="0"/>
        <w:snapToGrid w:val="0"/>
        <w:spacing w:line="480" w:lineRule="exact"/>
        <w:rPr>
          <w:rFonts w:hint="eastAsia" w:ascii="仿宋" w:hAnsi="仿宋" w:eastAsia="仿宋" w:cs="仿宋"/>
          <w:color w:val="auto"/>
          <w:sz w:val="30"/>
          <w:szCs w:val="30"/>
          <w:highlight w:val="none"/>
          <w:u w:val="dotted"/>
        </w:rPr>
      </w:pPr>
      <w:r>
        <w:rPr>
          <w:rFonts w:hint="eastAsia" w:ascii="仿宋" w:hAnsi="仿宋" w:eastAsia="仿宋" w:cs="仿宋"/>
          <w:color w:val="auto"/>
          <w:sz w:val="30"/>
          <w:szCs w:val="30"/>
          <w:highlight w:val="none"/>
          <w:u w:val="dotted"/>
        </w:rPr>
        <w:t xml:space="preserve">                                                                 </w:t>
      </w:r>
    </w:p>
    <w:p w14:paraId="759C7047">
      <w:pPr>
        <w:tabs>
          <w:tab w:val="left" w:pos="3640"/>
        </w:tabs>
        <w:autoSpaceDE w:val="0"/>
        <w:autoSpaceDN w:val="0"/>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以下无正文，为合同签署页。</w:t>
      </w:r>
    </w:p>
    <w:p w14:paraId="18EE47F1">
      <w:pPr>
        <w:rPr>
          <w:rFonts w:hint="eastAsia" w:ascii="仿宋" w:hAnsi="仿宋" w:eastAsia="仿宋" w:cs="仿宋"/>
          <w:color w:val="auto"/>
          <w:sz w:val="30"/>
          <w:szCs w:val="30"/>
          <w:highlight w:val="none"/>
        </w:rPr>
      </w:pPr>
    </w:p>
    <w:tbl>
      <w:tblPr>
        <w:tblStyle w:val="61"/>
        <w:tblW w:w="9835"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4813"/>
        <w:gridCol w:w="5022"/>
      </w:tblGrid>
      <w:tr w14:paraId="1D716017">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13" w:type="dxa"/>
            <w:tcBorders>
              <w:top w:val="nil"/>
              <w:left w:val="nil"/>
              <w:bottom w:val="nil"/>
              <w:right w:val="nil"/>
            </w:tcBorders>
          </w:tcPr>
          <w:p w14:paraId="0D319F01">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u w:val="single"/>
              </w:rPr>
            </w:pPr>
            <w:r>
              <w:rPr>
                <w:rFonts w:hint="eastAsia" w:ascii="仿宋" w:hAnsi="仿宋" w:eastAsia="仿宋" w:cs="仿宋"/>
                <w:bCs/>
                <w:color w:val="auto"/>
                <w:sz w:val="26"/>
                <w:szCs w:val="26"/>
                <w:highlight w:val="none"/>
                <w:u w:val="dotted"/>
              </w:rPr>
              <w:br w:type="page"/>
            </w:r>
            <w:r>
              <w:rPr>
                <w:rFonts w:hint="eastAsia" w:ascii="仿宋" w:hAnsi="仿宋" w:eastAsia="仿宋" w:cs="仿宋"/>
                <w:color w:val="auto"/>
                <w:sz w:val="26"/>
                <w:szCs w:val="26"/>
                <w:highlight w:val="none"/>
              </w:rPr>
              <w:t>发包人（盖章）：</w:t>
            </w:r>
            <w:r>
              <w:rPr>
                <w:rFonts w:hint="eastAsia" w:ascii="仿宋" w:hAnsi="仿宋" w:eastAsia="仿宋" w:cs="仿宋"/>
                <w:color w:val="auto"/>
                <w:sz w:val="26"/>
                <w:szCs w:val="26"/>
                <w:highlight w:val="none"/>
                <w:u w:val="single"/>
              </w:rPr>
              <w:t xml:space="preserve"> 安庆市通达置业有限公司 </w:t>
            </w:r>
          </w:p>
          <w:p w14:paraId="5704B3A9">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法定代表人或其委托代理人（签字）：</w:t>
            </w:r>
          </w:p>
          <w:p w14:paraId="45CA325C">
            <w:pPr>
              <w:pStyle w:val="9"/>
              <w:keepNext w:val="0"/>
              <w:keepLines w:val="0"/>
              <w:suppressLineNumbers w:val="0"/>
              <w:wordWrap/>
              <w:snapToGrid w:val="0"/>
              <w:spacing w:before="0" w:beforeAutospacing="0" w:after="0" w:afterAutospacing="0" w:line="560" w:lineRule="exact"/>
              <w:ind w:left="0" w:right="0"/>
              <w:rPr>
                <w:rFonts w:hint="default"/>
                <w:color w:val="auto"/>
                <w:szCs w:val="20"/>
                <w:highlight w:val="none"/>
              </w:rPr>
            </w:pPr>
          </w:p>
          <w:p w14:paraId="16533E03">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u w:val="single"/>
              </w:rPr>
            </w:pPr>
            <w:r>
              <w:rPr>
                <w:rFonts w:hint="eastAsia" w:ascii="仿宋" w:hAnsi="仿宋" w:eastAsia="仿宋" w:cs="仿宋"/>
                <w:color w:val="auto"/>
                <w:sz w:val="26"/>
                <w:szCs w:val="26"/>
                <w:highlight w:val="none"/>
              </w:rPr>
              <w:t>纳税人识别码：</w:t>
            </w:r>
            <w:r>
              <w:rPr>
                <w:rFonts w:hint="eastAsia" w:ascii="仿宋" w:hAnsi="仿宋" w:eastAsia="仿宋" w:cs="仿宋"/>
                <w:color w:val="auto"/>
                <w:sz w:val="26"/>
                <w:szCs w:val="26"/>
                <w:highlight w:val="none"/>
                <w:u w:val="single"/>
              </w:rPr>
              <w:t xml:space="preserve">91340811MAE6NY6C2G </w:t>
            </w:r>
          </w:p>
          <w:p w14:paraId="24A412C0">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地  址：</w:t>
            </w:r>
            <w:r>
              <w:rPr>
                <w:rFonts w:hint="eastAsia" w:ascii="仿宋" w:hAnsi="仿宋" w:eastAsia="仿宋" w:cs="仿宋"/>
                <w:color w:val="auto"/>
                <w:sz w:val="26"/>
                <w:szCs w:val="26"/>
                <w:highlight w:val="none"/>
                <w:u w:val="single"/>
              </w:rPr>
              <w:t>安徽省安庆市宜秀区大龙山镇兴宜路学苑大厦五楼安庆龙科建设发展有限责任公司502室</w:t>
            </w:r>
            <w:r>
              <w:rPr>
                <w:rFonts w:hint="eastAsia" w:ascii="仿宋" w:hAnsi="仿宋" w:cs="仿宋"/>
                <w:color w:val="auto"/>
                <w:sz w:val="26"/>
                <w:szCs w:val="26"/>
                <w:highlight w:val="none"/>
                <w:u w:val="single"/>
              </w:rPr>
              <w:t xml:space="preserve"> </w:t>
            </w:r>
          </w:p>
          <w:p w14:paraId="75EB1BC3">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u w:val="single"/>
              </w:rPr>
            </w:pPr>
            <w:r>
              <w:rPr>
                <w:rFonts w:hint="eastAsia" w:ascii="仿宋" w:hAnsi="仿宋" w:eastAsia="仿宋" w:cs="仿宋"/>
                <w:color w:val="auto"/>
                <w:sz w:val="26"/>
                <w:szCs w:val="26"/>
                <w:highlight w:val="none"/>
              </w:rPr>
              <w:t>法定代表人：</w:t>
            </w:r>
            <w:r>
              <w:rPr>
                <w:rFonts w:hint="eastAsia" w:ascii="仿宋" w:hAnsi="仿宋" w:eastAsia="仿宋" w:cs="仿宋"/>
                <w:color w:val="auto"/>
                <w:sz w:val="26"/>
                <w:szCs w:val="26"/>
                <w:highlight w:val="none"/>
                <w:u w:val="single"/>
              </w:rPr>
              <w:t xml:space="preserve">陈金苗 </w:t>
            </w:r>
          </w:p>
          <w:p w14:paraId="0C1A5C7F">
            <w:pPr>
              <w:keepNext w:val="0"/>
              <w:keepLines w:val="0"/>
              <w:suppressLineNumbers w:val="0"/>
              <w:adjustRightInd w:val="0"/>
              <w:snapToGrid w:val="0"/>
              <w:spacing w:before="0" w:beforeAutospacing="0" w:after="0" w:afterAutospacing="0" w:line="560" w:lineRule="exact"/>
              <w:ind w:left="0" w:right="0"/>
              <w:jc w:val="left"/>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开户银行：</w:t>
            </w:r>
            <w:r>
              <w:rPr>
                <w:rFonts w:hint="eastAsia" w:ascii="仿宋" w:hAnsi="仿宋" w:eastAsia="仿宋" w:cs="仿宋"/>
                <w:color w:val="auto"/>
                <w:sz w:val="26"/>
                <w:szCs w:val="26"/>
                <w:highlight w:val="none"/>
                <w:u w:val="single"/>
              </w:rPr>
              <w:t>中国农业银行股份有限公司安庆龙城支行</w:t>
            </w:r>
          </w:p>
          <w:p w14:paraId="3336E0E2">
            <w:pPr>
              <w:keepNext w:val="0"/>
              <w:keepLines w:val="0"/>
              <w:suppressLineNumbers w:val="0"/>
              <w:adjustRightInd w:val="0"/>
              <w:snapToGrid w:val="0"/>
              <w:spacing w:before="0" w:beforeAutospacing="0" w:after="0" w:afterAutospacing="0" w:line="560" w:lineRule="exact"/>
              <w:ind w:left="0" w:right="0"/>
              <w:jc w:val="left"/>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账  号：</w:t>
            </w:r>
            <w:r>
              <w:rPr>
                <w:rFonts w:hint="eastAsia" w:ascii="仿宋" w:hAnsi="仿宋" w:eastAsia="仿宋" w:cs="仿宋"/>
                <w:color w:val="auto"/>
                <w:sz w:val="26"/>
                <w:szCs w:val="26"/>
                <w:highlight w:val="none"/>
                <w:u w:val="single"/>
              </w:rPr>
              <w:t xml:space="preserve"> 12652701040024600 </w:t>
            </w:r>
          </w:p>
        </w:tc>
        <w:tc>
          <w:tcPr>
            <w:tcW w:w="5022" w:type="dxa"/>
            <w:tcBorders>
              <w:top w:val="nil"/>
              <w:left w:val="nil"/>
              <w:bottom w:val="nil"/>
              <w:right w:val="nil"/>
            </w:tcBorders>
          </w:tcPr>
          <w:p w14:paraId="58DB1E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default" w:ascii="仿宋" w:hAnsi="仿宋" w:eastAsia="仿宋" w:cs="仿宋"/>
                <w:color w:val="auto"/>
                <w:sz w:val="26"/>
                <w:szCs w:val="26"/>
                <w:highlight w:val="none"/>
                <w:lang w:val="en-US" w:eastAsia="zh-CN"/>
              </w:rPr>
            </w:pPr>
            <w:r>
              <w:rPr>
                <w:rFonts w:hint="eastAsia" w:ascii="仿宋" w:hAnsi="仿宋" w:eastAsia="仿宋" w:cs="仿宋"/>
                <w:color w:val="auto"/>
                <w:sz w:val="26"/>
                <w:szCs w:val="26"/>
                <w:highlight w:val="none"/>
              </w:rPr>
              <w:t>承包人（盖章）：</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p w14:paraId="6E0C4B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p>
          <w:p w14:paraId="51FADD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法定代表人或其委托代理人（签字）：</w:t>
            </w:r>
          </w:p>
          <w:p w14:paraId="4DC73F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p>
          <w:p w14:paraId="79AB5E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u w:val="single"/>
                <w:lang w:val="en-US" w:eastAsia="zh-CN"/>
              </w:rPr>
            </w:pPr>
            <w:r>
              <w:rPr>
                <w:rFonts w:hint="eastAsia" w:ascii="仿宋" w:hAnsi="仿宋" w:eastAsia="仿宋" w:cs="仿宋"/>
                <w:color w:val="auto"/>
                <w:sz w:val="26"/>
                <w:szCs w:val="26"/>
                <w:highlight w:val="none"/>
              </w:rPr>
              <w:t>纳税人识别码：</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p w14:paraId="0D6BF2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u w:val="single"/>
                <w:lang w:val="en-US" w:eastAsia="zh-CN"/>
              </w:rPr>
            </w:pPr>
            <w:r>
              <w:rPr>
                <w:rFonts w:hint="eastAsia" w:ascii="仿宋" w:hAnsi="仿宋" w:eastAsia="仿宋" w:cs="仿宋"/>
                <w:color w:val="auto"/>
                <w:sz w:val="26"/>
                <w:szCs w:val="26"/>
                <w:highlight w:val="none"/>
              </w:rPr>
              <w:t>地  址：</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p w14:paraId="3CD520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u w:val="single"/>
                <w:lang w:val="en-US" w:eastAsia="zh-CN"/>
              </w:rPr>
            </w:pPr>
          </w:p>
          <w:p w14:paraId="7C5A36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default" w:ascii="仿宋" w:hAnsi="仿宋" w:eastAsia="仿宋" w:cs="仿宋"/>
                <w:color w:val="auto"/>
                <w:sz w:val="26"/>
                <w:szCs w:val="26"/>
                <w:highlight w:val="none"/>
                <w:u w:val="single"/>
                <w:lang w:val="en-US" w:eastAsia="zh-CN"/>
              </w:rPr>
            </w:pPr>
          </w:p>
          <w:p w14:paraId="42C54A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u w:val="single"/>
              </w:rPr>
            </w:pPr>
            <w:r>
              <w:rPr>
                <w:rFonts w:hint="eastAsia" w:ascii="仿宋" w:hAnsi="仿宋" w:eastAsia="仿宋" w:cs="仿宋"/>
                <w:color w:val="auto"/>
                <w:sz w:val="26"/>
                <w:szCs w:val="26"/>
                <w:highlight w:val="none"/>
              </w:rPr>
              <w:t>法定代表人：</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r>
              <w:rPr>
                <w:rFonts w:hint="eastAsia" w:ascii="仿宋" w:hAnsi="仿宋" w:eastAsia="仿宋" w:cs="仿宋"/>
                <w:color w:val="auto"/>
                <w:sz w:val="26"/>
                <w:szCs w:val="26"/>
                <w:highlight w:val="none"/>
                <w:u w:val="single"/>
              </w:rPr>
              <w:t xml:space="preserve"> </w:t>
            </w:r>
          </w:p>
          <w:p w14:paraId="2D4FF24D">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开户银行：</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p w14:paraId="4EDE1A4B">
            <w:pPr>
              <w:pStyle w:val="27"/>
              <w:keepNext w:val="0"/>
              <w:keepLines w:val="0"/>
              <w:pageBreakBefore w:val="0"/>
              <w:widowControl w:val="0"/>
              <w:suppressLineNumbers w:val="0"/>
              <w:shd w:val="clear"/>
              <w:tabs>
                <w:tab w:val="left" w:pos="567"/>
              </w:tabs>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p>
          <w:p w14:paraId="08D4F589">
            <w:pPr>
              <w:pStyle w:val="27"/>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账  号：</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tc>
      </w:tr>
    </w:tbl>
    <w:p w14:paraId="05CA8955">
      <w:pPr>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4603247F">
      <w:pPr>
        <w:widowControl/>
        <w:adjustRightInd w:val="0"/>
        <w:snapToGrid w:val="0"/>
        <w:spacing w:line="480" w:lineRule="exact"/>
        <w:jc w:val="left"/>
        <w:outlineLvl w:val="2"/>
        <w:rPr>
          <w:rFonts w:hint="eastAsia" w:ascii="仿宋" w:hAnsi="仿宋" w:eastAsia="仿宋" w:cs="仿宋"/>
          <w:b/>
          <w:bCs/>
          <w:color w:val="auto"/>
          <w:sz w:val="28"/>
          <w:szCs w:val="28"/>
          <w:highlight w:val="none"/>
        </w:rPr>
      </w:pPr>
      <w:bookmarkStart w:id="130" w:name="_Toc13925"/>
      <w:r>
        <w:rPr>
          <w:rFonts w:hint="eastAsia" w:ascii="仿宋" w:hAnsi="仿宋" w:eastAsia="仿宋" w:cs="仿宋"/>
          <w:b/>
          <w:bCs/>
          <w:color w:val="auto"/>
          <w:sz w:val="28"/>
          <w:szCs w:val="28"/>
          <w:highlight w:val="none"/>
        </w:rPr>
        <w:t>附件1：</w:t>
      </w:r>
      <w:bookmarkEnd w:id="130"/>
      <w:r>
        <w:rPr>
          <w:rFonts w:hint="eastAsia" w:ascii="仿宋" w:hAnsi="仿宋" w:eastAsia="仿宋" w:cs="仿宋"/>
          <w:b/>
          <w:bCs/>
          <w:color w:val="auto"/>
          <w:sz w:val="28"/>
          <w:szCs w:val="28"/>
          <w:highlight w:val="none"/>
        </w:rPr>
        <w:t>桩基检测及建设工程质量检测工程量价格清单</w:t>
      </w:r>
    </w:p>
    <w:p w14:paraId="63B6AE17">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宋体" w:hAnsi="宋体" w:cs="宋体"/>
          <w:color w:val="auto"/>
          <w:szCs w:val="21"/>
          <w:highlight w:val="none"/>
        </w:rPr>
      </w:pPr>
    </w:p>
    <w:p w14:paraId="57EE9780">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仿宋" w:hAnsi="仿宋" w:eastAsia="仿宋" w:cs="仿宋"/>
          <w:b/>
          <w:bCs/>
          <w:color w:val="auto"/>
          <w:sz w:val="28"/>
          <w:szCs w:val="28"/>
          <w:highlight w:val="none"/>
        </w:rPr>
      </w:pPr>
      <w:r>
        <w:rPr>
          <w:rFonts w:hint="eastAsia" w:ascii="宋体" w:hAnsi="宋体" w:cs="宋体"/>
          <w:color w:val="auto"/>
          <w:szCs w:val="21"/>
          <w:highlight w:val="none"/>
          <w:lang w:val="en-US" w:eastAsia="zh-CN"/>
        </w:rPr>
        <w:t>签订合同时另附。</w:t>
      </w:r>
      <w:r>
        <w:rPr>
          <w:rFonts w:hint="eastAsia" w:ascii="宋体" w:hAnsi="宋体" w:cs="宋体"/>
          <w:color w:val="auto"/>
          <w:szCs w:val="21"/>
          <w:highlight w:val="none"/>
        </w:rPr>
        <w:br w:type="page"/>
      </w:r>
      <w:bookmarkStart w:id="131" w:name="_Toc5083"/>
      <w:r>
        <w:rPr>
          <w:rFonts w:hint="eastAsia" w:ascii="仿宋" w:hAnsi="仿宋" w:eastAsia="仿宋" w:cs="仿宋"/>
          <w:b/>
          <w:bCs/>
          <w:color w:val="auto"/>
          <w:sz w:val="28"/>
          <w:szCs w:val="28"/>
          <w:highlight w:val="none"/>
        </w:rPr>
        <w:t>附件2：承包人营业执照及相关证件</w:t>
      </w:r>
      <w:bookmarkEnd w:id="131"/>
      <w:r>
        <w:rPr>
          <w:rFonts w:hint="eastAsia" w:ascii="仿宋" w:hAnsi="仿宋" w:eastAsia="仿宋" w:cs="仿宋"/>
          <w:b/>
          <w:bCs/>
          <w:color w:val="auto"/>
          <w:sz w:val="28"/>
          <w:szCs w:val="28"/>
          <w:highlight w:val="none"/>
        </w:rPr>
        <w:t xml:space="preserve"> </w:t>
      </w:r>
    </w:p>
    <w:p w14:paraId="4C810BA9">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仿宋" w:hAnsi="仿宋" w:eastAsia="仿宋" w:cs="仿宋"/>
          <w:b w:val="0"/>
          <w:bCs w:val="0"/>
          <w:color w:val="auto"/>
          <w:sz w:val="28"/>
          <w:szCs w:val="28"/>
          <w:highlight w:val="none"/>
          <w:lang w:val="en-US" w:eastAsia="zh-CN"/>
        </w:rPr>
      </w:pPr>
    </w:p>
    <w:p w14:paraId="013330C7">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（一）营业执照</w:t>
      </w:r>
      <w:bookmarkStart w:id="132" w:name="_Toc20087"/>
      <w:bookmarkStart w:id="133" w:name="_Toc20622"/>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rPr>
        <w:t>签订合同时另附。</w:t>
      </w:r>
    </w:p>
    <w:p w14:paraId="4177D51A">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textAlignment w:val="auto"/>
        <w:outlineLvl w:val="9"/>
        <w:rPr>
          <w:rFonts w:hint="eastAsia" w:ascii="仿宋" w:hAnsi="仿宋" w:eastAsia="仿宋" w:cs="仿宋"/>
          <w:b w:val="0"/>
          <w:bCs w:val="0"/>
          <w:color w:val="auto"/>
          <w:sz w:val="28"/>
          <w:szCs w:val="28"/>
          <w:highlight w:val="none"/>
        </w:rPr>
      </w:pPr>
    </w:p>
    <w:p w14:paraId="6AE49616">
      <w:pPr>
        <w:keepNext w:val="0"/>
        <w:keepLines w:val="0"/>
        <w:pageBreakBefore w:val="0"/>
        <w:widowControl w:val="0"/>
        <w:numPr>
          <w:ilvl w:val="0"/>
          <w:numId w:val="40"/>
        </w:numPr>
        <w:kinsoku/>
        <w:wordWrap/>
        <w:overflowPunct/>
        <w:topLinePunct w:val="0"/>
        <w:autoSpaceDE/>
        <w:autoSpaceDN/>
        <w:bidi w:val="0"/>
        <w:adjustRightInd w:val="0"/>
        <w:snapToGrid w:val="0"/>
        <w:spacing w:line="480" w:lineRule="exact"/>
        <w:ind w:firstLine="0" w:firstLineChars="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资质证书：签订合同时另附。</w:t>
      </w:r>
    </w:p>
    <w:p w14:paraId="736A7899">
      <w:pPr>
        <w:numPr>
          <w:ilvl w:val="0"/>
          <w:numId w:val="0"/>
        </w:numPr>
        <w:adjustRightInd w:val="0"/>
        <w:snapToGrid w:val="0"/>
        <w:spacing w:after="93" w:afterLines="30"/>
        <w:jc w:val="left"/>
        <w:outlineLvl w:val="2"/>
        <w:rPr>
          <w:rFonts w:hint="eastAsia" w:asciiTheme="minorEastAsia" w:hAnsiTheme="minorEastAsia" w:eastAsiaTheme="minorEastAsia" w:cstheme="minorEastAsia"/>
          <w:b/>
          <w:bCs/>
          <w:color w:val="auto"/>
          <w:szCs w:val="21"/>
          <w:highlight w:val="none"/>
        </w:rPr>
      </w:pPr>
      <w:r>
        <w:rPr>
          <w:rFonts w:hint="eastAsia" w:ascii="宋体" w:hAnsi="宋体" w:cs="宋体"/>
          <w:b/>
          <w:bCs/>
          <w:color w:val="auto"/>
          <w:szCs w:val="21"/>
          <w:highlight w:val="none"/>
        </w:rPr>
        <w:br w:type="page"/>
      </w:r>
      <w:bookmarkStart w:id="134" w:name="_Toc9219"/>
      <w:bookmarkStart w:id="135" w:name="_Toc25728_WPSOffice_Level1"/>
      <w:bookmarkStart w:id="136" w:name="_Toc21066"/>
      <w:bookmarkStart w:id="137" w:name="_Toc762"/>
      <w:bookmarkStart w:id="138" w:name="_Toc19235_WPSOffice_Level1"/>
      <w:bookmarkStart w:id="139" w:name="_Toc27434"/>
      <w:r>
        <w:rPr>
          <w:rFonts w:hint="eastAsia" w:ascii="仿宋" w:hAnsi="仿宋" w:eastAsia="仿宋" w:cs="仿宋"/>
          <w:b/>
          <w:bCs/>
          <w:color w:val="auto"/>
          <w:sz w:val="28"/>
          <w:szCs w:val="28"/>
          <w:highlight w:val="none"/>
        </w:rPr>
        <w:t>附件3：</w:t>
      </w:r>
      <w:bookmarkEnd w:id="132"/>
      <w:bookmarkEnd w:id="133"/>
      <w:bookmarkEnd w:id="134"/>
      <w:bookmarkEnd w:id="135"/>
      <w:bookmarkEnd w:id="136"/>
      <w:bookmarkEnd w:id="137"/>
      <w:bookmarkEnd w:id="138"/>
      <w:r>
        <w:rPr>
          <w:rFonts w:hint="eastAsia" w:ascii="仿宋" w:hAnsi="仿宋" w:eastAsia="仿宋" w:cs="仿宋"/>
          <w:b/>
          <w:bCs/>
          <w:color w:val="auto"/>
          <w:sz w:val="28"/>
          <w:szCs w:val="28"/>
          <w:highlight w:val="none"/>
        </w:rPr>
        <w:t>廉政协议</w:t>
      </w:r>
      <w:bookmarkEnd w:id="139"/>
    </w:p>
    <w:p w14:paraId="56A1700E">
      <w:pPr>
        <w:autoSpaceDE w:val="0"/>
        <w:adjustRightInd w:val="0"/>
        <w:snapToGrid w:val="0"/>
        <w:spacing w:line="48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bidi="ar"/>
        </w:rPr>
        <w:t>发包人：</w:t>
      </w:r>
      <w:r>
        <w:rPr>
          <w:rFonts w:hint="eastAsia" w:ascii="仿宋" w:hAnsi="仿宋" w:eastAsia="仿宋" w:cs="仿宋"/>
          <w:color w:val="auto"/>
          <w:sz w:val="28"/>
          <w:szCs w:val="28"/>
          <w:highlight w:val="none"/>
          <w:u w:val="single"/>
          <w:lang w:bidi="ar"/>
        </w:rPr>
        <w:t xml:space="preserve">安庆市通达置业有限公司 </w:t>
      </w:r>
    </w:p>
    <w:p w14:paraId="0A54A746">
      <w:pPr>
        <w:autoSpaceDE w:val="0"/>
        <w:adjustRightInd w:val="0"/>
        <w:snapToGrid w:val="0"/>
        <w:spacing w:line="480" w:lineRule="exact"/>
        <w:ind w:firstLine="560" w:firstLineChars="200"/>
        <w:rPr>
          <w:rFonts w:hint="default" w:ascii="仿宋" w:hAnsi="仿宋" w:eastAsia="仿宋" w:cs="仿宋"/>
          <w:color w:val="auto"/>
          <w:sz w:val="28"/>
          <w:szCs w:val="28"/>
          <w:highlight w:val="none"/>
          <w:u w:val="single"/>
          <w:lang w:val="en-US" w:eastAsia="zh-CN" w:bidi="ar"/>
        </w:rPr>
      </w:pPr>
      <w:r>
        <w:rPr>
          <w:rFonts w:hint="eastAsia" w:ascii="仿宋" w:hAnsi="仿宋" w:eastAsia="仿宋" w:cs="仿宋"/>
          <w:color w:val="auto"/>
          <w:sz w:val="28"/>
          <w:szCs w:val="28"/>
          <w:highlight w:val="none"/>
          <w:lang w:bidi="ar"/>
        </w:rPr>
        <w:t>承包人：</w:t>
      </w:r>
      <w:r>
        <w:rPr>
          <w:rFonts w:hint="eastAsia" w:ascii="仿宋" w:hAnsi="仿宋" w:eastAsia="仿宋" w:cs="仿宋"/>
          <w:color w:val="auto"/>
          <w:sz w:val="28"/>
          <w:szCs w:val="28"/>
          <w:highlight w:val="none"/>
          <w:u w:val="single"/>
          <w:lang w:bidi="ar"/>
        </w:rPr>
        <w:t xml:space="preserve"> </w:t>
      </w:r>
      <w:r>
        <w:rPr>
          <w:rFonts w:hint="eastAsia" w:ascii="仿宋" w:hAnsi="仿宋" w:eastAsia="仿宋" w:cs="仿宋"/>
          <w:color w:val="auto"/>
          <w:sz w:val="28"/>
          <w:szCs w:val="28"/>
          <w:highlight w:val="none"/>
          <w:u w:val="single"/>
          <w:lang w:val="en-US" w:eastAsia="zh-CN" w:bidi="ar"/>
        </w:rPr>
        <w:t xml:space="preserve">                      </w:t>
      </w:r>
    </w:p>
    <w:p w14:paraId="6CA1E844">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为促进双方诚信经营、廉洁从业，防范商业贿赂，保护国家、集体和当事人的合法权益，根据国家有关法律法规和安徽省、项目所在地廉政建设的规定，双方特此订立本责任书共同遵照执行。</w:t>
      </w:r>
    </w:p>
    <w:p w14:paraId="1A586F9E">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第一条 甲乙双方的权利和义务</w:t>
      </w:r>
    </w:p>
    <w:p w14:paraId="4DBEBE10">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一）甲乙双方自觉遵守《中华人民共和国反不正当竞争法》、国家工商行政管理局《关于禁止商业贿赂行为的暂行规定》、国家最高人民法院、最高人民检察院《关于办理受贿刑事案件适用法律若干问题的意见》及相关法律法规和廉政建设的规定。</w:t>
      </w:r>
    </w:p>
    <w:p w14:paraId="298E5876">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（二）严格执行</w:t>
      </w:r>
      <w:r>
        <w:rPr>
          <w:rFonts w:hint="eastAsia" w:ascii="仿宋" w:hAnsi="仿宋" w:eastAsia="仿宋" w:cs="仿宋"/>
          <w:color w:val="auto"/>
          <w:sz w:val="28"/>
          <w:szCs w:val="28"/>
          <w:highlight w:val="none"/>
          <w:u w:val="single"/>
          <w:lang w:bidi="ar"/>
        </w:rPr>
        <w:t xml:space="preserve"> 上河院项目</w:t>
      </w:r>
      <w:r>
        <w:rPr>
          <w:rFonts w:hint="eastAsia" w:ascii="仿宋" w:hAnsi="仿宋" w:eastAsia="仿宋" w:cs="仿宋"/>
          <w:color w:val="auto"/>
          <w:sz w:val="28"/>
          <w:szCs w:val="28"/>
          <w:highlight w:val="none"/>
          <w:u w:val="single"/>
          <w:lang w:val="en-US" w:eastAsia="zh-CN" w:bidi="ar"/>
        </w:rPr>
        <w:t>跨湖人行栈道桩基检测及</w:t>
      </w:r>
      <w:r>
        <w:rPr>
          <w:rFonts w:hint="eastAsia" w:ascii="仿宋" w:hAnsi="仿宋" w:eastAsia="仿宋" w:cs="仿宋"/>
          <w:color w:val="auto"/>
          <w:sz w:val="28"/>
          <w:szCs w:val="28"/>
          <w:highlight w:val="none"/>
          <w:u w:val="single"/>
          <w:lang w:bidi="ar"/>
        </w:rPr>
        <w:t xml:space="preserve">建设工程质量检测服务 </w:t>
      </w:r>
      <w:r>
        <w:rPr>
          <w:rFonts w:hint="eastAsia" w:ascii="仿宋" w:hAnsi="仿宋" w:eastAsia="仿宋" w:cs="仿宋"/>
          <w:color w:val="auto"/>
          <w:sz w:val="28"/>
          <w:szCs w:val="28"/>
          <w:highlight w:val="none"/>
          <w:lang w:bidi="ar"/>
        </w:rPr>
        <w:t>合同要求，自觉履行合同约定的相关义务。</w:t>
      </w:r>
    </w:p>
    <w:p w14:paraId="54E468E1">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（三）在业务活动中坚持公开、公正、诚信、透明的原则，不得损害国家、集体利益。</w:t>
      </w:r>
    </w:p>
    <w:p w14:paraId="59985A8D">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（四）建立健全廉政制度，开展廉政教育，公布举报电话，监督并认真查处违法违纪行为。</w:t>
      </w:r>
    </w:p>
    <w:p w14:paraId="44D6B2C2">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（五）发现对方在业务活动中有违反廉政规定的行为，应及时提醒对方纠正。情节严重的，应向其上级有关部门举报、建议给予处理，并有权要求告知处理结果。</w:t>
      </w:r>
    </w:p>
    <w:p w14:paraId="7B9486A7">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第二条 甲方的义务</w:t>
      </w:r>
    </w:p>
    <w:p w14:paraId="0BFEAE21">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(一)甲方及其工作人员不得索要或接受乙方的礼金、有价证券和贵重物品，不得在乙方报销任何应由甲方单位或个人支付的费用等。</w:t>
      </w:r>
    </w:p>
    <w:p w14:paraId="446AEC66">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4FBD8AC">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（三）甲方及其工作人员不得要求或者接受乙方为其住房装修、婚丧嫁娶活动、配偶子女工作安排以及出国出境、旅游等提供方便等。</w:t>
      </w:r>
    </w:p>
    <w:p w14:paraId="5CB43399">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（四）甲方工作人员不得在乙方有股权关联的企业兼职，不得向乙方介绍家属或者亲友从事与甲方业务有关的经济活动。</w:t>
      </w:r>
    </w:p>
    <w:p w14:paraId="082C4AC1">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263C7D3F">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（六）甲方工作人员不得利用职务之便收受乙方以回扣、手续费、加班费、咨询费、劳务费、协调费、辛苦费等各种名义给予或赠送的钱物。</w:t>
      </w:r>
    </w:p>
    <w:p w14:paraId="799D9706">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（七）甲方工作人员不得接受乙方给予或赠送的干股或红利。</w:t>
      </w:r>
    </w:p>
    <w:p w14:paraId="2DB7C9C7">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（八）甲方任何人不得以个人的名义向乙方推荐设备、部件等供货商以及其他合作单位。</w:t>
      </w:r>
    </w:p>
    <w:p w14:paraId="7EC48FDC">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第三条 乙方的义务</w:t>
      </w:r>
    </w:p>
    <w:p w14:paraId="55CFF071">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(一)乙方不得以任何理由向甲方及其工作人员行贿或馈赠礼金、有价证券、贵重礼品。</w:t>
      </w:r>
    </w:p>
    <w:p w14:paraId="25481344">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（二)乙方不得以任何名义为甲方及其工作人员报销应由甲方单位或个人支付的任何费用。</w:t>
      </w:r>
    </w:p>
    <w:p w14:paraId="5917E6FA">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(三)乙方不得以任何理由安排甲方工作人员参加可能影响相关业务公开、公正、公平性的宴请及娱乐活动。</w:t>
      </w:r>
    </w:p>
    <w:p w14:paraId="0504E568">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（四）乙方不得为甲方单位和个人购置或提供通讯工具和高档办公用品等物品，也不得为甲方提供与工作无关的房屋、汽车等。</w:t>
      </w:r>
    </w:p>
    <w:p w14:paraId="27E17F6E">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（五）乙方不得与甲方工作人员就合同中的质量、数量、价格、工程量、验收等条款进行私下商谈或者达成默契。</w:t>
      </w:r>
    </w:p>
    <w:p w14:paraId="10E25EBA">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（六）乙方不得以回扣、手续费、加班费、咨询费、劳务费、协调费、辛苦费等各种名义向甲方工作人员给予或赠送钱物。</w:t>
      </w:r>
    </w:p>
    <w:p w14:paraId="5758CF26">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（七）乙方不得向甲方工作人员提供干股或红利。</w:t>
      </w:r>
    </w:p>
    <w:p w14:paraId="050FCCE2">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（八）乙方须按</w:t>
      </w:r>
      <w:r>
        <w:rPr>
          <w:rFonts w:hint="eastAsia" w:ascii="仿宋" w:hAnsi="仿宋" w:eastAsia="仿宋" w:cs="仿宋"/>
          <w:color w:val="auto"/>
          <w:sz w:val="28"/>
          <w:szCs w:val="28"/>
          <w:highlight w:val="none"/>
          <w:u w:val="single"/>
          <w:lang w:bidi="ar"/>
        </w:rPr>
        <w:t xml:space="preserve"> 安庆市安通建设集团有限公司 </w:t>
      </w:r>
      <w:r>
        <w:rPr>
          <w:rFonts w:hint="eastAsia" w:ascii="仿宋" w:hAnsi="仿宋" w:eastAsia="仿宋" w:cs="仿宋"/>
          <w:color w:val="auto"/>
          <w:sz w:val="28"/>
          <w:szCs w:val="28"/>
          <w:highlight w:val="none"/>
          <w:lang w:bidi="ar"/>
        </w:rPr>
        <w:t>专项纪检监察工作组(如有)要求开展相关工作。</w:t>
      </w:r>
    </w:p>
    <w:p w14:paraId="4A33B90B">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第四条 违约责任</w:t>
      </w:r>
    </w:p>
    <w:p w14:paraId="3D4EA4A7">
      <w:pPr>
        <w:autoSpaceDE w:val="0"/>
        <w:adjustRightInd w:val="0"/>
        <w:snapToGrid w:val="0"/>
        <w:spacing w:line="480" w:lineRule="exact"/>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D0F635A">
      <w:pPr>
        <w:widowControl/>
        <w:adjustRightInd w:val="0"/>
        <w:snapToGrid w:val="0"/>
        <w:spacing w:line="480" w:lineRule="exact"/>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kern w:val="0"/>
          <w:sz w:val="28"/>
          <w:szCs w:val="28"/>
          <w:highlight w:val="none"/>
        </w:rPr>
        <w:t>甲方投诉联系部门：</w:t>
      </w:r>
      <w:r>
        <w:rPr>
          <w:rFonts w:hint="eastAsia" w:ascii="仿宋" w:hAnsi="仿宋" w:eastAsia="仿宋" w:cs="仿宋"/>
          <w:color w:val="auto"/>
          <w:kern w:val="0"/>
          <w:sz w:val="28"/>
          <w:szCs w:val="28"/>
          <w:highlight w:val="none"/>
          <w:u w:val="single"/>
        </w:rPr>
        <w:t>前期工作部（纪检监察）</w:t>
      </w:r>
      <w:r>
        <w:rPr>
          <w:rFonts w:hint="eastAsia" w:ascii="仿宋" w:hAnsi="仿宋" w:eastAsia="仿宋" w:cs="仿宋"/>
          <w:color w:val="auto"/>
          <w:kern w:val="0"/>
          <w:sz w:val="28"/>
          <w:szCs w:val="28"/>
          <w:highlight w:val="none"/>
        </w:rPr>
        <w:t>，联系电话：</w:t>
      </w:r>
      <w:r>
        <w:rPr>
          <w:rFonts w:hint="eastAsia" w:ascii="仿宋" w:hAnsi="仿宋" w:eastAsia="仿宋" w:cs="仿宋"/>
          <w:color w:val="auto"/>
          <w:kern w:val="0"/>
          <w:sz w:val="28"/>
          <w:szCs w:val="28"/>
          <w:highlight w:val="none"/>
          <w:u w:val="single"/>
        </w:rPr>
        <w:t>0556-8880050</w:t>
      </w:r>
      <w:r>
        <w:rPr>
          <w:rFonts w:hint="eastAsia" w:ascii="仿宋" w:hAnsi="仿宋" w:eastAsia="仿宋" w:cs="仿宋"/>
          <w:color w:val="auto"/>
          <w:kern w:val="0"/>
          <w:sz w:val="28"/>
          <w:szCs w:val="28"/>
          <w:highlight w:val="none"/>
        </w:rPr>
        <w:t>。</w:t>
      </w:r>
    </w:p>
    <w:p w14:paraId="22632E84">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（二）乙方及其工作人员违反本协议第一、三条规定。根据具体情节和造成的后果，甲方有权对乙方采取以下一种或多种处理办法：</w:t>
      </w:r>
    </w:p>
    <w:p w14:paraId="51FC47FB">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 xml:space="preserve">1. 全额收取乙方合同履约保证金不予退还； </w:t>
      </w:r>
    </w:p>
    <w:p w14:paraId="566253B4">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2. 追究乙方其他违约责任；</w:t>
      </w:r>
    </w:p>
    <w:p w14:paraId="15321355">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3. 终止或解除双方已签订的包括本合同在内的所有合同；</w:t>
      </w:r>
    </w:p>
    <w:p w14:paraId="3D1C6FC8">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4. 乙方一定期限内（6个月至3年，具体由甲方根据情况而定）不得参与甲方作为发包人（业主）的工程项目投标。</w:t>
      </w:r>
    </w:p>
    <w:p w14:paraId="06F92593">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甲方作出的处理意见，乙方应无条件接受并承担给甲方造成的损失，全额返还通过不正当手段从甲方获取的非法所得，并承担相应的法律责任。</w:t>
      </w:r>
    </w:p>
    <w:p w14:paraId="1F232AAE">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第五条 双方约定</w:t>
      </w:r>
    </w:p>
    <w:p w14:paraId="23292A7B">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D4F7F48">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 xml:space="preserve">第六条 本协议有效期为甲乙双方签署之日起至合同终止。  </w:t>
      </w:r>
    </w:p>
    <w:p w14:paraId="6DD2DBBF">
      <w:pPr>
        <w:autoSpaceDE w:val="0"/>
        <w:adjustRightInd w:val="0"/>
        <w:snapToGri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第七条 本协议作为合同的附件，与合同具有同等法律效力。</w:t>
      </w:r>
    </w:p>
    <w:p w14:paraId="4D45327C">
      <w:pPr>
        <w:pStyle w:val="4"/>
        <w:snapToGrid w:val="0"/>
        <w:spacing w:line="480" w:lineRule="exact"/>
        <w:ind w:firstLine="0"/>
        <w:rPr>
          <w:rFonts w:hint="eastAsia" w:ascii="仿宋" w:hAnsi="仿宋" w:eastAsia="仿宋" w:cs="仿宋"/>
          <w:color w:val="auto"/>
          <w:kern w:val="2"/>
          <w:sz w:val="28"/>
          <w:szCs w:val="28"/>
          <w:highlight w:val="none"/>
        </w:rPr>
      </w:pPr>
      <w:r>
        <w:rPr>
          <w:rFonts w:hint="eastAsia" w:ascii="仿宋" w:hAnsi="仿宋" w:eastAsia="仿宋" w:cs="仿宋"/>
          <w:b/>
          <w:bCs/>
          <w:color w:val="auto"/>
          <w:kern w:val="2"/>
          <w:sz w:val="28"/>
          <w:szCs w:val="28"/>
          <w:highlight w:val="none"/>
          <w:u w:val="dotted"/>
        </w:rPr>
        <w:t xml:space="preserve">                                                                     </w:t>
      </w:r>
    </w:p>
    <w:p w14:paraId="72AEA1E0">
      <w:pPr>
        <w:overflowPunct w:val="0"/>
        <w:autoSpaceDE w:val="0"/>
        <w:autoSpaceDN w:val="0"/>
        <w:adjustRightInd w:val="0"/>
        <w:snapToGrid w:val="0"/>
        <w:spacing w:line="480" w:lineRule="exact"/>
        <w:ind w:firstLine="560" w:firstLineChars="200"/>
        <w:textAlignment w:val="baseline"/>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（以下无正文，为合同签署页）</w:t>
      </w:r>
    </w:p>
    <w:p w14:paraId="3084FE9E">
      <w:pPr>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br w:type="page"/>
      </w:r>
    </w:p>
    <w:p w14:paraId="7928D121">
      <w:pPr>
        <w:overflowPunct w:val="0"/>
        <w:autoSpaceDE w:val="0"/>
        <w:autoSpaceDN w:val="0"/>
        <w:adjustRightInd w:val="0"/>
        <w:snapToGrid w:val="0"/>
        <w:spacing w:line="480" w:lineRule="exact"/>
        <w:ind w:firstLine="560" w:firstLineChars="200"/>
        <w:textAlignment w:val="baseline"/>
        <w:rPr>
          <w:rFonts w:hint="eastAsia" w:ascii="仿宋" w:hAnsi="仿宋" w:eastAsia="仿宋" w:cs="仿宋"/>
          <w:color w:val="auto"/>
          <w:sz w:val="28"/>
          <w:szCs w:val="28"/>
          <w:highlight w:val="none"/>
          <w:lang w:bidi="ar"/>
        </w:rPr>
      </w:pPr>
    </w:p>
    <w:tbl>
      <w:tblPr>
        <w:tblStyle w:val="61"/>
        <w:tblW w:w="9835"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4813"/>
        <w:gridCol w:w="5022"/>
      </w:tblGrid>
      <w:tr w14:paraId="4811BB18">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13" w:type="dxa"/>
            <w:tcBorders>
              <w:top w:val="nil"/>
              <w:left w:val="nil"/>
              <w:bottom w:val="nil"/>
              <w:right w:val="nil"/>
            </w:tcBorders>
          </w:tcPr>
          <w:p w14:paraId="43923580">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u w:val="single"/>
              </w:rPr>
            </w:pPr>
            <w:r>
              <w:rPr>
                <w:rFonts w:hint="eastAsia" w:ascii="仿宋" w:hAnsi="仿宋" w:eastAsia="仿宋" w:cs="仿宋"/>
                <w:bCs/>
                <w:color w:val="auto"/>
                <w:sz w:val="26"/>
                <w:szCs w:val="26"/>
                <w:highlight w:val="none"/>
                <w:u w:val="dotted"/>
              </w:rPr>
              <w:br w:type="page"/>
            </w:r>
            <w:r>
              <w:rPr>
                <w:rFonts w:hint="eastAsia" w:ascii="仿宋" w:hAnsi="仿宋" w:eastAsia="仿宋" w:cs="仿宋"/>
                <w:color w:val="auto"/>
                <w:sz w:val="26"/>
                <w:szCs w:val="26"/>
                <w:highlight w:val="none"/>
              </w:rPr>
              <w:t>发包人（盖章）：</w:t>
            </w:r>
            <w:r>
              <w:rPr>
                <w:rFonts w:hint="eastAsia" w:ascii="仿宋" w:hAnsi="仿宋" w:eastAsia="仿宋" w:cs="仿宋"/>
                <w:color w:val="auto"/>
                <w:sz w:val="26"/>
                <w:szCs w:val="26"/>
                <w:highlight w:val="none"/>
                <w:u w:val="single"/>
              </w:rPr>
              <w:t xml:space="preserve"> 安庆市通达置业有限公司 </w:t>
            </w:r>
          </w:p>
          <w:p w14:paraId="430DFED6">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法定代表人或其委托代理人（签字）：</w:t>
            </w:r>
          </w:p>
          <w:p w14:paraId="796F2752">
            <w:pPr>
              <w:pStyle w:val="9"/>
              <w:keepNext w:val="0"/>
              <w:keepLines w:val="0"/>
              <w:suppressLineNumbers w:val="0"/>
              <w:wordWrap/>
              <w:snapToGrid w:val="0"/>
              <w:spacing w:before="0" w:beforeAutospacing="0" w:after="0" w:afterAutospacing="0" w:line="560" w:lineRule="exact"/>
              <w:ind w:left="0" w:right="0"/>
              <w:rPr>
                <w:rFonts w:hint="default"/>
                <w:color w:val="auto"/>
                <w:szCs w:val="20"/>
                <w:highlight w:val="none"/>
              </w:rPr>
            </w:pPr>
          </w:p>
          <w:p w14:paraId="09AD748B">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u w:val="single"/>
              </w:rPr>
            </w:pPr>
            <w:r>
              <w:rPr>
                <w:rFonts w:hint="eastAsia" w:ascii="仿宋" w:hAnsi="仿宋" w:eastAsia="仿宋" w:cs="仿宋"/>
                <w:color w:val="auto"/>
                <w:sz w:val="26"/>
                <w:szCs w:val="26"/>
                <w:highlight w:val="none"/>
              </w:rPr>
              <w:t>纳税人识别码：</w:t>
            </w:r>
            <w:r>
              <w:rPr>
                <w:rFonts w:hint="eastAsia" w:ascii="仿宋" w:hAnsi="仿宋" w:eastAsia="仿宋" w:cs="仿宋"/>
                <w:color w:val="auto"/>
                <w:sz w:val="26"/>
                <w:szCs w:val="26"/>
                <w:highlight w:val="none"/>
                <w:u w:val="single"/>
              </w:rPr>
              <w:t xml:space="preserve">91340811MAE6NY6C2G </w:t>
            </w:r>
          </w:p>
          <w:p w14:paraId="37E66FFD">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地  址：</w:t>
            </w:r>
            <w:r>
              <w:rPr>
                <w:rFonts w:hint="eastAsia" w:ascii="仿宋" w:hAnsi="仿宋" w:eastAsia="仿宋" w:cs="仿宋"/>
                <w:color w:val="auto"/>
                <w:sz w:val="26"/>
                <w:szCs w:val="26"/>
                <w:highlight w:val="none"/>
                <w:u w:val="single"/>
              </w:rPr>
              <w:t>安徽省安庆市宜秀区大龙山镇兴宜路学苑大厦五楼安庆龙科建设发展有限责任公司502室</w:t>
            </w:r>
            <w:r>
              <w:rPr>
                <w:rFonts w:hint="eastAsia" w:ascii="仿宋" w:hAnsi="仿宋" w:cs="仿宋"/>
                <w:color w:val="auto"/>
                <w:sz w:val="26"/>
                <w:szCs w:val="26"/>
                <w:highlight w:val="none"/>
                <w:u w:val="single"/>
              </w:rPr>
              <w:t xml:space="preserve"> </w:t>
            </w:r>
          </w:p>
          <w:p w14:paraId="30B497C1">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u w:val="single"/>
              </w:rPr>
            </w:pPr>
            <w:r>
              <w:rPr>
                <w:rFonts w:hint="eastAsia" w:ascii="仿宋" w:hAnsi="仿宋" w:eastAsia="仿宋" w:cs="仿宋"/>
                <w:color w:val="auto"/>
                <w:sz w:val="26"/>
                <w:szCs w:val="26"/>
                <w:highlight w:val="none"/>
              </w:rPr>
              <w:t>法定代表人：</w:t>
            </w:r>
            <w:r>
              <w:rPr>
                <w:rFonts w:hint="eastAsia" w:ascii="仿宋" w:hAnsi="仿宋" w:eastAsia="仿宋" w:cs="仿宋"/>
                <w:color w:val="auto"/>
                <w:sz w:val="26"/>
                <w:szCs w:val="26"/>
                <w:highlight w:val="none"/>
                <w:u w:val="single"/>
              </w:rPr>
              <w:t xml:space="preserve">陈金苗 </w:t>
            </w:r>
          </w:p>
          <w:p w14:paraId="41BF4D8D">
            <w:pPr>
              <w:keepNext w:val="0"/>
              <w:keepLines w:val="0"/>
              <w:suppressLineNumbers w:val="0"/>
              <w:adjustRightInd w:val="0"/>
              <w:snapToGrid w:val="0"/>
              <w:spacing w:before="0" w:beforeAutospacing="0" w:after="0" w:afterAutospacing="0" w:line="560" w:lineRule="exact"/>
              <w:ind w:left="0" w:right="0"/>
              <w:jc w:val="left"/>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开户银行：</w:t>
            </w:r>
            <w:r>
              <w:rPr>
                <w:rFonts w:hint="eastAsia" w:ascii="仿宋" w:hAnsi="仿宋" w:eastAsia="仿宋" w:cs="仿宋"/>
                <w:color w:val="auto"/>
                <w:sz w:val="26"/>
                <w:szCs w:val="26"/>
                <w:highlight w:val="none"/>
                <w:u w:val="single"/>
              </w:rPr>
              <w:t>中国农业银行股份有限公司安庆龙城支行</w:t>
            </w:r>
          </w:p>
          <w:p w14:paraId="180A91E9">
            <w:pPr>
              <w:keepNext w:val="0"/>
              <w:keepLines w:val="0"/>
              <w:suppressLineNumbers w:val="0"/>
              <w:adjustRightInd w:val="0"/>
              <w:snapToGrid w:val="0"/>
              <w:spacing w:before="0" w:beforeAutospacing="0" w:after="0" w:afterAutospacing="0" w:line="560" w:lineRule="exact"/>
              <w:ind w:left="0" w:right="0"/>
              <w:jc w:val="left"/>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账  号：</w:t>
            </w:r>
            <w:r>
              <w:rPr>
                <w:rFonts w:hint="eastAsia" w:ascii="仿宋" w:hAnsi="仿宋" w:eastAsia="仿宋" w:cs="仿宋"/>
                <w:color w:val="auto"/>
                <w:sz w:val="26"/>
                <w:szCs w:val="26"/>
                <w:highlight w:val="none"/>
                <w:u w:val="single"/>
              </w:rPr>
              <w:t xml:space="preserve"> 12652701040024600 </w:t>
            </w:r>
          </w:p>
        </w:tc>
        <w:tc>
          <w:tcPr>
            <w:tcW w:w="5022" w:type="dxa"/>
            <w:tcBorders>
              <w:top w:val="nil"/>
              <w:left w:val="nil"/>
              <w:bottom w:val="nil"/>
              <w:right w:val="nil"/>
            </w:tcBorders>
          </w:tcPr>
          <w:p w14:paraId="3CA855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default" w:ascii="仿宋" w:hAnsi="仿宋" w:eastAsia="仿宋" w:cs="仿宋"/>
                <w:color w:val="auto"/>
                <w:sz w:val="26"/>
                <w:szCs w:val="26"/>
                <w:highlight w:val="none"/>
                <w:lang w:val="en-US" w:eastAsia="zh-CN"/>
              </w:rPr>
            </w:pPr>
            <w:r>
              <w:rPr>
                <w:rFonts w:hint="eastAsia" w:ascii="仿宋" w:hAnsi="仿宋" w:eastAsia="仿宋" w:cs="仿宋"/>
                <w:color w:val="auto"/>
                <w:sz w:val="26"/>
                <w:szCs w:val="26"/>
                <w:highlight w:val="none"/>
              </w:rPr>
              <w:t>承包人（盖章）：</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p w14:paraId="69E373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p>
          <w:p w14:paraId="6C61BC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法定代表人或其委托代理人（签字）：</w:t>
            </w:r>
          </w:p>
          <w:p w14:paraId="7DE228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p>
          <w:p w14:paraId="1FF956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u w:val="single"/>
                <w:lang w:val="en-US" w:eastAsia="zh-CN"/>
              </w:rPr>
            </w:pPr>
            <w:r>
              <w:rPr>
                <w:rFonts w:hint="eastAsia" w:ascii="仿宋" w:hAnsi="仿宋" w:eastAsia="仿宋" w:cs="仿宋"/>
                <w:color w:val="auto"/>
                <w:sz w:val="26"/>
                <w:szCs w:val="26"/>
                <w:highlight w:val="none"/>
              </w:rPr>
              <w:t>纳税人识别码：</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p w14:paraId="601AF2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u w:val="single"/>
                <w:lang w:val="en-US" w:eastAsia="zh-CN"/>
              </w:rPr>
            </w:pPr>
            <w:r>
              <w:rPr>
                <w:rFonts w:hint="eastAsia" w:ascii="仿宋" w:hAnsi="仿宋" w:eastAsia="仿宋" w:cs="仿宋"/>
                <w:color w:val="auto"/>
                <w:sz w:val="26"/>
                <w:szCs w:val="26"/>
                <w:highlight w:val="none"/>
              </w:rPr>
              <w:t>地  址：</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p w14:paraId="1B6E4F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u w:val="single"/>
                <w:lang w:val="en-US" w:eastAsia="zh-CN"/>
              </w:rPr>
            </w:pPr>
          </w:p>
          <w:p w14:paraId="703420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default" w:ascii="仿宋" w:hAnsi="仿宋" w:eastAsia="仿宋" w:cs="仿宋"/>
                <w:color w:val="auto"/>
                <w:sz w:val="26"/>
                <w:szCs w:val="26"/>
                <w:highlight w:val="none"/>
                <w:u w:val="single"/>
                <w:lang w:val="en-US" w:eastAsia="zh-CN"/>
              </w:rPr>
            </w:pPr>
          </w:p>
          <w:p w14:paraId="5C9AEF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u w:val="single"/>
              </w:rPr>
            </w:pPr>
            <w:r>
              <w:rPr>
                <w:rFonts w:hint="eastAsia" w:ascii="仿宋" w:hAnsi="仿宋" w:eastAsia="仿宋" w:cs="仿宋"/>
                <w:color w:val="auto"/>
                <w:sz w:val="26"/>
                <w:szCs w:val="26"/>
                <w:highlight w:val="none"/>
              </w:rPr>
              <w:t>法定代表人：</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r>
              <w:rPr>
                <w:rFonts w:hint="eastAsia" w:ascii="仿宋" w:hAnsi="仿宋" w:eastAsia="仿宋" w:cs="仿宋"/>
                <w:color w:val="auto"/>
                <w:sz w:val="26"/>
                <w:szCs w:val="26"/>
                <w:highlight w:val="none"/>
                <w:u w:val="single"/>
              </w:rPr>
              <w:t xml:space="preserve"> </w:t>
            </w:r>
          </w:p>
          <w:p w14:paraId="7C8D3B6E">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开户银行：</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p w14:paraId="71409CCE">
            <w:pPr>
              <w:pStyle w:val="27"/>
              <w:keepNext w:val="0"/>
              <w:keepLines w:val="0"/>
              <w:pageBreakBefore w:val="0"/>
              <w:widowControl w:val="0"/>
              <w:suppressLineNumbers w:val="0"/>
              <w:shd w:val="clear"/>
              <w:tabs>
                <w:tab w:val="left" w:pos="567"/>
              </w:tabs>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p>
          <w:p w14:paraId="5FFFF902">
            <w:pPr>
              <w:pStyle w:val="27"/>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账  号：</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tc>
      </w:tr>
    </w:tbl>
    <w:p w14:paraId="438941B5">
      <w:pPr>
        <w:adjustRightInd w:val="0"/>
        <w:snapToGrid w:val="0"/>
        <w:spacing w:line="480" w:lineRule="exact"/>
        <w:outlineLvl w:val="2"/>
        <w:rPr>
          <w:rFonts w:hint="eastAsia" w:asciiTheme="minorEastAsia" w:hAnsiTheme="minorEastAsia" w:eastAsiaTheme="minorEastAsia" w:cstheme="minorEastAsia"/>
          <w:b/>
          <w:bCs/>
          <w:color w:val="auto"/>
          <w:szCs w:val="21"/>
          <w:highlight w:val="none"/>
        </w:rPr>
      </w:pPr>
      <w:r>
        <w:rPr>
          <w:rFonts w:hint="eastAsia" w:ascii="宋体" w:hAnsi="宋体" w:cs="宋体"/>
          <w:b/>
          <w:bCs/>
          <w:color w:val="auto"/>
          <w:szCs w:val="21"/>
          <w:highlight w:val="none"/>
        </w:rPr>
        <w:br w:type="page"/>
      </w:r>
      <w:bookmarkStart w:id="140" w:name="_Toc30438"/>
      <w:bookmarkStart w:id="141" w:name="_Toc14345"/>
      <w:bookmarkStart w:id="142" w:name="_Toc3757_WPSOffice_Level1"/>
      <w:bookmarkStart w:id="143" w:name="_Toc806_WPSOffice_Level1"/>
      <w:bookmarkStart w:id="144" w:name="_Toc32421"/>
      <w:bookmarkStart w:id="145" w:name="_Toc3353"/>
      <w:bookmarkStart w:id="146" w:name="_Toc13675"/>
      <w:bookmarkStart w:id="147" w:name="_Toc27370"/>
      <w:r>
        <w:rPr>
          <w:rFonts w:hint="eastAsia" w:ascii="仿宋" w:hAnsi="仿宋" w:eastAsia="仿宋" w:cs="仿宋"/>
          <w:b/>
          <w:bCs/>
          <w:color w:val="auto"/>
          <w:sz w:val="28"/>
          <w:szCs w:val="28"/>
          <w:highlight w:val="none"/>
        </w:rPr>
        <w:t>附件4：安全生产合同</w:t>
      </w:r>
      <w:bookmarkEnd w:id="140"/>
      <w:bookmarkEnd w:id="141"/>
      <w:bookmarkEnd w:id="142"/>
      <w:bookmarkEnd w:id="143"/>
      <w:bookmarkEnd w:id="144"/>
      <w:bookmarkEnd w:id="145"/>
      <w:bookmarkEnd w:id="146"/>
      <w:bookmarkEnd w:id="147"/>
    </w:p>
    <w:p w14:paraId="03AA983F">
      <w:pPr>
        <w:adjustRightInd w:val="0"/>
        <w:snapToGrid w:val="0"/>
        <w:spacing w:line="480" w:lineRule="exact"/>
        <w:ind w:firstLine="600" w:firstLineChars="200"/>
        <w:rPr>
          <w:rFonts w:hint="eastAsia" w:ascii="仿宋" w:hAnsi="仿宋" w:eastAsia="仿宋" w:cs="仿宋"/>
          <w:color w:val="auto"/>
          <w:sz w:val="30"/>
          <w:szCs w:val="30"/>
          <w:highlight w:val="none"/>
          <w:lang w:bidi="ar"/>
        </w:rPr>
      </w:pPr>
      <w:bookmarkStart w:id="148" w:name="_Toc14230"/>
      <w:bookmarkStart w:id="149" w:name="_Toc29513"/>
      <w:r>
        <w:rPr>
          <w:rFonts w:hint="eastAsia" w:ascii="仿宋" w:hAnsi="仿宋" w:eastAsia="仿宋" w:cs="仿宋"/>
          <w:color w:val="auto"/>
          <w:sz w:val="30"/>
          <w:szCs w:val="30"/>
          <w:highlight w:val="none"/>
          <w:lang w:bidi="ar"/>
        </w:rPr>
        <w:t>为在</w:t>
      </w:r>
      <w:r>
        <w:rPr>
          <w:rFonts w:hint="eastAsia" w:ascii="仿宋" w:hAnsi="仿宋" w:eastAsia="仿宋" w:cs="仿宋"/>
          <w:color w:val="auto"/>
          <w:sz w:val="30"/>
          <w:szCs w:val="30"/>
          <w:highlight w:val="none"/>
          <w:u w:val="single"/>
          <w:lang w:bidi="ar"/>
        </w:rPr>
        <w:t xml:space="preserve"> 上河院项目跨湖人行栈道桩基检测及建设工程质量检测服务 </w:t>
      </w:r>
      <w:r>
        <w:rPr>
          <w:rFonts w:hint="eastAsia" w:ascii="仿宋" w:hAnsi="仿宋" w:eastAsia="仿宋" w:cs="仿宋"/>
          <w:color w:val="auto"/>
          <w:sz w:val="30"/>
          <w:szCs w:val="30"/>
          <w:highlight w:val="none"/>
          <w:lang w:bidi="ar"/>
        </w:rPr>
        <w:t>（项目名称）</w:t>
      </w:r>
      <w:r>
        <w:rPr>
          <w:rFonts w:hint="eastAsia" w:ascii="仿宋" w:hAnsi="仿宋" w:eastAsia="仿宋" w:cs="仿宋"/>
          <w:color w:val="auto"/>
          <w:sz w:val="30"/>
          <w:szCs w:val="30"/>
          <w:highlight w:val="none"/>
          <w:u w:val="single"/>
          <w:lang w:bidi="ar"/>
        </w:rPr>
        <w:t xml:space="preserve"> / </w:t>
      </w:r>
      <w:r>
        <w:rPr>
          <w:rFonts w:hint="eastAsia" w:ascii="仿宋" w:hAnsi="仿宋" w:eastAsia="仿宋" w:cs="仿宋"/>
          <w:color w:val="auto"/>
          <w:sz w:val="30"/>
          <w:szCs w:val="30"/>
          <w:highlight w:val="none"/>
          <w:lang w:bidi="ar"/>
        </w:rPr>
        <w:t>（标段）服务合同的实施过程中创造安全、高效的施工环境，切实搞好本项目的安全管理工作，本项目</w:t>
      </w:r>
      <w:r>
        <w:rPr>
          <w:rFonts w:hint="eastAsia" w:ascii="仿宋" w:hAnsi="仿宋" w:eastAsia="仿宋" w:cs="仿宋"/>
          <w:color w:val="auto"/>
          <w:sz w:val="30"/>
          <w:szCs w:val="30"/>
          <w:highlight w:val="none"/>
          <w:u w:val="single"/>
          <w:lang w:bidi="ar"/>
        </w:rPr>
        <w:t xml:space="preserve"> 安庆市通达置业有限公司</w:t>
      </w:r>
      <w:r>
        <w:rPr>
          <w:rFonts w:hint="eastAsia" w:ascii="仿宋" w:hAnsi="仿宋" w:eastAsia="仿宋" w:cs="仿宋"/>
          <w:color w:val="auto"/>
          <w:sz w:val="30"/>
          <w:szCs w:val="30"/>
          <w:highlight w:val="none"/>
          <w:lang w:bidi="ar"/>
        </w:rPr>
        <w:t>（发包人名称，以下简称“发包人”）与</w:t>
      </w:r>
      <w:r>
        <w:rPr>
          <w:rFonts w:hint="eastAsia" w:ascii="仿宋" w:hAnsi="仿宋" w:eastAsia="仿宋" w:cs="仿宋"/>
          <w:color w:val="auto"/>
          <w:sz w:val="30"/>
          <w:szCs w:val="30"/>
          <w:highlight w:val="none"/>
          <w:u w:val="single"/>
          <w:lang w:bidi="ar"/>
        </w:rPr>
        <w:t xml:space="preserve"> </w:t>
      </w:r>
      <w:r>
        <w:rPr>
          <w:rFonts w:hint="eastAsia" w:ascii="仿宋" w:hAnsi="仿宋" w:eastAsia="仿宋" w:cs="仿宋"/>
          <w:color w:val="auto"/>
          <w:sz w:val="30"/>
          <w:szCs w:val="30"/>
          <w:highlight w:val="none"/>
          <w:u w:val="single"/>
          <w:lang w:val="en-US" w:eastAsia="zh-CN" w:bidi="ar"/>
        </w:rPr>
        <w:t xml:space="preserve">                </w:t>
      </w:r>
      <w:r>
        <w:rPr>
          <w:rFonts w:hint="eastAsia" w:ascii="仿宋" w:hAnsi="仿宋" w:eastAsia="仿宋" w:cs="仿宋"/>
          <w:color w:val="auto"/>
          <w:sz w:val="30"/>
          <w:szCs w:val="30"/>
          <w:highlight w:val="none"/>
          <w:lang w:bidi="ar"/>
        </w:rPr>
        <w:t>（承包人名称，以下简称“承包人”）特此签订安全生产合同：</w:t>
      </w:r>
    </w:p>
    <w:p w14:paraId="429F540C">
      <w:pPr>
        <w:adjustRightInd w:val="0"/>
        <w:snapToGrid w:val="0"/>
        <w:spacing w:line="480" w:lineRule="exact"/>
        <w:ind w:firstLine="600" w:firstLineChars="200"/>
        <w:rPr>
          <w:rFonts w:hint="eastAsia" w:ascii="仿宋" w:hAnsi="仿宋" w:eastAsia="仿宋" w:cs="仿宋"/>
          <w:color w:val="auto"/>
          <w:sz w:val="30"/>
          <w:szCs w:val="30"/>
          <w:highlight w:val="none"/>
          <w:lang w:bidi="ar"/>
        </w:rPr>
      </w:pPr>
      <w:r>
        <w:rPr>
          <w:rFonts w:hint="eastAsia" w:ascii="仿宋" w:hAnsi="仿宋" w:eastAsia="仿宋" w:cs="仿宋"/>
          <w:color w:val="auto"/>
          <w:sz w:val="30"/>
          <w:szCs w:val="30"/>
          <w:highlight w:val="none"/>
          <w:lang w:bidi="ar"/>
        </w:rPr>
        <w:t>结合现场安全生产要求，项目需要组织成立安全生产管理部。由发包人、代建单位、监理单位及承包人单位的负责人为主要负责人，</w:t>
      </w:r>
      <w:r>
        <w:rPr>
          <w:rFonts w:hint="eastAsia" w:ascii="仿宋" w:hAnsi="仿宋" w:eastAsia="仿宋" w:cs="仿宋"/>
          <w:color w:val="auto"/>
          <w:sz w:val="30"/>
          <w:szCs w:val="30"/>
          <w:highlight w:val="none"/>
          <w:lang w:eastAsia="zh" w:bidi="ar"/>
        </w:rPr>
        <w:t>监理单位专职安全专监，</w:t>
      </w:r>
      <w:r>
        <w:rPr>
          <w:rFonts w:hint="eastAsia" w:ascii="仿宋" w:hAnsi="仿宋" w:eastAsia="仿宋" w:cs="仿宋"/>
          <w:color w:val="auto"/>
          <w:sz w:val="30"/>
          <w:szCs w:val="30"/>
          <w:highlight w:val="none"/>
          <w:lang w:bidi="ar"/>
        </w:rPr>
        <w:t>现场专职安全管理人员为组员，组建安全管理部，</w:t>
      </w:r>
      <w:r>
        <w:rPr>
          <w:rFonts w:hint="eastAsia" w:ascii="仿宋" w:hAnsi="仿宋" w:eastAsia="仿宋" w:cs="仿宋"/>
          <w:color w:val="auto"/>
          <w:sz w:val="30"/>
          <w:szCs w:val="30"/>
          <w:highlight w:val="none"/>
          <w:lang w:eastAsia="zh" w:bidi="ar"/>
        </w:rPr>
        <w:t>设置安全管理部部长（专职），</w:t>
      </w:r>
      <w:r>
        <w:rPr>
          <w:rFonts w:hint="eastAsia" w:ascii="仿宋" w:hAnsi="仿宋" w:eastAsia="仿宋" w:cs="仿宋"/>
          <w:color w:val="auto"/>
          <w:sz w:val="30"/>
          <w:szCs w:val="30"/>
          <w:highlight w:val="none"/>
          <w:lang w:bidi="ar"/>
        </w:rPr>
        <w:t>负责项目的安全生产管理工作。</w:t>
      </w:r>
    </w:p>
    <w:p w14:paraId="75681BCF">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1.发包人职责</w:t>
      </w:r>
    </w:p>
    <w:p w14:paraId="35FFD108">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（1）严格遵守国家有关安全生产的法律法规，认真执行工程承包合同中的有关安全要求。</w:t>
      </w:r>
    </w:p>
    <w:p w14:paraId="3202EB0F">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（2）按照“安全第一、预防为主”和坚持“管生产必须管安全”的原则进行安全生产管理，做到生产与安全工作同时计划、布置、检查、总结和评比。</w:t>
      </w:r>
    </w:p>
    <w:p w14:paraId="35007F68">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（3）重要的安全设施必须坚持与主体工程“三同时”的原则，即：同时设计、审批，同时施工，同时验收，投入使用。</w:t>
      </w:r>
    </w:p>
    <w:p w14:paraId="6F249444">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（4）定期召开安全生产调度会，及时传达中央和地方有关安全生产的精神。</w:t>
      </w:r>
    </w:p>
    <w:p w14:paraId="6958EC96">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（5）组织对承包人施工现场安全生产检查，监督承包人及时处理发现的各种安全隐患。</w:t>
      </w:r>
    </w:p>
    <w:p w14:paraId="13792850">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2.承包人职责</w:t>
      </w:r>
    </w:p>
    <w:p w14:paraId="2A0C352B">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1607DA0">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DC03625">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配备专职安全生产管理人员，专职负责所有员工的安全和治安保卫工作及预防事故的发生。安全机构人员有权按有关规定发布指令，并采取保护性措施防止事故发生。</w:t>
      </w:r>
    </w:p>
    <w:p w14:paraId="31EA0D2C">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（4）承包人在任何时候都应采取各种合理的预防措施，防止其员工发生任何违法、违禁、暴力或妨碍治安的行为。</w:t>
      </w:r>
    </w:p>
    <w:p w14:paraId="7B0821C1">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203E1FA">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A00E6D8">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（7）操作人员上岗，必须按规定穿戴防护用品。施工负责人和安全检查员应随时检查劳动防护用品的穿戴情况，不按规定穿戴防护用品的人员不得上岗。</w:t>
      </w:r>
    </w:p>
    <w:p w14:paraId="3FA4E10F">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（8）所有施工机具设备和高空作业的设备均应定期检查，并有安全员的签字记录，保证其经常处于完好状态；不合格的机具、设备和劳动保护用品严禁使用：</w:t>
      </w:r>
    </w:p>
    <w:p w14:paraId="335ADF35">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（9）施工中采用新技术、新工艺、新设备、新材料时，必须制定相应的安全技术措施，施工现场必须具有相关的安全标志牌。</w:t>
      </w:r>
    </w:p>
    <w:p w14:paraId="4031B72A">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（10）承包人必须按照本工程项目特点， 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E4CA7F7">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（11）安全生产费用按照《建设工程安全生产管理条例》的相关规定使用和管理。</w:t>
      </w:r>
    </w:p>
    <w:p w14:paraId="6DD4832C">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3.违约责任</w:t>
      </w:r>
    </w:p>
    <w:p w14:paraId="0CB92407">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如因发包人或承包人违约造成安全事故，将依法追究责任。</w:t>
      </w:r>
    </w:p>
    <w:p w14:paraId="35A7C988">
      <w:pPr>
        <w:adjustRightInd w:val="0"/>
        <w:snapToGri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ar"/>
        </w:rPr>
        <w:t>4.本合同由双方法定代表人或其授权的代理人签署并加盖单位章后生效，缺陷责任期</w:t>
      </w:r>
      <w:r>
        <w:rPr>
          <w:rFonts w:hint="eastAsia" w:ascii="仿宋" w:hAnsi="仿宋" w:eastAsia="仿宋" w:cs="仿宋"/>
          <w:color w:val="auto"/>
          <w:sz w:val="30"/>
          <w:szCs w:val="30"/>
          <w:highlight w:val="none"/>
          <w:lang w:eastAsia="zh" w:bidi="ar"/>
        </w:rPr>
        <w:t>期满</w:t>
      </w:r>
      <w:r>
        <w:rPr>
          <w:rFonts w:hint="eastAsia" w:ascii="仿宋" w:hAnsi="仿宋" w:eastAsia="仿宋" w:cs="仿宋"/>
          <w:color w:val="auto"/>
          <w:sz w:val="30"/>
          <w:szCs w:val="30"/>
          <w:highlight w:val="none"/>
          <w:lang w:bidi="ar"/>
        </w:rPr>
        <w:t>后失效。</w:t>
      </w:r>
    </w:p>
    <w:p w14:paraId="00EB2799">
      <w:pPr>
        <w:adjustRightInd w:val="0"/>
        <w:snapToGrid w:val="0"/>
        <w:spacing w:line="480" w:lineRule="exact"/>
        <w:ind w:firstLine="600" w:firstLineChars="200"/>
        <w:rPr>
          <w:rFonts w:hint="eastAsia" w:ascii="仿宋" w:hAnsi="仿宋" w:eastAsia="仿宋" w:cs="仿宋"/>
          <w:color w:val="auto"/>
          <w:sz w:val="30"/>
          <w:szCs w:val="30"/>
          <w:highlight w:val="none"/>
          <w:lang w:bidi="ar"/>
        </w:rPr>
      </w:pPr>
      <w:r>
        <w:rPr>
          <w:rFonts w:hint="eastAsia" w:ascii="仿宋" w:hAnsi="仿宋" w:eastAsia="仿宋" w:cs="仿宋"/>
          <w:color w:val="auto"/>
          <w:sz w:val="30"/>
          <w:szCs w:val="30"/>
          <w:highlight w:val="none"/>
          <w:lang w:bidi="ar"/>
        </w:rPr>
        <w:t>5.本安全生产合同作为合同的附件，与合同具有同等法律效力。</w:t>
      </w:r>
    </w:p>
    <w:p w14:paraId="585ACD1B">
      <w:pPr>
        <w:pStyle w:val="4"/>
        <w:snapToGrid w:val="0"/>
        <w:spacing w:line="480" w:lineRule="exact"/>
        <w:ind w:firstLine="0"/>
        <w:rPr>
          <w:rFonts w:hint="eastAsia" w:ascii="仿宋" w:hAnsi="仿宋" w:eastAsia="仿宋" w:cs="仿宋"/>
          <w:color w:val="auto"/>
          <w:kern w:val="2"/>
          <w:sz w:val="30"/>
          <w:szCs w:val="30"/>
          <w:highlight w:val="none"/>
        </w:rPr>
      </w:pPr>
      <w:r>
        <w:rPr>
          <w:rFonts w:hint="eastAsia" w:ascii="仿宋" w:hAnsi="仿宋" w:eastAsia="仿宋" w:cs="仿宋"/>
          <w:b/>
          <w:bCs/>
          <w:color w:val="auto"/>
          <w:kern w:val="2"/>
          <w:sz w:val="30"/>
          <w:szCs w:val="30"/>
          <w:highlight w:val="none"/>
          <w:u w:val="dotted"/>
        </w:rPr>
        <w:t xml:space="preserve">                                                                 </w:t>
      </w:r>
    </w:p>
    <w:p w14:paraId="2E7B6B50">
      <w:pPr>
        <w:ind w:firstLine="600" w:firstLineChars="200"/>
        <w:rPr>
          <w:rFonts w:hint="eastAsia" w:ascii="仿宋" w:hAnsi="仿宋" w:eastAsia="仿宋" w:cs="仿宋"/>
          <w:color w:val="auto"/>
          <w:sz w:val="30"/>
          <w:szCs w:val="30"/>
          <w:highlight w:val="none"/>
          <w:lang w:bidi="ar"/>
        </w:rPr>
      </w:pPr>
      <w:r>
        <w:rPr>
          <w:rFonts w:hint="eastAsia" w:ascii="仿宋" w:hAnsi="仿宋" w:eastAsia="仿宋" w:cs="仿宋"/>
          <w:color w:val="auto"/>
          <w:sz w:val="30"/>
          <w:szCs w:val="30"/>
          <w:highlight w:val="none"/>
          <w:lang w:bidi="ar"/>
        </w:rPr>
        <w:t>（以下无正文，为合同签署页）</w:t>
      </w:r>
    </w:p>
    <w:p w14:paraId="4FD0AD95">
      <w:pPr>
        <w:rPr>
          <w:rFonts w:hint="eastAsia" w:ascii="仿宋" w:hAnsi="仿宋" w:eastAsia="仿宋" w:cs="仿宋"/>
          <w:color w:val="auto"/>
          <w:sz w:val="30"/>
          <w:szCs w:val="30"/>
          <w:highlight w:val="none"/>
          <w:lang w:bidi="ar"/>
        </w:rPr>
      </w:pPr>
      <w:r>
        <w:rPr>
          <w:rFonts w:hint="eastAsia" w:ascii="仿宋" w:hAnsi="仿宋" w:eastAsia="仿宋" w:cs="仿宋"/>
          <w:color w:val="auto"/>
          <w:sz w:val="30"/>
          <w:szCs w:val="30"/>
          <w:highlight w:val="none"/>
          <w:lang w:bidi="ar"/>
        </w:rPr>
        <w:br w:type="page"/>
      </w:r>
    </w:p>
    <w:tbl>
      <w:tblPr>
        <w:tblStyle w:val="61"/>
        <w:tblW w:w="9835"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4813"/>
        <w:gridCol w:w="5022"/>
      </w:tblGrid>
      <w:tr w14:paraId="61339FFE">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13" w:type="dxa"/>
            <w:tcBorders>
              <w:top w:val="nil"/>
              <w:left w:val="nil"/>
              <w:bottom w:val="nil"/>
              <w:right w:val="nil"/>
            </w:tcBorders>
          </w:tcPr>
          <w:p w14:paraId="465B81E2">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u w:val="single"/>
              </w:rPr>
            </w:pPr>
            <w:r>
              <w:rPr>
                <w:rFonts w:hint="eastAsia" w:ascii="仿宋" w:hAnsi="仿宋" w:eastAsia="仿宋" w:cs="仿宋"/>
                <w:bCs/>
                <w:color w:val="auto"/>
                <w:sz w:val="26"/>
                <w:szCs w:val="26"/>
                <w:highlight w:val="none"/>
                <w:u w:val="dotted"/>
              </w:rPr>
              <w:br w:type="page"/>
            </w:r>
            <w:r>
              <w:rPr>
                <w:rFonts w:hint="eastAsia" w:ascii="仿宋" w:hAnsi="仿宋" w:eastAsia="仿宋" w:cs="仿宋"/>
                <w:color w:val="auto"/>
                <w:sz w:val="26"/>
                <w:szCs w:val="26"/>
                <w:highlight w:val="none"/>
              </w:rPr>
              <w:t>发包人（盖章）：</w:t>
            </w:r>
            <w:r>
              <w:rPr>
                <w:rFonts w:hint="eastAsia" w:ascii="仿宋" w:hAnsi="仿宋" w:eastAsia="仿宋" w:cs="仿宋"/>
                <w:color w:val="auto"/>
                <w:sz w:val="26"/>
                <w:szCs w:val="26"/>
                <w:highlight w:val="none"/>
                <w:u w:val="single"/>
              </w:rPr>
              <w:t xml:space="preserve"> 安庆市通达置业有限公司 </w:t>
            </w:r>
          </w:p>
          <w:p w14:paraId="4291B676">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法定代表人或其委托代理人（签字）：</w:t>
            </w:r>
          </w:p>
          <w:p w14:paraId="0989D692">
            <w:pPr>
              <w:pStyle w:val="9"/>
              <w:keepNext w:val="0"/>
              <w:keepLines w:val="0"/>
              <w:suppressLineNumbers w:val="0"/>
              <w:wordWrap/>
              <w:snapToGrid w:val="0"/>
              <w:spacing w:before="0" w:beforeAutospacing="0" w:after="0" w:afterAutospacing="0" w:line="560" w:lineRule="exact"/>
              <w:ind w:left="0" w:right="0"/>
              <w:rPr>
                <w:rFonts w:hint="default"/>
                <w:color w:val="auto"/>
                <w:szCs w:val="20"/>
                <w:highlight w:val="none"/>
              </w:rPr>
            </w:pPr>
          </w:p>
          <w:p w14:paraId="5171A285">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u w:val="single"/>
              </w:rPr>
            </w:pPr>
            <w:r>
              <w:rPr>
                <w:rFonts w:hint="eastAsia" w:ascii="仿宋" w:hAnsi="仿宋" w:eastAsia="仿宋" w:cs="仿宋"/>
                <w:color w:val="auto"/>
                <w:sz w:val="26"/>
                <w:szCs w:val="26"/>
                <w:highlight w:val="none"/>
              </w:rPr>
              <w:t>纳税人识别码：</w:t>
            </w:r>
            <w:r>
              <w:rPr>
                <w:rFonts w:hint="eastAsia" w:ascii="仿宋" w:hAnsi="仿宋" w:eastAsia="仿宋" w:cs="仿宋"/>
                <w:color w:val="auto"/>
                <w:sz w:val="26"/>
                <w:szCs w:val="26"/>
                <w:highlight w:val="none"/>
                <w:u w:val="single"/>
              </w:rPr>
              <w:t xml:space="preserve">91340811MAE6NY6C2G </w:t>
            </w:r>
          </w:p>
          <w:p w14:paraId="66900DD7">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地  址：</w:t>
            </w:r>
            <w:r>
              <w:rPr>
                <w:rFonts w:hint="eastAsia" w:ascii="仿宋" w:hAnsi="仿宋" w:eastAsia="仿宋" w:cs="仿宋"/>
                <w:color w:val="auto"/>
                <w:sz w:val="26"/>
                <w:szCs w:val="26"/>
                <w:highlight w:val="none"/>
                <w:u w:val="single"/>
              </w:rPr>
              <w:t>安徽省安庆市宜秀区大龙山镇兴宜路学苑大厦五楼安庆龙科建设发展有限责任公司502室</w:t>
            </w:r>
            <w:r>
              <w:rPr>
                <w:rFonts w:hint="eastAsia" w:ascii="仿宋" w:hAnsi="仿宋" w:cs="仿宋"/>
                <w:color w:val="auto"/>
                <w:sz w:val="26"/>
                <w:szCs w:val="26"/>
                <w:highlight w:val="none"/>
                <w:u w:val="single"/>
              </w:rPr>
              <w:t xml:space="preserve"> </w:t>
            </w:r>
          </w:p>
          <w:p w14:paraId="03F9D1DF">
            <w:pPr>
              <w:keepNext w:val="0"/>
              <w:keepLines w:val="0"/>
              <w:suppressLineNumbers w:val="0"/>
              <w:autoSpaceDE w:val="0"/>
              <w:autoSpaceDN w:val="0"/>
              <w:adjustRightInd w:val="0"/>
              <w:snapToGrid w:val="0"/>
              <w:spacing w:before="0" w:beforeAutospacing="0" w:after="0" w:afterAutospacing="0" w:line="560" w:lineRule="exact"/>
              <w:ind w:left="0" w:right="0"/>
              <w:rPr>
                <w:rFonts w:hint="eastAsia" w:ascii="仿宋" w:hAnsi="仿宋" w:eastAsia="仿宋" w:cs="仿宋"/>
                <w:color w:val="auto"/>
                <w:sz w:val="26"/>
                <w:szCs w:val="26"/>
                <w:highlight w:val="none"/>
                <w:u w:val="single"/>
              </w:rPr>
            </w:pPr>
            <w:r>
              <w:rPr>
                <w:rFonts w:hint="eastAsia" w:ascii="仿宋" w:hAnsi="仿宋" w:eastAsia="仿宋" w:cs="仿宋"/>
                <w:color w:val="auto"/>
                <w:sz w:val="26"/>
                <w:szCs w:val="26"/>
                <w:highlight w:val="none"/>
              </w:rPr>
              <w:t>法定代表人：</w:t>
            </w:r>
            <w:r>
              <w:rPr>
                <w:rFonts w:hint="eastAsia" w:ascii="仿宋" w:hAnsi="仿宋" w:eastAsia="仿宋" w:cs="仿宋"/>
                <w:color w:val="auto"/>
                <w:sz w:val="26"/>
                <w:szCs w:val="26"/>
                <w:highlight w:val="none"/>
                <w:u w:val="single"/>
              </w:rPr>
              <w:t xml:space="preserve">陈金苗 </w:t>
            </w:r>
          </w:p>
          <w:p w14:paraId="6F04758A">
            <w:pPr>
              <w:keepNext w:val="0"/>
              <w:keepLines w:val="0"/>
              <w:suppressLineNumbers w:val="0"/>
              <w:adjustRightInd w:val="0"/>
              <w:snapToGrid w:val="0"/>
              <w:spacing w:before="0" w:beforeAutospacing="0" w:after="0" w:afterAutospacing="0" w:line="560" w:lineRule="exact"/>
              <w:ind w:left="0" w:right="0"/>
              <w:jc w:val="left"/>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开户银行：</w:t>
            </w:r>
            <w:r>
              <w:rPr>
                <w:rFonts w:hint="eastAsia" w:ascii="仿宋" w:hAnsi="仿宋" w:eastAsia="仿宋" w:cs="仿宋"/>
                <w:color w:val="auto"/>
                <w:sz w:val="26"/>
                <w:szCs w:val="26"/>
                <w:highlight w:val="none"/>
                <w:u w:val="single"/>
              </w:rPr>
              <w:t>中国农业银行股份有限公司安庆龙城支行</w:t>
            </w:r>
          </w:p>
          <w:p w14:paraId="66D2CF48">
            <w:pPr>
              <w:keepNext w:val="0"/>
              <w:keepLines w:val="0"/>
              <w:suppressLineNumbers w:val="0"/>
              <w:adjustRightInd w:val="0"/>
              <w:snapToGrid w:val="0"/>
              <w:spacing w:before="0" w:beforeAutospacing="0" w:after="0" w:afterAutospacing="0" w:line="560" w:lineRule="exact"/>
              <w:ind w:left="0" w:right="0"/>
              <w:jc w:val="left"/>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账  号：</w:t>
            </w:r>
            <w:r>
              <w:rPr>
                <w:rFonts w:hint="eastAsia" w:ascii="仿宋" w:hAnsi="仿宋" w:eastAsia="仿宋" w:cs="仿宋"/>
                <w:color w:val="auto"/>
                <w:sz w:val="26"/>
                <w:szCs w:val="26"/>
                <w:highlight w:val="none"/>
                <w:u w:val="single"/>
              </w:rPr>
              <w:t xml:space="preserve"> 12652701040024600 </w:t>
            </w:r>
          </w:p>
        </w:tc>
        <w:tc>
          <w:tcPr>
            <w:tcW w:w="5022" w:type="dxa"/>
            <w:tcBorders>
              <w:top w:val="nil"/>
              <w:left w:val="nil"/>
              <w:bottom w:val="nil"/>
              <w:right w:val="nil"/>
            </w:tcBorders>
          </w:tcPr>
          <w:p w14:paraId="391F20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default" w:ascii="仿宋" w:hAnsi="仿宋" w:eastAsia="仿宋" w:cs="仿宋"/>
                <w:color w:val="auto"/>
                <w:sz w:val="26"/>
                <w:szCs w:val="26"/>
                <w:highlight w:val="none"/>
                <w:lang w:val="en-US" w:eastAsia="zh-CN"/>
              </w:rPr>
            </w:pPr>
            <w:r>
              <w:rPr>
                <w:rFonts w:hint="eastAsia" w:ascii="仿宋" w:hAnsi="仿宋" w:eastAsia="仿宋" w:cs="仿宋"/>
                <w:color w:val="auto"/>
                <w:sz w:val="26"/>
                <w:szCs w:val="26"/>
                <w:highlight w:val="none"/>
              </w:rPr>
              <w:t>承包人（盖章）：</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p w14:paraId="325E45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p>
          <w:p w14:paraId="223B9E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法定代表人或其委托代理人（签字）：</w:t>
            </w:r>
          </w:p>
          <w:p w14:paraId="2A36F8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p>
          <w:p w14:paraId="1BD683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u w:val="single"/>
                <w:lang w:val="en-US" w:eastAsia="zh-CN"/>
              </w:rPr>
            </w:pPr>
            <w:r>
              <w:rPr>
                <w:rFonts w:hint="eastAsia" w:ascii="仿宋" w:hAnsi="仿宋" w:eastAsia="仿宋" w:cs="仿宋"/>
                <w:color w:val="auto"/>
                <w:sz w:val="26"/>
                <w:szCs w:val="26"/>
                <w:highlight w:val="none"/>
              </w:rPr>
              <w:t>纳税人识别码：</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p w14:paraId="3A3192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u w:val="single"/>
                <w:lang w:val="en-US" w:eastAsia="zh-CN"/>
              </w:rPr>
            </w:pPr>
            <w:r>
              <w:rPr>
                <w:rFonts w:hint="eastAsia" w:ascii="仿宋" w:hAnsi="仿宋" w:eastAsia="仿宋" w:cs="仿宋"/>
                <w:color w:val="auto"/>
                <w:sz w:val="26"/>
                <w:szCs w:val="26"/>
                <w:highlight w:val="none"/>
              </w:rPr>
              <w:t>地  址：</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p w14:paraId="2A77C1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u w:val="single"/>
                <w:lang w:val="en-US" w:eastAsia="zh-CN"/>
              </w:rPr>
            </w:pPr>
          </w:p>
          <w:p w14:paraId="1934DA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default" w:ascii="仿宋" w:hAnsi="仿宋" w:eastAsia="仿宋" w:cs="仿宋"/>
                <w:color w:val="auto"/>
                <w:sz w:val="26"/>
                <w:szCs w:val="26"/>
                <w:highlight w:val="none"/>
                <w:u w:val="single"/>
                <w:lang w:val="en-US" w:eastAsia="zh-CN"/>
              </w:rPr>
            </w:pPr>
          </w:p>
          <w:p w14:paraId="0D4A79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u w:val="single"/>
              </w:rPr>
            </w:pPr>
            <w:r>
              <w:rPr>
                <w:rFonts w:hint="eastAsia" w:ascii="仿宋" w:hAnsi="仿宋" w:eastAsia="仿宋" w:cs="仿宋"/>
                <w:color w:val="auto"/>
                <w:sz w:val="26"/>
                <w:szCs w:val="26"/>
                <w:highlight w:val="none"/>
              </w:rPr>
              <w:t>法定代表人：</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r>
              <w:rPr>
                <w:rFonts w:hint="eastAsia" w:ascii="仿宋" w:hAnsi="仿宋" w:eastAsia="仿宋" w:cs="仿宋"/>
                <w:color w:val="auto"/>
                <w:sz w:val="26"/>
                <w:szCs w:val="26"/>
                <w:highlight w:val="none"/>
                <w:u w:val="single"/>
              </w:rPr>
              <w:t xml:space="preserve"> </w:t>
            </w:r>
          </w:p>
          <w:p w14:paraId="0C223E79">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开户银行：</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p w14:paraId="6DEAAEC2">
            <w:pPr>
              <w:pStyle w:val="27"/>
              <w:keepNext w:val="0"/>
              <w:keepLines w:val="0"/>
              <w:pageBreakBefore w:val="0"/>
              <w:widowControl w:val="0"/>
              <w:suppressLineNumbers w:val="0"/>
              <w:shd w:val="clear"/>
              <w:tabs>
                <w:tab w:val="left" w:pos="567"/>
              </w:tabs>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p>
          <w:p w14:paraId="67A3FC8F">
            <w:pPr>
              <w:pStyle w:val="27"/>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auto"/>
                <w:sz w:val="26"/>
                <w:szCs w:val="26"/>
                <w:highlight w:val="none"/>
              </w:rPr>
            </w:pPr>
            <w:r>
              <w:rPr>
                <w:rFonts w:hint="eastAsia" w:ascii="仿宋" w:hAnsi="仿宋" w:eastAsia="仿宋" w:cs="仿宋"/>
                <w:color w:val="auto"/>
                <w:sz w:val="26"/>
                <w:szCs w:val="26"/>
                <w:highlight w:val="none"/>
              </w:rPr>
              <w:t>账  号：</w:t>
            </w:r>
            <w:r>
              <w:rPr>
                <w:rFonts w:hint="eastAsia" w:ascii="仿宋" w:hAnsi="仿宋" w:eastAsia="仿宋" w:cs="仿宋"/>
                <w:color w:val="auto"/>
                <w:sz w:val="26"/>
                <w:szCs w:val="26"/>
                <w:highlight w:val="none"/>
                <w:u w:val="single"/>
              </w:rPr>
              <w:t xml:space="preserve">  </w:t>
            </w:r>
            <w:r>
              <w:rPr>
                <w:rFonts w:hint="eastAsia" w:ascii="仿宋" w:hAnsi="仿宋" w:eastAsia="仿宋" w:cs="仿宋"/>
                <w:color w:val="auto"/>
                <w:sz w:val="26"/>
                <w:szCs w:val="26"/>
                <w:highlight w:val="none"/>
                <w:u w:val="single"/>
                <w:lang w:val="en-US" w:eastAsia="zh-CN"/>
              </w:rPr>
              <w:t xml:space="preserve">                    </w:t>
            </w:r>
          </w:p>
        </w:tc>
      </w:tr>
    </w:tbl>
    <w:p w14:paraId="0729F865">
      <w:pPr>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p>
    <w:p w14:paraId="702AE699">
      <w:pPr>
        <w:keepNext/>
        <w:keepLines/>
        <w:adjustRightInd w:val="0"/>
        <w:snapToGrid w:val="0"/>
        <w:spacing w:line="480" w:lineRule="exact"/>
        <w:jc w:val="left"/>
        <w:outlineLvl w:val="2"/>
        <w:rPr>
          <w:rFonts w:hint="eastAsia" w:ascii="仿宋" w:hAnsi="仿宋" w:eastAsia="仿宋" w:cs="仿宋"/>
          <w:b/>
          <w:color w:val="auto"/>
          <w:sz w:val="28"/>
          <w:szCs w:val="28"/>
          <w:highlight w:val="none"/>
        </w:rPr>
      </w:pPr>
      <w:bookmarkStart w:id="150" w:name="_Toc2789"/>
      <w:r>
        <w:rPr>
          <w:rFonts w:hint="eastAsia" w:ascii="仿宋" w:hAnsi="仿宋" w:eastAsia="仿宋" w:cs="仿宋"/>
          <w:b/>
          <w:color w:val="auto"/>
          <w:sz w:val="28"/>
          <w:szCs w:val="28"/>
          <w:highlight w:val="none"/>
        </w:rPr>
        <w:t>附件5：履约保证金</w:t>
      </w:r>
      <w:bookmarkEnd w:id="148"/>
      <w:bookmarkEnd w:id="149"/>
      <w:bookmarkEnd w:id="150"/>
    </w:p>
    <w:p w14:paraId="588191E6">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2" w:firstLineChars="20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履约保函示范文本</w:t>
      </w:r>
    </w:p>
    <w:p w14:paraId="091ACE83">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righ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编号：           </w:t>
      </w:r>
    </w:p>
    <w:p w14:paraId="3F4A6F70">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（受益人名称）： </w:t>
      </w:r>
    </w:p>
    <w:p w14:paraId="32868384">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鉴于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（以下简称“受益人”）与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（以下简称“申请人”）于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日就</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（标段编号）的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（标段名称）</w:t>
      </w:r>
      <w:r>
        <w:rPr>
          <w:rFonts w:hint="eastAsia" w:ascii="宋体" w:hAnsi="宋体" w:eastAsia="宋体" w:cs="宋体"/>
          <w:color w:val="auto"/>
          <w:kern w:val="2"/>
          <w:sz w:val="21"/>
          <w:szCs w:val="21"/>
          <w:highlight w:val="none"/>
          <w:lang w:val="en-US" w:eastAsia="zh-CN" w:bidi="ar"/>
        </w:rPr>
        <w:t>有关事项协商一致共同签订</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EB738E4">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一、本保函担保范围：承包人未按照基础合同的约定履行义务，应当向受益人承担的违约责任和赔偿因此造成的损失、利息、律师费、诉讼费用等实现债权的费用。</w:t>
      </w:r>
    </w:p>
    <w:p w14:paraId="1ADF7504">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二、本保函担保金额最高不超过人民币（大写）</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14:paraId="40FF3DCC">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三、本保函有效期自开立之日起至基础合同约定的缺陷责任期满之日止。 </w:t>
      </w:r>
    </w:p>
    <w:p w14:paraId="681D5281">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bookmarkStart w:id="151" w:name="_Hlk40302764"/>
      <w:bookmarkEnd w:id="151"/>
      <w:r>
        <w:rPr>
          <w:rFonts w:hint="eastAsia" w:ascii="宋体" w:hAnsi="宋体" w:eastAsia="宋体" w:cs="宋体"/>
          <w:color w:val="auto"/>
          <w:kern w:val="2"/>
          <w:sz w:val="21"/>
          <w:szCs w:val="21"/>
          <w:highlight w:val="none"/>
          <w:lang w:val="en-US" w:eastAsia="zh-CN" w:bidi="ar"/>
        </w:rPr>
        <w:t>四、开立人承诺，在收到受益人发来的书面付款通知后的七日内无条件支付，前述书面付款通知即为付款要求之单据，且应满足以下要求：</w:t>
      </w:r>
    </w:p>
    <w:p w14:paraId="7ECB48B5">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（1）付款通知到达的日期在本保函的有效期内；</w:t>
      </w:r>
    </w:p>
    <w:p w14:paraId="4AB6E33E">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（2）载明要求支付的金额；</w:t>
      </w:r>
    </w:p>
    <w:p w14:paraId="58455A8F">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（3）载明申请人违反合同义务的条款和内容；</w:t>
      </w:r>
    </w:p>
    <w:p w14:paraId="33F3475A">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（4）声明不存在合同文件约定或我国法律规定免除申请人或开立人支付责任的情形；</w:t>
      </w:r>
    </w:p>
    <w:p w14:paraId="12CEC8E5">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（5）付款通知应在本保函有效期内到达的地址是：</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416571E1">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bookmarkStart w:id="152" w:name="_Hlk40303486"/>
      <w:r>
        <w:rPr>
          <w:rFonts w:hint="eastAsia" w:ascii="宋体" w:hAnsi="宋体" w:eastAsia="宋体" w:cs="宋体"/>
          <w:color w:val="auto"/>
          <w:kern w:val="2"/>
          <w:sz w:val="21"/>
          <w:szCs w:val="21"/>
          <w:highlight w:val="none"/>
          <w:lang w:val="en-US" w:eastAsia="zh-CN" w:bidi="ar"/>
        </w:rPr>
        <w:t>受益人发出的书面付款通知应由其法定代表人（负责人）或授权代理人签字并加盖公章。</w:t>
      </w:r>
      <w:bookmarkEnd w:id="152"/>
    </w:p>
    <w:p w14:paraId="11712A74">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五、本保函项下的权利不得转让，不得设定担保。受益人未经我方书面同意转 让本保函或其项下任何权利，对我方不发生法律效力。 </w:t>
      </w:r>
    </w:p>
    <w:p w14:paraId="06B11C08">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六、与本保函有关的基础合同不成立、不生效、无效、被撤销、被解除，不影响本保函的独立有效。 </w:t>
      </w:r>
    </w:p>
    <w:p w14:paraId="69CE52B9">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outlineLvl w:val="9"/>
        <w:rPr>
          <w:rFonts w:hint="eastAsia" w:ascii="宋体" w:hAnsi="宋体" w:eastAsia="宋体" w:cs="宋体"/>
          <w:color w:val="auto"/>
          <w:kern w:val="2"/>
          <w:sz w:val="21"/>
          <w:szCs w:val="21"/>
          <w:highlight w:val="none"/>
        </w:rPr>
      </w:pPr>
      <w:bookmarkStart w:id="153" w:name="_Hlk40303383"/>
      <w:bookmarkEnd w:id="153"/>
      <w:bookmarkStart w:id="154" w:name="_Hlk40354981"/>
      <w:r>
        <w:rPr>
          <w:rFonts w:hint="eastAsia" w:ascii="宋体" w:hAnsi="宋体" w:eastAsia="宋体" w:cs="宋体"/>
          <w:color w:val="auto"/>
          <w:kern w:val="2"/>
          <w:sz w:val="21"/>
          <w:szCs w:val="21"/>
          <w:highlight w:val="none"/>
          <w:lang w:val="en-US" w:eastAsia="zh-CN" w:bidi="ar"/>
        </w:rPr>
        <w:t xml:space="preserve">七、本保函项下的义务和责任均在保函有效期到期后自动消灭。 </w:t>
      </w:r>
      <w:bookmarkEnd w:id="154"/>
    </w:p>
    <w:p w14:paraId="396D7715">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八、本保函适用的法律为中华人民共和国法律，因本保函产生的纠纷案件，由受益人所在地人民法院管辖。 </w:t>
      </w:r>
    </w:p>
    <w:p w14:paraId="0B24C77E">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九、本保函自我方法定代表人或授权代表签字并加盖公章之日起生效。 </w:t>
      </w:r>
    </w:p>
    <w:p w14:paraId="6B7B41D8">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p>
    <w:p w14:paraId="23132CD4">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 立 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（公章） </w:t>
      </w:r>
    </w:p>
    <w:p w14:paraId="15DE36F3">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法定代表人（或授权代表）：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（签字） </w:t>
      </w:r>
    </w:p>
    <w:p w14:paraId="673C0D66">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    址：</w:t>
      </w:r>
      <w:r>
        <w:rPr>
          <w:rFonts w:hint="eastAsia" w:ascii="宋体" w:hAnsi="宋体" w:eastAsia="宋体" w:cs="宋体"/>
          <w:color w:val="auto"/>
          <w:kern w:val="2"/>
          <w:sz w:val="21"/>
          <w:szCs w:val="21"/>
          <w:highlight w:val="none"/>
          <w:u w:val="single"/>
          <w:lang w:val="en-US" w:eastAsia="zh-CN" w:bidi="ar"/>
        </w:rPr>
        <w:t xml:space="preserve">                                       </w:t>
      </w:r>
    </w:p>
    <w:p w14:paraId="0DB0609E">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邮政编码：</w:t>
      </w:r>
      <w:r>
        <w:rPr>
          <w:rFonts w:hint="eastAsia" w:ascii="宋体" w:hAnsi="宋体" w:eastAsia="宋体" w:cs="宋体"/>
          <w:color w:val="auto"/>
          <w:kern w:val="2"/>
          <w:sz w:val="21"/>
          <w:szCs w:val="21"/>
          <w:highlight w:val="none"/>
          <w:u w:val="single"/>
          <w:lang w:val="en-US" w:eastAsia="zh-CN" w:bidi="ar"/>
        </w:rPr>
        <w:t xml:space="preserve">                 </w:t>
      </w:r>
    </w:p>
    <w:p w14:paraId="695420D1">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    话：</w:t>
      </w:r>
      <w:r>
        <w:rPr>
          <w:rFonts w:hint="eastAsia" w:ascii="宋体" w:hAnsi="宋体" w:eastAsia="宋体" w:cs="宋体"/>
          <w:color w:val="auto"/>
          <w:kern w:val="2"/>
          <w:sz w:val="21"/>
          <w:szCs w:val="21"/>
          <w:highlight w:val="none"/>
          <w:u w:val="single"/>
          <w:lang w:val="en-US" w:eastAsia="zh-CN" w:bidi="ar"/>
        </w:rPr>
        <w:t xml:space="preserve">                 </w:t>
      </w:r>
    </w:p>
    <w:p w14:paraId="16DE046E">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传    真：</w:t>
      </w:r>
      <w:r>
        <w:rPr>
          <w:rFonts w:hint="eastAsia" w:ascii="宋体" w:hAnsi="宋体" w:eastAsia="宋体" w:cs="宋体"/>
          <w:color w:val="auto"/>
          <w:kern w:val="2"/>
          <w:sz w:val="21"/>
          <w:szCs w:val="21"/>
          <w:highlight w:val="none"/>
          <w:u w:val="single"/>
          <w:lang w:val="en-US" w:eastAsia="zh-CN" w:bidi="ar"/>
        </w:rPr>
        <w:t xml:space="preserve">                 </w:t>
      </w:r>
    </w:p>
    <w:p w14:paraId="1089FB86">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开立时间：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61ED0D65">
      <w:pPr>
        <w:jc w:val="center"/>
        <w:rPr>
          <w:rFonts w:hint="eastAsia" w:eastAsiaTheme="minorEastAsia"/>
          <w:color w:val="auto"/>
          <w:highlight w:val="none"/>
          <w:lang w:eastAsia="zh-CN"/>
        </w:rPr>
      </w:pPr>
    </w:p>
    <w:p w14:paraId="0D38E3D3">
      <w:pPr>
        <w:jc w:val="center"/>
        <w:rPr>
          <w:rFonts w:hint="eastAsia" w:eastAsiaTheme="minorEastAsia"/>
          <w:color w:val="auto"/>
          <w:highlight w:val="none"/>
          <w:lang w:eastAsia="zh-CN"/>
        </w:rPr>
      </w:pPr>
    </w:p>
    <w:p w14:paraId="688F1309">
      <w:pPr>
        <w:jc w:val="center"/>
        <w:rPr>
          <w:rFonts w:hint="eastAsia" w:eastAsiaTheme="minorEastAsia"/>
          <w:color w:val="auto"/>
          <w:highlight w:val="none"/>
          <w:lang w:eastAsia="zh-CN"/>
        </w:rPr>
      </w:pPr>
    </w:p>
    <w:p w14:paraId="544DFEE3">
      <w:pPr>
        <w:adjustRightInd w:val="0"/>
        <w:snapToGrid w:val="0"/>
        <w:spacing w:line="480" w:lineRule="exact"/>
        <w:ind w:firstLine="420" w:firstLineChars="200"/>
        <w:rPr>
          <w:rFonts w:hint="eastAsia" w:asciiTheme="minorEastAsia" w:hAnsiTheme="minorEastAsia" w:eastAsiaTheme="minorEastAsia" w:cstheme="minorEastAsia"/>
          <w:color w:val="auto"/>
          <w:szCs w:val="21"/>
          <w:highlight w:val="none"/>
        </w:rPr>
      </w:pPr>
    </w:p>
    <w:p w14:paraId="166343AB">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7927B83B">
      <w:pPr>
        <w:keepNext/>
        <w:keepLines/>
        <w:adjustRightInd w:val="0"/>
        <w:snapToGrid w:val="0"/>
        <w:spacing w:after="156" w:afterLines="50" w:line="480" w:lineRule="exact"/>
        <w:jc w:val="left"/>
        <w:outlineLvl w:val="2"/>
        <w:rPr>
          <w:rFonts w:hint="eastAsia" w:ascii="仿宋" w:hAnsi="仿宋" w:eastAsia="仿宋" w:cs="仿宋"/>
          <w:b/>
          <w:color w:val="auto"/>
          <w:sz w:val="28"/>
          <w:szCs w:val="28"/>
          <w:highlight w:val="none"/>
        </w:rPr>
      </w:pPr>
      <w:bookmarkStart w:id="155" w:name="_Toc5415"/>
      <w:r>
        <w:rPr>
          <w:rFonts w:hint="eastAsia" w:ascii="仿宋" w:hAnsi="仿宋" w:eastAsia="仿宋" w:cs="仿宋"/>
          <w:b/>
          <w:color w:val="auto"/>
          <w:sz w:val="28"/>
          <w:szCs w:val="28"/>
          <w:highlight w:val="none"/>
        </w:rPr>
        <w:t>附件6：检测机构主要检测人员配备</w:t>
      </w:r>
      <w:bookmarkEnd w:id="155"/>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156"/>
        <w:gridCol w:w="1148"/>
        <w:gridCol w:w="555"/>
        <w:gridCol w:w="1339"/>
        <w:gridCol w:w="1290"/>
        <w:gridCol w:w="1245"/>
        <w:gridCol w:w="735"/>
        <w:gridCol w:w="1725"/>
      </w:tblGrid>
      <w:tr w14:paraId="13D3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41" w:type="dxa"/>
            <w:vAlign w:val="center"/>
          </w:tcPr>
          <w:p w14:paraId="42A4564E">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156" w:type="dxa"/>
            <w:vAlign w:val="center"/>
          </w:tcPr>
          <w:p w14:paraId="133D2906">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p>
        </w:tc>
        <w:tc>
          <w:tcPr>
            <w:tcW w:w="1148" w:type="dxa"/>
            <w:vAlign w:val="center"/>
          </w:tcPr>
          <w:p w14:paraId="7B6E8A97">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性别</w:t>
            </w:r>
          </w:p>
        </w:tc>
        <w:tc>
          <w:tcPr>
            <w:tcW w:w="555" w:type="dxa"/>
            <w:vAlign w:val="center"/>
          </w:tcPr>
          <w:p w14:paraId="62230396">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年龄</w:t>
            </w:r>
          </w:p>
        </w:tc>
        <w:tc>
          <w:tcPr>
            <w:tcW w:w="1339" w:type="dxa"/>
            <w:vAlign w:val="center"/>
          </w:tcPr>
          <w:p w14:paraId="76E5CD7C">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学历</w:t>
            </w:r>
          </w:p>
        </w:tc>
        <w:tc>
          <w:tcPr>
            <w:tcW w:w="1290" w:type="dxa"/>
            <w:vAlign w:val="center"/>
          </w:tcPr>
          <w:p w14:paraId="5F1E8BFF">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技术职称</w:t>
            </w:r>
          </w:p>
        </w:tc>
        <w:tc>
          <w:tcPr>
            <w:tcW w:w="1245" w:type="dxa"/>
            <w:vAlign w:val="center"/>
          </w:tcPr>
          <w:p w14:paraId="1A4F7C4A">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资格证书种类</w:t>
            </w:r>
          </w:p>
        </w:tc>
        <w:tc>
          <w:tcPr>
            <w:tcW w:w="735" w:type="dxa"/>
            <w:vAlign w:val="center"/>
          </w:tcPr>
          <w:p w14:paraId="57B1B1B5">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工作</w:t>
            </w:r>
          </w:p>
          <w:p w14:paraId="641A8860">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年限</w:t>
            </w:r>
          </w:p>
        </w:tc>
        <w:tc>
          <w:tcPr>
            <w:tcW w:w="1725" w:type="dxa"/>
            <w:vAlign w:val="center"/>
          </w:tcPr>
          <w:p w14:paraId="7CA8E971">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拟担任的职务</w:t>
            </w:r>
          </w:p>
        </w:tc>
      </w:tr>
      <w:tr w14:paraId="342E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1" w:type="dxa"/>
            <w:vAlign w:val="center"/>
          </w:tcPr>
          <w:p w14:paraId="3FABF45D">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rPr>
            </w:pPr>
          </w:p>
        </w:tc>
        <w:tc>
          <w:tcPr>
            <w:tcW w:w="1156" w:type="dxa"/>
            <w:shd w:val="clear" w:color="auto" w:fill="auto"/>
            <w:vAlign w:val="center"/>
          </w:tcPr>
          <w:p w14:paraId="284789BE">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148" w:type="dxa"/>
            <w:vAlign w:val="center"/>
          </w:tcPr>
          <w:p w14:paraId="0678BECB">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555" w:type="dxa"/>
            <w:vAlign w:val="center"/>
          </w:tcPr>
          <w:p w14:paraId="7AB70B46">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仿宋" w:hAnsi="仿宋" w:eastAsia="仿宋" w:cs="仿宋"/>
                <w:color w:val="auto"/>
                <w:sz w:val="24"/>
                <w:szCs w:val="24"/>
                <w:highlight w:val="none"/>
                <w:lang w:val="en-US" w:eastAsia="zh-CN"/>
              </w:rPr>
            </w:pPr>
          </w:p>
        </w:tc>
        <w:tc>
          <w:tcPr>
            <w:tcW w:w="1339" w:type="dxa"/>
            <w:vAlign w:val="center"/>
          </w:tcPr>
          <w:p w14:paraId="49B0CF67">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290" w:type="dxa"/>
            <w:vAlign w:val="center"/>
          </w:tcPr>
          <w:p w14:paraId="08E67CBE">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245" w:type="dxa"/>
            <w:vAlign w:val="center"/>
          </w:tcPr>
          <w:p w14:paraId="41B28D2A">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735" w:type="dxa"/>
            <w:vAlign w:val="center"/>
          </w:tcPr>
          <w:p w14:paraId="0C283BFC">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仿宋" w:hAnsi="仿宋" w:eastAsia="仿宋" w:cs="仿宋"/>
                <w:color w:val="auto"/>
                <w:sz w:val="24"/>
                <w:szCs w:val="24"/>
                <w:highlight w:val="none"/>
                <w:lang w:val="en-US" w:eastAsia="zh-CN"/>
              </w:rPr>
            </w:pPr>
          </w:p>
        </w:tc>
        <w:tc>
          <w:tcPr>
            <w:tcW w:w="1725" w:type="dxa"/>
            <w:vAlign w:val="center"/>
          </w:tcPr>
          <w:p w14:paraId="1D9C4AB5">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r>
      <w:tr w14:paraId="482F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1" w:type="dxa"/>
            <w:vAlign w:val="center"/>
          </w:tcPr>
          <w:p w14:paraId="76CF3E50">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rPr>
            </w:pPr>
          </w:p>
        </w:tc>
        <w:tc>
          <w:tcPr>
            <w:tcW w:w="1156" w:type="dxa"/>
            <w:shd w:val="clear" w:color="auto" w:fill="auto"/>
            <w:vAlign w:val="center"/>
          </w:tcPr>
          <w:p w14:paraId="0A40DF6E">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148" w:type="dxa"/>
            <w:vAlign w:val="center"/>
          </w:tcPr>
          <w:p w14:paraId="0EB05CCA">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555" w:type="dxa"/>
            <w:vAlign w:val="center"/>
          </w:tcPr>
          <w:p w14:paraId="0E9885DE">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仿宋" w:hAnsi="仿宋" w:eastAsia="仿宋" w:cs="仿宋"/>
                <w:color w:val="auto"/>
                <w:sz w:val="24"/>
                <w:szCs w:val="24"/>
                <w:highlight w:val="none"/>
                <w:lang w:val="en-US" w:eastAsia="zh-CN"/>
              </w:rPr>
            </w:pPr>
          </w:p>
        </w:tc>
        <w:tc>
          <w:tcPr>
            <w:tcW w:w="1339" w:type="dxa"/>
            <w:vAlign w:val="center"/>
          </w:tcPr>
          <w:p w14:paraId="0798220C">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290" w:type="dxa"/>
            <w:vAlign w:val="center"/>
          </w:tcPr>
          <w:p w14:paraId="02405B65">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245" w:type="dxa"/>
            <w:vAlign w:val="center"/>
          </w:tcPr>
          <w:p w14:paraId="3147C44A">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735" w:type="dxa"/>
            <w:vAlign w:val="center"/>
          </w:tcPr>
          <w:p w14:paraId="7E9CFA86">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仿宋" w:hAnsi="仿宋" w:eastAsia="仿宋" w:cs="仿宋"/>
                <w:color w:val="auto"/>
                <w:sz w:val="24"/>
                <w:szCs w:val="24"/>
                <w:highlight w:val="none"/>
                <w:lang w:val="en-US" w:eastAsia="zh-CN"/>
              </w:rPr>
            </w:pPr>
          </w:p>
        </w:tc>
        <w:tc>
          <w:tcPr>
            <w:tcW w:w="1725" w:type="dxa"/>
            <w:vAlign w:val="center"/>
          </w:tcPr>
          <w:p w14:paraId="026B29BC">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r>
      <w:tr w14:paraId="5B14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1" w:type="dxa"/>
            <w:vAlign w:val="center"/>
          </w:tcPr>
          <w:p w14:paraId="732B0D54">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156" w:type="dxa"/>
            <w:shd w:val="clear" w:color="auto" w:fill="auto"/>
            <w:vAlign w:val="center"/>
          </w:tcPr>
          <w:p w14:paraId="1426B8FE">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148" w:type="dxa"/>
            <w:vAlign w:val="center"/>
          </w:tcPr>
          <w:p w14:paraId="477E7346">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555" w:type="dxa"/>
            <w:vAlign w:val="center"/>
          </w:tcPr>
          <w:p w14:paraId="27F7522B">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仿宋" w:hAnsi="仿宋" w:eastAsia="仿宋" w:cs="仿宋"/>
                <w:color w:val="auto"/>
                <w:sz w:val="24"/>
                <w:szCs w:val="24"/>
                <w:highlight w:val="none"/>
                <w:lang w:val="en-US" w:eastAsia="zh-CN"/>
              </w:rPr>
            </w:pPr>
          </w:p>
        </w:tc>
        <w:tc>
          <w:tcPr>
            <w:tcW w:w="1339" w:type="dxa"/>
            <w:vAlign w:val="center"/>
          </w:tcPr>
          <w:p w14:paraId="526707C1">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290" w:type="dxa"/>
            <w:vAlign w:val="center"/>
          </w:tcPr>
          <w:p w14:paraId="4D3504D4">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245" w:type="dxa"/>
            <w:vAlign w:val="center"/>
          </w:tcPr>
          <w:p w14:paraId="51D929DE">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735" w:type="dxa"/>
            <w:vAlign w:val="center"/>
          </w:tcPr>
          <w:p w14:paraId="00EE0F74">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仿宋" w:hAnsi="仿宋" w:eastAsia="仿宋" w:cs="仿宋"/>
                <w:color w:val="auto"/>
                <w:sz w:val="24"/>
                <w:szCs w:val="24"/>
                <w:highlight w:val="none"/>
                <w:lang w:val="en-US" w:eastAsia="zh-CN"/>
              </w:rPr>
            </w:pPr>
          </w:p>
        </w:tc>
        <w:tc>
          <w:tcPr>
            <w:tcW w:w="1725" w:type="dxa"/>
            <w:vAlign w:val="center"/>
          </w:tcPr>
          <w:p w14:paraId="2DACB2C3">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r>
      <w:tr w14:paraId="4CFE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1" w:type="dxa"/>
            <w:vAlign w:val="center"/>
          </w:tcPr>
          <w:p w14:paraId="02CED834">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156" w:type="dxa"/>
            <w:shd w:val="clear" w:color="auto" w:fill="auto"/>
            <w:vAlign w:val="center"/>
          </w:tcPr>
          <w:p w14:paraId="6A3B1E9E">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148" w:type="dxa"/>
            <w:vAlign w:val="center"/>
          </w:tcPr>
          <w:p w14:paraId="2DFF0FDB">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555" w:type="dxa"/>
            <w:vAlign w:val="center"/>
          </w:tcPr>
          <w:p w14:paraId="50170196">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仿宋" w:hAnsi="仿宋" w:eastAsia="仿宋" w:cs="仿宋"/>
                <w:color w:val="auto"/>
                <w:sz w:val="24"/>
                <w:szCs w:val="24"/>
                <w:highlight w:val="none"/>
                <w:lang w:val="en-US" w:eastAsia="zh-CN"/>
              </w:rPr>
            </w:pPr>
          </w:p>
        </w:tc>
        <w:tc>
          <w:tcPr>
            <w:tcW w:w="1339" w:type="dxa"/>
            <w:vAlign w:val="center"/>
          </w:tcPr>
          <w:p w14:paraId="5DE8F26D">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290" w:type="dxa"/>
            <w:vAlign w:val="center"/>
          </w:tcPr>
          <w:p w14:paraId="0AE10AFE">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245" w:type="dxa"/>
            <w:vAlign w:val="center"/>
          </w:tcPr>
          <w:p w14:paraId="6E593C82">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735" w:type="dxa"/>
            <w:vAlign w:val="center"/>
          </w:tcPr>
          <w:p w14:paraId="774A58A3">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仿宋" w:hAnsi="仿宋" w:eastAsia="仿宋" w:cs="仿宋"/>
                <w:color w:val="auto"/>
                <w:sz w:val="24"/>
                <w:szCs w:val="24"/>
                <w:highlight w:val="none"/>
                <w:lang w:val="en-US" w:eastAsia="zh-CN"/>
              </w:rPr>
            </w:pPr>
          </w:p>
        </w:tc>
        <w:tc>
          <w:tcPr>
            <w:tcW w:w="1725" w:type="dxa"/>
            <w:vAlign w:val="center"/>
          </w:tcPr>
          <w:p w14:paraId="45BEF83A">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r>
      <w:tr w14:paraId="209D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1" w:type="dxa"/>
            <w:vAlign w:val="center"/>
          </w:tcPr>
          <w:p w14:paraId="59487C86">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156" w:type="dxa"/>
            <w:shd w:val="clear" w:color="auto" w:fill="auto"/>
            <w:vAlign w:val="center"/>
          </w:tcPr>
          <w:p w14:paraId="38BFD006">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148" w:type="dxa"/>
            <w:vAlign w:val="center"/>
          </w:tcPr>
          <w:p w14:paraId="1A8AA6CC">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555" w:type="dxa"/>
            <w:vAlign w:val="center"/>
          </w:tcPr>
          <w:p w14:paraId="10517A1F">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仿宋" w:hAnsi="仿宋" w:eastAsia="仿宋" w:cs="仿宋"/>
                <w:color w:val="auto"/>
                <w:sz w:val="24"/>
                <w:szCs w:val="24"/>
                <w:highlight w:val="none"/>
                <w:lang w:val="en-US" w:eastAsia="zh-CN"/>
              </w:rPr>
            </w:pPr>
          </w:p>
        </w:tc>
        <w:tc>
          <w:tcPr>
            <w:tcW w:w="1339" w:type="dxa"/>
            <w:vAlign w:val="center"/>
          </w:tcPr>
          <w:p w14:paraId="0F365302">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290" w:type="dxa"/>
            <w:vAlign w:val="center"/>
          </w:tcPr>
          <w:p w14:paraId="3ADA70A7">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245" w:type="dxa"/>
            <w:vAlign w:val="center"/>
          </w:tcPr>
          <w:p w14:paraId="42314BDC">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735" w:type="dxa"/>
            <w:vAlign w:val="center"/>
          </w:tcPr>
          <w:p w14:paraId="2A4B15B3">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仿宋" w:hAnsi="仿宋" w:eastAsia="仿宋" w:cs="仿宋"/>
                <w:color w:val="auto"/>
                <w:sz w:val="24"/>
                <w:szCs w:val="24"/>
                <w:highlight w:val="none"/>
                <w:lang w:val="en-US" w:eastAsia="zh-CN"/>
              </w:rPr>
            </w:pPr>
          </w:p>
        </w:tc>
        <w:tc>
          <w:tcPr>
            <w:tcW w:w="1725" w:type="dxa"/>
            <w:vAlign w:val="center"/>
          </w:tcPr>
          <w:p w14:paraId="384AB402">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r>
      <w:tr w14:paraId="645B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1" w:type="dxa"/>
            <w:vAlign w:val="center"/>
          </w:tcPr>
          <w:p w14:paraId="21DB440B">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156" w:type="dxa"/>
            <w:shd w:val="clear" w:color="auto" w:fill="auto"/>
            <w:vAlign w:val="center"/>
          </w:tcPr>
          <w:p w14:paraId="550C44EC">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148" w:type="dxa"/>
            <w:vAlign w:val="center"/>
          </w:tcPr>
          <w:p w14:paraId="3CEA27DD">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555" w:type="dxa"/>
            <w:vAlign w:val="center"/>
          </w:tcPr>
          <w:p w14:paraId="49713F7E">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仿宋" w:hAnsi="仿宋" w:eastAsia="仿宋" w:cs="仿宋"/>
                <w:color w:val="auto"/>
                <w:sz w:val="24"/>
                <w:szCs w:val="24"/>
                <w:highlight w:val="none"/>
                <w:lang w:val="en-US" w:eastAsia="zh-CN"/>
              </w:rPr>
            </w:pPr>
          </w:p>
        </w:tc>
        <w:tc>
          <w:tcPr>
            <w:tcW w:w="1339" w:type="dxa"/>
            <w:vAlign w:val="center"/>
          </w:tcPr>
          <w:p w14:paraId="536DCBE8">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1290" w:type="dxa"/>
            <w:vAlign w:val="center"/>
          </w:tcPr>
          <w:p w14:paraId="0F14BB92">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仿宋" w:hAnsi="仿宋" w:eastAsia="仿宋" w:cs="仿宋"/>
                <w:color w:val="auto"/>
                <w:sz w:val="24"/>
                <w:szCs w:val="24"/>
                <w:highlight w:val="none"/>
                <w:lang w:val="en-US" w:eastAsia="zh-CN"/>
              </w:rPr>
            </w:pPr>
          </w:p>
        </w:tc>
        <w:tc>
          <w:tcPr>
            <w:tcW w:w="1245" w:type="dxa"/>
            <w:vAlign w:val="center"/>
          </w:tcPr>
          <w:p w14:paraId="5D56269F">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c>
          <w:tcPr>
            <w:tcW w:w="735" w:type="dxa"/>
            <w:vAlign w:val="center"/>
          </w:tcPr>
          <w:p w14:paraId="6124E1FC">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仿宋" w:hAnsi="仿宋" w:eastAsia="仿宋" w:cs="仿宋"/>
                <w:color w:val="auto"/>
                <w:sz w:val="24"/>
                <w:szCs w:val="24"/>
                <w:highlight w:val="none"/>
                <w:lang w:val="en-US" w:eastAsia="zh-CN"/>
              </w:rPr>
            </w:pPr>
          </w:p>
        </w:tc>
        <w:tc>
          <w:tcPr>
            <w:tcW w:w="1725" w:type="dxa"/>
            <w:vAlign w:val="center"/>
          </w:tcPr>
          <w:p w14:paraId="5BC34A1F">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仿宋" w:hAnsi="仿宋" w:eastAsia="仿宋" w:cs="仿宋"/>
                <w:color w:val="auto"/>
                <w:sz w:val="24"/>
                <w:szCs w:val="24"/>
                <w:highlight w:val="none"/>
                <w:lang w:val="en-US" w:eastAsia="zh-CN"/>
              </w:rPr>
            </w:pPr>
          </w:p>
        </w:tc>
      </w:tr>
    </w:tbl>
    <w:p w14:paraId="1BC1CF46">
      <w:pPr>
        <w:keepNext w:val="0"/>
        <w:keepLines w:val="0"/>
        <w:pageBreakBefore w:val="0"/>
        <w:widowControl w:val="0"/>
        <w:suppressLineNumbers w:val="0"/>
        <w:kinsoku/>
        <w:wordWrap/>
        <w:overflowPunct/>
        <w:topLinePunct w:val="0"/>
        <w:autoSpaceDE/>
        <w:autoSpaceDN/>
        <w:bidi w:val="0"/>
        <w:adjustRightInd w:val="0"/>
        <w:snapToGrid w:val="0"/>
        <w:spacing w:beforeAutospacing="0" w:after="157" w:afterLines="50" w:afterAutospacing="0" w:line="240" w:lineRule="auto"/>
        <w:ind w:right="0"/>
        <w:jc w:val="both"/>
        <w:textAlignment w:val="auto"/>
        <w:outlineLvl w:val="2"/>
        <w:rPr>
          <w:rFonts w:hint="eastAsia" w:ascii="仿宋" w:hAnsi="仿宋" w:eastAsia="仿宋" w:cs="仿宋"/>
          <w:color w:val="auto"/>
          <w:kern w:val="2"/>
          <w:sz w:val="30"/>
          <w:szCs w:val="30"/>
          <w:highlight w:val="none"/>
          <w:vertAlign w:val="baseline"/>
          <w:lang w:val="en-US" w:eastAsia="zh-CN" w:bidi="ar"/>
        </w:rPr>
      </w:pPr>
      <w:r>
        <w:rPr>
          <w:rFonts w:hint="eastAsia" w:ascii="仿宋" w:hAnsi="仿宋" w:eastAsia="仿宋" w:cs="仿宋"/>
          <w:color w:val="auto"/>
          <w:kern w:val="2"/>
          <w:sz w:val="30"/>
          <w:szCs w:val="30"/>
          <w:highlight w:val="none"/>
          <w:vertAlign w:val="baseline"/>
          <w:lang w:val="en-US" w:eastAsia="zh-CN" w:bidi="ar"/>
        </w:rPr>
        <w:br w:type="page"/>
      </w:r>
    </w:p>
    <w:p w14:paraId="38316775">
      <w:pPr>
        <w:pStyle w:val="2"/>
        <w:spacing w:before="62" w:beforeLines="20" w:after="62" w:afterLines="20" w:line="480" w:lineRule="exact"/>
        <w:ind w:firstLine="0" w:firstLineChars="0"/>
        <w:jc w:val="center"/>
        <w:rPr>
          <w:rFonts w:ascii="Arial" w:hAnsi="Arial"/>
          <w:color w:val="auto"/>
          <w:kern w:val="2"/>
          <w:sz w:val="32"/>
          <w:szCs w:val="32"/>
          <w:highlight w:val="none"/>
        </w:rPr>
      </w:pPr>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3"/>
      <w:bookmarkEnd w:id="64"/>
      <w:bookmarkEnd w:id="65"/>
      <w:bookmarkEnd w:id="66"/>
      <w:bookmarkStart w:id="156" w:name="_Toc26873"/>
      <w:bookmarkStart w:id="157" w:name="_Toc54884158"/>
      <w:r>
        <w:rPr>
          <w:rFonts w:hint="eastAsia" w:ascii="Arial" w:hAnsi="Arial"/>
          <w:color w:val="auto"/>
          <w:kern w:val="2"/>
          <w:sz w:val="32"/>
          <w:szCs w:val="32"/>
          <w:highlight w:val="none"/>
        </w:rPr>
        <w:t>参选文件格式</w:t>
      </w:r>
      <w:bookmarkEnd w:id="156"/>
      <w:bookmarkEnd w:id="157"/>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4F4EF1B3">
      <w:pPr>
        <w:spacing w:line="480" w:lineRule="exact"/>
        <w:jc w:val="center"/>
        <w:rPr>
          <w:rFonts w:ascii="宋体" w:hAnsi="宋体"/>
          <w:b/>
          <w:color w:val="auto"/>
          <w:sz w:val="30"/>
          <w:szCs w:val="30"/>
          <w:highlight w:val="none"/>
        </w:rPr>
      </w:pPr>
    </w:p>
    <w:p w14:paraId="2C8155D5">
      <w:pPr>
        <w:spacing w:line="480" w:lineRule="exact"/>
        <w:rPr>
          <w:rFonts w:ascii="黑体" w:eastAsia="黑体"/>
          <w:b/>
          <w:bCs/>
          <w:color w:val="auto"/>
          <w:szCs w:val="21"/>
          <w:highlight w:val="none"/>
        </w:rPr>
      </w:pPr>
    </w:p>
    <w:p w14:paraId="3891DCD9">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43D54045">
      <w:pPr>
        <w:pStyle w:val="82"/>
        <w:rPr>
          <w:rFonts w:hint="eastAsia" w:ascii="宋体" w:hAnsi="宋体"/>
          <w:color w:val="auto"/>
          <w:sz w:val="24"/>
          <w:highlight w:val="none"/>
        </w:rPr>
      </w:pPr>
      <w:r>
        <w:rPr>
          <w:rFonts w:hint="eastAsia" w:ascii="宋体" w:hAnsi="宋体"/>
          <w:color w:val="auto"/>
          <w:sz w:val="24"/>
          <w:highlight w:val="none"/>
        </w:rPr>
        <w:t>一、</w:t>
      </w:r>
      <w:r>
        <w:rPr>
          <w:rFonts w:hint="eastAsia" w:ascii="宋体" w:hAnsi="宋体"/>
          <w:color w:val="auto"/>
          <w:sz w:val="24"/>
          <w:highlight w:val="none"/>
          <w:lang w:val="en-US" w:eastAsia="zh-CN"/>
        </w:rPr>
        <w:t>参选函</w:t>
      </w:r>
    </w:p>
    <w:p w14:paraId="50119045">
      <w:pPr>
        <w:pStyle w:val="82"/>
        <w:rPr>
          <w:rFonts w:hint="eastAsia" w:ascii="宋体" w:hAnsi="宋体" w:eastAsia="宋体"/>
          <w:color w:val="auto"/>
          <w:sz w:val="24"/>
          <w:highlight w:val="none"/>
          <w:lang w:val="en-US" w:eastAsia="zh-CN"/>
        </w:rPr>
      </w:pPr>
      <w:r>
        <w:rPr>
          <w:rFonts w:hint="eastAsia" w:ascii="宋体" w:hAnsi="宋体"/>
          <w:color w:val="auto"/>
          <w:sz w:val="24"/>
          <w:highlight w:val="none"/>
        </w:rPr>
        <w:t>二、报价表</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含分项报价表）</w:t>
      </w:r>
    </w:p>
    <w:p w14:paraId="1314AC00">
      <w:pPr>
        <w:pStyle w:val="82"/>
        <w:rPr>
          <w:rFonts w:hint="eastAsia" w:ascii="宋体" w:hAnsi="宋体"/>
          <w:color w:val="auto"/>
          <w:sz w:val="24"/>
          <w:highlight w:val="none"/>
        </w:rPr>
      </w:pPr>
      <w:r>
        <w:rPr>
          <w:rFonts w:hint="eastAsia" w:ascii="宋体" w:hAnsi="宋体"/>
          <w:color w:val="auto"/>
          <w:sz w:val="24"/>
          <w:highlight w:val="none"/>
        </w:rPr>
        <w:t>三、服务内容及质量要求响应表</w:t>
      </w:r>
    </w:p>
    <w:p w14:paraId="0FF47100">
      <w:pPr>
        <w:pStyle w:val="82"/>
        <w:rPr>
          <w:rFonts w:hint="eastAsia" w:ascii="宋体" w:hAnsi="宋体"/>
          <w:color w:val="auto"/>
          <w:sz w:val="24"/>
          <w:highlight w:val="none"/>
        </w:rPr>
      </w:pPr>
      <w:r>
        <w:rPr>
          <w:rFonts w:hint="eastAsia" w:ascii="宋体" w:hAnsi="宋体"/>
          <w:color w:val="auto"/>
          <w:sz w:val="24"/>
          <w:highlight w:val="none"/>
        </w:rPr>
        <w:t>四、服务方案</w:t>
      </w:r>
    </w:p>
    <w:p w14:paraId="67EAE442">
      <w:pPr>
        <w:pStyle w:val="82"/>
        <w:rPr>
          <w:rFonts w:hint="eastAsia" w:ascii="宋体" w:hAnsi="宋体"/>
          <w:color w:val="auto"/>
          <w:sz w:val="24"/>
          <w:highlight w:val="none"/>
        </w:rPr>
      </w:pPr>
      <w:r>
        <w:rPr>
          <w:rFonts w:hint="eastAsia" w:ascii="宋体" w:hAnsi="宋体"/>
          <w:color w:val="auto"/>
          <w:sz w:val="24"/>
          <w:highlight w:val="none"/>
        </w:rPr>
        <w:t>五、诚信</w:t>
      </w:r>
      <w:r>
        <w:rPr>
          <w:rFonts w:hint="eastAsia" w:ascii="宋体" w:hAnsi="宋体"/>
          <w:color w:val="auto"/>
          <w:sz w:val="24"/>
          <w:highlight w:val="none"/>
          <w:lang w:val="en-US" w:eastAsia="zh-CN"/>
        </w:rPr>
        <w:t>参选</w:t>
      </w:r>
      <w:r>
        <w:rPr>
          <w:rFonts w:hint="eastAsia" w:ascii="宋体" w:hAnsi="宋体"/>
          <w:color w:val="auto"/>
          <w:sz w:val="24"/>
          <w:highlight w:val="none"/>
        </w:rPr>
        <w:t>响应承诺书</w:t>
      </w:r>
    </w:p>
    <w:p w14:paraId="6BC4233C">
      <w:pPr>
        <w:pStyle w:val="82"/>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六、联合体协议书</w:t>
      </w:r>
    </w:p>
    <w:p w14:paraId="633C2590">
      <w:pPr>
        <w:pStyle w:val="82"/>
        <w:rPr>
          <w:rFonts w:hint="eastAsia" w:ascii="宋体" w:hAnsi="宋体"/>
          <w:color w:val="auto"/>
          <w:sz w:val="24"/>
          <w:highlight w:val="none"/>
        </w:rPr>
      </w:pPr>
      <w:r>
        <w:rPr>
          <w:rFonts w:hint="eastAsia" w:ascii="宋体" w:hAnsi="宋体"/>
          <w:color w:val="auto"/>
          <w:sz w:val="24"/>
          <w:highlight w:val="none"/>
          <w:lang w:val="en-US" w:eastAsia="zh-CN"/>
        </w:rPr>
        <w:t>七、参选证明材料</w:t>
      </w:r>
    </w:p>
    <w:p w14:paraId="6BD7A7B0">
      <w:pPr>
        <w:widowControl/>
        <w:jc w:val="left"/>
        <w:rPr>
          <w:rFonts w:ascii="宋体" w:cs="宋体"/>
          <w:color w:val="auto"/>
          <w:sz w:val="24"/>
          <w:highlight w:val="none"/>
        </w:rPr>
      </w:pPr>
      <w:r>
        <w:rPr>
          <w:rFonts w:ascii="宋体" w:cs="宋体"/>
          <w:color w:val="auto"/>
          <w:sz w:val="24"/>
          <w:highlight w:val="none"/>
        </w:rPr>
        <w:br w:type="page"/>
      </w:r>
    </w:p>
    <w:p w14:paraId="6B3C16F0">
      <w:pPr>
        <w:pStyle w:val="9"/>
        <w:jc w:val="center"/>
        <w:rPr>
          <w:color w:val="auto"/>
          <w:sz w:val="28"/>
          <w:szCs w:val="28"/>
          <w:highlight w:val="none"/>
        </w:rPr>
      </w:pPr>
      <w:bookmarkStart w:id="158" w:name="_Toc54941342"/>
      <w:bookmarkStart w:id="159" w:name="_Toc476584433"/>
      <w:r>
        <w:rPr>
          <w:rFonts w:hint="eastAsia" w:cs="宋体"/>
          <w:color w:val="auto"/>
          <w:sz w:val="28"/>
          <w:szCs w:val="28"/>
          <w:highlight w:val="none"/>
        </w:rPr>
        <w:t>一、</w:t>
      </w:r>
      <w:bookmarkEnd w:id="158"/>
      <w:bookmarkEnd w:id="159"/>
      <w:r>
        <w:rPr>
          <w:rFonts w:hint="eastAsia"/>
          <w:color w:val="auto"/>
          <w:sz w:val="28"/>
          <w:szCs w:val="28"/>
          <w:highlight w:val="none"/>
          <w:lang w:val="en-US" w:eastAsia="zh-CN"/>
        </w:rPr>
        <w:t>参选函</w:t>
      </w:r>
    </w:p>
    <w:p w14:paraId="1266B40E">
      <w:pPr>
        <w:tabs>
          <w:tab w:val="left" w:pos="5580"/>
        </w:tabs>
        <w:spacing w:before="120" w:line="360" w:lineRule="auto"/>
        <w:rPr>
          <w:rFonts w:hint="eastAsia" w:ascii="宋体" w:hAnsi="宋体"/>
          <w:color w:val="auto"/>
          <w:szCs w:val="21"/>
          <w:highlight w:val="none"/>
        </w:rPr>
      </w:pPr>
    </w:p>
    <w:p w14:paraId="1CE0FD45">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安庆市通达置业有限公司</w:t>
      </w:r>
    </w:p>
    <w:p w14:paraId="378BFED1">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 xml:space="preserve"> 上河院项目跨湖人行栈道桩基检测及建设工程质量检测 </w:t>
      </w:r>
      <w:r>
        <w:rPr>
          <w:rFonts w:hint="eastAsia" w:ascii="宋体" w:hAnsi="宋体" w:eastAsia="宋体" w:cs="Courier New"/>
          <w:color w:val="auto"/>
          <w:kern w:val="2"/>
          <w:sz w:val="21"/>
          <w:szCs w:val="21"/>
          <w:highlight w:val="none"/>
          <w:lang w:val="en-US" w:eastAsia="zh-CN" w:bidi="ar-SA"/>
        </w:rPr>
        <w:t>的比选活动。我方授权</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667A43BC">
      <w:pPr>
        <w:widowControl w:val="0"/>
        <w:numPr>
          <w:ilvl w:val="0"/>
          <w:numId w:val="0"/>
        </w:numPr>
        <w:tabs>
          <w:tab w:val="left" w:pos="5580"/>
        </w:tabs>
        <w:spacing w:line="360" w:lineRule="auto"/>
        <w:ind w:firstLine="420" w:firstLineChars="200"/>
        <w:jc w:val="both"/>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2、我方充分了解并完全响应比选文件的全部内容，愿意按照比选文件规定的各项要求，向采购人提供所需服务</w:t>
      </w:r>
      <w:r>
        <w:rPr>
          <w:rFonts w:hint="eastAsia" w:ascii="宋体" w:hAnsi="宋体" w:cs="Courier New"/>
          <w:color w:val="auto"/>
          <w:kern w:val="2"/>
          <w:sz w:val="21"/>
          <w:szCs w:val="21"/>
          <w:highlight w:val="none"/>
          <w:lang w:val="en-US" w:eastAsia="zh-CN" w:bidi="ar-SA"/>
        </w:rPr>
        <w:t>，</w:t>
      </w:r>
      <w:r>
        <w:rPr>
          <w:rFonts w:hint="eastAsia" w:ascii="宋体" w:hAnsi="宋体" w:eastAsia="宋体" w:cs="Courier New"/>
          <w:color w:val="auto"/>
          <w:kern w:val="2"/>
          <w:sz w:val="21"/>
          <w:szCs w:val="21"/>
          <w:highlight w:val="none"/>
          <w:lang w:val="en-US" w:eastAsia="zh-CN" w:bidi="ar-SA"/>
        </w:rPr>
        <w:t>比选</w:t>
      </w:r>
      <w:r>
        <w:rPr>
          <w:rFonts w:hint="eastAsia" w:ascii="宋体" w:hAnsi="宋体" w:cs="Courier New"/>
          <w:color w:val="auto"/>
          <w:kern w:val="2"/>
          <w:sz w:val="21"/>
          <w:szCs w:val="21"/>
          <w:highlight w:val="none"/>
          <w:lang w:val="en-US" w:eastAsia="zh-CN" w:bidi="ar-SA"/>
        </w:rPr>
        <w:t>报价</w:t>
      </w:r>
      <w:r>
        <w:rPr>
          <w:rFonts w:hint="eastAsia" w:ascii="宋体" w:hAnsi="宋体" w:eastAsia="宋体" w:cs="Courier New"/>
          <w:color w:val="auto"/>
          <w:kern w:val="2"/>
          <w:sz w:val="21"/>
          <w:szCs w:val="21"/>
          <w:highlight w:val="none"/>
          <w:lang w:val="en-US" w:eastAsia="zh-CN" w:bidi="ar-SA"/>
        </w:rPr>
        <w:t>为（大写）</w:t>
      </w:r>
      <w:r>
        <w:rPr>
          <w:rFonts w:hint="eastAsia" w:ascii="宋体" w:hAnsi="宋体" w:cs="Courier New"/>
          <w:color w:val="auto"/>
          <w:kern w:val="2"/>
          <w:sz w:val="21"/>
          <w:szCs w:val="21"/>
          <w:highlight w:val="none"/>
          <w:lang w:val="en-US" w:eastAsia="zh-CN" w:bidi="ar-SA"/>
        </w:rPr>
        <w:t>：</w:t>
      </w:r>
      <w:r>
        <w:rPr>
          <w:rFonts w:hint="eastAsia" w:ascii="宋体" w:hAnsi="宋体" w:cs="Courier New"/>
          <w:color w:val="auto"/>
          <w:kern w:val="2"/>
          <w:sz w:val="21"/>
          <w:szCs w:val="21"/>
          <w:highlight w:val="none"/>
          <w:u w:val="none"/>
          <w:lang w:val="en-US" w:eastAsia="zh-CN" w:bidi="ar-SA"/>
        </w:rPr>
        <w:t>人民币</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none"/>
          <w:lang w:val="en-US" w:eastAsia="zh-CN" w:bidi="ar-SA"/>
        </w:rPr>
        <w:t>元；</w:t>
      </w:r>
      <w:r>
        <w:rPr>
          <w:rFonts w:hint="eastAsia" w:ascii="宋体" w:hAnsi="宋体" w:eastAsia="宋体" w:cs="Courier New"/>
          <w:color w:val="auto"/>
          <w:kern w:val="2"/>
          <w:sz w:val="21"/>
          <w:szCs w:val="21"/>
          <w:highlight w:val="none"/>
          <w:lang w:val="en-US" w:eastAsia="zh-CN" w:bidi="ar-SA"/>
        </w:rPr>
        <w:t>(小写</w:t>
      </w:r>
      <w:r>
        <w:rPr>
          <w:rFonts w:hint="eastAsia" w:ascii="宋体" w:hAnsi="宋体" w:cs="Courier New"/>
          <w:color w:val="auto"/>
          <w:kern w:val="2"/>
          <w:sz w:val="21"/>
          <w:szCs w:val="21"/>
          <w:highlight w:val="none"/>
          <w:lang w:val="en-US" w:eastAsia="zh-CN" w:bidi="ar-SA"/>
        </w:rPr>
        <w:t>）￥</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none"/>
          <w:lang w:val="en-US" w:eastAsia="zh-CN" w:bidi="ar-SA"/>
        </w:rPr>
        <w:t>元。</w:t>
      </w:r>
    </w:p>
    <w:p w14:paraId="3B8EAC67">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3、一旦我方成交，我方将严格履行合同规定的责任和义务，保证该项目</w:t>
      </w:r>
      <w:r>
        <w:rPr>
          <w:rFonts w:hint="eastAsia" w:ascii="宋体" w:hAnsi="宋体" w:cs="Courier New"/>
          <w:color w:val="auto"/>
          <w:kern w:val="2"/>
          <w:sz w:val="21"/>
          <w:szCs w:val="21"/>
          <w:highlight w:val="none"/>
          <w:lang w:val="en-US" w:eastAsia="zh-CN" w:bidi="ar-SA"/>
        </w:rPr>
        <w:t>应达到</w:t>
      </w:r>
      <w:r>
        <w:rPr>
          <w:rFonts w:hint="eastAsia" w:ascii="宋体" w:hAnsi="宋体" w:eastAsia="宋体" w:cs="Courier New"/>
          <w:color w:val="auto"/>
          <w:kern w:val="2"/>
          <w:sz w:val="21"/>
          <w:szCs w:val="21"/>
          <w:highlight w:val="none"/>
          <w:lang w:val="en-US" w:eastAsia="zh-CN" w:bidi="ar-SA"/>
        </w:rPr>
        <w:t>的</w:t>
      </w:r>
      <w:r>
        <w:rPr>
          <w:rFonts w:hint="eastAsia" w:ascii="宋体" w:hAnsi="宋体" w:cs="Courier New"/>
          <w:color w:val="auto"/>
          <w:kern w:val="2"/>
          <w:sz w:val="21"/>
          <w:szCs w:val="21"/>
          <w:highlight w:val="none"/>
          <w:lang w:val="en-US" w:eastAsia="zh-CN" w:bidi="ar-SA"/>
        </w:rPr>
        <w:t>时间及质量要求。</w:t>
      </w:r>
    </w:p>
    <w:p w14:paraId="04A094C5">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665A3C2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3427E396">
      <w:pPr>
        <w:pStyle w:val="32"/>
        <w:tabs>
          <w:tab w:val="left" w:pos="5580"/>
        </w:tabs>
        <w:spacing w:line="360" w:lineRule="auto"/>
        <w:ind w:firstLine="417" w:firstLineChars="199"/>
        <w:rPr>
          <w:rFonts w:hAnsi="宋体"/>
          <w:color w:val="auto"/>
          <w:highlight w:val="none"/>
        </w:rPr>
      </w:pPr>
    </w:p>
    <w:p w14:paraId="4FD3E49F">
      <w:pPr>
        <w:pStyle w:val="32"/>
        <w:tabs>
          <w:tab w:val="left" w:pos="5580"/>
        </w:tabs>
        <w:spacing w:line="360" w:lineRule="auto"/>
        <w:ind w:right="360" w:firstLine="3570" w:firstLineChars="1700"/>
        <w:rPr>
          <w:rFonts w:hAnsi="宋体"/>
          <w:color w:val="auto"/>
          <w:highlight w:val="none"/>
        </w:rPr>
      </w:pPr>
    </w:p>
    <w:p w14:paraId="22814F3F">
      <w:pPr>
        <w:pStyle w:val="32"/>
        <w:tabs>
          <w:tab w:val="left" w:pos="5580"/>
        </w:tabs>
        <w:spacing w:line="360" w:lineRule="auto"/>
        <w:ind w:right="360" w:firstLine="3570" w:firstLineChars="1700"/>
        <w:rPr>
          <w:rFonts w:hAnsi="宋体"/>
          <w:color w:val="auto"/>
          <w:highlight w:val="none"/>
        </w:rPr>
      </w:pPr>
    </w:p>
    <w:p w14:paraId="2F4A581E">
      <w:pPr>
        <w:pStyle w:val="32"/>
        <w:tabs>
          <w:tab w:val="left" w:pos="5580"/>
        </w:tabs>
        <w:spacing w:line="360" w:lineRule="auto"/>
        <w:ind w:right="360" w:firstLine="3570" w:firstLineChars="1700"/>
        <w:rPr>
          <w:rFonts w:hAnsi="宋体"/>
          <w:color w:val="auto"/>
          <w:highlight w:val="none"/>
        </w:rPr>
      </w:pPr>
    </w:p>
    <w:p w14:paraId="7444DD93">
      <w:pPr>
        <w:pStyle w:val="32"/>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6AC678E2">
      <w:pPr>
        <w:pStyle w:val="32"/>
        <w:tabs>
          <w:tab w:val="left" w:pos="5580"/>
        </w:tabs>
        <w:wordWrap w:val="0"/>
        <w:spacing w:line="480" w:lineRule="auto"/>
        <w:ind w:firstLine="420" w:firstLineChars="200"/>
        <w:jc w:val="right"/>
        <w:rPr>
          <w:rFonts w:hint="eastAsia" w:hAnsi="宋体" w:eastAsia="宋体"/>
          <w:color w:val="auto"/>
          <w:highlight w:val="none"/>
          <w:u w:val="single"/>
          <w:lang w:val="en-US" w:eastAsia="zh-CN"/>
        </w:rPr>
      </w:pPr>
      <w:r>
        <w:rPr>
          <w:rFonts w:hint="eastAsia" w:hAnsi="宋体"/>
          <w:color w:val="auto"/>
          <w:highlight w:val="none"/>
        </w:rPr>
        <w:t>单位地址：</w:t>
      </w:r>
      <w:r>
        <w:rPr>
          <w:rFonts w:hint="eastAsia" w:hAnsi="宋体"/>
          <w:color w:val="auto"/>
          <w:highlight w:val="none"/>
          <w:u w:val="single"/>
          <w:lang w:val="en-US" w:eastAsia="zh-CN"/>
        </w:rPr>
        <w:t xml:space="preserve">                     </w:t>
      </w:r>
    </w:p>
    <w:p w14:paraId="39101A32">
      <w:pPr>
        <w:pStyle w:val="32"/>
        <w:tabs>
          <w:tab w:val="left" w:pos="5580"/>
        </w:tabs>
        <w:spacing w:line="480" w:lineRule="auto"/>
        <w:ind w:firstLine="3570" w:firstLineChars="1700"/>
        <w:jc w:val="right"/>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（签字或盖章）</w:t>
      </w:r>
    </w:p>
    <w:p w14:paraId="02376F9F">
      <w:pPr>
        <w:pStyle w:val="32"/>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164A6737">
      <w:pPr>
        <w:pStyle w:val="27"/>
        <w:rPr>
          <w:color w:val="auto"/>
          <w:highlight w:val="none"/>
        </w:rPr>
      </w:pPr>
    </w:p>
    <w:p w14:paraId="355E8CF7">
      <w:pPr>
        <w:rPr>
          <w:rFonts w:hint="eastAsia" w:cs="宋体"/>
          <w:color w:val="auto"/>
          <w:highlight w:val="none"/>
        </w:rPr>
      </w:pPr>
      <w:bookmarkStart w:id="160" w:name="_Toc476584438"/>
      <w:bookmarkStart w:id="161" w:name="_Toc54941350"/>
      <w:r>
        <w:rPr>
          <w:rFonts w:hint="eastAsia" w:cs="宋体"/>
          <w:color w:val="auto"/>
          <w:highlight w:val="none"/>
        </w:rPr>
        <w:br w:type="page"/>
      </w:r>
    </w:p>
    <w:p w14:paraId="3F4610D3">
      <w:pPr>
        <w:keepNext/>
        <w:keepLines/>
        <w:widowControl w:val="0"/>
        <w:shd w:val="clear" w:color="auto" w:fill="FFFFFF"/>
        <w:wordWrap w:val="0"/>
        <w:spacing w:line="360" w:lineRule="exact"/>
        <w:jc w:val="center"/>
        <w:outlineLvl w:val="2"/>
        <w:rPr>
          <w:rFonts w:ascii="宋体" w:hAnsi="宋体" w:eastAsia="宋体" w:cs="Times New Roman"/>
          <w:b/>
          <w:color w:val="auto"/>
          <w:kern w:val="2"/>
          <w:sz w:val="28"/>
          <w:szCs w:val="28"/>
          <w:highlight w:val="none"/>
          <w:bdr w:val="single" w:color="auto" w:sz="4" w:space="0"/>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二、</w:t>
      </w:r>
      <w:r>
        <w:rPr>
          <w:rFonts w:hint="eastAsia" w:ascii="宋体" w:hAnsi="宋体" w:eastAsia="宋体" w:cs="Times New Roman"/>
          <w:b/>
          <w:color w:val="auto"/>
          <w:kern w:val="2"/>
          <w:sz w:val="28"/>
          <w:szCs w:val="28"/>
          <w:highlight w:val="none"/>
          <w:shd w:val="clear" w:color="auto" w:fill="FFFFFF"/>
          <w:lang w:val="en-US" w:eastAsia="zh-CN" w:bidi="ar-SA"/>
        </w:rPr>
        <w:t>报价表</w:t>
      </w:r>
    </w:p>
    <w:p w14:paraId="51904405">
      <w:pPr>
        <w:spacing w:line="360" w:lineRule="auto"/>
        <w:ind w:firstLine="420" w:firstLineChars="200"/>
        <w:rPr>
          <w:rFonts w:ascii="仿宋" w:hAnsi="仿宋" w:eastAsia="仿宋" w:cs="Times New Roman"/>
          <w:color w:val="auto"/>
          <w:szCs w:val="21"/>
          <w:highlight w:val="none"/>
        </w:rPr>
      </w:pPr>
    </w:p>
    <w:p w14:paraId="1F481763">
      <w:pPr>
        <w:widowControl w:val="0"/>
        <w:autoSpaceDE w:val="0"/>
        <w:autoSpaceDN w:val="0"/>
        <w:adjustRightInd w:val="0"/>
        <w:ind w:firstLine="420"/>
        <w:jc w:val="left"/>
        <w:rPr>
          <w:rFonts w:ascii="宋体" w:hAnsi="Times New Roman" w:eastAsia="宋体" w:cs="Times New Roman"/>
          <w:color w:val="auto"/>
          <w:kern w:val="0"/>
          <w:sz w:val="24"/>
          <w:szCs w:val="20"/>
          <w:highlight w:val="none"/>
          <w:lang w:val="en-US" w:eastAsia="zh-CN" w:bidi="ar-SA"/>
        </w:rPr>
      </w:pPr>
    </w:p>
    <w:p w14:paraId="29B14AAD">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r>
        <w:rPr>
          <w:rFonts w:ascii="宋体" w:hAnsi="宋体" w:eastAsia="宋体" w:cs="Times New Roman"/>
          <w:color w:val="auto"/>
          <w:sz w:val="24"/>
          <w:szCs w:val="24"/>
          <w:highlight w:val="none"/>
        </w:rPr>
        <w:t xml:space="preserve">  </w:t>
      </w:r>
    </w:p>
    <w:p w14:paraId="2F97B03E">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 w:val="24"/>
          <w:szCs w:val="24"/>
          <w:highlight w:val="none"/>
        </w:rPr>
        <w:t>项目编号：</w:t>
      </w:r>
      <w:r>
        <w:rPr>
          <w:rFonts w:ascii="宋体" w:hAnsi="宋体" w:eastAsia="宋体" w:cs="Times New Roman"/>
          <w:color w:val="auto"/>
          <w:sz w:val="24"/>
          <w:szCs w:val="24"/>
          <w:highlight w:val="none"/>
        </w:rPr>
        <w:t xml:space="preserve"> </w:t>
      </w:r>
    </w:p>
    <w:tbl>
      <w:tblPr>
        <w:tblStyle w:val="61"/>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8019"/>
      </w:tblGrid>
      <w:tr w14:paraId="0D8A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11" w:type="dxa"/>
            <w:vMerge w:val="restart"/>
            <w:vAlign w:val="center"/>
          </w:tcPr>
          <w:p w14:paraId="719002AB">
            <w:pPr>
              <w:keepNext w:val="0"/>
              <w:keepLines w:val="0"/>
              <w:suppressLineNumbers w:val="0"/>
              <w:spacing w:before="0" w:beforeAutospacing="0" w:after="0" w:afterAutospacing="0" w:line="400" w:lineRule="exact"/>
              <w:ind w:left="0" w:right="0"/>
              <w:jc w:val="center"/>
              <w:rPr>
                <w:rFonts w:hint="eastAsia" w:ascii="Times New Roman" w:hAnsi="宋体"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r>
              <w:rPr>
                <w:rFonts w:hint="eastAsia" w:hAnsi="宋体" w:cs="Times New Roman"/>
                <w:color w:val="auto"/>
                <w:sz w:val="24"/>
                <w:szCs w:val="24"/>
                <w:highlight w:val="none"/>
                <w:lang w:eastAsia="zh-CN"/>
              </w:rPr>
              <w:t>：</w:t>
            </w:r>
          </w:p>
          <w:p w14:paraId="77B44519">
            <w:pPr>
              <w:keepNext w:val="0"/>
              <w:keepLines w:val="0"/>
              <w:suppressLineNumbers w:val="0"/>
              <w:spacing w:before="0" w:beforeAutospacing="0" w:after="0" w:afterAutospacing="0" w:line="400" w:lineRule="exact"/>
              <w:ind w:left="0" w:right="0"/>
              <w:jc w:val="both"/>
              <w:rPr>
                <w:rFonts w:hint="eastAsia" w:ascii="Times New Roman" w:hAnsi="宋体" w:eastAsia="宋体" w:cs="Times New Roman"/>
                <w:color w:val="auto"/>
                <w:sz w:val="24"/>
                <w:szCs w:val="24"/>
                <w:highlight w:val="none"/>
                <w:lang w:eastAsia="zh-CN"/>
              </w:rPr>
            </w:pPr>
            <w:r>
              <w:rPr>
                <w:rFonts w:hint="eastAsia" w:hAnsi="宋体" w:cs="Times New Roman"/>
                <w:color w:val="auto"/>
                <w:sz w:val="24"/>
                <w:szCs w:val="24"/>
                <w:highlight w:val="none"/>
                <w:lang w:eastAsia="zh-CN"/>
              </w:rPr>
              <w:t>（</w:t>
            </w:r>
            <w:r>
              <w:rPr>
                <w:rFonts w:hint="eastAsia" w:hAnsi="宋体" w:cs="Times New Roman"/>
                <w:color w:val="auto"/>
                <w:sz w:val="24"/>
                <w:szCs w:val="24"/>
                <w:highlight w:val="none"/>
                <w:lang w:val="en-US" w:eastAsia="zh-CN"/>
              </w:rPr>
              <w:t>合计总价</w:t>
            </w:r>
            <w:r>
              <w:rPr>
                <w:rFonts w:hint="eastAsia" w:hAnsi="宋体" w:cs="Times New Roman"/>
                <w:color w:val="auto"/>
                <w:sz w:val="24"/>
                <w:szCs w:val="24"/>
                <w:highlight w:val="none"/>
                <w:lang w:eastAsia="zh-CN"/>
              </w:rPr>
              <w:t>）</w:t>
            </w:r>
          </w:p>
        </w:tc>
        <w:tc>
          <w:tcPr>
            <w:tcW w:w="8019" w:type="dxa"/>
            <w:vAlign w:val="center"/>
          </w:tcPr>
          <w:p w14:paraId="436A608F">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eastAsia" w:ascii="宋体" w:hAnsi="宋体" w:cs="Courier New"/>
                <w:color w:val="auto"/>
                <w:kern w:val="2"/>
                <w:sz w:val="24"/>
                <w:szCs w:val="24"/>
                <w:highlight w:val="none"/>
                <w:u w:val="none"/>
                <w:lang w:val="en-US" w:eastAsia="zh-CN" w:bidi="ar-SA"/>
              </w:rPr>
              <w:t>人民币</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cs="Courier New"/>
                <w:color w:val="auto"/>
                <w:kern w:val="2"/>
                <w:sz w:val="24"/>
                <w:szCs w:val="24"/>
                <w:highlight w:val="none"/>
                <w:u w:val="none"/>
                <w:lang w:val="en-US" w:eastAsia="zh-CN" w:bidi="ar-SA"/>
              </w:rPr>
              <w:t>元</w:t>
            </w:r>
          </w:p>
        </w:tc>
      </w:tr>
      <w:tr w14:paraId="181C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11" w:type="dxa"/>
            <w:vMerge w:val="continue"/>
            <w:vAlign w:val="center"/>
          </w:tcPr>
          <w:p w14:paraId="50A69579">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8019" w:type="dxa"/>
            <w:vAlign w:val="center"/>
          </w:tcPr>
          <w:p w14:paraId="22A30204">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rPr>
              <w:t>小写：</w:t>
            </w:r>
            <w:r>
              <w:rPr>
                <w:rFonts w:hint="eastAsia" w:hAnsi="宋体" w:cs="Times New Roman"/>
                <w:color w:val="auto"/>
                <w:sz w:val="24"/>
                <w:szCs w:val="24"/>
                <w:highlight w:val="none"/>
                <w:lang w:eastAsia="zh-CN"/>
              </w:rPr>
              <w:t>￥</w:t>
            </w:r>
            <w:r>
              <w:rPr>
                <w:rFonts w:hint="eastAsia" w:hAnsi="宋体" w:cs="Times New Roman"/>
                <w:color w:val="auto"/>
                <w:sz w:val="24"/>
                <w:szCs w:val="24"/>
                <w:highlight w:val="none"/>
                <w:u w:val="single"/>
                <w:lang w:val="en-US" w:eastAsia="zh-CN"/>
              </w:rPr>
              <w:t xml:space="preserve">           </w:t>
            </w:r>
            <w:r>
              <w:rPr>
                <w:rFonts w:hint="eastAsia" w:hAnsi="宋体" w:cs="Times New Roman"/>
                <w:color w:val="auto"/>
                <w:sz w:val="24"/>
                <w:szCs w:val="24"/>
                <w:highlight w:val="none"/>
                <w:u w:val="none"/>
                <w:lang w:val="en-US" w:eastAsia="zh-CN"/>
              </w:rPr>
              <w:t>元</w:t>
            </w:r>
          </w:p>
        </w:tc>
      </w:tr>
      <w:tr w14:paraId="6821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630" w:type="dxa"/>
            <w:gridSpan w:val="2"/>
            <w:vAlign w:val="center"/>
          </w:tcPr>
          <w:p w14:paraId="3462994A">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注：</w:t>
            </w:r>
          </w:p>
          <w:p w14:paraId="7952E34D">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参选人报价不得高于比选最高限价。</w:t>
            </w:r>
          </w:p>
        </w:tc>
      </w:tr>
    </w:tbl>
    <w:p w14:paraId="40915C3D">
      <w:pPr>
        <w:spacing w:line="360" w:lineRule="auto"/>
        <w:rPr>
          <w:rFonts w:hint="eastAsia" w:ascii="宋体" w:hAnsi="宋体" w:eastAsia="宋体" w:cs="Times New Roman"/>
          <w:b/>
          <w:color w:val="auto"/>
          <w:sz w:val="24"/>
          <w:szCs w:val="24"/>
          <w:highlight w:val="none"/>
        </w:rPr>
      </w:pPr>
    </w:p>
    <w:p w14:paraId="126491C8">
      <w:pPr>
        <w:spacing w:line="360" w:lineRule="auto"/>
        <w:rPr>
          <w:rFonts w:ascii="宋体" w:hAnsi="Times New Roman" w:eastAsia="宋体" w:cs="Times New Roman"/>
          <w:b/>
          <w:color w:val="auto"/>
          <w:sz w:val="24"/>
          <w:szCs w:val="24"/>
          <w:highlight w:val="none"/>
        </w:rPr>
      </w:pPr>
      <w:r>
        <w:rPr>
          <w:rFonts w:hint="eastAsia" w:ascii="宋体" w:hAnsi="宋体" w:eastAsia="宋体" w:cs="Times New Roman"/>
          <w:b/>
          <w:color w:val="auto"/>
          <w:sz w:val="24"/>
          <w:szCs w:val="24"/>
          <w:highlight w:val="none"/>
        </w:rPr>
        <w:t>（</w:t>
      </w:r>
      <w:r>
        <w:rPr>
          <w:rFonts w:hint="eastAsia" w:ascii="宋体" w:hAnsi="宋体" w:cs="Times New Roman"/>
          <w:b/>
          <w:color w:val="auto"/>
          <w:sz w:val="24"/>
          <w:szCs w:val="24"/>
          <w:highlight w:val="none"/>
          <w:lang w:val="en-US" w:eastAsia="zh-CN"/>
        </w:rPr>
        <w:t>注：</w:t>
      </w:r>
      <w:r>
        <w:rPr>
          <w:rFonts w:hint="eastAsia" w:ascii="宋体" w:hAnsi="宋体" w:eastAsia="宋体" w:cs="Times New Roman"/>
          <w:b/>
          <w:color w:val="auto"/>
          <w:sz w:val="24"/>
          <w:szCs w:val="24"/>
          <w:highlight w:val="none"/>
        </w:rPr>
        <w:t>此表须法定代表人</w:t>
      </w:r>
      <w:r>
        <w:rPr>
          <w:rFonts w:hint="eastAsia" w:ascii="宋体" w:hAnsi="宋体" w:eastAsia="宋体" w:cs="Times New Roman"/>
          <w:b/>
          <w:color w:val="auto"/>
          <w:sz w:val="24"/>
          <w:szCs w:val="24"/>
          <w:highlight w:val="none"/>
          <w:lang w:val="en-US" w:eastAsia="zh-CN"/>
        </w:rPr>
        <w:t>签字或盖章，并</w:t>
      </w:r>
      <w:r>
        <w:rPr>
          <w:rFonts w:hint="eastAsia" w:ascii="宋体" w:hAnsi="宋体" w:eastAsia="宋体" w:cs="Times New Roman"/>
          <w:b/>
          <w:color w:val="auto"/>
          <w:sz w:val="24"/>
          <w:szCs w:val="24"/>
          <w:highlight w:val="none"/>
        </w:rPr>
        <w:t>加盖参选人公章）</w:t>
      </w:r>
    </w:p>
    <w:p w14:paraId="741B829E">
      <w:pPr>
        <w:spacing w:line="360" w:lineRule="auto"/>
        <w:ind w:firstLine="3465" w:firstLineChars="1650"/>
        <w:rPr>
          <w:rFonts w:ascii="宋体" w:hAnsi="Times New Roman" w:eastAsia="宋体" w:cs="Times New Roman"/>
          <w:color w:val="auto"/>
          <w:szCs w:val="21"/>
          <w:highlight w:val="none"/>
        </w:rPr>
      </w:pPr>
    </w:p>
    <w:p w14:paraId="16DCA676">
      <w:pPr>
        <w:spacing w:line="360" w:lineRule="auto"/>
        <w:ind w:firstLine="3465" w:firstLineChars="1650"/>
        <w:jc w:val="right"/>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参选人：</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（盖章）</w:t>
      </w:r>
    </w:p>
    <w:p w14:paraId="18F3E66B">
      <w:pPr>
        <w:spacing w:line="360" w:lineRule="auto"/>
        <w:ind w:firstLine="3561" w:firstLineChars="1696"/>
        <w:jc w:val="right"/>
        <w:rPr>
          <w:rFonts w:ascii="宋体" w:hAnsi="Times New Roman" w:eastAsia="宋体" w:cs="Times New Roman"/>
          <w:color w:val="auto"/>
          <w:szCs w:val="21"/>
          <w:highlight w:val="none"/>
        </w:rPr>
      </w:pPr>
    </w:p>
    <w:p w14:paraId="2F78DB47">
      <w:pPr>
        <w:spacing w:line="360" w:lineRule="auto"/>
        <w:ind w:firstLine="3465" w:firstLineChars="1650"/>
        <w:jc w:val="right"/>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法定代表人：</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签字或</w:t>
      </w:r>
      <w:r>
        <w:rPr>
          <w:rFonts w:hint="eastAsia" w:ascii="宋体" w:hAnsi="宋体" w:eastAsia="宋体" w:cs="Times New Roman"/>
          <w:color w:val="auto"/>
          <w:szCs w:val="21"/>
          <w:highlight w:val="none"/>
        </w:rPr>
        <w:t>签章）</w:t>
      </w:r>
    </w:p>
    <w:p w14:paraId="1C88C77D">
      <w:pPr>
        <w:spacing w:line="360" w:lineRule="auto"/>
        <w:ind w:firstLine="3570" w:firstLineChars="1700"/>
        <w:jc w:val="right"/>
        <w:rPr>
          <w:rFonts w:ascii="宋体" w:hAnsi="Times New Roman" w:eastAsia="宋体" w:cs="Times New Roman"/>
          <w:color w:val="auto"/>
          <w:szCs w:val="21"/>
          <w:highlight w:val="none"/>
        </w:rPr>
      </w:pPr>
    </w:p>
    <w:p w14:paraId="0C2BB971">
      <w:pPr>
        <w:spacing w:line="360" w:lineRule="auto"/>
        <w:ind w:firstLine="3570" w:firstLineChars="1700"/>
        <w:jc w:val="right"/>
        <w:rPr>
          <w:rFonts w:ascii="宋体"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日</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期：</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日</w:t>
      </w:r>
    </w:p>
    <w:p w14:paraId="47D74405">
      <w:pPr>
        <w:rPr>
          <w:rFonts w:hint="eastAsia"/>
          <w:color w:val="auto"/>
          <w:highlight w:val="none"/>
        </w:rPr>
      </w:pPr>
      <w:r>
        <w:rPr>
          <w:rFonts w:hint="eastAsia"/>
          <w:color w:val="auto"/>
          <w:highlight w:val="none"/>
        </w:rPr>
        <w:br w:type="page"/>
      </w:r>
    </w:p>
    <w:p w14:paraId="6697F451">
      <w:pPr>
        <w:keepNext/>
        <w:keepLines/>
        <w:widowControl w:val="0"/>
        <w:shd w:val="clear" w:color="auto" w:fill="FFFFFF"/>
        <w:wordWrap w:val="0"/>
        <w:spacing w:line="360" w:lineRule="exact"/>
        <w:jc w:val="center"/>
        <w:outlineLvl w:val="2"/>
        <w:rPr>
          <w:rFonts w:hint="eastAsia" w:ascii="宋体" w:hAnsi="宋体" w:eastAsia="宋体" w:cs="Times New Roman"/>
          <w:b/>
          <w:color w:val="auto"/>
          <w:kern w:val="2"/>
          <w:sz w:val="28"/>
          <w:szCs w:val="28"/>
          <w:highlight w:val="none"/>
          <w:shd w:val="clear" w:color="auto" w:fill="FFFFFF"/>
          <w:lang w:val="en-US" w:eastAsia="zh-CN" w:bidi="ar-SA"/>
        </w:rPr>
      </w:pPr>
      <w:r>
        <w:rPr>
          <w:rFonts w:hint="eastAsia" w:ascii="宋体" w:hAnsi="宋体" w:eastAsia="宋体" w:cs="Times New Roman"/>
          <w:b/>
          <w:color w:val="auto"/>
          <w:kern w:val="2"/>
          <w:sz w:val="28"/>
          <w:szCs w:val="28"/>
          <w:highlight w:val="none"/>
          <w:shd w:val="clear" w:color="auto" w:fill="FFFFFF"/>
          <w:lang w:val="en-US" w:eastAsia="zh-CN" w:bidi="ar-SA"/>
        </w:rPr>
        <w:t>分项报价表</w:t>
      </w:r>
    </w:p>
    <w:p w14:paraId="75F4D5CF">
      <w:pPr>
        <w:keepNext/>
        <w:keepLines/>
        <w:widowControl w:val="0"/>
        <w:shd w:val="clear" w:color="auto" w:fill="FFFFFF"/>
        <w:wordWrap w:val="0"/>
        <w:spacing w:line="360" w:lineRule="exact"/>
        <w:jc w:val="center"/>
        <w:outlineLvl w:val="2"/>
        <w:rPr>
          <w:rFonts w:hint="eastAsia" w:ascii="宋体" w:hAnsi="宋体" w:eastAsia="宋体" w:cs="Times New Roman"/>
          <w:b/>
          <w:color w:val="auto"/>
          <w:kern w:val="2"/>
          <w:sz w:val="21"/>
          <w:highlight w:val="none"/>
          <w:shd w:val="clear" w:color="auto" w:fill="FFFFFF"/>
          <w:lang w:val="en-US" w:eastAsia="zh-CN" w:bidi="ar-SA"/>
        </w:rPr>
      </w:pPr>
    </w:p>
    <w:p w14:paraId="24A6CABD">
      <w:pPr>
        <w:keepNext/>
        <w:keepLines/>
        <w:widowControl w:val="0"/>
        <w:shd w:val="clear" w:color="auto" w:fill="FFFFFF"/>
        <w:wordWrap w:val="0"/>
        <w:spacing w:line="360" w:lineRule="exact"/>
        <w:jc w:val="center"/>
        <w:outlineLvl w:val="2"/>
        <w:rPr>
          <w:rFonts w:hint="eastAsia" w:ascii="宋体" w:hAnsi="宋体" w:eastAsia="宋体" w:cs="Times New Roman"/>
          <w:b/>
          <w:color w:val="auto"/>
          <w:kern w:val="2"/>
          <w:sz w:val="21"/>
          <w:highlight w:val="none"/>
          <w:shd w:val="clear" w:color="auto" w:fill="FFFFFF"/>
          <w:lang w:val="en-US" w:eastAsia="zh-CN" w:bidi="ar-SA"/>
        </w:rPr>
      </w:pPr>
    </w:p>
    <w:p w14:paraId="36393A94">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p w14:paraId="14EC547F">
      <w:pPr>
        <w:keepNext/>
        <w:keepLines/>
        <w:widowControl w:val="0"/>
        <w:shd w:val="clear" w:color="auto" w:fill="FFFFFF"/>
        <w:wordWrap w:val="0"/>
        <w:spacing w:line="360" w:lineRule="exact"/>
        <w:jc w:val="both"/>
        <w:outlineLvl w:val="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项目编号：</w:t>
      </w:r>
    </w:p>
    <w:p w14:paraId="7C88E32E">
      <w:pPr>
        <w:keepNext/>
        <w:keepLines/>
        <w:widowControl w:val="0"/>
        <w:shd w:val="clear" w:color="auto" w:fill="FFFFFF"/>
        <w:wordWrap w:val="0"/>
        <w:spacing w:line="360" w:lineRule="exact"/>
        <w:jc w:val="both"/>
        <w:outlineLvl w:val="2"/>
        <w:rPr>
          <w:rFonts w:hint="eastAsia" w:ascii="宋体" w:hAnsi="宋体" w:eastAsia="宋体" w:cs="Times New Roman"/>
          <w:color w:val="auto"/>
          <w:sz w:val="24"/>
          <w:szCs w:val="24"/>
          <w:highlight w:val="none"/>
          <w:lang w:val="en-US" w:eastAsia="zh-CN"/>
        </w:rPr>
      </w:pPr>
    </w:p>
    <w:tbl>
      <w:tblPr>
        <w:tblStyle w:val="61"/>
        <w:tblW w:w="10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215"/>
        <w:gridCol w:w="2543"/>
        <w:gridCol w:w="525"/>
        <w:gridCol w:w="960"/>
        <w:gridCol w:w="1798"/>
        <w:gridCol w:w="1560"/>
        <w:gridCol w:w="1365"/>
      </w:tblGrid>
      <w:tr w14:paraId="49D1C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blHeader/>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3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序</w:t>
            </w:r>
          </w:p>
          <w:p w14:paraId="5C8985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DF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项目名称</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8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项目特征</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3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2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暂定</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工程量</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A4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不含税综合单价</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2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不含税合价（元）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F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2A96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05649C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1215"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43525A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地基基础工程检测</w:t>
            </w:r>
          </w:p>
        </w:tc>
        <w:tc>
          <w:tcPr>
            <w:tcW w:w="2543" w:type="dxa"/>
            <w:tcBorders>
              <w:top w:val="single" w:color="000000" w:sz="4" w:space="0"/>
              <w:left w:val="single" w:color="000000" w:sz="4" w:space="0"/>
              <w:bottom w:val="single" w:color="000000" w:sz="4" w:space="0"/>
              <w:right w:val="single" w:color="000000" w:sz="4" w:space="0"/>
            </w:tcBorders>
            <w:shd w:val="clear" w:color="auto" w:fill="FCE4D3"/>
            <w:vAlign w:val="center"/>
          </w:tcPr>
          <w:p w14:paraId="438CE20F">
            <w:pPr>
              <w:keepNext w:val="0"/>
              <w:keepLines w:val="0"/>
              <w:suppressLineNumbers w:val="0"/>
              <w:spacing w:before="0" w:beforeAutospacing="0" w:after="0" w:afterAutospacing="0"/>
              <w:ind w:left="0" w:right="0"/>
              <w:jc w:val="both"/>
              <w:rPr>
                <w:rFonts w:hint="eastAsia" w:ascii="宋体" w:hAnsi="宋体" w:eastAsia="宋体" w:cs="宋体"/>
                <w:b/>
                <w:bCs/>
                <w:i w:val="0"/>
                <w:iCs w:val="0"/>
                <w:color w:val="auto"/>
                <w:sz w:val="20"/>
                <w:szCs w:val="20"/>
                <w:highlight w:val="none"/>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51A610F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2C71BFF1">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0"/>
                <w:szCs w:val="20"/>
                <w:highlight w:val="none"/>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31A15245">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438CE467">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0"/>
                <w:szCs w:val="20"/>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CE4D3"/>
            <w:vAlign w:val="center"/>
          </w:tcPr>
          <w:p w14:paraId="29939879">
            <w:pPr>
              <w:keepNext w:val="0"/>
              <w:keepLines w:val="0"/>
              <w:suppressLineNumbers w:val="0"/>
              <w:spacing w:before="0" w:beforeAutospacing="0" w:after="0" w:afterAutospacing="0"/>
              <w:ind w:left="0" w:right="0"/>
              <w:jc w:val="both"/>
              <w:rPr>
                <w:rFonts w:hint="eastAsia" w:ascii="宋体" w:hAnsi="宋体" w:eastAsia="宋体" w:cs="宋体"/>
                <w:b/>
                <w:bCs/>
                <w:i w:val="0"/>
                <w:iCs w:val="0"/>
                <w:color w:val="auto"/>
                <w:sz w:val="20"/>
                <w:szCs w:val="20"/>
                <w:highlight w:val="none"/>
                <w:u w:val="none"/>
              </w:rPr>
            </w:pPr>
          </w:p>
        </w:tc>
      </w:tr>
      <w:tr w14:paraId="0F7C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4B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0C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高应变法</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9E7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1.桩基础类型：钻孔灌注桩；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2.有效桩长：约19米；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3.基桩竖向承载力特征值：1200KN；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4.直径800mm，具体详见图纸。</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A9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77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95E2">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575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7B7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1#栈道25m主跨桥梁桩基础。</w:t>
            </w:r>
          </w:p>
        </w:tc>
      </w:tr>
      <w:tr w14:paraId="472F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F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AD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高应变法</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2BD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1.桩基础类型：钻孔灌注桩；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2.有效桩长：约21米；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3.基桩竖向承载力特征值：1200KN；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4.直径800mm，具体详见图纸。</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B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F0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AF78">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10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6E9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2#栈道25m主跨桥梁桩基础。</w:t>
            </w:r>
          </w:p>
        </w:tc>
      </w:tr>
      <w:tr w14:paraId="1E96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3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C9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高应变法</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D77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1.桩基础类型：钻孔灌注桩（ZH1）；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2.有效桩长：约20米；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3.基桩竖向承载力特征值：2000KN；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4.直径800mm，具体详见图纸。</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7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AE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BCAC">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98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F45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25m桥梁跨两侧的南北栈桥桩基础。</w:t>
            </w:r>
          </w:p>
        </w:tc>
      </w:tr>
      <w:tr w14:paraId="65BA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C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F9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高应变法</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5A2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1.桩基础类型：钻孔灌注桩（ZH2)；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2.有效桩长：约24米；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3.基桩竖向承载力特征值：1300KN；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4.直径800mm，具体详见图纸。</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C6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43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1745">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99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3D9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25m桥梁跨两侧的南北栈桥桩基础。</w:t>
            </w:r>
          </w:p>
        </w:tc>
      </w:tr>
      <w:tr w14:paraId="7134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B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63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超声波检测</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1E2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桩基础类型：钻孔灌注桩，直径800mm，具体详见图纸。</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7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1E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14.00 </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3911">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42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A6D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1.不含声测管埋设；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2.抽检数量不少于50%。</w:t>
            </w:r>
          </w:p>
        </w:tc>
      </w:tr>
      <w:tr w14:paraId="5EC32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5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4C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低应变法</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BA0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桩基础类型：钻孔灌注桩，直径800mm，具体详见图纸。</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AC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D0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14.00 </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E08F">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48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ABA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超声波检测以外的桩基采用小应变检测桩身完整性。</w:t>
            </w:r>
          </w:p>
        </w:tc>
      </w:tr>
      <w:tr w14:paraId="7429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1A99C0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二</w:t>
            </w:r>
          </w:p>
        </w:tc>
        <w:tc>
          <w:tcPr>
            <w:tcW w:w="1215"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44B920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建设工程质量检测</w:t>
            </w:r>
          </w:p>
        </w:tc>
        <w:tc>
          <w:tcPr>
            <w:tcW w:w="2543" w:type="dxa"/>
            <w:tcBorders>
              <w:top w:val="single" w:color="000000" w:sz="4" w:space="0"/>
              <w:left w:val="single" w:color="000000" w:sz="4" w:space="0"/>
              <w:bottom w:val="single" w:color="000000" w:sz="4" w:space="0"/>
              <w:right w:val="single" w:color="000000" w:sz="4" w:space="0"/>
            </w:tcBorders>
            <w:shd w:val="clear" w:color="auto" w:fill="FCE4D3"/>
            <w:vAlign w:val="center"/>
          </w:tcPr>
          <w:p w14:paraId="005AB528">
            <w:pPr>
              <w:keepNext w:val="0"/>
              <w:keepLines w:val="0"/>
              <w:suppressLineNumbers w:val="0"/>
              <w:spacing w:before="0" w:beforeAutospacing="0" w:after="0" w:afterAutospacing="0"/>
              <w:ind w:left="0" w:right="0"/>
              <w:jc w:val="both"/>
              <w:rPr>
                <w:rFonts w:hint="eastAsia" w:ascii="宋体" w:hAnsi="宋体" w:eastAsia="宋体" w:cs="宋体"/>
                <w:b/>
                <w:bCs/>
                <w:i w:val="0"/>
                <w:iCs w:val="0"/>
                <w:color w:val="auto"/>
                <w:sz w:val="20"/>
                <w:szCs w:val="20"/>
                <w:highlight w:val="none"/>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01265DA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41E59EBD">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0"/>
                <w:szCs w:val="20"/>
                <w:highlight w:val="none"/>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2FC95119">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2588F9C8">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0"/>
                <w:szCs w:val="20"/>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CE4D3"/>
            <w:vAlign w:val="center"/>
          </w:tcPr>
          <w:p w14:paraId="05908DB3">
            <w:pPr>
              <w:keepNext w:val="0"/>
              <w:keepLines w:val="0"/>
              <w:suppressLineNumbers w:val="0"/>
              <w:spacing w:before="0" w:beforeAutospacing="0" w:after="0" w:afterAutospacing="0"/>
              <w:ind w:left="0" w:right="0"/>
              <w:jc w:val="both"/>
              <w:rPr>
                <w:rFonts w:hint="eastAsia" w:ascii="宋体" w:hAnsi="宋体" w:eastAsia="宋体" w:cs="宋体"/>
                <w:b/>
                <w:bCs/>
                <w:i w:val="0"/>
                <w:iCs w:val="0"/>
                <w:color w:val="auto"/>
                <w:sz w:val="20"/>
                <w:szCs w:val="20"/>
                <w:highlight w:val="none"/>
                <w:u w:val="none"/>
              </w:rPr>
            </w:pPr>
          </w:p>
        </w:tc>
      </w:tr>
      <w:tr w14:paraId="7287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C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1E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建筑材料及构配件</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7A2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包括但不限于：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（1）检测项目：水泥、钢筋（含焊接与机械连接）、骨料和集料（砂、石等）、混凝土（含试块）及拌合用水、瓷砖及石材等；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（2）检测参数：须符合图纸、有关规范和标准、当地行政主管部门、竣工验收等各方面要求；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（3）其他：包含图纸、规范、技术标准及验收要求的其他必要的检测。</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5E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F6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B917">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D0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38E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投标人须详阅招标文件、图纸，并结合相关规范及政府部门的强制要求综合考虑后审慎报价，合同执行过程中价格不予调整。</w:t>
            </w:r>
          </w:p>
        </w:tc>
      </w:tr>
      <w:tr w14:paraId="40AB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B0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D9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主体结构及装饰装修</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A7C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包括但不限于：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（1）检测项目：混凝土结构构件强度、砌体结构构件强度、钢筋及保护层厚度、装饰装修工程等；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（2）检测参数：须符合图纸、有关规范和标准、当地行政主管部门、竣工验收等各方面要求；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（3）其他：包含图纸、规范、技术标准及验收要求的其他必要的检测。</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1E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78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67F6">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CA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A1F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投标人须详阅招标文件、图纸，并结合相关规范及政府部门的强制要求综合考虑后审慎报价，合同执行过程中价格不予调整。</w:t>
            </w:r>
          </w:p>
        </w:tc>
      </w:tr>
      <w:tr w14:paraId="4702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14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CD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市政工程材料</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085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包括但不限于：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（1）检测项目：土和无机结合稳定材料、路面砖及路缘石等；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（2）检测参数：须符合图纸、有关规范和标准、当地行政主管部门、竣工验收等各方面要求；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（3）其他：包含图纸、规范、技术标准及验收要求的其他必要的检测。</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7B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D5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35DC">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1B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4F1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投标人须详阅招标文件、图纸，并结合相关规范及政府部门的强制要求综合考虑后审慎报价，合同执行过程中价格不予调整。</w:t>
            </w:r>
          </w:p>
        </w:tc>
      </w:tr>
      <w:tr w14:paraId="11688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C7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B5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钢结构</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3C7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包括但不限于：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（1）检测项目：钢材及焊接材料、焊缝、钢结构防腐与防火涂装、高强度螺栓及普通紧固件等；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（2）检测参数：须符合图纸、有关规范和标准、当地行政主管部门、竣工验收等各方面要求；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（3）其他：包含图纸、规范、技术标准及验收要求的其他必要的检测。</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C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7B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558F">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034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0F5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投标人须详阅招标文件、图纸，并结合相关规范及政府部门的强制要求综合考虑后审慎报价，合同执行过程中价格不予调整。</w:t>
            </w:r>
          </w:p>
        </w:tc>
      </w:tr>
      <w:tr w14:paraId="448BF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6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5F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防雷检测</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8FC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包括但不限于：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（1）检测项目：接地电阻、各类金属构件接地、电气设备等电接地，具体检测要求详见图纸及相关规范，检测成果应满足行业主管部门验收强制性要求；须参加发包人组织的质量检查；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（2）检测参数：须符合图纸、有关规范和标准、当地行政主管部门、竣工验收等各方面要求；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（3）其他：包含图纸、规范、技术标准及验收要求的其他必要的检测。</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7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22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AC64">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E2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F5E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投标人须详阅招标文件、图纸，并结合相关规范及政府部门的强制要求综合考虑后审慎报价，合同执行过程中价格不予调整。</w:t>
            </w:r>
          </w:p>
        </w:tc>
      </w:tr>
      <w:tr w14:paraId="0465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78DD0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三</w:t>
            </w:r>
          </w:p>
        </w:tc>
        <w:tc>
          <w:tcPr>
            <w:tcW w:w="1215"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0395C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税金及</w:t>
            </w:r>
          </w:p>
          <w:p w14:paraId="3651F0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税率</w:t>
            </w:r>
          </w:p>
        </w:tc>
        <w:tc>
          <w:tcPr>
            <w:tcW w:w="2543" w:type="dxa"/>
            <w:tcBorders>
              <w:top w:val="single" w:color="000000" w:sz="4" w:space="0"/>
              <w:left w:val="single" w:color="000000" w:sz="4" w:space="0"/>
              <w:bottom w:val="single" w:color="000000" w:sz="4" w:space="0"/>
              <w:right w:val="single" w:color="000000" w:sz="4" w:space="0"/>
            </w:tcBorders>
            <w:shd w:val="clear" w:color="auto" w:fill="FCE4D3"/>
            <w:vAlign w:val="center"/>
          </w:tcPr>
          <w:p w14:paraId="41B140F7">
            <w:pPr>
              <w:keepNext w:val="0"/>
              <w:keepLines w:val="0"/>
              <w:suppressLineNumbers w:val="0"/>
              <w:spacing w:before="0" w:beforeAutospacing="0" w:after="0" w:afterAutospacing="0"/>
              <w:ind w:left="0" w:right="0"/>
              <w:jc w:val="both"/>
              <w:rPr>
                <w:rFonts w:hint="eastAsia" w:ascii="宋体" w:hAnsi="宋体" w:eastAsia="宋体" w:cs="宋体"/>
                <w:b/>
                <w:bCs/>
                <w:i w:val="0"/>
                <w:iCs w:val="0"/>
                <w:color w:val="auto"/>
                <w:sz w:val="20"/>
                <w:szCs w:val="20"/>
                <w:highlight w:val="none"/>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3BC2224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1A63CF5E">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0"/>
                <w:szCs w:val="20"/>
                <w:highlight w:val="none"/>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2ABA962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6.00%</w:t>
            </w:r>
          </w:p>
        </w:tc>
        <w:tc>
          <w:tcPr>
            <w:tcW w:w="1560"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14:paraId="13D742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0"/>
                <w:szCs w:val="20"/>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CE4D3"/>
            <w:vAlign w:val="center"/>
          </w:tcPr>
          <w:p w14:paraId="083160BC">
            <w:pPr>
              <w:keepNext w:val="0"/>
              <w:keepLines w:val="0"/>
              <w:suppressLineNumbers w:val="0"/>
              <w:spacing w:before="0" w:beforeAutospacing="0" w:after="0" w:afterAutospacing="0"/>
              <w:ind w:left="0" w:right="0"/>
              <w:jc w:val="both"/>
              <w:rPr>
                <w:rFonts w:hint="eastAsia" w:ascii="宋体" w:hAnsi="宋体" w:eastAsia="宋体" w:cs="宋体"/>
                <w:b/>
                <w:bCs/>
                <w:i w:val="0"/>
                <w:iCs w:val="0"/>
                <w:color w:val="auto"/>
                <w:sz w:val="20"/>
                <w:szCs w:val="20"/>
                <w:highlight w:val="none"/>
                <w:u w:val="none"/>
              </w:rPr>
            </w:pPr>
          </w:p>
        </w:tc>
      </w:tr>
      <w:tr w14:paraId="69FA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B72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49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含税合价</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399F">
            <w:pPr>
              <w:keepNext w:val="0"/>
              <w:keepLines w:val="0"/>
              <w:suppressLineNumbers w:val="0"/>
              <w:spacing w:before="0" w:beforeAutospacing="0" w:after="0" w:afterAutospacing="0"/>
              <w:ind w:left="0" w:right="0"/>
              <w:rPr>
                <w:rFonts w:hint="eastAsia" w:ascii="宋体" w:hAnsi="宋体" w:eastAsia="宋体" w:cs="宋体"/>
                <w:b/>
                <w:bCs/>
                <w:i w:val="0"/>
                <w:iCs w:val="0"/>
                <w:color w:val="auto"/>
                <w:sz w:val="20"/>
                <w:szCs w:val="20"/>
                <w:highlight w:val="none"/>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D4C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DC1D">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0"/>
                <w:szCs w:val="20"/>
                <w:highlight w:val="none"/>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F7C9">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EB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0"/>
                <w:szCs w:val="20"/>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2D95">
            <w:pPr>
              <w:keepNext w:val="0"/>
              <w:keepLines w:val="0"/>
              <w:suppressLineNumbers w:val="0"/>
              <w:spacing w:before="0" w:beforeAutospacing="0" w:after="0" w:afterAutospacing="0"/>
              <w:ind w:left="0" w:right="0"/>
              <w:rPr>
                <w:rFonts w:hint="eastAsia" w:ascii="宋体" w:hAnsi="宋体" w:eastAsia="宋体" w:cs="宋体"/>
                <w:b/>
                <w:bCs/>
                <w:i w:val="0"/>
                <w:iCs w:val="0"/>
                <w:color w:val="auto"/>
                <w:sz w:val="20"/>
                <w:szCs w:val="20"/>
                <w:highlight w:val="none"/>
                <w:u w:val="none"/>
              </w:rPr>
            </w:pPr>
          </w:p>
        </w:tc>
      </w:tr>
    </w:tbl>
    <w:p w14:paraId="0BCDA073">
      <w:pPr>
        <w:keepNext w:val="0"/>
        <w:keepLines w:val="0"/>
        <w:pageBreakBefore w:val="0"/>
        <w:widowControl w:val="0"/>
        <w:numPr>
          <w:ilvl w:val="0"/>
          <w:numId w:val="41"/>
        </w:numPr>
        <w:kinsoku/>
        <w:wordWrap/>
        <w:overflowPunct/>
        <w:topLinePunct w:val="0"/>
        <w:autoSpaceDE/>
        <w:autoSpaceDN/>
        <w:bidi w:val="0"/>
        <w:adjustRightInd w:val="0"/>
        <w:snapToGrid w:val="0"/>
        <w:spacing w:line="360" w:lineRule="auto"/>
        <w:ind w:left="0" w:firstLine="400" w:firstLineChars="200"/>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实际检测方法、要求、内容和数量要满足图纸及相关规范的要求。</w:t>
      </w:r>
    </w:p>
    <w:p w14:paraId="04D562F6">
      <w:pPr>
        <w:keepNext w:val="0"/>
        <w:keepLines w:val="0"/>
        <w:pageBreakBefore w:val="0"/>
        <w:widowControl w:val="0"/>
        <w:numPr>
          <w:ilvl w:val="0"/>
          <w:numId w:val="41"/>
        </w:numPr>
        <w:kinsoku/>
        <w:wordWrap/>
        <w:overflowPunct/>
        <w:topLinePunct w:val="0"/>
        <w:autoSpaceDE/>
        <w:autoSpaceDN/>
        <w:bidi w:val="0"/>
        <w:adjustRightInd w:val="0"/>
        <w:snapToGrid w:val="0"/>
        <w:spacing w:line="360" w:lineRule="auto"/>
        <w:ind w:left="0" w:firstLine="400" w:firstLineChars="200"/>
        <w:textAlignment w:val="auto"/>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报价须包含设备进退场费。投标人须提前自行认真勘察现场，做好施工组织预案等；投标人须组织专业技术人员做好对工程量清单复核工作，结合施工现场认真仔细查看图纸和工程量并合理报价；投标人对工程量清单及最高投标限价有任何疑问，应于招标文件规定的疑问提交截止日前提出，因事先不勘察现场、不进行工程量清单复算、复核工作等原因造成的所有一切损失、均由投标人自行承担。对于发包人提供的工程量清单和最高投标限价中工程量、单位、单价等错误，投标人未在招标文件规定的异议截止日期前提出异议并附计算书的，工程结算时不再调整。</w:t>
      </w:r>
    </w:p>
    <w:p w14:paraId="7CD98AE7">
      <w:pPr>
        <w:keepNext w:val="0"/>
        <w:keepLines w:val="0"/>
        <w:pageBreakBefore w:val="0"/>
        <w:widowControl w:val="0"/>
        <w:numPr>
          <w:ilvl w:val="0"/>
          <w:numId w:val="41"/>
        </w:numPr>
        <w:kinsoku/>
        <w:wordWrap/>
        <w:overflowPunct/>
        <w:topLinePunct w:val="0"/>
        <w:autoSpaceDE/>
        <w:autoSpaceDN/>
        <w:bidi w:val="0"/>
        <w:adjustRightInd w:val="0"/>
        <w:snapToGrid w:val="0"/>
        <w:spacing w:line="360" w:lineRule="auto"/>
        <w:ind w:left="0" w:firstLine="400" w:firstLineChars="200"/>
        <w:textAlignment w:val="auto"/>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付款条件：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（1）进度款：每季度按实际已完成价款的60%支付，成交人须不晚于每季度最后一月25号前向采购人报送请款书，采购人组织相关单位完成审核后，20个工作日内完成支付；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（2）完工款：本项目取得竣工联合验收意见书后，成交人可向采购人报送请款书，采购人组织相关单位完成审核后，20个工作日内支付至相应实际已完成价款的80%；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（3）结算款：竣工结算审核完成，成交人提交符合要求的全部检测报告后可向采购人报送请款书，采购人组织相关单位完成审核后，20个工作日内付至结算价款的97%，质保期（两年）满后一次性付清余款；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（4）其他要求：采购人每次付款前，成交人须提供相应的符合要求的检测报告，同时提供真实、有效的增值税专用发票（按支付金额开具含税发票）。</w:t>
      </w:r>
    </w:p>
    <w:p w14:paraId="1388D86B">
      <w:pPr>
        <w:keepNext w:val="0"/>
        <w:keepLines w:val="0"/>
        <w:pageBreakBefore w:val="0"/>
        <w:widowControl w:val="0"/>
        <w:numPr>
          <w:ilvl w:val="0"/>
          <w:numId w:val="41"/>
        </w:numPr>
        <w:kinsoku/>
        <w:wordWrap/>
        <w:overflowPunct/>
        <w:topLinePunct w:val="0"/>
        <w:autoSpaceDE/>
        <w:autoSpaceDN/>
        <w:bidi w:val="0"/>
        <w:adjustRightInd w:val="0"/>
        <w:snapToGrid w:val="0"/>
        <w:spacing w:line="360" w:lineRule="auto"/>
        <w:ind w:left="0" w:firstLine="400" w:firstLineChars="200"/>
        <w:textAlignment w:val="auto"/>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履约保证金为中标金额的2%。</w:t>
      </w:r>
    </w:p>
    <w:p w14:paraId="2267885D">
      <w:pPr>
        <w:keepNext w:val="0"/>
        <w:keepLines w:val="0"/>
        <w:pageBreakBefore w:val="0"/>
        <w:widowControl w:val="0"/>
        <w:numPr>
          <w:ilvl w:val="0"/>
          <w:numId w:val="41"/>
        </w:numPr>
        <w:kinsoku/>
        <w:wordWrap/>
        <w:overflowPunct/>
        <w:topLinePunct w:val="0"/>
        <w:autoSpaceDE/>
        <w:autoSpaceDN/>
        <w:bidi w:val="0"/>
        <w:adjustRightInd w:val="0"/>
        <w:snapToGrid w:val="0"/>
        <w:spacing w:line="360" w:lineRule="auto"/>
        <w:ind w:left="0" w:firstLine="400" w:firstLineChars="200"/>
        <w:textAlignment w:val="auto"/>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建设工程质量检测说明：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检测数量及频率按照国家相关规范的规定计取并满足委托人要求，如建设主管部门有相关特殊要求，按其规定执行；施工过程中，委托人有权对工程质量有怀疑的部位增加检测频率；其他内容具体详见相关规范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该项目检测范围及内容包括但不限于以上内容，具体检测要求详见图纸及相关规范，检测报告应满足行业主管部门验收强制性要求；项目直至竣工验收所有必需的建筑工程质量检测均包含在本合同范围，如涉及直接影响工程建设主体结构质量的原材料、成品、半成品验收检测；种植土检测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检测专项、检测项目、检测参数等具体释义及内容参考中华人民共和国住房和城乡建设部2023年3月31日下发的“住房和城乡建设部关于印发《建设工程质量检测机构资质标准》的通知”（如有更新按最新版文件执行）及检测要求等文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（4）检测单位需派专人（取样员）配拉样品车，到工地现场取样，不得要求施工人员去实验室送样。</w:t>
      </w:r>
    </w:p>
    <w:p w14:paraId="54DB4041">
      <w:pPr>
        <w:keepNext w:val="0"/>
        <w:keepLines w:val="0"/>
        <w:pageBreakBefore w:val="0"/>
        <w:widowControl w:val="0"/>
        <w:numPr>
          <w:ilvl w:val="0"/>
          <w:numId w:val="41"/>
        </w:numPr>
        <w:kinsoku/>
        <w:wordWrap/>
        <w:overflowPunct/>
        <w:topLinePunct w:val="0"/>
        <w:autoSpaceDE/>
        <w:autoSpaceDN/>
        <w:bidi w:val="0"/>
        <w:adjustRightInd w:val="0"/>
        <w:snapToGrid w:val="0"/>
        <w:spacing w:line="360" w:lineRule="auto"/>
        <w:ind w:left="0" w:firstLine="400" w:firstLineChars="200"/>
        <w:textAlignment w:val="auto"/>
        <w:rPr>
          <w:rFonts w:hint="eastAsia" w:ascii="宋体" w:hAnsi="宋体" w:eastAsia="宋体" w:cs="Times New Roman"/>
          <w:b/>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本项目实行固定总价合同，合同总价已包括了为实施和完成合同工程所需的劳务、材料、机械、临时工程、税金、保险、利润、检测机构人员服务费、辅助人员费、设施设备费、一般办公费、特殊办公费、检测费、交通费、通讯费、管理费、考核费、招标代理服务费、人员及设备保险费等为完成检测服务的全部费用以及合同的所有责任、义务和一般风险，乙方（成交人）自行踏勘现场，特别是需考虑检测过程中的工期、安全管理的特殊性等因素。</w:t>
      </w:r>
    </w:p>
    <w:p w14:paraId="4AE2924B">
      <w:pPr>
        <w:keepNext w:val="0"/>
        <w:keepLines w:val="0"/>
        <w:pageBreakBefore w:val="0"/>
        <w:widowControl w:val="0"/>
        <w:numPr>
          <w:ilvl w:val="0"/>
          <w:numId w:val="41"/>
        </w:numPr>
        <w:kinsoku/>
        <w:wordWrap/>
        <w:overflowPunct/>
        <w:topLinePunct w:val="0"/>
        <w:autoSpaceDE/>
        <w:autoSpaceDN/>
        <w:bidi w:val="0"/>
        <w:adjustRightInd w:val="0"/>
        <w:snapToGrid w:val="0"/>
        <w:spacing w:line="360" w:lineRule="auto"/>
        <w:ind w:left="0" w:firstLine="400" w:firstLineChars="200"/>
        <w:textAlignment w:val="auto"/>
        <w:rPr>
          <w:rFonts w:hint="eastAsia" w:ascii="宋体" w:hAnsi="宋体" w:eastAsia="宋体" w:cs="Times New Roman"/>
          <w:b/>
          <w:color w:val="auto"/>
          <w:sz w:val="24"/>
          <w:szCs w:val="24"/>
          <w:highlight w:val="none"/>
        </w:rPr>
      </w:pPr>
      <w:r>
        <w:rPr>
          <w:rFonts w:hint="eastAsia" w:ascii="宋体" w:hAnsi="宋体" w:eastAsia="宋体" w:cs="宋体"/>
          <w:i w:val="0"/>
          <w:iCs w:val="0"/>
          <w:color w:val="auto"/>
          <w:kern w:val="0"/>
          <w:sz w:val="20"/>
          <w:szCs w:val="20"/>
          <w:highlight w:val="none"/>
          <w:u w:val="none"/>
          <w:lang w:val="en-US" w:eastAsia="zh-CN" w:bidi="ar"/>
        </w:rPr>
        <w:t>清单内有列明但实际未检测的项目结算时不计价。</w:t>
      </w:r>
    </w:p>
    <w:p w14:paraId="5142A04B">
      <w:pPr>
        <w:spacing w:line="360" w:lineRule="auto"/>
        <w:rPr>
          <w:rFonts w:ascii="宋体" w:hAnsi="Times New Roman" w:eastAsia="宋体" w:cs="Times New Roman"/>
          <w:b/>
          <w:color w:val="auto"/>
          <w:sz w:val="24"/>
          <w:szCs w:val="24"/>
          <w:highlight w:val="none"/>
        </w:rPr>
      </w:pPr>
      <w:r>
        <w:rPr>
          <w:rFonts w:hint="eastAsia" w:ascii="宋体" w:hAnsi="宋体" w:eastAsia="宋体" w:cs="Times New Roman"/>
          <w:b/>
          <w:color w:val="auto"/>
          <w:sz w:val="24"/>
          <w:szCs w:val="24"/>
          <w:highlight w:val="none"/>
        </w:rPr>
        <w:t>（</w:t>
      </w:r>
      <w:r>
        <w:rPr>
          <w:rFonts w:hint="eastAsia" w:ascii="宋体" w:hAnsi="宋体" w:cs="Times New Roman"/>
          <w:b/>
          <w:color w:val="auto"/>
          <w:sz w:val="24"/>
          <w:szCs w:val="24"/>
          <w:highlight w:val="none"/>
          <w:lang w:val="en-US" w:eastAsia="zh-CN"/>
        </w:rPr>
        <w:t>注：</w:t>
      </w:r>
      <w:r>
        <w:rPr>
          <w:rFonts w:hint="eastAsia" w:ascii="宋体" w:hAnsi="宋体" w:eastAsia="宋体" w:cs="Times New Roman"/>
          <w:b/>
          <w:color w:val="auto"/>
          <w:sz w:val="24"/>
          <w:szCs w:val="24"/>
          <w:highlight w:val="none"/>
        </w:rPr>
        <w:t>此表须法定代表人</w:t>
      </w:r>
      <w:r>
        <w:rPr>
          <w:rFonts w:hint="eastAsia" w:ascii="宋体" w:hAnsi="宋体" w:eastAsia="宋体" w:cs="Times New Roman"/>
          <w:b/>
          <w:color w:val="auto"/>
          <w:sz w:val="24"/>
          <w:szCs w:val="24"/>
          <w:highlight w:val="none"/>
          <w:lang w:val="en-US" w:eastAsia="zh-CN"/>
        </w:rPr>
        <w:t>签字或盖章，并</w:t>
      </w:r>
      <w:r>
        <w:rPr>
          <w:rFonts w:hint="eastAsia" w:ascii="宋体" w:hAnsi="宋体" w:eastAsia="宋体" w:cs="Times New Roman"/>
          <w:b/>
          <w:color w:val="auto"/>
          <w:sz w:val="24"/>
          <w:szCs w:val="24"/>
          <w:highlight w:val="none"/>
        </w:rPr>
        <w:t>加盖参选人公章）</w:t>
      </w:r>
    </w:p>
    <w:p w14:paraId="799C093A">
      <w:pPr>
        <w:rPr>
          <w:rFonts w:hint="eastAsia"/>
          <w:color w:val="auto"/>
          <w:highlight w:val="none"/>
        </w:rPr>
      </w:pPr>
    </w:p>
    <w:p w14:paraId="2C6EB933">
      <w:pPr>
        <w:spacing w:line="360" w:lineRule="auto"/>
        <w:ind w:firstLine="3465" w:firstLineChars="1650"/>
        <w:jc w:val="right"/>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参选人：</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（盖章）</w:t>
      </w:r>
    </w:p>
    <w:p w14:paraId="122CA1F5">
      <w:pPr>
        <w:spacing w:line="360" w:lineRule="auto"/>
        <w:ind w:firstLine="3561" w:firstLineChars="1696"/>
        <w:jc w:val="right"/>
        <w:rPr>
          <w:rFonts w:ascii="宋体" w:hAnsi="Times New Roman" w:eastAsia="宋体" w:cs="Times New Roman"/>
          <w:color w:val="auto"/>
          <w:szCs w:val="21"/>
          <w:highlight w:val="none"/>
        </w:rPr>
      </w:pPr>
    </w:p>
    <w:p w14:paraId="023AC79B">
      <w:pPr>
        <w:spacing w:line="360" w:lineRule="auto"/>
        <w:ind w:firstLine="3465" w:firstLineChars="1650"/>
        <w:jc w:val="right"/>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法定代表人：</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签字或</w:t>
      </w:r>
      <w:r>
        <w:rPr>
          <w:rFonts w:hint="eastAsia" w:ascii="宋体" w:hAnsi="宋体" w:eastAsia="宋体" w:cs="Times New Roman"/>
          <w:color w:val="auto"/>
          <w:szCs w:val="21"/>
          <w:highlight w:val="none"/>
        </w:rPr>
        <w:t>签章）</w:t>
      </w:r>
    </w:p>
    <w:p w14:paraId="579D9548">
      <w:pPr>
        <w:spacing w:line="360" w:lineRule="auto"/>
        <w:ind w:firstLine="3570" w:firstLineChars="1700"/>
        <w:jc w:val="right"/>
        <w:rPr>
          <w:rFonts w:ascii="宋体" w:hAnsi="Times New Roman" w:eastAsia="宋体" w:cs="Times New Roman"/>
          <w:color w:val="auto"/>
          <w:szCs w:val="21"/>
          <w:highlight w:val="none"/>
        </w:rPr>
      </w:pPr>
    </w:p>
    <w:p w14:paraId="01337C65">
      <w:pPr>
        <w:spacing w:line="360" w:lineRule="auto"/>
        <w:ind w:firstLine="3570" w:firstLineChars="1700"/>
        <w:jc w:val="right"/>
        <w:rPr>
          <w:rFonts w:ascii="宋体"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日</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期：</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日</w:t>
      </w:r>
    </w:p>
    <w:p w14:paraId="5B41B8BE">
      <w:pPr>
        <w:rPr>
          <w:rFonts w:hint="eastAsia"/>
          <w:color w:val="auto"/>
          <w:highlight w:val="none"/>
        </w:rPr>
      </w:pPr>
    </w:p>
    <w:p w14:paraId="42D401EF">
      <w:pPr>
        <w:rPr>
          <w:rFonts w:hint="eastAsia"/>
          <w:color w:val="auto"/>
          <w:sz w:val="28"/>
          <w:szCs w:val="28"/>
          <w:highlight w:val="none"/>
        </w:rPr>
      </w:pPr>
      <w:r>
        <w:rPr>
          <w:rFonts w:hint="eastAsia"/>
          <w:color w:val="auto"/>
          <w:highlight w:val="none"/>
        </w:rPr>
        <w:br w:type="page"/>
      </w:r>
    </w:p>
    <w:bookmarkEnd w:id="160"/>
    <w:bookmarkEnd w:id="161"/>
    <w:p w14:paraId="3DDF4AE4">
      <w:pPr>
        <w:pStyle w:val="9"/>
        <w:shd w:val="clear"/>
        <w:jc w:val="center"/>
        <w:rPr>
          <w:rFonts w:hAnsi="宋体" w:cs="宋体"/>
          <w:color w:val="auto"/>
          <w:highlight w:val="none"/>
          <w:bdr w:val="single" w:color="auto" w:sz="4" w:space="0"/>
        </w:rPr>
      </w:pPr>
      <w:bookmarkStart w:id="162" w:name="_Toc2920"/>
      <w:bookmarkStart w:id="163" w:name="_Toc8668"/>
      <w:bookmarkStart w:id="164" w:name="_Toc54939205"/>
      <w:r>
        <w:rPr>
          <w:rFonts w:hint="eastAsia" w:hAnsi="宋体" w:cs="宋体"/>
          <w:color w:val="auto"/>
          <w:highlight w:val="none"/>
        </w:rPr>
        <w:t>四、</w:t>
      </w:r>
      <w:bookmarkEnd w:id="162"/>
      <w:r>
        <w:rPr>
          <w:rFonts w:hint="eastAsia" w:hAnsi="宋体" w:cs="宋体"/>
          <w:color w:val="auto"/>
          <w:highlight w:val="none"/>
        </w:rPr>
        <w:t>服务方案</w:t>
      </w:r>
      <w:bookmarkEnd w:id="163"/>
      <w:bookmarkEnd w:id="164"/>
    </w:p>
    <w:p w14:paraId="466A7A20">
      <w:pPr>
        <w:shd w:val="clear"/>
        <w:spacing w:line="360" w:lineRule="auto"/>
        <w:ind w:firstLine="420" w:firstLineChars="200"/>
        <w:rPr>
          <w:rFonts w:ascii="宋体" w:hAnsi="宋体" w:cs="宋体"/>
          <w:color w:val="auto"/>
          <w:szCs w:val="21"/>
          <w:highlight w:val="none"/>
        </w:rPr>
      </w:pPr>
    </w:p>
    <w:p w14:paraId="472719C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参选人</w:t>
      </w:r>
      <w:r>
        <w:rPr>
          <w:rFonts w:hint="eastAsia" w:ascii="宋体" w:hAnsi="宋体" w:cs="宋体"/>
          <w:color w:val="auto"/>
          <w:szCs w:val="21"/>
          <w:highlight w:val="none"/>
        </w:rPr>
        <w:t>依据第三章“服务需求及技术要求”自行提供。</w:t>
      </w:r>
    </w:p>
    <w:p w14:paraId="2BAB26F6">
      <w:pPr>
        <w:rPr>
          <w:rFonts w:ascii="宋体" w:hAnsi="宋体" w:cs="宋体"/>
          <w:color w:val="auto"/>
          <w:szCs w:val="21"/>
          <w:highlight w:val="none"/>
        </w:rPr>
      </w:pPr>
      <w:r>
        <w:rPr>
          <w:rFonts w:ascii="宋体" w:hAnsi="宋体" w:cs="宋体"/>
          <w:color w:val="auto"/>
          <w:szCs w:val="21"/>
          <w:highlight w:val="none"/>
        </w:rPr>
        <w:br w:type="page"/>
      </w:r>
    </w:p>
    <w:p w14:paraId="2726AD2C">
      <w:pPr>
        <w:pStyle w:val="9"/>
        <w:shd w:val="clear"/>
        <w:jc w:val="center"/>
        <w:rPr>
          <w:rFonts w:hAnsi="宋体" w:cs="宋体"/>
          <w:color w:val="auto"/>
          <w:highlight w:val="none"/>
        </w:rPr>
      </w:pPr>
      <w:bookmarkStart w:id="165" w:name="_Toc54939206"/>
      <w:bookmarkStart w:id="166" w:name="_Toc25547"/>
      <w:r>
        <w:rPr>
          <w:rFonts w:hint="eastAsia" w:hAnsi="宋体" w:cs="宋体"/>
          <w:color w:val="auto"/>
          <w:highlight w:val="none"/>
        </w:rPr>
        <w:t>五、诚信</w:t>
      </w:r>
      <w:r>
        <w:rPr>
          <w:rFonts w:hint="eastAsia" w:hAnsi="宋体" w:cs="宋体"/>
          <w:color w:val="auto"/>
          <w:highlight w:val="none"/>
          <w:lang w:val="en-US" w:eastAsia="zh-CN"/>
        </w:rPr>
        <w:t>参选</w:t>
      </w:r>
      <w:r>
        <w:rPr>
          <w:rFonts w:hint="eastAsia" w:hAnsi="宋体" w:cs="宋体"/>
          <w:color w:val="auto"/>
          <w:highlight w:val="none"/>
        </w:rPr>
        <w:t>承诺书</w:t>
      </w:r>
      <w:bookmarkEnd w:id="165"/>
      <w:bookmarkEnd w:id="166"/>
    </w:p>
    <w:p w14:paraId="0770328F">
      <w:pPr>
        <w:shd w:val="clear"/>
        <w:rPr>
          <w:rFonts w:ascii="宋体" w:hAnsi="宋体" w:cs="宋体"/>
          <w:b/>
          <w:bCs/>
          <w:color w:val="auto"/>
          <w:sz w:val="24"/>
          <w:highlight w:val="none"/>
        </w:rPr>
      </w:pPr>
    </w:p>
    <w:p w14:paraId="66DBC88B">
      <w:pPr>
        <w:shd w:val="clea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本人以企业法定代表人的身份郑重承诺：</w:t>
      </w:r>
    </w:p>
    <w:p w14:paraId="24DA2684">
      <w:pPr>
        <w:shd w:val="clea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一、将遵循公开、公正和诚实信用的原则自愿参加</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项目的</w:t>
      </w:r>
      <w:r>
        <w:rPr>
          <w:rFonts w:hint="eastAsia" w:ascii="宋体" w:hAnsi="宋体" w:cs="宋体"/>
          <w:b/>
          <w:bCs/>
          <w:color w:val="auto"/>
          <w:szCs w:val="21"/>
          <w:highlight w:val="none"/>
          <w:lang w:eastAsia="zh-CN"/>
        </w:rPr>
        <w:t>比选</w:t>
      </w:r>
      <w:r>
        <w:rPr>
          <w:rFonts w:hint="eastAsia" w:ascii="宋体" w:hAnsi="宋体" w:cs="宋体"/>
          <w:b/>
          <w:bCs/>
          <w:color w:val="auto"/>
          <w:szCs w:val="21"/>
          <w:highlight w:val="none"/>
        </w:rPr>
        <w:t>活动；</w:t>
      </w:r>
    </w:p>
    <w:p w14:paraId="2AB459A4">
      <w:pPr>
        <w:shd w:val="clea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二、所提供的一切材料都是真实、有效、合法的；  </w:t>
      </w:r>
    </w:p>
    <w:p w14:paraId="76176A47">
      <w:pPr>
        <w:shd w:val="clea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三、不出借、转让资质证书，不让他人挂靠</w:t>
      </w:r>
      <w:r>
        <w:rPr>
          <w:rFonts w:hint="eastAsia" w:ascii="宋体" w:hAnsi="宋体" w:cs="宋体"/>
          <w:b/>
          <w:bCs/>
          <w:color w:val="auto"/>
          <w:szCs w:val="21"/>
          <w:highlight w:val="none"/>
          <w:lang w:val="en-US" w:eastAsia="zh-CN"/>
        </w:rPr>
        <w:t>参选</w:t>
      </w:r>
      <w:r>
        <w:rPr>
          <w:rFonts w:hint="eastAsia" w:ascii="宋体" w:hAnsi="宋体" w:cs="宋体"/>
          <w:b/>
          <w:bCs/>
          <w:color w:val="auto"/>
          <w:szCs w:val="21"/>
          <w:highlight w:val="none"/>
        </w:rPr>
        <w:t>，不以他人名义</w:t>
      </w:r>
      <w:r>
        <w:rPr>
          <w:rFonts w:hint="eastAsia" w:ascii="宋体" w:hAnsi="宋体" w:cs="宋体"/>
          <w:b/>
          <w:bCs/>
          <w:color w:val="auto"/>
          <w:szCs w:val="21"/>
          <w:highlight w:val="none"/>
          <w:lang w:val="en-US" w:eastAsia="zh-CN"/>
        </w:rPr>
        <w:t>参选</w:t>
      </w:r>
      <w:r>
        <w:rPr>
          <w:rFonts w:hint="eastAsia" w:ascii="宋体" w:hAnsi="宋体" w:cs="宋体"/>
          <w:b/>
          <w:bCs/>
          <w:color w:val="auto"/>
          <w:szCs w:val="21"/>
          <w:highlight w:val="none"/>
        </w:rPr>
        <w:t xml:space="preserve">或者以其他方式弄虚作假，骗取成交；  </w:t>
      </w:r>
    </w:p>
    <w:p w14:paraId="4F32F582">
      <w:pPr>
        <w:shd w:val="clea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四、不与其他</w:t>
      </w:r>
      <w:r>
        <w:rPr>
          <w:rFonts w:hint="eastAsia" w:ascii="宋体" w:hAnsi="宋体" w:cs="宋体"/>
          <w:b/>
          <w:bCs/>
          <w:color w:val="auto"/>
          <w:szCs w:val="21"/>
          <w:highlight w:val="none"/>
          <w:lang w:val="en-US" w:eastAsia="zh-CN"/>
        </w:rPr>
        <w:t>参选人</w:t>
      </w:r>
      <w:r>
        <w:rPr>
          <w:rFonts w:hint="eastAsia" w:ascii="宋体" w:hAnsi="宋体" w:cs="宋体"/>
          <w:b/>
          <w:bCs/>
          <w:color w:val="auto"/>
          <w:szCs w:val="21"/>
          <w:highlight w:val="none"/>
        </w:rPr>
        <w:t>相互串通报价，不排挤其他</w:t>
      </w:r>
      <w:r>
        <w:rPr>
          <w:rFonts w:hint="eastAsia" w:ascii="宋体" w:hAnsi="宋体" w:cs="宋体"/>
          <w:b/>
          <w:bCs/>
          <w:color w:val="auto"/>
          <w:szCs w:val="21"/>
          <w:highlight w:val="none"/>
          <w:lang w:val="en-US" w:eastAsia="zh-CN"/>
        </w:rPr>
        <w:t>参选人</w:t>
      </w:r>
      <w:r>
        <w:rPr>
          <w:rFonts w:hint="eastAsia" w:ascii="宋体" w:hAnsi="宋体" w:cs="宋体"/>
          <w:b/>
          <w:bCs/>
          <w:color w:val="auto"/>
          <w:szCs w:val="21"/>
          <w:highlight w:val="none"/>
        </w:rPr>
        <w:t xml:space="preserve">的公平竞争、损害采购人的合法权益；  </w:t>
      </w:r>
    </w:p>
    <w:p w14:paraId="463D27C5">
      <w:pPr>
        <w:shd w:val="clea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五、不与采购单位或其他</w:t>
      </w:r>
      <w:r>
        <w:rPr>
          <w:rFonts w:hint="eastAsia" w:ascii="宋体" w:hAnsi="宋体" w:cs="宋体"/>
          <w:b/>
          <w:bCs/>
          <w:color w:val="auto"/>
          <w:szCs w:val="21"/>
          <w:highlight w:val="none"/>
          <w:lang w:val="en-US" w:eastAsia="zh-CN"/>
        </w:rPr>
        <w:t>参选人</w:t>
      </w:r>
      <w:r>
        <w:rPr>
          <w:rFonts w:hint="eastAsia" w:ascii="宋体" w:hAnsi="宋体" w:cs="宋体"/>
          <w:b/>
          <w:bCs/>
          <w:color w:val="auto"/>
          <w:szCs w:val="21"/>
          <w:highlight w:val="none"/>
        </w:rPr>
        <w:t xml:space="preserve">串通投标，损害国家利益、社会公共利益或者他人的合法权益；  </w:t>
      </w:r>
    </w:p>
    <w:p w14:paraId="0BAFB67E">
      <w:pPr>
        <w:shd w:val="clea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六、严格遵守开标现场纪律，服从监管人员管理；  </w:t>
      </w:r>
    </w:p>
    <w:p w14:paraId="5154BC21">
      <w:pPr>
        <w:shd w:val="clea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七、保证成交后不转包，若有合法分包征得采购人同意；</w:t>
      </w:r>
    </w:p>
    <w:p w14:paraId="6AAB95CB">
      <w:pPr>
        <w:shd w:val="clea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八、保证成交之后，按照</w:t>
      </w:r>
      <w:r>
        <w:rPr>
          <w:rFonts w:hint="eastAsia" w:ascii="宋体" w:hAnsi="宋体" w:cs="宋体"/>
          <w:b/>
          <w:bCs/>
          <w:color w:val="auto"/>
          <w:szCs w:val="21"/>
          <w:highlight w:val="none"/>
          <w:lang w:val="en-US" w:eastAsia="zh-CN"/>
        </w:rPr>
        <w:t>参选</w:t>
      </w:r>
      <w:r>
        <w:rPr>
          <w:rFonts w:hint="eastAsia" w:ascii="宋体" w:hAnsi="宋体" w:cs="宋体"/>
          <w:b/>
          <w:bCs/>
          <w:color w:val="auto"/>
          <w:szCs w:val="21"/>
          <w:highlight w:val="none"/>
        </w:rPr>
        <w:t>文件承诺提供货物、服务及派驻人员；</w:t>
      </w:r>
    </w:p>
    <w:p w14:paraId="3480DC43">
      <w:pPr>
        <w:shd w:val="clea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九、保证企业及所属相关人员在本次</w:t>
      </w:r>
      <w:r>
        <w:rPr>
          <w:rFonts w:hint="eastAsia" w:ascii="宋体" w:hAnsi="宋体" w:cs="宋体"/>
          <w:b/>
          <w:bCs/>
          <w:color w:val="auto"/>
          <w:szCs w:val="21"/>
          <w:highlight w:val="none"/>
          <w:lang w:val="en-US" w:eastAsia="zh-CN"/>
        </w:rPr>
        <w:t>参选</w:t>
      </w:r>
      <w:r>
        <w:rPr>
          <w:rFonts w:hint="eastAsia" w:ascii="宋体" w:hAnsi="宋体" w:cs="宋体"/>
          <w:b/>
          <w:bCs/>
          <w:color w:val="auto"/>
          <w:szCs w:val="21"/>
          <w:highlight w:val="none"/>
        </w:rPr>
        <w:t>中无行贿等犯罪行为；</w:t>
      </w:r>
    </w:p>
    <w:p w14:paraId="7C373828">
      <w:pPr>
        <w:shd w:val="clea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十、我单位在安徽省公共资源交易市场主体库中录入的信息真实，无编造虚假信息。一旦发现弄虚作假将按《诚信</w:t>
      </w:r>
      <w:r>
        <w:rPr>
          <w:rFonts w:hint="eastAsia" w:ascii="宋体" w:hAnsi="宋体" w:cs="宋体"/>
          <w:b/>
          <w:bCs/>
          <w:color w:val="auto"/>
          <w:szCs w:val="21"/>
          <w:highlight w:val="none"/>
          <w:lang w:val="en-US" w:eastAsia="zh-CN"/>
        </w:rPr>
        <w:t>参选</w:t>
      </w:r>
      <w:r>
        <w:rPr>
          <w:rFonts w:hint="eastAsia" w:ascii="宋体" w:hAnsi="宋体" w:cs="宋体"/>
          <w:b/>
          <w:bCs/>
          <w:color w:val="auto"/>
          <w:szCs w:val="21"/>
          <w:highlight w:val="none"/>
        </w:rPr>
        <w:t>承诺书》和有关法律法规中的规定接受处理。</w:t>
      </w:r>
    </w:p>
    <w:p w14:paraId="4AB8C810">
      <w:pPr>
        <w:shd w:val="clea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十一、如在</w:t>
      </w:r>
      <w:r>
        <w:rPr>
          <w:rFonts w:hint="eastAsia" w:ascii="宋体" w:hAnsi="宋体" w:cs="宋体"/>
          <w:b/>
          <w:bCs/>
          <w:color w:val="auto"/>
          <w:szCs w:val="21"/>
          <w:highlight w:val="none"/>
          <w:lang w:eastAsia="zh-CN"/>
        </w:rPr>
        <w:t>参选</w:t>
      </w:r>
      <w:r>
        <w:rPr>
          <w:rFonts w:hint="eastAsia" w:ascii="宋体" w:hAnsi="宋体" w:cs="宋体"/>
          <w:b/>
          <w:bCs/>
          <w:color w:val="auto"/>
          <w:szCs w:val="21"/>
          <w:highlight w:val="none"/>
        </w:rPr>
        <w:t xml:space="preserve">过程和评审结果公告质疑期内发生投诉行为，投诉内容符合要求，投诉材料加盖企业公章或由法定代表人或其委托代理人签字，并附有关身份证明。不恶意投诉，对本公司提供的投诉线索的真实性负责。 </w:t>
      </w:r>
    </w:p>
    <w:p w14:paraId="07FF3CEC">
      <w:pPr>
        <w:shd w:val="clea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十二、我方保证对本次</w:t>
      </w:r>
      <w:r>
        <w:rPr>
          <w:rFonts w:hint="eastAsia" w:ascii="宋体" w:hAnsi="宋体" w:cs="宋体"/>
          <w:b/>
          <w:bCs/>
          <w:color w:val="auto"/>
          <w:szCs w:val="21"/>
          <w:highlight w:val="none"/>
          <w:lang w:eastAsia="zh-CN"/>
        </w:rPr>
        <w:t>比选</w:t>
      </w:r>
      <w:r>
        <w:rPr>
          <w:rFonts w:hint="eastAsia" w:ascii="宋体" w:hAnsi="宋体" w:cs="宋体"/>
          <w:b/>
          <w:bCs/>
          <w:color w:val="auto"/>
          <w:szCs w:val="21"/>
          <w:highlight w:val="none"/>
        </w:rPr>
        <w:t>活动有任何疑问或投诉，都依法在规定的时间内提出。否则，不针对本次</w:t>
      </w:r>
      <w:r>
        <w:rPr>
          <w:rFonts w:hint="eastAsia" w:ascii="宋体" w:hAnsi="宋体" w:cs="宋体"/>
          <w:b/>
          <w:bCs/>
          <w:color w:val="auto"/>
          <w:szCs w:val="21"/>
          <w:highlight w:val="none"/>
          <w:lang w:eastAsia="zh-CN"/>
        </w:rPr>
        <w:t>比选</w:t>
      </w:r>
      <w:r>
        <w:rPr>
          <w:rFonts w:hint="eastAsia" w:ascii="宋体" w:hAnsi="宋体" w:cs="宋体"/>
          <w:b/>
          <w:bCs/>
          <w:color w:val="auto"/>
          <w:szCs w:val="21"/>
          <w:highlight w:val="none"/>
        </w:rPr>
        <w:t>活动提出任何质疑或投诉。</w:t>
      </w:r>
    </w:p>
    <w:p w14:paraId="1D43AC32">
      <w:pPr>
        <w:shd w:val="clea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以上内容我已仔细阅读，本公司若有违反承诺内容的行为，自愿承担</w:t>
      </w:r>
      <w:r>
        <w:rPr>
          <w:rFonts w:hint="eastAsia" w:ascii="宋体" w:hAnsi="宋体" w:cs="宋体"/>
          <w:b/>
          <w:bCs/>
          <w:color w:val="auto"/>
          <w:szCs w:val="21"/>
          <w:highlight w:val="none"/>
          <w:lang w:eastAsia="zh-CN"/>
        </w:rPr>
        <w:t>比选</w:t>
      </w:r>
      <w:r>
        <w:rPr>
          <w:rFonts w:hint="eastAsia" w:ascii="宋体" w:hAnsi="宋体" w:cs="宋体"/>
          <w:b/>
          <w:bCs/>
          <w:color w:val="auto"/>
          <w:szCs w:val="21"/>
          <w:highlight w:val="none"/>
        </w:rPr>
        <w:t>文件确定的责任和法律责任并接受相关行政部门给予的处理和处罚。给采购人造成损失的，依法承担赔偿责任。</w:t>
      </w:r>
    </w:p>
    <w:p w14:paraId="7ADBDD30">
      <w:pPr>
        <w:shd w:val="clear"/>
        <w:rPr>
          <w:rFonts w:ascii="宋体" w:hAnsi="宋体" w:cs="宋体"/>
          <w:b/>
          <w:bCs/>
          <w:color w:val="auto"/>
          <w:szCs w:val="21"/>
          <w:highlight w:val="none"/>
        </w:rPr>
      </w:pPr>
      <w:r>
        <w:rPr>
          <w:rFonts w:hint="eastAsia" w:ascii="宋体" w:hAnsi="宋体" w:cs="宋体"/>
          <w:b/>
          <w:bCs/>
          <w:color w:val="auto"/>
          <w:szCs w:val="21"/>
          <w:highlight w:val="none"/>
        </w:rPr>
        <w:t xml:space="preserve">  </w:t>
      </w:r>
    </w:p>
    <w:p w14:paraId="314AA5CE">
      <w:pPr>
        <w:shd w:val="clear"/>
        <w:rPr>
          <w:rFonts w:ascii="宋体" w:hAnsi="宋体" w:cs="宋体"/>
          <w:b/>
          <w:bCs/>
          <w:color w:val="auto"/>
          <w:szCs w:val="21"/>
          <w:highlight w:val="none"/>
        </w:rPr>
      </w:pPr>
    </w:p>
    <w:p w14:paraId="28C59FD5">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val="en-US" w:eastAsia="zh-CN"/>
        </w:rPr>
        <w:t>参选</w:t>
      </w:r>
      <w:r>
        <w:rPr>
          <w:rFonts w:hint="eastAsia" w:ascii="宋体" w:hAnsi="宋体" w:cs="宋体"/>
          <w:b/>
          <w:bCs/>
          <w:color w:val="auto"/>
          <w:szCs w:val="21"/>
          <w:highlight w:val="none"/>
        </w:rPr>
        <w:t>单位（盖章）：</w:t>
      </w:r>
    </w:p>
    <w:p w14:paraId="7124931C">
      <w:pPr>
        <w:shd w:val="clear"/>
        <w:jc w:val="right"/>
        <w:rPr>
          <w:rFonts w:ascii="宋体" w:hAnsi="宋体" w:cs="宋体"/>
          <w:b/>
          <w:bCs/>
          <w:color w:val="auto"/>
          <w:szCs w:val="21"/>
          <w:highlight w:val="none"/>
        </w:rPr>
      </w:pPr>
    </w:p>
    <w:p w14:paraId="4A70DAA4">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 xml:space="preserve">                                     法定代表人（盖章）：</w:t>
      </w:r>
    </w:p>
    <w:p w14:paraId="07BA8BC6">
      <w:pPr>
        <w:shd w:val="clear"/>
        <w:jc w:val="right"/>
        <w:rPr>
          <w:rFonts w:ascii="宋体" w:hAnsi="宋体" w:cs="宋体"/>
          <w:b/>
          <w:bCs/>
          <w:color w:val="auto"/>
          <w:szCs w:val="21"/>
          <w:highlight w:val="none"/>
        </w:rPr>
      </w:pPr>
    </w:p>
    <w:p w14:paraId="646BC1D4">
      <w:pPr>
        <w:shd w:val="clear"/>
        <w:ind w:right="480"/>
        <w:jc w:val="center"/>
        <w:rPr>
          <w:rFonts w:ascii="宋体" w:hAnsi="宋体" w:cs="宋体"/>
          <w:b/>
          <w:bCs/>
          <w:color w:val="auto"/>
          <w:sz w:val="24"/>
          <w:highlight w:val="none"/>
        </w:rPr>
      </w:pPr>
      <w:r>
        <w:rPr>
          <w:rFonts w:hint="eastAsia" w:ascii="宋体" w:hAnsi="宋体" w:cs="宋体"/>
          <w:b/>
          <w:bCs/>
          <w:color w:val="auto"/>
          <w:szCs w:val="21"/>
          <w:highlight w:val="none"/>
        </w:rPr>
        <w:t xml:space="preserve">                                               日期：_____年____月____日</w:t>
      </w:r>
    </w:p>
    <w:p w14:paraId="5A454E44">
      <w:pPr>
        <w:rPr>
          <w:rFonts w:ascii="宋体" w:hAnsi="宋体" w:cs="宋体"/>
          <w:color w:val="auto"/>
          <w:szCs w:val="21"/>
          <w:highlight w:val="none"/>
        </w:rPr>
      </w:pPr>
      <w:r>
        <w:rPr>
          <w:rFonts w:ascii="宋体" w:hAnsi="宋体" w:cs="宋体"/>
          <w:color w:val="auto"/>
          <w:szCs w:val="21"/>
          <w:highlight w:val="none"/>
        </w:rPr>
        <w:br w:type="page"/>
      </w:r>
    </w:p>
    <w:p w14:paraId="07110A16">
      <w:pPr>
        <w:pStyle w:val="9"/>
        <w:shd w:val="clear"/>
        <w:jc w:val="center"/>
        <w:rPr>
          <w:rFonts w:hint="eastAsia" w:hAnsi="宋体" w:cs="宋体"/>
          <w:color w:val="auto"/>
          <w:highlight w:val="none"/>
        </w:rPr>
      </w:pPr>
      <w:r>
        <w:rPr>
          <w:rFonts w:hint="eastAsia" w:hAnsi="宋体" w:cs="宋体"/>
          <w:color w:val="auto"/>
          <w:highlight w:val="none"/>
        </w:rPr>
        <w:t>六、联合体协议书（如有）</w:t>
      </w:r>
    </w:p>
    <w:p w14:paraId="0DEA5709">
      <w:pPr>
        <w:shd w:val="clear"/>
        <w:spacing w:line="480" w:lineRule="auto"/>
        <w:ind w:firstLine="480" w:firstLineChars="200"/>
        <w:rPr>
          <w:rFonts w:hint="eastAsia"/>
          <w:color w:val="auto"/>
          <w:sz w:val="24"/>
          <w:highlight w:val="none"/>
        </w:rPr>
      </w:pPr>
      <w:r>
        <w:rPr>
          <w:rFonts w:hint="eastAsia"/>
          <w:color w:val="auto"/>
          <w:sz w:val="24"/>
          <w:highlight w:val="none"/>
        </w:rPr>
        <w:t>_______________(所有成员单位名称)自愿组成联合体，共同参加</w:t>
      </w:r>
      <w:r>
        <w:rPr>
          <w:rFonts w:hint="eastAsia"/>
          <w:color w:val="auto"/>
          <w:sz w:val="24"/>
          <w:highlight w:val="none"/>
          <w:u w:val="single"/>
          <w:lang w:val="en-US" w:eastAsia="zh-CN"/>
        </w:rPr>
        <w:t xml:space="preserve">       </w:t>
      </w:r>
      <w:r>
        <w:rPr>
          <w:rFonts w:hint="eastAsia"/>
          <w:color w:val="auto"/>
          <w:sz w:val="24"/>
          <w:highlight w:val="none"/>
          <w:u w:val="none"/>
          <w:lang w:val="en-US" w:eastAsia="zh-CN"/>
        </w:rPr>
        <w:t>比选</w:t>
      </w:r>
      <w:r>
        <w:rPr>
          <w:rFonts w:hint="eastAsia"/>
          <w:color w:val="auto"/>
          <w:sz w:val="24"/>
          <w:highlight w:val="none"/>
        </w:rPr>
        <w:t xml:space="preserve">。现就联合体投标事宜订立如下协议： </w:t>
      </w:r>
    </w:p>
    <w:p w14:paraId="4FFB21DE">
      <w:pPr>
        <w:shd w:val="clear"/>
        <w:spacing w:line="480" w:lineRule="auto"/>
        <w:ind w:firstLine="480" w:firstLineChars="200"/>
        <w:rPr>
          <w:rFonts w:hint="eastAsia"/>
          <w:color w:val="auto"/>
          <w:sz w:val="24"/>
          <w:highlight w:val="none"/>
        </w:rPr>
      </w:pPr>
      <w:r>
        <w:rPr>
          <w:rFonts w:hint="eastAsia"/>
          <w:color w:val="auto"/>
          <w:sz w:val="24"/>
          <w:highlight w:val="none"/>
        </w:rPr>
        <w:t xml:space="preserve">1. ______ (某成员单位名称)为______ (联合体名称)牵头人。 </w:t>
      </w:r>
    </w:p>
    <w:p w14:paraId="397CA8D2">
      <w:pPr>
        <w:shd w:val="clear"/>
        <w:spacing w:line="480" w:lineRule="auto"/>
        <w:ind w:firstLine="480" w:firstLineChars="200"/>
        <w:rPr>
          <w:rFonts w:hint="eastAsia"/>
          <w:color w:val="auto"/>
          <w:sz w:val="24"/>
          <w:highlight w:val="none"/>
        </w:rPr>
      </w:pPr>
      <w:r>
        <w:rPr>
          <w:rFonts w:hint="eastAsia"/>
          <w:color w:val="auto"/>
          <w:sz w:val="24"/>
          <w:highlight w:val="none"/>
        </w:rPr>
        <w:t>2.联合体牵头人合法代表联合体各成员负责本</w:t>
      </w:r>
      <w:r>
        <w:rPr>
          <w:rFonts w:hint="eastAsia"/>
          <w:color w:val="auto"/>
          <w:sz w:val="24"/>
          <w:highlight w:val="none"/>
          <w:lang w:val="en-US" w:eastAsia="zh-CN"/>
        </w:rPr>
        <w:t>比选</w:t>
      </w:r>
      <w:r>
        <w:rPr>
          <w:rFonts w:hint="eastAsia"/>
          <w:color w:val="auto"/>
          <w:sz w:val="24"/>
          <w:highlight w:val="none"/>
        </w:rPr>
        <w:t>项目</w:t>
      </w:r>
      <w:r>
        <w:rPr>
          <w:rFonts w:hint="eastAsia"/>
          <w:color w:val="auto"/>
          <w:sz w:val="24"/>
          <w:highlight w:val="none"/>
          <w:lang w:val="en-US" w:eastAsia="zh-CN"/>
        </w:rPr>
        <w:t>参选</w:t>
      </w:r>
      <w:r>
        <w:rPr>
          <w:rFonts w:hint="eastAsia"/>
          <w:color w:val="auto"/>
          <w:sz w:val="24"/>
          <w:highlight w:val="none"/>
        </w:rPr>
        <w:t xml:space="preserve">文件编制和合同谈判活动，并代表联合体提交和接收相关的资料、信息及指示，并处理与之有关的一切事务，负责合同实施阶段的主办、组织和协调工作。 </w:t>
      </w:r>
    </w:p>
    <w:p w14:paraId="703CFB42">
      <w:pPr>
        <w:shd w:val="clear"/>
        <w:spacing w:line="480" w:lineRule="auto"/>
        <w:ind w:firstLine="480" w:firstLineChars="200"/>
        <w:rPr>
          <w:rFonts w:hint="eastAsia"/>
          <w:color w:val="auto"/>
          <w:sz w:val="24"/>
          <w:highlight w:val="none"/>
        </w:rPr>
      </w:pPr>
      <w:r>
        <w:rPr>
          <w:rFonts w:hint="eastAsia"/>
          <w:color w:val="auto"/>
          <w:sz w:val="24"/>
          <w:highlight w:val="none"/>
        </w:rPr>
        <w:t>3.联合体将严格按照</w:t>
      </w:r>
      <w:r>
        <w:rPr>
          <w:rFonts w:hint="eastAsia"/>
          <w:color w:val="auto"/>
          <w:sz w:val="24"/>
          <w:highlight w:val="none"/>
          <w:lang w:val="en-US" w:eastAsia="zh-CN"/>
        </w:rPr>
        <w:t>比选</w:t>
      </w:r>
      <w:r>
        <w:rPr>
          <w:rFonts w:hint="eastAsia"/>
          <w:color w:val="auto"/>
          <w:sz w:val="24"/>
          <w:highlight w:val="none"/>
        </w:rPr>
        <w:t>文件的各项要求，提交</w:t>
      </w:r>
      <w:r>
        <w:rPr>
          <w:rFonts w:hint="eastAsia"/>
          <w:color w:val="auto"/>
          <w:sz w:val="24"/>
          <w:highlight w:val="none"/>
          <w:lang w:val="en-US" w:eastAsia="zh-CN"/>
        </w:rPr>
        <w:t>参选</w:t>
      </w:r>
      <w:r>
        <w:rPr>
          <w:rFonts w:hint="eastAsia"/>
          <w:color w:val="auto"/>
          <w:sz w:val="24"/>
          <w:highlight w:val="none"/>
        </w:rPr>
        <w:t xml:space="preserve">文件，履行合同，并对外承担连带责任。 </w:t>
      </w:r>
    </w:p>
    <w:p w14:paraId="0C5EA64D">
      <w:pPr>
        <w:shd w:val="clear"/>
        <w:spacing w:line="480" w:lineRule="auto"/>
        <w:ind w:firstLine="480" w:firstLineChars="200"/>
        <w:rPr>
          <w:rFonts w:hint="eastAsia"/>
          <w:color w:val="auto"/>
          <w:sz w:val="24"/>
          <w:highlight w:val="none"/>
        </w:rPr>
      </w:pPr>
      <w:r>
        <w:rPr>
          <w:rFonts w:hint="eastAsia"/>
          <w:color w:val="auto"/>
          <w:sz w:val="24"/>
          <w:highlight w:val="none"/>
        </w:rPr>
        <w:t>4.联合体各成员单位内部的职责分工如下</w:t>
      </w:r>
      <w:r>
        <w:rPr>
          <w:rFonts w:hint="eastAsia"/>
          <w:color w:val="auto"/>
          <w:sz w:val="24"/>
          <w:highlight w:val="none"/>
          <w:lang w:eastAsia="zh-CN"/>
        </w:rPr>
        <w:t>：</w:t>
      </w:r>
      <w:r>
        <w:rPr>
          <w:rFonts w:hint="eastAsia"/>
          <w:color w:val="auto"/>
          <w:sz w:val="24"/>
          <w:highlight w:val="none"/>
        </w:rPr>
        <w:t xml:space="preserve">_____________________________ </w:t>
      </w:r>
    </w:p>
    <w:p w14:paraId="029C9588">
      <w:pPr>
        <w:shd w:val="clear"/>
        <w:spacing w:line="480" w:lineRule="auto"/>
        <w:ind w:firstLine="480" w:firstLineChars="200"/>
        <w:rPr>
          <w:rFonts w:hint="eastAsia"/>
          <w:color w:val="auto"/>
          <w:sz w:val="24"/>
          <w:highlight w:val="none"/>
        </w:rPr>
      </w:pPr>
      <w:r>
        <w:rPr>
          <w:rFonts w:hint="eastAsia"/>
          <w:color w:val="auto"/>
          <w:sz w:val="24"/>
          <w:highlight w:val="none"/>
        </w:rPr>
        <w:t xml:space="preserve">5.本协议书自签署之日起生效，合同履行完毕后自动失效。 </w:t>
      </w:r>
    </w:p>
    <w:p w14:paraId="79619839">
      <w:pPr>
        <w:shd w:val="clear"/>
        <w:spacing w:line="480" w:lineRule="auto"/>
        <w:ind w:firstLine="480" w:firstLineChars="200"/>
        <w:rPr>
          <w:rFonts w:hint="eastAsia"/>
          <w:color w:val="auto"/>
          <w:sz w:val="24"/>
          <w:highlight w:val="none"/>
        </w:rPr>
      </w:pPr>
      <w:r>
        <w:rPr>
          <w:rFonts w:hint="eastAsia"/>
          <w:color w:val="auto"/>
          <w:sz w:val="24"/>
          <w:highlight w:val="none"/>
        </w:rPr>
        <w:t xml:space="preserve">6.本协议书一式________份，联合体成员和采购人各执一份。 </w:t>
      </w:r>
    </w:p>
    <w:p w14:paraId="46CC400D">
      <w:pPr>
        <w:shd w:val="clear"/>
        <w:spacing w:line="480" w:lineRule="auto"/>
        <w:ind w:firstLine="2880" w:firstLineChars="1200"/>
        <w:rPr>
          <w:rFonts w:hint="eastAsia"/>
          <w:color w:val="auto"/>
          <w:sz w:val="24"/>
          <w:highlight w:val="none"/>
        </w:rPr>
      </w:pPr>
      <w:r>
        <w:rPr>
          <w:rFonts w:hint="eastAsia"/>
          <w:color w:val="auto"/>
          <w:sz w:val="24"/>
          <w:highlight w:val="none"/>
        </w:rPr>
        <w:t xml:space="preserve">牵头人名称：_________________________(盖单位章) </w:t>
      </w:r>
    </w:p>
    <w:p w14:paraId="69E3D409">
      <w:pPr>
        <w:shd w:val="clear"/>
        <w:spacing w:line="480" w:lineRule="auto"/>
        <w:ind w:firstLine="2880" w:firstLineChars="1200"/>
        <w:rPr>
          <w:rFonts w:hint="eastAsia"/>
          <w:color w:val="auto"/>
          <w:sz w:val="24"/>
          <w:highlight w:val="none"/>
        </w:rPr>
      </w:pPr>
      <w:r>
        <w:rPr>
          <w:rFonts w:hint="eastAsia"/>
          <w:color w:val="auto"/>
          <w:sz w:val="24"/>
          <w:highlight w:val="none"/>
        </w:rPr>
        <w:t xml:space="preserve">法定代表人：_______________(签字或盖章) </w:t>
      </w:r>
    </w:p>
    <w:p w14:paraId="2B71F991">
      <w:pPr>
        <w:shd w:val="clear"/>
        <w:spacing w:line="480" w:lineRule="auto"/>
        <w:ind w:firstLine="2880" w:firstLineChars="1200"/>
        <w:rPr>
          <w:rFonts w:hint="eastAsia"/>
          <w:color w:val="auto"/>
          <w:sz w:val="24"/>
          <w:highlight w:val="none"/>
        </w:rPr>
      </w:pPr>
      <w:r>
        <w:rPr>
          <w:rFonts w:hint="eastAsia"/>
          <w:color w:val="auto"/>
          <w:sz w:val="24"/>
          <w:highlight w:val="none"/>
        </w:rPr>
        <w:t xml:space="preserve">成员一名称：_________________________(盖单位章) </w:t>
      </w:r>
    </w:p>
    <w:p w14:paraId="35302964">
      <w:pPr>
        <w:shd w:val="clear"/>
        <w:spacing w:line="480" w:lineRule="auto"/>
        <w:ind w:firstLine="2880" w:firstLineChars="1200"/>
        <w:rPr>
          <w:rFonts w:hint="eastAsia"/>
          <w:color w:val="auto"/>
          <w:sz w:val="24"/>
          <w:highlight w:val="none"/>
        </w:rPr>
      </w:pPr>
      <w:r>
        <w:rPr>
          <w:rFonts w:hint="eastAsia"/>
          <w:color w:val="auto"/>
          <w:sz w:val="24"/>
          <w:highlight w:val="none"/>
        </w:rPr>
        <w:t xml:space="preserve">法定代表人：_______________(签字或盖章) </w:t>
      </w:r>
    </w:p>
    <w:p w14:paraId="02602FC5">
      <w:pPr>
        <w:shd w:val="clear"/>
        <w:spacing w:line="480" w:lineRule="auto"/>
        <w:ind w:firstLine="4320" w:firstLineChars="1800"/>
        <w:rPr>
          <w:rFonts w:hint="eastAsia"/>
          <w:color w:val="auto"/>
          <w:sz w:val="24"/>
          <w:highlight w:val="none"/>
        </w:rPr>
      </w:pPr>
      <w:r>
        <w:rPr>
          <w:rFonts w:hint="eastAsia"/>
          <w:color w:val="auto"/>
          <w:sz w:val="24"/>
          <w:highlight w:val="none"/>
        </w:rPr>
        <w:t>_______年_______月_______日</w:t>
      </w:r>
    </w:p>
    <w:p w14:paraId="671BBF20">
      <w:pPr>
        <w:rPr>
          <w:rFonts w:hint="eastAsia"/>
          <w:color w:val="auto"/>
          <w:sz w:val="24"/>
          <w:highlight w:val="none"/>
        </w:rPr>
      </w:pPr>
      <w:r>
        <w:rPr>
          <w:rFonts w:hint="eastAsia"/>
          <w:color w:val="auto"/>
          <w:sz w:val="24"/>
          <w:highlight w:val="none"/>
        </w:rPr>
        <w:br w:type="page"/>
      </w:r>
    </w:p>
    <w:p w14:paraId="6C358456">
      <w:pPr>
        <w:pStyle w:val="9"/>
        <w:shd w:val="clear"/>
        <w:jc w:val="center"/>
        <w:rPr>
          <w:rFonts w:hAnsi="宋体" w:cs="宋体"/>
          <w:color w:val="auto"/>
          <w:highlight w:val="none"/>
          <w:bdr w:val="single" w:color="auto" w:sz="4" w:space="0"/>
        </w:rPr>
      </w:pPr>
      <w:r>
        <w:rPr>
          <w:rFonts w:hint="eastAsia" w:hAnsi="宋体" w:cs="宋体"/>
          <w:color w:val="auto"/>
          <w:highlight w:val="none"/>
        </w:rPr>
        <w:t>七、资格证明文件</w:t>
      </w:r>
    </w:p>
    <w:p w14:paraId="4CAC2C4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1、营业执照；</w:t>
      </w:r>
    </w:p>
    <w:p w14:paraId="64149E7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2、税务登记证；</w:t>
      </w:r>
    </w:p>
    <w:p w14:paraId="6DD0FFB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（如为三证合一的，只需提供三证合一的营业执照）</w:t>
      </w:r>
    </w:p>
    <w:p w14:paraId="0CACEC96">
      <w:pPr>
        <w:numPr>
          <w:ilvl w:val="0"/>
          <w:numId w:val="42"/>
        </w:numPr>
        <w:shd w:val="clear"/>
        <w:spacing w:line="360" w:lineRule="auto"/>
        <w:ind w:left="422"/>
        <w:rPr>
          <w:rFonts w:hint="eastAsia" w:ascii="宋体" w:hAnsi="宋体"/>
          <w:color w:val="auto"/>
          <w:szCs w:val="21"/>
          <w:highlight w:val="none"/>
        </w:rPr>
      </w:pPr>
      <w:r>
        <w:rPr>
          <w:rFonts w:hint="eastAsia" w:ascii="宋体" w:hAnsi="宋体"/>
          <w:color w:val="auto"/>
          <w:szCs w:val="21"/>
          <w:highlight w:val="none"/>
        </w:rPr>
        <w:t>供应商资质证书及CMA证书、项目负责人证书：</w:t>
      </w:r>
    </w:p>
    <w:p w14:paraId="746EFA94">
      <w:pPr>
        <w:numPr>
          <w:ilvl w:val="0"/>
          <w:numId w:val="42"/>
        </w:numPr>
        <w:shd w:val="clear"/>
        <w:spacing w:line="360" w:lineRule="auto"/>
        <w:ind w:left="422"/>
        <w:rPr>
          <w:rFonts w:ascii="宋体" w:hAnsi="宋体"/>
          <w:color w:val="auto"/>
          <w:szCs w:val="21"/>
          <w:highlight w:val="none"/>
        </w:rPr>
      </w:pPr>
      <w:r>
        <w:rPr>
          <w:rFonts w:hint="eastAsia" w:ascii="宋体" w:hAnsi="宋体"/>
          <w:color w:val="auto"/>
          <w:szCs w:val="21"/>
          <w:highlight w:val="none"/>
        </w:rPr>
        <w:t>供应商声明函：</w:t>
      </w:r>
    </w:p>
    <w:p w14:paraId="7F1409E5">
      <w:pPr>
        <w:shd w:val="clear"/>
        <w:spacing w:line="360" w:lineRule="auto"/>
        <w:ind w:left="422"/>
        <w:jc w:val="center"/>
        <w:rPr>
          <w:rFonts w:ascii="宋体" w:hAnsi="宋体"/>
          <w:b/>
          <w:bCs/>
          <w:color w:val="auto"/>
          <w:szCs w:val="21"/>
          <w:highlight w:val="none"/>
        </w:rPr>
      </w:pPr>
      <w:r>
        <w:rPr>
          <w:rFonts w:hint="eastAsia" w:ascii="宋体" w:hAnsi="宋体"/>
          <w:b/>
          <w:bCs/>
          <w:color w:val="auto"/>
          <w:szCs w:val="21"/>
          <w:highlight w:val="none"/>
        </w:rPr>
        <w:t>供应商声明函</w:t>
      </w:r>
    </w:p>
    <w:p w14:paraId="4A7EED76">
      <w:pPr>
        <w:shd w:val="clear"/>
        <w:spacing w:line="360" w:lineRule="auto"/>
        <w:ind w:left="422" w:firstLine="420" w:firstLineChars="200"/>
        <w:rPr>
          <w:rFonts w:hint="eastAsia" w:ascii="宋体" w:hAnsi="宋体"/>
          <w:color w:val="auto"/>
          <w:szCs w:val="21"/>
          <w:highlight w:val="none"/>
          <w:lang w:eastAsia="zh-CN"/>
        </w:rPr>
      </w:pPr>
      <w:r>
        <w:rPr>
          <w:rFonts w:hint="eastAsia" w:ascii="宋体" w:hAnsi="宋体"/>
          <w:color w:val="auto"/>
          <w:szCs w:val="21"/>
          <w:highlight w:val="none"/>
        </w:rPr>
        <w:t>根据《中华人民共和国政府采购法》及《中华人民共和国政府采购法实施条例》 的规定</w:t>
      </w:r>
      <w:r>
        <w:rPr>
          <w:rFonts w:hint="eastAsia" w:ascii="宋体" w:hAnsi="宋体"/>
          <w:color w:val="auto"/>
          <w:szCs w:val="21"/>
          <w:highlight w:val="none"/>
          <w:lang w:eastAsia="zh-CN"/>
        </w:rPr>
        <w:t>：</w:t>
      </w:r>
    </w:p>
    <w:p w14:paraId="536AA29D">
      <w:pPr>
        <w:shd w:val="clear"/>
        <w:spacing w:line="360" w:lineRule="auto"/>
        <w:ind w:left="422" w:firstLine="422" w:firstLineChars="200"/>
        <w:rPr>
          <w:rFonts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、本单位郑重声明：</w:t>
      </w:r>
    </w:p>
    <w:p w14:paraId="7E88B134">
      <w:pPr>
        <w:shd w:val="clea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我单位完全符合《中华人民共和国政府采购法》第二十二条规定及本项目所要求的资格条件：</w:t>
      </w:r>
    </w:p>
    <w:p w14:paraId="6180F51D">
      <w:pPr>
        <w:shd w:val="clear"/>
        <w:spacing w:line="360" w:lineRule="auto"/>
        <w:ind w:firstLine="840" w:firstLineChars="400"/>
        <w:rPr>
          <w:rFonts w:hint="eastAsia" w:ascii="宋体" w:hAnsi="宋体" w:eastAsia="宋体"/>
          <w:color w:val="auto"/>
          <w:szCs w:val="21"/>
          <w:highlight w:val="none"/>
          <w:lang w:eastAsia="zh-CN"/>
        </w:rPr>
      </w:pPr>
      <w:r>
        <w:rPr>
          <w:rFonts w:hint="eastAsia" w:ascii="宋体" w:hAnsi="宋体"/>
          <w:color w:val="auto"/>
          <w:szCs w:val="21"/>
          <w:highlight w:val="none"/>
        </w:rPr>
        <w:t>（1）具有独立承担民事责任的能力；</w:t>
      </w:r>
    </w:p>
    <w:p w14:paraId="0C3FAE82">
      <w:pPr>
        <w:shd w:val="clear"/>
        <w:spacing w:line="360" w:lineRule="auto"/>
        <w:ind w:firstLine="840" w:firstLineChars="400"/>
        <w:rPr>
          <w:rFonts w:hint="eastAsia" w:ascii="宋体" w:hAnsi="宋体" w:eastAsia="宋体"/>
          <w:color w:val="auto"/>
          <w:szCs w:val="21"/>
          <w:highlight w:val="none"/>
          <w:lang w:eastAsia="zh-CN"/>
        </w:rPr>
      </w:pPr>
      <w:r>
        <w:rPr>
          <w:rFonts w:hint="eastAsia" w:ascii="宋体" w:hAnsi="宋体"/>
          <w:color w:val="auto"/>
          <w:szCs w:val="21"/>
          <w:highlight w:val="none"/>
        </w:rPr>
        <w:t>（2）具有良好的商业信誉和健全的财务会计制度；</w:t>
      </w:r>
    </w:p>
    <w:p w14:paraId="6F5DEB29">
      <w:pPr>
        <w:shd w:val="clear"/>
        <w:spacing w:line="360" w:lineRule="auto"/>
        <w:ind w:left="420" w:leftChars="200"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（3）具有履行合同所必需的设备和专业技术能力；</w:t>
      </w:r>
    </w:p>
    <w:p w14:paraId="3D1168D6">
      <w:pPr>
        <w:shd w:val="clear"/>
        <w:spacing w:line="360" w:lineRule="auto"/>
        <w:ind w:left="420" w:leftChars="200"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（4）有依法缴纳税收和社会保障资金的良好记录；</w:t>
      </w:r>
    </w:p>
    <w:p w14:paraId="50126995">
      <w:pPr>
        <w:shd w:val="clear"/>
        <w:spacing w:line="360" w:lineRule="auto"/>
        <w:ind w:left="420" w:leftChars="200"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（5）参加政府采购活动前三年内，在经营活动中没有重大违法记录，包括：我单位因违法经营受到刑事处罚或者责令停产停业、吊销许可证或者执照、较大数额罚款等行政处罚；</w:t>
      </w:r>
    </w:p>
    <w:p w14:paraId="2C1B068B">
      <w:pPr>
        <w:shd w:val="clear"/>
        <w:spacing w:line="360" w:lineRule="auto"/>
        <w:ind w:firstLine="840" w:firstLineChars="400"/>
        <w:rPr>
          <w:rFonts w:hint="eastAsia" w:ascii="宋体" w:hAnsi="宋体" w:eastAsia="宋体"/>
          <w:color w:val="auto"/>
          <w:szCs w:val="21"/>
          <w:highlight w:val="none"/>
          <w:lang w:eastAsia="zh-CN"/>
        </w:rPr>
      </w:pPr>
      <w:r>
        <w:rPr>
          <w:rFonts w:hint="eastAsia" w:ascii="宋体" w:hAnsi="宋体"/>
          <w:color w:val="auto"/>
          <w:szCs w:val="21"/>
          <w:highlight w:val="none"/>
        </w:rPr>
        <w:t>（6）我单位不在财政部门依法作出的禁止参加政府采购活动的行政处罚期限内；</w:t>
      </w:r>
    </w:p>
    <w:p w14:paraId="7227F097">
      <w:pPr>
        <w:shd w:val="clear"/>
        <w:spacing w:line="360" w:lineRule="auto"/>
        <w:ind w:left="420" w:leftChars="200" w:firstLine="420" w:firstLineChars="200"/>
        <w:rPr>
          <w:rFonts w:ascii="宋体" w:hAnsi="宋体"/>
          <w:color w:val="auto"/>
          <w:szCs w:val="21"/>
          <w:highlight w:val="none"/>
        </w:rPr>
      </w:pPr>
      <w:r>
        <w:rPr>
          <w:rFonts w:hint="eastAsia" w:ascii="宋体" w:hAnsi="宋体"/>
          <w:color w:val="auto"/>
          <w:szCs w:val="21"/>
          <w:highlight w:val="none"/>
        </w:rPr>
        <w:t>（7）符合法律、行政法规规定的其他条件。</w:t>
      </w:r>
    </w:p>
    <w:p w14:paraId="7E4B17FA">
      <w:pPr>
        <w:shd w:val="clear"/>
        <w:spacing w:line="360" w:lineRule="auto"/>
        <w:ind w:left="422" w:firstLine="422" w:firstLineChars="200"/>
        <w:rPr>
          <w:rFonts w:ascii="宋体" w:hAnsi="宋体"/>
          <w:b/>
          <w:bCs/>
          <w:color w:val="auto"/>
          <w:szCs w:val="21"/>
          <w:highlight w:val="none"/>
        </w:rPr>
      </w:pPr>
      <w:r>
        <w:rPr>
          <w:rFonts w:ascii="宋体" w:hAnsi="宋体"/>
          <w:b/>
          <w:bCs/>
          <w:color w:val="auto"/>
          <w:szCs w:val="21"/>
          <w:highlight w:val="none"/>
        </w:rPr>
        <w:t>2</w:t>
      </w:r>
      <w:r>
        <w:rPr>
          <w:rFonts w:hint="eastAsia" w:ascii="宋体" w:hAnsi="宋体"/>
          <w:b/>
          <w:bCs/>
          <w:color w:val="auto"/>
          <w:szCs w:val="21"/>
          <w:highlight w:val="none"/>
        </w:rPr>
        <w:t>、本单位郑重声明，我</w:t>
      </w:r>
      <w:r>
        <w:rPr>
          <w:rFonts w:hint="eastAsia" w:ascii="宋体" w:hAnsi="宋体" w:eastAsia="宋体" w:cs="Times New Roman"/>
          <w:b/>
          <w:bCs/>
          <w:color w:val="auto"/>
          <w:szCs w:val="21"/>
          <w:highlight w:val="none"/>
        </w:rPr>
        <w:t>单位</w:t>
      </w:r>
      <w:r>
        <w:rPr>
          <w:rFonts w:hint="eastAsia" w:ascii="宋体" w:hAnsi="宋体"/>
          <w:b/>
          <w:bCs/>
          <w:color w:val="auto"/>
          <w:szCs w:val="21"/>
          <w:highlight w:val="none"/>
        </w:rPr>
        <w:t>无以下不良信用记录情形：</w:t>
      </w:r>
    </w:p>
    <w:p w14:paraId="07DBDDEB">
      <w:pPr>
        <w:shd w:val="clear"/>
        <w:spacing w:line="360" w:lineRule="auto"/>
        <w:ind w:left="422" w:firstLine="420" w:firstLineChars="200"/>
        <w:rPr>
          <w:rFonts w:ascii="宋体" w:hAnsi="宋体"/>
          <w:color w:val="auto"/>
          <w:szCs w:val="21"/>
          <w:highlight w:val="none"/>
        </w:rPr>
      </w:pPr>
      <w:r>
        <w:rPr>
          <w:rFonts w:hint="eastAsia" w:ascii="宋体" w:hAnsi="宋体"/>
          <w:color w:val="auto"/>
          <w:szCs w:val="21"/>
          <w:highlight w:val="none"/>
        </w:rPr>
        <w:t>（1）被人民法院列入失信被执行人；</w:t>
      </w:r>
    </w:p>
    <w:p w14:paraId="121BD430">
      <w:pPr>
        <w:shd w:val="clear"/>
        <w:spacing w:line="360" w:lineRule="auto"/>
        <w:ind w:left="422" w:firstLine="420" w:firstLineChars="200"/>
        <w:rPr>
          <w:rFonts w:ascii="宋体" w:hAnsi="宋体"/>
          <w:color w:val="auto"/>
          <w:szCs w:val="21"/>
          <w:highlight w:val="none"/>
        </w:rPr>
      </w:pPr>
      <w:r>
        <w:rPr>
          <w:rFonts w:hint="eastAsia" w:ascii="宋体" w:hAnsi="宋体"/>
          <w:color w:val="auto"/>
          <w:szCs w:val="21"/>
          <w:highlight w:val="none"/>
        </w:rPr>
        <w:t>（2）单位、法定代表人或拟派项目经理（项目负责人）被人民检察院列入行贿犯罪档案；</w:t>
      </w:r>
    </w:p>
    <w:p w14:paraId="202C5A2D">
      <w:pPr>
        <w:shd w:val="clear"/>
        <w:spacing w:line="360" w:lineRule="auto"/>
        <w:ind w:left="422" w:firstLine="420" w:firstLineChars="200"/>
        <w:rPr>
          <w:rFonts w:ascii="宋体" w:hAnsi="宋体"/>
          <w:color w:val="auto"/>
          <w:szCs w:val="21"/>
          <w:highlight w:val="none"/>
        </w:rPr>
      </w:pPr>
      <w:r>
        <w:rPr>
          <w:rFonts w:hint="eastAsia" w:ascii="宋体" w:hAnsi="宋体"/>
          <w:color w:val="auto"/>
          <w:szCs w:val="21"/>
          <w:highlight w:val="none"/>
        </w:rPr>
        <w:t>（3）被市场监督管理部门列入企业经营异常名录；</w:t>
      </w:r>
    </w:p>
    <w:p w14:paraId="2D9BEFFE">
      <w:pPr>
        <w:shd w:val="clear"/>
        <w:spacing w:line="360" w:lineRule="auto"/>
        <w:ind w:left="422" w:firstLine="420" w:firstLineChars="200"/>
        <w:rPr>
          <w:rFonts w:ascii="宋体" w:hAnsi="宋体"/>
          <w:color w:val="auto"/>
          <w:szCs w:val="21"/>
          <w:highlight w:val="none"/>
        </w:rPr>
      </w:pPr>
      <w:r>
        <w:rPr>
          <w:rFonts w:hint="eastAsia" w:ascii="宋体" w:hAnsi="宋体"/>
          <w:color w:val="auto"/>
          <w:szCs w:val="21"/>
          <w:highlight w:val="none"/>
        </w:rPr>
        <w:t>（4）被税务部门列入重大税收违法案件当事人名单；</w:t>
      </w:r>
    </w:p>
    <w:p w14:paraId="65D1360A">
      <w:pPr>
        <w:shd w:val="clear"/>
        <w:spacing w:line="360" w:lineRule="auto"/>
        <w:ind w:left="422" w:firstLine="420" w:firstLineChars="200"/>
        <w:rPr>
          <w:rFonts w:hint="eastAsia" w:ascii="宋体" w:hAnsi="宋体"/>
          <w:color w:val="auto"/>
          <w:szCs w:val="21"/>
          <w:highlight w:val="none"/>
        </w:rPr>
      </w:pPr>
      <w:r>
        <w:rPr>
          <w:rFonts w:hint="eastAsia" w:ascii="宋体" w:hAnsi="宋体"/>
          <w:color w:val="auto"/>
          <w:szCs w:val="21"/>
          <w:highlight w:val="none"/>
        </w:rPr>
        <w:t>（5）被政府采购监管部门列入政府采购严重违法失信行为记录名单。</w:t>
      </w:r>
    </w:p>
    <w:p w14:paraId="2B83E080">
      <w:pPr>
        <w:shd w:val="clear"/>
        <w:spacing w:line="360" w:lineRule="auto"/>
        <w:ind w:left="422" w:firstLine="420" w:firstLineChars="200"/>
        <w:rPr>
          <w:rFonts w:ascii="宋体" w:hAnsi="宋体"/>
          <w:color w:val="auto"/>
          <w:szCs w:val="21"/>
          <w:highlight w:val="none"/>
        </w:rPr>
      </w:pPr>
      <w:r>
        <w:rPr>
          <w:rFonts w:hint="eastAsia" w:ascii="宋体" w:hAnsi="宋体"/>
          <w:color w:val="auto"/>
          <w:szCs w:val="21"/>
          <w:highlight w:val="none"/>
        </w:rPr>
        <w:t>我单位承诺：合同签订前，若我单位不符合《中华人民共和国政府采购法》第二十二条规定及本项目所要求的资格条件，贵方可取消我单位成交资格或者不授予合同，所有责任由我单位自行承担。同时，我单位愿意无条件接受监管部门的调查处理。</w:t>
      </w:r>
    </w:p>
    <w:p w14:paraId="6B095068">
      <w:pPr>
        <w:shd w:val="clear"/>
        <w:spacing w:line="360" w:lineRule="auto"/>
        <w:ind w:left="422"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0E181BE6">
      <w:pPr>
        <w:shd w:val="clear"/>
        <w:spacing w:line="360" w:lineRule="auto"/>
        <w:jc w:val="right"/>
        <w:outlineLvl w:val="2"/>
        <w:rPr>
          <w:rFonts w:hint="eastAsia" w:ascii="宋体" w:hAnsi="宋体"/>
          <w:color w:val="auto"/>
          <w:szCs w:val="21"/>
          <w:highlight w:val="none"/>
        </w:rPr>
      </w:pPr>
      <w:r>
        <w:rPr>
          <w:rFonts w:hint="eastAsia" w:ascii="宋体" w:hAnsi="宋体"/>
          <w:color w:val="auto"/>
          <w:szCs w:val="21"/>
          <w:highlight w:val="none"/>
        </w:rPr>
        <w:t>供应商公章：_______________________</w:t>
      </w:r>
    </w:p>
    <w:p w14:paraId="2FC98C83">
      <w:pPr>
        <w:shd w:val="clear"/>
        <w:spacing w:line="360" w:lineRule="auto"/>
        <w:jc w:val="right"/>
        <w:outlineLvl w:val="2"/>
        <w:rPr>
          <w:rFonts w:ascii="宋体" w:hAnsi="宋体"/>
          <w:b/>
          <w:color w:val="auto"/>
          <w:sz w:val="24"/>
          <w:highlight w:val="none"/>
        </w:rPr>
      </w:pPr>
      <w:r>
        <w:rPr>
          <w:rFonts w:hint="eastAsia" w:hAnsi="宋体"/>
          <w:color w:val="auto"/>
          <w:szCs w:val="21"/>
          <w:highlight w:val="none"/>
        </w:rPr>
        <w:t>日期：       年     月     日</w:t>
      </w:r>
    </w:p>
    <w:p w14:paraId="0D4CB7E0">
      <w:pPr>
        <w:shd w:val="clear"/>
        <w:spacing w:line="360" w:lineRule="auto"/>
        <w:ind w:firstLine="420" w:firstLineChars="200"/>
        <w:rPr>
          <w:rFonts w:ascii="宋体" w:hAnsi="宋体" w:cs="宋体"/>
          <w:color w:val="auto"/>
          <w:szCs w:val="21"/>
          <w:highlight w:val="none"/>
        </w:rPr>
      </w:pPr>
    </w:p>
    <w:p w14:paraId="517B199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5、法定代表人身份证明书（格式见附件）及其有效二代居民身份证；</w:t>
      </w:r>
    </w:p>
    <w:p w14:paraId="392839C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6、法定代表人授权委托书（格式见附件）及其委托代理人有效二代居民身份证，若法定代表人参与</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则不需此件；</w:t>
      </w:r>
    </w:p>
    <w:p w14:paraId="75AB61B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7、本项目</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文件中要求</w:t>
      </w:r>
      <w:r>
        <w:rPr>
          <w:rFonts w:hint="eastAsia" w:ascii="宋体" w:hAnsi="宋体" w:cs="宋体"/>
          <w:color w:val="auto"/>
          <w:szCs w:val="21"/>
          <w:highlight w:val="none"/>
          <w:lang w:val="en-US" w:eastAsia="zh-CN"/>
        </w:rPr>
        <w:t>参选人</w:t>
      </w:r>
      <w:r>
        <w:rPr>
          <w:rFonts w:hint="eastAsia" w:ascii="宋体" w:hAnsi="宋体" w:cs="宋体"/>
          <w:color w:val="auto"/>
          <w:szCs w:val="21"/>
          <w:highlight w:val="none"/>
        </w:rPr>
        <w:t>提供的其他证明材料。</w:t>
      </w:r>
    </w:p>
    <w:p w14:paraId="5D30CBC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8、须提供上述证明材料复印件或扫描件或影印件。</w:t>
      </w:r>
    </w:p>
    <w:p w14:paraId="56A6622B">
      <w:pPr>
        <w:rPr>
          <w:rFonts w:hint="eastAsia" w:ascii="宋体" w:hAnsi="宋体" w:cs="宋体"/>
          <w:b/>
          <w:color w:val="auto"/>
          <w:sz w:val="24"/>
          <w:highlight w:val="none"/>
        </w:rPr>
      </w:pPr>
      <w:r>
        <w:rPr>
          <w:rFonts w:hint="eastAsia" w:ascii="宋体" w:hAnsi="宋体" w:cs="宋体"/>
          <w:b/>
          <w:color w:val="auto"/>
          <w:sz w:val="24"/>
          <w:highlight w:val="none"/>
        </w:rPr>
        <w:br w:type="page"/>
      </w:r>
    </w:p>
    <w:p w14:paraId="4BA82ACD">
      <w:pPr>
        <w:shd w:val="clear"/>
        <w:spacing w:line="360" w:lineRule="auto"/>
        <w:jc w:val="left"/>
        <w:rPr>
          <w:rFonts w:ascii="宋体" w:hAnsi="宋体" w:cs="宋体"/>
          <w:b/>
          <w:color w:val="auto"/>
          <w:sz w:val="24"/>
          <w:highlight w:val="none"/>
        </w:rPr>
      </w:pPr>
      <w:r>
        <w:rPr>
          <w:rFonts w:hint="eastAsia" w:ascii="宋体" w:hAnsi="宋体" w:cs="宋体"/>
          <w:b/>
          <w:color w:val="auto"/>
          <w:sz w:val="24"/>
          <w:highlight w:val="none"/>
        </w:rPr>
        <w:t>附 件：</w:t>
      </w:r>
    </w:p>
    <w:p w14:paraId="7A8A74B5">
      <w:pPr>
        <w:shd w:val="clear"/>
        <w:spacing w:line="360" w:lineRule="auto"/>
        <w:ind w:firstLine="413" w:firstLineChars="196"/>
        <w:jc w:val="center"/>
        <w:rPr>
          <w:rFonts w:ascii="宋体" w:hAnsi="宋体" w:cs="宋体"/>
          <w:b/>
          <w:bCs/>
          <w:color w:val="auto"/>
          <w:szCs w:val="21"/>
          <w:highlight w:val="none"/>
        </w:rPr>
      </w:pPr>
      <w:r>
        <w:rPr>
          <w:rFonts w:hint="eastAsia" w:ascii="宋体" w:hAnsi="宋体" w:cs="宋体"/>
          <w:b/>
          <w:bCs/>
          <w:color w:val="auto"/>
          <w:szCs w:val="21"/>
          <w:highlight w:val="none"/>
        </w:rPr>
        <w:t>法定代表人身份证明书</w:t>
      </w:r>
    </w:p>
    <w:p w14:paraId="723E198E">
      <w:pPr>
        <w:shd w:val="clear"/>
        <w:wordWrap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参选</w:t>
      </w:r>
      <w:r>
        <w:rPr>
          <w:rFonts w:hint="eastAsia" w:ascii="宋体" w:hAnsi="宋体" w:cs="宋体"/>
          <w:color w:val="auto"/>
          <w:szCs w:val="21"/>
          <w:highlight w:val="none"/>
        </w:rPr>
        <w:t>人名称：</w:t>
      </w:r>
      <w:r>
        <w:rPr>
          <w:rFonts w:hint="eastAsia" w:ascii="宋体" w:hAnsi="宋体" w:cs="宋体"/>
          <w:color w:val="auto"/>
          <w:szCs w:val="21"/>
          <w:highlight w:val="none"/>
          <w:u w:val="single"/>
        </w:rPr>
        <w:t xml:space="preserve">                              </w:t>
      </w:r>
    </w:p>
    <w:p w14:paraId="1FAB5B76">
      <w:pPr>
        <w:shd w:val="clear"/>
        <w:wordWrap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5C29FE0D">
      <w:pPr>
        <w:shd w:val="clear"/>
        <w:wordWrap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5CF07111">
      <w:pPr>
        <w:shd w:val="clear"/>
        <w:wordWrap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B34FB29">
      <w:pPr>
        <w:shd w:val="clear"/>
        <w:wordWrap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4B39B5B0">
      <w:pPr>
        <w:shd w:val="clear"/>
        <w:wordWrap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3D9AFC8B">
      <w:pPr>
        <w:shd w:val="clear"/>
        <w:wordWrap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参选人</w:t>
      </w:r>
      <w:r>
        <w:rPr>
          <w:rFonts w:hint="eastAsia" w:ascii="宋体" w:hAnsi="宋体" w:cs="宋体"/>
          <w:color w:val="auto"/>
          <w:szCs w:val="21"/>
          <w:highlight w:val="none"/>
        </w:rPr>
        <w:t>名称）的法定代表人。</w:t>
      </w:r>
    </w:p>
    <w:p w14:paraId="35041876">
      <w:pPr>
        <w:shd w:val="clear"/>
        <w:wordWrap w:val="0"/>
        <w:adjustRightInd w:val="0"/>
        <w:snapToGrid w:val="0"/>
        <w:spacing w:line="360" w:lineRule="auto"/>
        <w:ind w:firstLine="411" w:firstLineChars="196"/>
        <w:rPr>
          <w:rFonts w:hAnsi="宋体"/>
          <w:color w:val="auto"/>
          <w:szCs w:val="21"/>
          <w:highlight w:val="none"/>
        </w:rPr>
      </w:pPr>
      <w:r>
        <w:rPr>
          <w:rFonts w:hint="eastAsia" w:hAnsi="宋体"/>
          <w:color w:val="auto"/>
          <w:szCs w:val="21"/>
          <w:highlight w:val="none"/>
        </w:rPr>
        <w:t>联系方式（移动电话）：</w:t>
      </w:r>
      <w:r>
        <w:rPr>
          <w:rFonts w:hint="eastAsia" w:hAnsi="宋体"/>
          <w:color w:val="auto"/>
          <w:szCs w:val="21"/>
          <w:highlight w:val="none"/>
          <w:u w:val="single"/>
        </w:rPr>
        <w:t xml:space="preserve">           </w:t>
      </w:r>
      <w:r>
        <w:rPr>
          <w:rFonts w:hint="eastAsia" w:hAnsi="宋体"/>
          <w:color w:val="auto"/>
          <w:szCs w:val="21"/>
          <w:highlight w:val="none"/>
        </w:rPr>
        <w:t>            </w:t>
      </w:r>
    </w:p>
    <w:p w14:paraId="6D3AC66B">
      <w:pPr>
        <w:shd w:val="clear"/>
        <w:wordWrap w:val="0"/>
        <w:adjustRightInd w:val="0"/>
        <w:snapToGrid w:val="0"/>
        <w:spacing w:line="360" w:lineRule="auto"/>
        <w:ind w:firstLine="420" w:firstLineChars="200"/>
        <w:rPr>
          <w:rFonts w:ascii="宋体" w:hAnsi="宋体" w:cs="宋体"/>
          <w:color w:val="auto"/>
          <w:szCs w:val="21"/>
          <w:highlight w:val="none"/>
        </w:rPr>
      </w:pPr>
      <w:r>
        <w:rPr>
          <w:rFonts w:hint="eastAsia" w:hAnsi="宋体"/>
          <w:color w:val="auto"/>
          <w:szCs w:val="21"/>
          <w:highlight w:val="none"/>
        </w:rPr>
        <w:t>电子邮箱：</w:t>
      </w:r>
      <w:r>
        <w:rPr>
          <w:rFonts w:hint="eastAsia" w:hAnsi="宋体"/>
          <w:color w:val="auto"/>
          <w:szCs w:val="21"/>
          <w:highlight w:val="none"/>
          <w:u w:val="single"/>
        </w:rPr>
        <w:t xml:space="preserve">             </w:t>
      </w:r>
      <w:r>
        <w:rPr>
          <w:rFonts w:hint="eastAsia" w:hAnsi="宋体"/>
          <w:color w:val="auto"/>
          <w:szCs w:val="21"/>
          <w:highlight w:val="none"/>
        </w:rPr>
        <w:t> </w:t>
      </w:r>
    </w:p>
    <w:p w14:paraId="5635545E">
      <w:pPr>
        <w:shd w:val="clear"/>
        <w:wordWrap w:val="0"/>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特此证明。</w:t>
      </w:r>
    </w:p>
    <w:p w14:paraId="48F743BF">
      <w:pPr>
        <w:shd w:val="clear"/>
        <w:wordWrap w:val="0"/>
        <w:adjustRightInd w:val="0"/>
        <w:snapToGrid w:val="0"/>
        <w:spacing w:line="360" w:lineRule="auto"/>
        <w:ind w:firstLine="4137" w:firstLineChars="1970"/>
        <w:rPr>
          <w:rFonts w:ascii="宋体" w:hAnsi="宋体" w:cs="宋体"/>
          <w:color w:val="auto"/>
          <w:szCs w:val="21"/>
          <w:highlight w:val="none"/>
        </w:rPr>
      </w:pPr>
      <w:r>
        <w:rPr>
          <w:rFonts w:hint="eastAsia" w:ascii="宋体" w:hAnsi="宋体" w:cs="宋体"/>
          <w:color w:val="auto"/>
          <w:szCs w:val="21"/>
          <w:highlight w:val="none"/>
          <w:lang w:eastAsia="zh-CN"/>
        </w:rPr>
        <w:t>参选人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6B09FF1F">
      <w:pPr>
        <w:shd w:val="clear"/>
        <w:wordWrap w:val="0"/>
        <w:adjustRightInd w:val="0"/>
        <w:snapToGrid w:val="0"/>
        <w:spacing w:line="360" w:lineRule="auto"/>
        <w:ind w:right="360" w:firstLine="4851" w:firstLineChars="2310"/>
        <w:jc w:val="righ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0F70312">
      <w:pPr>
        <w:shd w:val="clear"/>
        <w:wordWrap w:val="0"/>
        <w:spacing w:line="360" w:lineRule="auto"/>
        <w:jc w:val="center"/>
        <w:rPr>
          <w:rFonts w:ascii="宋体" w:hAnsi="宋体" w:cs="宋体"/>
          <w:color w:val="auto"/>
          <w:szCs w:val="21"/>
          <w:highlight w:val="none"/>
        </w:rPr>
      </w:pPr>
    </w:p>
    <w:p w14:paraId="66A6000A">
      <w:pPr>
        <w:shd w:val="clear"/>
        <w:wordWrap w:val="0"/>
        <w:spacing w:line="360" w:lineRule="auto"/>
        <w:jc w:val="center"/>
        <w:rPr>
          <w:rFonts w:ascii="宋体" w:hAnsi="宋体" w:cs="宋体"/>
          <w:color w:val="auto"/>
          <w:szCs w:val="21"/>
          <w:highlight w:val="none"/>
        </w:rPr>
      </w:pPr>
    </w:p>
    <w:p w14:paraId="7CC878EA">
      <w:pPr>
        <w:shd w:val="clear"/>
        <w:wordWrap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法定代表人授权委托书</w:t>
      </w:r>
    </w:p>
    <w:p w14:paraId="308ED016">
      <w:pPr>
        <w:shd w:val="clear"/>
        <w:wordWrap w:val="0"/>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参选人</w:t>
      </w:r>
      <w:r>
        <w:rPr>
          <w:rFonts w:hint="eastAsia" w:ascii="宋体" w:hAnsi="宋体" w:cs="宋体"/>
          <w:color w:val="auto"/>
          <w:szCs w:val="21"/>
          <w:highlight w:val="none"/>
        </w:rPr>
        <w:t>名称）的法定代表人，现委托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（姓名）为我方委托代理人。委托代理人根据授权，以我方名义处理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（项目名称）的</w:t>
      </w:r>
      <w:r>
        <w:rPr>
          <w:rFonts w:hint="eastAsia" w:ascii="宋体" w:hAnsi="宋体" w:cs="宋体"/>
          <w:color w:val="auto"/>
          <w:szCs w:val="21"/>
          <w:highlight w:val="none"/>
          <w:lang w:val="en-US" w:eastAsia="zh-CN"/>
        </w:rPr>
        <w:t>参选</w:t>
      </w:r>
      <w:r>
        <w:rPr>
          <w:rFonts w:hint="eastAsia" w:ascii="宋体" w:hAnsi="宋体" w:cs="宋体"/>
          <w:color w:val="auto"/>
          <w:szCs w:val="21"/>
          <w:highlight w:val="none"/>
        </w:rPr>
        <w:t>一切事宜，其法律后果由我方承担。</w:t>
      </w:r>
    </w:p>
    <w:p w14:paraId="437D6464">
      <w:pPr>
        <w:shd w:val="clear"/>
        <w:wordWrap w:val="0"/>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B399551">
      <w:pPr>
        <w:shd w:val="clear"/>
        <w:wordWrap w:val="0"/>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3E0393B8">
      <w:pPr>
        <w:shd w:val="clear"/>
        <w:wordWrap w:val="0"/>
        <w:spacing w:line="360" w:lineRule="auto"/>
        <w:ind w:firstLine="630" w:firstLineChars="300"/>
        <w:rPr>
          <w:rFonts w:ascii="宋体" w:hAnsi="宋体" w:cs="宋体"/>
          <w:color w:val="auto"/>
          <w:szCs w:val="21"/>
          <w:highlight w:val="none"/>
          <w:u w:val="singl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年龄：_______</w:t>
      </w:r>
    </w:p>
    <w:p w14:paraId="6431323B">
      <w:pPr>
        <w:shd w:val="clear"/>
        <w:wordWrap w:val="0"/>
        <w:spacing w:line="360" w:lineRule="auto"/>
        <w:ind w:firstLine="630" w:firstLineChars="300"/>
        <w:rPr>
          <w:rFonts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122466B9">
      <w:pPr>
        <w:shd w:val="clear"/>
        <w:wordWrap w:val="0"/>
        <w:adjustRightInd w:val="0"/>
        <w:snapToGrid w:val="0"/>
        <w:spacing w:line="360" w:lineRule="auto"/>
        <w:ind w:firstLine="411" w:firstLineChars="196"/>
        <w:rPr>
          <w:rFonts w:hAnsi="宋体"/>
          <w:color w:val="auto"/>
          <w:szCs w:val="21"/>
          <w:highlight w:val="none"/>
        </w:rPr>
      </w:pPr>
    </w:p>
    <w:p w14:paraId="1964B8B3">
      <w:pPr>
        <w:shd w:val="clear"/>
        <w:wordWrap w:val="0"/>
        <w:adjustRightInd w:val="0"/>
        <w:snapToGrid w:val="0"/>
        <w:spacing w:line="360" w:lineRule="auto"/>
        <w:ind w:firstLine="411" w:firstLineChars="196"/>
        <w:rPr>
          <w:rFonts w:hAnsi="宋体"/>
          <w:color w:val="auto"/>
          <w:szCs w:val="21"/>
          <w:highlight w:val="none"/>
        </w:rPr>
      </w:pPr>
      <w:r>
        <w:rPr>
          <w:rFonts w:hint="eastAsia" w:hAnsi="宋体"/>
          <w:color w:val="auto"/>
          <w:szCs w:val="21"/>
          <w:highlight w:val="none"/>
        </w:rPr>
        <w:t>联系方式（移动电话）：</w:t>
      </w:r>
      <w:r>
        <w:rPr>
          <w:rFonts w:hint="eastAsia" w:hAnsi="宋体"/>
          <w:color w:val="auto"/>
          <w:szCs w:val="21"/>
          <w:highlight w:val="none"/>
          <w:u w:val="single"/>
        </w:rPr>
        <w:t xml:space="preserve">           </w:t>
      </w:r>
      <w:r>
        <w:rPr>
          <w:rFonts w:hint="eastAsia" w:hAnsi="宋体"/>
          <w:color w:val="auto"/>
          <w:szCs w:val="21"/>
          <w:highlight w:val="none"/>
        </w:rPr>
        <w:t>            </w:t>
      </w:r>
    </w:p>
    <w:p w14:paraId="35829EC1">
      <w:pPr>
        <w:shd w:val="clear"/>
        <w:wordWrap w:val="0"/>
        <w:spacing w:line="360" w:lineRule="auto"/>
        <w:ind w:firstLine="420" w:firstLineChars="200"/>
        <w:rPr>
          <w:rFonts w:ascii="宋体" w:hAnsi="宋体" w:cs="宋体"/>
          <w:color w:val="auto"/>
          <w:szCs w:val="21"/>
          <w:highlight w:val="none"/>
          <w:u w:val="single"/>
        </w:rPr>
      </w:pPr>
      <w:r>
        <w:rPr>
          <w:rFonts w:hint="eastAsia" w:hAnsi="宋体"/>
          <w:color w:val="auto"/>
          <w:szCs w:val="21"/>
          <w:highlight w:val="none"/>
        </w:rPr>
        <w:t>电子邮箱：</w:t>
      </w:r>
      <w:r>
        <w:rPr>
          <w:rFonts w:hint="eastAsia" w:hAnsi="宋体"/>
          <w:color w:val="auto"/>
          <w:szCs w:val="21"/>
          <w:highlight w:val="none"/>
          <w:u w:val="single"/>
        </w:rPr>
        <w:t xml:space="preserve">             </w:t>
      </w:r>
      <w:r>
        <w:rPr>
          <w:rFonts w:hint="eastAsia" w:hAnsi="宋体"/>
          <w:color w:val="auto"/>
          <w:szCs w:val="21"/>
          <w:highlight w:val="none"/>
        </w:rPr>
        <w:t> </w:t>
      </w:r>
    </w:p>
    <w:p w14:paraId="175C6FB1">
      <w:pPr>
        <w:shd w:val="clea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参选人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（盖章）</w:t>
      </w:r>
    </w:p>
    <w:p w14:paraId="6237B8B7">
      <w:pPr>
        <w:shd w:val="clea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（盖章）</w:t>
      </w:r>
    </w:p>
    <w:p w14:paraId="4B72605A">
      <w:pPr>
        <w:shd w:val="clear"/>
        <w:wordWrap w:val="0"/>
        <w:spacing w:line="360" w:lineRule="auto"/>
        <w:ind w:right="480" w:firstLine="420" w:firstLineChars="200"/>
        <w:rPr>
          <w:rFonts w:ascii="宋体" w:hAnsi="宋体" w:cs="宋体"/>
          <w:color w:val="auto"/>
          <w:szCs w:val="21"/>
          <w:highlight w:val="none"/>
        </w:rPr>
      </w:pPr>
      <w:r>
        <w:rPr>
          <w:rFonts w:hint="eastAsia" w:ascii="宋体" w:hAnsi="宋体" w:cs="宋体"/>
          <w:color w:val="auto"/>
          <w:szCs w:val="21"/>
          <w:highlight w:val="none"/>
        </w:rPr>
        <w:t>授权委托日期：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sectPr>
      <w:footerReference r:id="rId7"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DaunPenh">
    <w:altName w:val="Microsoft Himalaya"/>
    <w:panose1 w:val="00000000000000000000"/>
    <w:charset w:val="00"/>
    <w:family w:val="auto"/>
    <w:pitch w:val="default"/>
    <w:sig w:usb0="00000000" w:usb1="00000000" w:usb2="00010000" w:usb3="00000000" w:csb0="00000001" w:csb1="00000000"/>
  </w:font>
  <w:font w:name="Microsoft Himalaya">
    <w:panose1 w:val="01010100010101010101"/>
    <w:charset w:val="00"/>
    <w:family w:val="auto"/>
    <w:pitch w:val="default"/>
    <w:sig w:usb0="80000003" w:usb1="00010000" w:usb2="00000040" w:usb3="00000000" w:csb0="0000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FDA8B98">
    <w:panose1 w:val="02000000000000000000"/>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4856F">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1921"/>
      <w:docPartObj>
        <w:docPartGallery w:val="autotext"/>
      </w:docPartObj>
    </w:sdtPr>
    <w:sdtContent>
      <w:p w14:paraId="4AEB3D1A">
        <w:pPr>
          <w:pStyle w:val="39"/>
          <w:jc w:val="center"/>
        </w:pPr>
        <w:r>
          <w:fldChar w:fldCharType="begin"/>
        </w:r>
        <w:r>
          <w:instrText xml:space="preserve">PAGE   \* MERGEFORMAT</w:instrText>
        </w:r>
        <w:r>
          <w:fldChar w:fldCharType="separate"/>
        </w:r>
        <w:r>
          <w:rPr>
            <w:lang w:val="zh-CN"/>
          </w:rPr>
          <w:t>2</w:t>
        </w:r>
        <w:r>
          <w:fldChar w:fldCharType="end"/>
        </w:r>
      </w:p>
    </w:sdtContent>
  </w:sdt>
  <w:p w14:paraId="7B822EF9">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2198"/>
      <w:docPartObj>
        <w:docPartGallery w:val="autotext"/>
      </w:docPartObj>
    </w:sdtPr>
    <w:sdtContent>
      <w:p w14:paraId="6352615A">
        <w:pPr>
          <w:pStyle w:val="39"/>
          <w:jc w:val="center"/>
        </w:pPr>
        <w:r>
          <w:fldChar w:fldCharType="begin"/>
        </w:r>
        <w:r>
          <w:instrText xml:space="preserve">PAGE   \* MERGEFORMAT</w:instrText>
        </w:r>
        <w:r>
          <w:fldChar w:fldCharType="separate"/>
        </w:r>
        <w:r>
          <w:rPr>
            <w:lang w:val="zh-CN"/>
          </w:rPr>
          <w:t>2</w:t>
        </w:r>
        <w:r>
          <w:fldChar w:fldCharType="end"/>
        </w:r>
      </w:p>
    </w:sdtContent>
  </w:sdt>
  <w:p w14:paraId="6EC54CBC">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72E7D">
    <w:pPr>
      <w:pStyle w:val="40"/>
      <w:jc w:val="right"/>
    </w:pPr>
    <w:r>
      <w:rPr>
        <w:rFonts w:hint="eastAsia"/>
        <w:sz w:val="16"/>
        <w:szCs w:val="16"/>
        <w:lang w:eastAsia="zh-CN"/>
      </w:rPr>
      <w:t>上河院项目跨湖人行栈道桩基检测及建设工程质量检测比选文件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A517">
    <w:pPr>
      <w:pStyle w:val="40"/>
      <w:jc w:val="right"/>
      <w:rPr>
        <w:rFonts w:hint="eastAsia"/>
        <w:sz w:val="16"/>
        <w:szCs w:val="16"/>
        <w:lang w:eastAsia="zh-CN"/>
      </w:rPr>
    </w:pPr>
    <w:r>
      <w:rPr>
        <w:rFonts w:hint="eastAsia"/>
        <w:sz w:val="16"/>
        <w:szCs w:val="16"/>
        <w:lang w:eastAsia="zh-CN"/>
      </w:rPr>
      <w:t>上河院项目跨湖人行栈道桩基检测及建设工程质量检测比选文件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0987F"/>
    <w:multiLevelType w:val="singleLevel"/>
    <w:tmpl w:val="84D0987F"/>
    <w:lvl w:ilvl="0" w:tentative="0">
      <w:start w:val="1"/>
      <w:numFmt w:val="decimal"/>
      <w:suff w:val="nothing"/>
      <w:lvlText w:val="%1."/>
      <w:lvlJc w:val="left"/>
      <w:pPr>
        <w:ind w:left="0" w:leftChars="0" w:firstLine="0" w:firstLineChars="0"/>
      </w:pPr>
      <w:rPr>
        <w:rFonts w:hint="default"/>
      </w:rPr>
    </w:lvl>
  </w:abstractNum>
  <w:abstractNum w:abstractNumId="1">
    <w:nsid w:val="85C4381C"/>
    <w:multiLevelType w:val="singleLevel"/>
    <w:tmpl w:val="85C4381C"/>
    <w:lvl w:ilvl="0" w:tentative="0">
      <w:start w:val="1"/>
      <w:numFmt w:val="decimalEnclosedCircleChinese"/>
      <w:suff w:val="nothing"/>
      <w:lvlText w:val="%1　"/>
      <w:lvlJc w:val="left"/>
      <w:pPr>
        <w:ind w:left="0" w:firstLine="400"/>
      </w:pPr>
      <w:rPr>
        <w:rFonts w:hint="eastAsia"/>
      </w:rPr>
    </w:lvl>
  </w:abstractNum>
  <w:abstractNum w:abstractNumId="2">
    <w:nsid w:val="8E4C2A1A"/>
    <w:multiLevelType w:val="singleLevel"/>
    <w:tmpl w:val="8E4C2A1A"/>
    <w:lvl w:ilvl="0" w:tentative="0">
      <w:start w:val="1"/>
      <w:numFmt w:val="decimal"/>
      <w:suff w:val="nothing"/>
      <w:lvlText w:val="（%1）"/>
      <w:lvlJc w:val="left"/>
    </w:lvl>
  </w:abstractNum>
  <w:abstractNum w:abstractNumId="3">
    <w:nsid w:val="94D327EB"/>
    <w:multiLevelType w:val="singleLevel"/>
    <w:tmpl w:val="94D327EB"/>
    <w:lvl w:ilvl="0" w:tentative="0">
      <w:start w:val="3"/>
      <w:numFmt w:val="decimal"/>
      <w:suff w:val="nothing"/>
      <w:lvlText w:val="%1、"/>
      <w:lvlJc w:val="left"/>
    </w:lvl>
  </w:abstractNum>
  <w:abstractNum w:abstractNumId="4">
    <w:nsid w:val="963D0218"/>
    <w:multiLevelType w:val="singleLevel"/>
    <w:tmpl w:val="963D0218"/>
    <w:lvl w:ilvl="0" w:tentative="0">
      <w:start w:val="1"/>
      <w:numFmt w:val="decimal"/>
      <w:suff w:val="nothing"/>
      <w:lvlText w:val="(%1)"/>
      <w:lvlJc w:val="left"/>
      <w:pPr>
        <w:ind w:left="0" w:leftChars="0" w:firstLine="0" w:firstLineChars="0"/>
      </w:pPr>
      <w:rPr>
        <w:rFonts w:hint="default"/>
      </w:rPr>
    </w:lvl>
  </w:abstractNum>
  <w:abstractNum w:abstractNumId="5">
    <w:nsid w:val="9667BAB6"/>
    <w:multiLevelType w:val="singleLevel"/>
    <w:tmpl w:val="9667BAB6"/>
    <w:lvl w:ilvl="0" w:tentative="0">
      <w:start w:val="1"/>
      <w:numFmt w:val="decimal"/>
      <w:suff w:val="nothing"/>
      <w:lvlText w:val="(%1)"/>
      <w:lvlJc w:val="left"/>
      <w:pPr>
        <w:ind w:left="0" w:leftChars="0" w:firstLine="0" w:firstLineChars="0"/>
      </w:pPr>
      <w:rPr>
        <w:rFonts w:hint="default"/>
      </w:rPr>
    </w:lvl>
  </w:abstractNum>
  <w:abstractNum w:abstractNumId="6">
    <w:nsid w:val="9A838B55"/>
    <w:multiLevelType w:val="singleLevel"/>
    <w:tmpl w:val="9A838B55"/>
    <w:lvl w:ilvl="0" w:tentative="0">
      <w:start w:val="1"/>
      <w:numFmt w:val="decimal"/>
      <w:suff w:val="nothing"/>
      <w:lvlText w:val="（%1）"/>
      <w:lvlJc w:val="left"/>
      <w:rPr>
        <w:rFonts w:hint="default" w:ascii="仿宋" w:hAnsi="仿宋" w:eastAsia="仿宋" w:cs="仿宋"/>
        <w:sz w:val="30"/>
        <w:szCs w:val="30"/>
      </w:rPr>
    </w:lvl>
  </w:abstractNum>
  <w:abstractNum w:abstractNumId="7">
    <w:nsid w:val="A05E85E8"/>
    <w:multiLevelType w:val="singleLevel"/>
    <w:tmpl w:val="A05E85E8"/>
    <w:lvl w:ilvl="0" w:tentative="0">
      <w:start w:val="1"/>
      <w:numFmt w:val="decimal"/>
      <w:suff w:val="nothing"/>
      <w:lvlText w:val="%1、"/>
      <w:lvlJc w:val="left"/>
      <w:rPr>
        <w:rFonts w:hint="default" w:ascii="宋体" w:hAnsi="宋体" w:eastAsia="宋体" w:cs="宋体"/>
        <w:sz w:val="21"/>
        <w:szCs w:val="21"/>
      </w:rPr>
    </w:lvl>
  </w:abstractNum>
  <w:abstractNum w:abstractNumId="8">
    <w:nsid w:val="A95FDC6B"/>
    <w:multiLevelType w:val="singleLevel"/>
    <w:tmpl w:val="A95FDC6B"/>
    <w:lvl w:ilvl="0" w:tentative="0">
      <w:start w:val="1"/>
      <w:numFmt w:val="decimalEnclosedCircleChinese"/>
      <w:suff w:val="nothing"/>
      <w:lvlText w:val="%1　"/>
      <w:lvlJc w:val="left"/>
      <w:pPr>
        <w:ind w:left="0" w:firstLine="400"/>
      </w:pPr>
      <w:rPr>
        <w:rFonts w:hint="eastAsia"/>
      </w:rPr>
    </w:lvl>
  </w:abstractNum>
  <w:abstractNum w:abstractNumId="9">
    <w:nsid w:val="AC48D802"/>
    <w:multiLevelType w:val="singleLevel"/>
    <w:tmpl w:val="AC48D802"/>
    <w:lvl w:ilvl="0" w:tentative="0">
      <w:start w:val="1"/>
      <w:numFmt w:val="decimal"/>
      <w:suff w:val="nothing"/>
      <w:lvlText w:val="%1、"/>
      <w:lvlJc w:val="left"/>
      <w:rPr>
        <w:rFonts w:hint="default"/>
        <w:sz w:val="21"/>
        <w:szCs w:val="21"/>
      </w:rPr>
    </w:lvl>
  </w:abstractNum>
  <w:abstractNum w:abstractNumId="10">
    <w:nsid w:val="B07A8643"/>
    <w:multiLevelType w:val="singleLevel"/>
    <w:tmpl w:val="B07A8643"/>
    <w:lvl w:ilvl="0" w:tentative="0">
      <w:start w:val="1"/>
      <w:numFmt w:val="decimalEnclosedCircleChinese"/>
      <w:suff w:val="nothing"/>
      <w:lvlText w:val="%1　"/>
      <w:lvlJc w:val="left"/>
      <w:pPr>
        <w:ind w:left="0" w:firstLine="400"/>
      </w:pPr>
      <w:rPr>
        <w:rFonts w:hint="eastAsia"/>
      </w:rPr>
    </w:lvl>
  </w:abstractNum>
  <w:abstractNum w:abstractNumId="11">
    <w:nsid w:val="B48E706F"/>
    <w:multiLevelType w:val="singleLevel"/>
    <w:tmpl w:val="B48E706F"/>
    <w:lvl w:ilvl="0" w:tentative="0">
      <w:start w:val="1"/>
      <w:numFmt w:val="decimalEnclosedCircleChinese"/>
      <w:suff w:val="nothing"/>
      <w:lvlText w:val="%1　"/>
      <w:lvlJc w:val="left"/>
      <w:pPr>
        <w:ind w:left="0" w:firstLine="400"/>
      </w:pPr>
      <w:rPr>
        <w:rFonts w:hint="eastAsia"/>
      </w:rPr>
    </w:lvl>
  </w:abstractNum>
  <w:abstractNum w:abstractNumId="12">
    <w:nsid w:val="B749F481"/>
    <w:multiLevelType w:val="singleLevel"/>
    <w:tmpl w:val="B749F481"/>
    <w:lvl w:ilvl="0" w:tentative="0">
      <w:start w:val="1"/>
      <w:numFmt w:val="decimal"/>
      <w:suff w:val="nothing"/>
      <w:lvlText w:val="%1."/>
      <w:lvlJc w:val="left"/>
      <w:pPr>
        <w:ind w:left="0" w:leftChars="0" w:firstLine="0" w:firstLineChars="0"/>
      </w:pPr>
      <w:rPr>
        <w:rFonts w:hint="default"/>
      </w:rPr>
    </w:lvl>
  </w:abstractNum>
  <w:abstractNum w:abstractNumId="13">
    <w:nsid w:val="BF3D058B"/>
    <w:multiLevelType w:val="singleLevel"/>
    <w:tmpl w:val="BF3D058B"/>
    <w:lvl w:ilvl="0" w:tentative="0">
      <w:start w:val="3"/>
      <w:numFmt w:val="chineseCounting"/>
      <w:suff w:val="space"/>
      <w:lvlText w:val="第%1章"/>
      <w:lvlJc w:val="left"/>
      <w:rPr>
        <w:rFonts w:hint="eastAsia"/>
      </w:rPr>
    </w:lvl>
  </w:abstractNum>
  <w:abstractNum w:abstractNumId="14">
    <w:nsid w:val="C0B4D315"/>
    <w:multiLevelType w:val="singleLevel"/>
    <w:tmpl w:val="C0B4D315"/>
    <w:lvl w:ilvl="0" w:tentative="0">
      <w:start w:val="1"/>
      <w:numFmt w:val="chineseCounting"/>
      <w:suff w:val="space"/>
      <w:lvlText w:val="第%1章"/>
      <w:lvlJc w:val="left"/>
      <w:rPr>
        <w:rFonts w:hint="eastAsia"/>
      </w:rPr>
    </w:lvl>
  </w:abstractNum>
  <w:abstractNum w:abstractNumId="15">
    <w:nsid w:val="C4BC3CD3"/>
    <w:multiLevelType w:val="singleLevel"/>
    <w:tmpl w:val="C4BC3CD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6">
    <w:nsid w:val="C8E5F963"/>
    <w:multiLevelType w:val="singleLevel"/>
    <w:tmpl w:val="C8E5F963"/>
    <w:lvl w:ilvl="0" w:tentative="0">
      <w:start w:val="1"/>
      <w:numFmt w:val="decimal"/>
      <w:suff w:val="nothing"/>
      <w:lvlText w:val="%1."/>
      <w:lvlJc w:val="left"/>
      <w:pPr>
        <w:ind w:left="0" w:firstLine="0"/>
      </w:pPr>
      <w:rPr>
        <w:rFonts w:hint="default"/>
      </w:rPr>
    </w:lvl>
  </w:abstractNum>
  <w:abstractNum w:abstractNumId="17">
    <w:nsid w:val="CD444BA3"/>
    <w:multiLevelType w:val="singleLevel"/>
    <w:tmpl w:val="CD444BA3"/>
    <w:lvl w:ilvl="0" w:tentative="0">
      <w:start w:val="1"/>
      <w:numFmt w:val="chineseCounting"/>
      <w:suff w:val="nothing"/>
      <w:lvlText w:val="%1、"/>
      <w:lvlJc w:val="left"/>
      <w:pPr>
        <w:ind w:left="0" w:firstLine="420"/>
      </w:pPr>
      <w:rPr>
        <w:rFonts w:hint="eastAsia"/>
      </w:rPr>
    </w:lvl>
  </w:abstractNum>
  <w:abstractNum w:abstractNumId="18">
    <w:nsid w:val="E754633D"/>
    <w:multiLevelType w:val="singleLevel"/>
    <w:tmpl w:val="E754633D"/>
    <w:lvl w:ilvl="0" w:tentative="0">
      <w:start w:val="2"/>
      <w:numFmt w:val="chineseCounting"/>
      <w:suff w:val="nothing"/>
      <w:lvlText w:val="（%1）"/>
      <w:lvlJc w:val="left"/>
      <w:rPr>
        <w:rFonts w:hint="eastAsia"/>
      </w:rPr>
    </w:lvl>
  </w:abstractNum>
  <w:abstractNum w:abstractNumId="19">
    <w:nsid w:val="F4BB07AF"/>
    <w:multiLevelType w:val="singleLevel"/>
    <w:tmpl w:val="F4BB07AF"/>
    <w:lvl w:ilvl="0" w:tentative="0">
      <w:start w:val="1"/>
      <w:numFmt w:val="decimal"/>
      <w:suff w:val="nothing"/>
      <w:lvlText w:val="%1."/>
      <w:lvlJc w:val="left"/>
      <w:pPr>
        <w:ind w:left="0" w:firstLine="0"/>
      </w:pPr>
      <w:rPr>
        <w:rFonts w:hint="default"/>
      </w:rPr>
    </w:lvl>
  </w:abstractNum>
  <w:abstractNum w:abstractNumId="20">
    <w:nsid w:val="F7DFB648"/>
    <w:multiLevelType w:val="singleLevel"/>
    <w:tmpl w:val="F7DFB648"/>
    <w:lvl w:ilvl="0" w:tentative="0">
      <w:start w:val="1"/>
      <w:numFmt w:val="upperLetter"/>
      <w:suff w:val="nothing"/>
      <w:lvlText w:val="%1."/>
      <w:lvlJc w:val="left"/>
      <w:pPr>
        <w:ind w:left="0" w:leftChars="0" w:firstLine="0" w:firstLineChars="0"/>
      </w:pPr>
      <w:rPr>
        <w:rFonts w:hint="default"/>
      </w:rPr>
    </w:lvl>
  </w:abstractNum>
  <w:abstractNum w:abstractNumId="21">
    <w:nsid w:val="FE2ABE26"/>
    <w:multiLevelType w:val="singleLevel"/>
    <w:tmpl w:val="FE2ABE26"/>
    <w:lvl w:ilvl="0" w:tentative="0">
      <w:start w:val="1"/>
      <w:numFmt w:val="decimal"/>
      <w:suff w:val="nothing"/>
      <w:lvlText w:val="%1."/>
      <w:lvlJc w:val="left"/>
      <w:pPr>
        <w:ind w:left="0" w:leftChars="0" w:firstLine="0" w:firstLineChars="0"/>
      </w:pPr>
      <w:rPr>
        <w:rFonts w:hint="default"/>
      </w:rPr>
    </w:lvl>
  </w:abstractNum>
  <w:abstractNum w:abstractNumId="22">
    <w:nsid w:val="FF1D098C"/>
    <w:multiLevelType w:val="singleLevel"/>
    <w:tmpl w:val="FF1D098C"/>
    <w:lvl w:ilvl="0" w:tentative="0">
      <w:start w:val="1"/>
      <w:numFmt w:val="decimal"/>
      <w:suff w:val="nothing"/>
      <w:lvlText w:val="(%1)"/>
      <w:lvlJc w:val="left"/>
      <w:pPr>
        <w:ind w:left="0" w:leftChars="0" w:firstLine="0" w:firstLineChars="0"/>
      </w:pPr>
      <w:rPr>
        <w:rFonts w:hint="default"/>
      </w:rPr>
    </w:lvl>
  </w:abstractNum>
  <w:abstractNum w:abstractNumId="23">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4">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25">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6">
    <w:nsid w:val="00927D50"/>
    <w:multiLevelType w:val="singleLevel"/>
    <w:tmpl w:val="00927D50"/>
    <w:lvl w:ilvl="0" w:tentative="0">
      <w:start w:val="1"/>
      <w:numFmt w:val="decimal"/>
      <w:suff w:val="nothing"/>
      <w:lvlText w:val="(%1)"/>
      <w:lvlJc w:val="left"/>
      <w:pPr>
        <w:ind w:left="0" w:leftChars="0" w:firstLine="0" w:firstLineChars="0"/>
      </w:pPr>
      <w:rPr>
        <w:rFonts w:hint="default"/>
      </w:rPr>
    </w:lvl>
  </w:abstractNum>
  <w:abstractNum w:abstractNumId="27">
    <w:nsid w:val="0F180222"/>
    <w:multiLevelType w:val="singleLevel"/>
    <w:tmpl w:val="0F180222"/>
    <w:lvl w:ilvl="0" w:tentative="0">
      <w:start w:val="1"/>
      <w:numFmt w:val="decimalEnclosedCircleChinese"/>
      <w:suff w:val="nothing"/>
      <w:lvlText w:val="%1　"/>
      <w:lvlJc w:val="left"/>
      <w:pPr>
        <w:ind w:left="0" w:firstLine="400"/>
      </w:pPr>
      <w:rPr>
        <w:rFonts w:hint="eastAsia"/>
      </w:rPr>
    </w:lvl>
  </w:abstractNum>
  <w:abstractNum w:abstractNumId="28">
    <w:nsid w:val="1A9974B6"/>
    <w:multiLevelType w:val="singleLevel"/>
    <w:tmpl w:val="1A9974B6"/>
    <w:lvl w:ilvl="0" w:tentative="0">
      <w:start w:val="1"/>
      <w:numFmt w:val="decimal"/>
      <w:lvlText w:val="(%1)"/>
      <w:lvlJc w:val="left"/>
      <w:pPr>
        <w:ind w:left="425" w:hanging="425"/>
      </w:pPr>
      <w:rPr>
        <w:rFonts w:hint="default"/>
      </w:rPr>
    </w:lvl>
  </w:abstractNum>
  <w:abstractNum w:abstractNumId="29">
    <w:nsid w:val="1F4E1EF0"/>
    <w:multiLevelType w:val="singleLevel"/>
    <w:tmpl w:val="1F4E1EF0"/>
    <w:lvl w:ilvl="0" w:tentative="0">
      <w:start w:val="1"/>
      <w:numFmt w:val="upperLetter"/>
      <w:suff w:val="nothing"/>
      <w:lvlText w:val="%1."/>
      <w:lvlJc w:val="left"/>
      <w:pPr>
        <w:ind w:left="0" w:leftChars="0" w:firstLine="0" w:firstLineChars="0"/>
      </w:pPr>
      <w:rPr>
        <w:rFonts w:hint="default"/>
      </w:rPr>
    </w:lvl>
  </w:abstractNum>
  <w:abstractNum w:abstractNumId="30">
    <w:nsid w:val="1FC2417C"/>
    <w:multiLevelType w:val="singleLevel"/>
    <w:tmpl w:val="1FC2417C"/>
    <w:lvl w:ilvl="0" w:tentative="0">
      <w:start w:val="1"/>
      <w:numFmt w:val="decimalEnclosedCircleChinese"/>
      <w:suff w:val="nothing"/>
      <w:lvlText w:val="%1　"/>
      <w:lvlJc w:val="left"/>
      <w:pPr>
        <w:ind w:left="0" w:firstLine="400"/>
      </w:pPr>
      <w:rPr>
        <w:rFonts w:hint="eastAsia"/>
      </w:rPr>
    </w:lvl>
  </w:abstractNum>
  <w:abstractNum w:abstractNumId="31">
    <w:nsid w:val="238F6F0C"/>
    <w:multiLevelType w:val="singleLevel"/>
    <w:tmpl w:val="238F6F0C"/>
    <w:lvl w:ilvl="0" w:tentative="0">
      <w:start w:val="1"/>
      <w:numFmt w:val="decimal"/>
      <w:suff w:val="nothing"/>
      <w:lvlText w:val="%1."/>
      <w:lvlJc w:val="left"/>
      <w:pPr>
        <w:ind w:left="0" w:leftChars="0" w:firstLine="0" w:firstLineChars="0"/>
      </w:pPr>
      <w:rPr>
        <w:rFonts w:hint="default"/>
      </w:rPr>
    </w:lvl>
  </w:abstractNum>
  <w:abstractNum w:abstractNumId="32">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33">
    <w:nsid w:val="28A9190D"/>
    <w:multiLevelType w:val="singleLevel"/>
    <w:tmpl w:val="28A9190D"/>
    <w:lvl w:ilvl="0" w:tentative="0">
      <w:start w:val="2"/>
      <w:numFmt w:val="decimal"/>
      <w:suff w:val="space"/>
      <w:lvlText w:val="%1."/>
      <w:lvlJc w:val="left"/>
    </w:lvl>
  </w:abstractNum>
  <w:abstractNum w:abstractNumId="34">
    <w:nsid w:val="3DEA33D1"/>
    <w:multiLevelType w:val="singleLevel"/>
    <w:tmpl w:val="3DEA33D1"/>
    <w:lvl w:ilvl="0" w:tentative="0">
      <w:start w:val="1"/>
      <w:numFmt w:val="decimal"/>
      <w:suff w:val="nothing"/>
      <w:lvlText w:val="(%1)"/>
      <w:lvlJc w:val="left"/>
      <w:pPr>
        <w:ind w:left="0" w:leftChars="0" w:firstLine="0" w:firstLineChars="0"/>
      </w:pPr>
      <w:rPr>
        <w:rFonts w:hint="default"/>
      </w:rPr>
    </w:lvl>
  </w:abstractNum>
  <w:abstractNum w:abstractNumId="35">
    <w:nsid w:val="4D575A3E"/>
    <w:multiLevelType w:val="singleLevel"/>
    <w:tmpl w:val="4D575A3E"/>
    <w:lvl w:ilvl="0" w:tentative="0">
      <w:start w:val="1"/>
      <w:numFmt w:val="chineseCounting"/>
      <w:suff w:val="nothing"/>
      <w:lvlText w:val="%1、"/>
      <w:lvlJc w:val="left"/>
      <w:pPr>
        <w:ind w:left="208" w:firstLine="420"/>
      </w:pPr>
      <w:rPr>
        <w:rFonts w:hint="eastAsia"/>
      </w:rPr>
    </w:lvl>
  </w:abstractNum>
  <w:abstractNum w:abstractNumId="36">
    <w:nsid w:val="4D80BDC5"/>
    <w:multiLevelType w:val="multilevel"/>
    <w:tmpl w:val="4D80BDC5"/>
    <w:lvl w:ilvl="0" w:tentative="0">
      <w:start w:val="1"/>
      <w:numFmt w:val="decimal"/>
      <w:suff w:val="nothing"/>
      <w:lvlText w:val="%1."/>
      <w:lvlJc w:val="left"/>
      <w:pPr>
        <w:ind w:left="0" w:firstLine="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7">
    <w:nsid w:val="50ABACF3"/>
    <w:multiLevelType w:val="singleLevel"/>
    <w:tmpl w:val="50ABACF3"/>
    <w:lvl w:ilvl="0" w:tentative="0">
      <w:start w:val="1"/>
      <w:numFmt w:val="decimal"/>
      <w:suff w:val="nothing"/>
      <w:lvlText w:val="%1、"/>
      <w:lvlJc w:val="left"/>
      <w:rPr>
        <w:rFonts w:hint="default"/>
        <w:sz w:val="20"/>
        <w:szCs w:val="20"/>
      </w:rPr>
    </w:lvl>
  </w:abstractNum>
  <w:abstractNum w:abstractNumId="38">
    <w:nsid w:val="52B80CA3"/>
    <w:multiLevelType w:val="singleLevel"/>
    <w:tmpl w:val="52B80CA3"/>
    <w:lvl w:ilvl="0" w:tentative="0">
      <w:start w:val="1"/>
      <w:numFmt w:val="decimal"/>
      <w:suff w:val="nothing"/>
      <w:lvlText w:val="%1、"/>
      <w:lvlJc w:val="left"/>
      <w:rPr>
        <w:rFonts w:hint="default"/>
        <w:sz w:val="20"/>
        <w:szCs w:val="20"/>
      </w:rPr>
    </w:lvl>
  </w:abstractNum>
  <w:abstractNum w:abstractNumId="39">
    <w:nsid w:val="53B73F2F"/>
    <w:multiLevelType w:val="singleLevel"/>
    <w:tmpl w:val="53B73F2F"/>
    <w:lvl w:ilvl="0" w:tentative="0">
      <w:start w:val="1"/>
      <w:numFmt w:val="lowerLetter"/>
      <w:suff w:val="nothing"/>
      <w:lvlText w:val="%1."/>
      <w:lvlJc w:val="left"/>
      <w:pPr>
        <w:ind w:left="0" w:firstLine="0"/>
      </w:pPr>
      <w:rPr>
        <w:rFonts w:hint="default"/>
      </w:rPr>
    </w:lvl>
  </w:abstractNum>
  <w:abstractNum w:abstractNumId="40">
    <w:nsid w:val="6B0F6AEF"/>
    <w:multiLevelType w:val="singleLevel"/>
    <w:tmpl w:val="6B0F6AEF"/>
    <w:lvl w:ilvl="0" w:tentative="0">
      <w:start w:val="1"/>
      <w:numFmt w:val="decimal"/>
      <w:suff w:val="nothing"/>
      <w:lvlText w:val="(%1)"/>
      <w:lvlJc w:val="left"/>
      <w:pPr>
        <w:ind w:left="0" w:firstLine="0"/>
      </w:pPr>
      <w:rPr>
        <w:rFonts w:hint="default" w:ascii="仿宋" w:hAnsi="仿宋" w:eastAsia="仿宋" w:cs="仿宋"/>
        <w:sz w:val="30"/>
        <w:szCs w:val="30"/>
      </w:rPr>
    </w:lvl>
  </w:abstractNum>
  <w:abstractNum w:abstractNumId="41">
    <w:nsid w:val="6E823CCC"/>
    <w:multiLevelType w:val="singleLevel"/>
    <w:tmpl w:val="6E823CCC"/>
    <w:lvl w:ilvl="0" w:tentative="0">
      <w:start w:val="1"/>
      <w:numFmt w:val="decimal"/>
      <w:suff w:val="nothing"/>
      <w:lvlText w:val="（%1）"/>
      <w:lvlJc w:val="left"/>
    </w:lvl>
  </w:abstractNum>
  <w:num w:numId="1">
    <w:abstractNumId w:val="15"/>
  </w:num>
  <w:num w:numId="2">
    <w:abstractNumId w:val="23"/>
  </w:num>
  <w:num w:numId="3">
    <w:abstractNumId w:val="25"/>
  </w:num>
  <w:num w:numId="4">
    <w:abstractNumId w:val="32"/>
  </w:num>
  <w:num w:numId="5">
    <w:abstractNumId w:val="24"/>
  </w:num>
  <w:num w:numId="6">
    <w:abstractNumId w:val="14"/>
  </w:num>
  <w:num w:numId="7">
    <w:abstractNumId w:val="12"/>
  </w:num>
  <w:num w:numId="8">
    <w:abstractNumId w:val="26"/>
  </w:num>
  <w:num w:numId="9">
    <w:abstractNumId w:val="22"/>
  </w:num>
  <w:num w:numId="10">
    <w:abstractNumId w:val="0"/>
  </w:num>
  <w:num w:numId="11">
    <w:abstractNumId w:val="5"/>
  </w:num>
  <w:num w:numId="12">
    <w:abstractNumId w:val="27"/>
  </w:num>
  <w:num w:numId="13">
    <w:abstractNumId w:val="10"/>
  </w:num>
  <w:num w:numId="14">
    <w:abstractNumId w:val="21"/>
  </w:num>
  <w:num w:numId="15">
    <w:abstractNumId w:val="13"/>
  </w:num>
  <w:num w:numId="16">
    <w:abstractNumId w:val="35"/>
  </w:num>
  <w:num w:numId="17">
    <w:abstractNumId w:val="37"/>
  </w:num>
  <w:num w:numId="18">
    <w:abstractNumId w:val="28"/>
  </w:num>
  <w:num w:numId="19">
    <w:abstractNumId w:val="2"/>
  </w:num>
  <w:num w:numId="20">
    <w:abstractNumId w:val="9"/>
  </w:num>
  <w:num w:numId="21">
    <w:abstractNumId w:val="7"/>
  </w:num>
  <w:num w:numId="22">
    <w:abstractNumId w:val="20"/>
  </w:num>
  <w:num w:numId="23">
    <w:abstractNumId w:val="34"/>
  </w:num>
  <w:num w:numId="24">
    <w:abstractNumId w:val="17"/>
  </w:num>
  <w:num w:numId="25">
    <w:abstractNumId w:val="19"/>
  </w:num>
  <w:num w:numId="26">
    <w:abstractNumId w:val="36"/>
  </w:num>
  <w:num w:numId="27">
    <w:abstractNumId w:val="41"/>
  </w:num>
  <w:num w:numId="28">
    <w:abstractNumId w:val="40"/>
  </w:num>
  <w:num w:numId="29">
    <w:abstractNumId w:val="29"/>
  </w:num>
  <w:num w:numId="30">
    <w:abstractNumId w:val="8"/>
  </w:num>
  <w:num w:numId="31">
    <w:abstractNumId w:val="6"/>
  </w:num>
  <w:num w:numId="32">
    <w:abstractNumId w:val="11"/>
  </w:num>
  <w:num w:numId="33">
    <w:abstractNumId w:val="31"/>
  </w:num>
  <w:num w:numId="34">
    <w:abstractNumId w:val="16"/>
  </w:num>
  <w:num w:numId="35">
    <w:abstractNumId w:val="33"/>
  </w:num>
  <w:num w:numId="36">
    <w:abstractNumId w:val="4"/>
  </w:num>
  <w:num w:numId="37">
    <w:abstractNumId w:val="1"/>
  </w:num>
  <w:num w:numId="38">
    <w:abstractNumId w:val="30"/>
  </w:num>
  <w:num w:numId="39">
    <w:abstractNumId w:val="39"/>
  </w:num>
  <w:num w:numId="40">
    <w:abstractNumId w:val="18"/>
  </w:num>
  <w:num w:numId="41">
    <w:abstractNumId w:val="38"/>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4BAF"/>
    <w:rsid w:val="00FD6E5D"/>
    <w:rsid w:val="00FE506C"/>
    <w:rsid w:val="00FF22A3"/>
    <w:rsid w:val="00FF323D"/>
    <w:rsid w:val="01022145"/>
    <w:rsid w:val="01063446"/>
    <w:rsid w:val="014C4DA3"/>
    <w:rsid w:val="01527EDF"/>
    <w:rsid w:val="01535EB9"/>
    <w:rsid w:val="0191681C"/>
    <w:rsid w:val="019E06E3"/>
    <w:rsid w:val="01F53EB3"/>
    <w:rsid w:val="01FD0DAF"/>
    <w:rsid w:val="02060261"/>
    <w:rsid w:val="022E6257"/>
    <w:rsid w:val="02555ED9"/>
    <w:rsid w:val="029545F8"/>
    <w:rsid w:val="029E7890"/>
    <w:rsid w:val="02B14DC7"/>
    <w:rsid w:val="02F94AB6"/>
    <w:rsid w:val="0319408F"/>
    <w:rsid w:val="032717F3"/>
    <w:rsid w:val="037261AB"/>
    <w:rsid w:val="0383243B"/>
    <w:rsid w:val="0385459C"/>
    <w:rsid w:val="038F71C9"/>
    <w:rsid w:val="03935BFE"/>
    <w:rsid w:val="03B66504"/>
    <w:rsid w:val="03B70FA8"/>
    <w:rsid w:val="03B81543"/>
    <w:rsid w:val="03EF1A15"/>
    <w:rsid w:val="03EF27C8"/>
    <w:rsid w:val="03F1273F"/>
    <w:rsid w:val="04197674"/>
    <w:rsid w:val="041E3B9F"/>
    <w:rsid w:val="044D094D"/>
    <w:rsid w:val="046441B2"/>
    <w:rsid w:val="04753845"/>
    <w:rsid w:val="050913A9"/>
    <w:rsid w:val="050A31D6"/>
    <w:rsid w:val="051557B4"/>
    <w:rsid w:val="051F656E"/>
    <w:rsid w:val="05500A87"/>
    <w:rsid w:val="058101E9"/>
    <w:rsid w:val="05D610DF"/>
    <w:rsid w:val="05DD4740"/>
    <w:rsid w:val="05E94DB4"/>
    <w:rsid w:val="064C5934"/>
    <w:rsid w:val="0684593C"/>
    <w:rsid w:val="06986394"/>
    <w:rsid w:val="06B833C2"/>
    <w:rsid w:val="06B84C89"/>
    <w:rsid w:val="06FF46EC"/>
    <w:rsid w:val="0753050D"/>
    <w:rsid w:val="075E2F4A"/>
    <w:rsid w:val="07AD3D40"/>
    <w:rsid w:val="07D9336F"/>
    <w:rsid w:val="080A0FED"/>
    <w:rsid w:val="080C0D0C"/>
    <w:rsid w:val="081D30B5"/>
    <w:rsid w:val="0824104C"/>
    <w:rsid w:val="082A74C0"/>
    <w:rsid w:val="082C148A"/>
    <w:rsid w:val="08566507"/>
    <w:rsid w:val="087F7922"/>
    <w:rsid w:val="08DC2EE2"/>
    <w:rsid w:val="091F0FEF"/>
    <w:rsid w:val="093164D8"/>
    <w:rsid w:val="09521B8C"/>
    <w:rsid w:val="095F36DA"/>
    <w:rsid w:val="0983332C"/>
    <w:rsid w:val="09A278BC"/>
    <w:rsid w:val="09AF4121"/>
    <w:rsid w:val="09E919F8"/>
    <w:rsid w:val="0A256191"/>
    <w:rsid w:val="0A762256"/>
    <w:rsid w:val="0A933E5C"/>
    <w:rsid w:val="0AB614DF"/>
    <w:rsid w:val="0ABD4E90"/>
    <w:rsid w:val="0AC91212"/>
    <w:rsid w:val="0AD53626"/>
    <w:rsid w:val="0AD96F7B"/>
    <w:rsid w:val="0B024FEC"/>
    <w:rsid w:val="0B1E73EC"/>
    <w:rsid w:val="0B244FB8"/>
    <w:rsid w:val="0B3023B0"/>
    <w:rsid w:val="0B546770"/>
    <w:rsid w:val="0B656974"/>
    <w:rsid w:val="0BA92DF2"/>
    <w:rsid w:val="0BBA70A3"/>
    <w:rsid w:val="0C210BDA"/>
    <w:rsid w:val="0C4E7E44"/>
    <w:rsid w:val="0C601702"/>
    <w:rsid w:val="0C665C1C"/>
    <w:rsid w:val="0D130615"/>
    <w:rsid w:val="0D587134"/>
    <w:rsid w:val="0D844B1B"/>
    <w:rsid w:val="0DB02216"/>
    <w:rsid w:val="0E0E5A47"/>
    <w:rsid w:val="0E123872"/>
    <w:rsid w:val="0E1A3B33"/>
    <w:rsid w:val="0E1C7020"/>
    <w:rsid w:val="0E513821"/>
    <w:rsid w:val="0E59465B"/>
    <w:rsid w:val="0E6574A4"/>
    <w:rsid w:val="0F051BB9"/>
    <w:rsid w:val="0F323C9D"/>
    <w:rsid w:val="0F8E2325"/>
    <w:rsid w:val="0FD35E8A"/>
    <w:rsid w:val="0FE95356"/>
    <w:rsid w:val="10037C4C"/>
    <w:rsid w:val="100D14DA"/>
    <w:rsid w:val="10745ABA"/>
    <w:rsid w:val="108005C5"/>
    <w:rsid w:val="10AB3F70"/>
    <w:rsid w:val="10C63759"/>
    <w:rsid w:val="10C90438"/>
    <w:rsid w:val="111B0252"/>
    <w:rsid w:val="114D7560"/>
    <w:rsid w:val="1161187F"/>
    <w:rsid w:val="11717F0E"/>
    <w:rsid w:val="11800D39"/>
    <w:rsid w:val="11A8682E"/>
    <w:rsid w:val="11B701C5"/>
    <w:rsid w:val="120E23C1"/>
    <w:rsid w:val="12354F5A"/>
    <w:rsid w:val="12914286"/>
    <w:rsid w:val="12974AE7"/>
    <w:rsid w:val="129B5577"/>
    <w:rsid w:val="12B654AE"/>
    <w:rsid w:val="12BF6C3A"/>
    <w:rsid w:val="12EB6A8A"/>
    <w:rsid w:val="13057218"/>
    <w:rsid w:val="131F3FC3"/>
    <w:rsid w:val="131F60BA"/>
    <w:rsid w:val="132C1DDC"/>
    <w:rsid w:val="133236CD"/>
    <w:rsid w:val="133E598E"/>
    <w:rsid w:val="134912DD"/>
    <w:rsid w:val="13682AD5"/>
    <w:rsid w:val="137B5074"/>
    <w:rsid w:val="138959E3"/>
    <w:rsid w:val="13DC787E"/>
    <w:rsid w:val="13FC570D"/>
    <w:rsid w:val="140631C3"/>
    <w:rsid w:val="14135D3F"/>
    <w:rsid w:val="14211A7C"/>
    <w:rsid w:val="142D3EB0"/>
    <w:rsid w:val="143310E5"/>
    <w:rsid w:val="14747239"/>
    <w:rsid w:val="14764964"/>
    <w:rsid w:val="14771CDF"/>
    <w:rsid w:val="147C0B64"/>
    <w:rsid w:val="14964B92"/>
    <w:rsid w:val="14B80AD1"/>
    <w:rsid w:val="14C557AE"/>
    <w:rsid w:val="155362A8"/>
    <w:rsid w:val="15A34C73"/>
    <w:rsid w:val="15AE7982"/>
    <w:rsid w:val="15B31F59"/>
    <w:rsid w:val="15B34F99"/>
    <w:rsid w:val="15C745A0"/>
    <w:rsid w:val="15CD45BF"/>
    <w:rsid w:val="15E070C3"/>
    <w:rsid w:val="15E24861"/>
    <w:rsid w:val="15FF4448"/>
    <w:rsid w:val="16473933"/>
    <w:rsid w:val="16766FAA"/>
    <w:rsid w:val="168669B4"/>
    <w:rsid w:val="16A576FF"/>
    <w:rsid w:val="16A910FE"/>
    <w:rsid w:val="16BA21D7"/>
    <w:rsid w:val="16C32FBA"/>
    <w:rsid w:val="16D301F3"/>
    <w:rsid w:val="16FF65AF"/>
    <w:rsid w:val="172907FA"/>
    <w:rsid w:val="17653798"/>
    <w:rsid w:val="17A20397"/>
    <w:rsid w:val="17A54DB5"/>
    <w:rsid w:val="17B23653"/>
    <w:rsid w:val="17C52D61"/>
    <w:rsid w:val="17D11706"/>
    <w:rsid w:val="180A2E6A"/>
    <w:rsid w:val="180C1DB8"/>
    <w:rsid w:val="181D2AAB"/>
    <w:rsid w:val="183364E8"/>
    <w:rsid w:val="18590648"/>
    <w:rsid w:val="1867206B"/>
    <w:rsid w:val="18E67433"/>
    <w:rsid w:val="18FF04F5"/>
    <w:rsid w:val="19053D5D"/>
    <w:rsid w:val="191310CD"/>
    <w:rsid w:val="191D1EE7"/>
    <w:rsid w:val="19522AB9"/>
    <w:rsid w:val="19540444"/>
    <w:rsid w:val="19691EDC"/>
    <w:rsid w:val="19D8687A"/>
    <w:rsid w:val="19DB4ABE"/>
    <w:rsid w:val="19FB0652"/>
    <w:rsid w:val="1A427337"/>
    <w:rsid w:val="1A475CB0"/>
    <w:rsid w:val="1A6159EB"/>
    <w:rsid w:val="1A774C9C"/>
    <w:rsid w:val="1A826A8E"/>
    <w:rsid w:val="1AB31E5A"/>
    <w:rsid w:val="1ABA4CF6"/>
    <w:rsid w:val="1B1E62C5"/>
    <w:rsid w:val="1B324BB2"/>
    <w:rsid w:val="1B3E740A"/>
    <w:rsid w:val="1B522ECD"/>
    <w:rsid w:val="1B593EEC"/>
    <w:rsid w:val="1B8A679C"/>
    <w:rsid w:val="1B9708D8"/>
    <w:rsid w:val="1BA93D87"/>
    <w:rsid w:val="1BBB0703"/>
    <w:rsid w:val="1BC3580A"/>
    <w:rsid w:val="1BC80A07"/>
    <w:rsid w:val="1BEF4851"/>
    <w:rsid w:val="1BFF240F"/>
    <w:rsid w:val="1C1B6D10"/>
    <w:rsid w:val="1C6325C6"/>
    <w:rsid w:val="1C825622"/>
    <w:rsid w:val="1C861D86"/>
    <w:rsid w:val="1C97580E"/>
    <w:rsid w:val="1CC41839"/>
    <w:rsid w:val="1CED005C"/>
    <w:rsid w:val="1CF163A7"/>
    <w:rsid w:val="1D3A5FA0"/>
    <w:rsid w:val="1D6F5C49"/>
    <w:rsid w:val="1D772D50"/>
    <w:rsid w:val="1D835251"/>
    <w:rsid w:val="1DC57394"/>
    <w:rsid w:val="1E156B8A"/>
    <w:rsid w:val="1E1E0410"/>
    <w:rsid w:val="1E335D6C"/>
    <w:rsid w:val="1E494C39"/>
    <w:rsid w:val="1E550BE9"/>
    <w:rsid w:val="1E94348E"/>
    <w:rsid w:val="1F016D75"/>
    <w:rsid w:val="1F0B25BC"/>
    <w:rsid w:val="1F1F71FB"/>
    <w:rsid w:val="1F220E88"/>
    <w:rsid w:val="1F63494D"/>
    <w:rsid w:val="1F927BDC"/>
    <w:rsid w:val="1FD020F8"/>
    <w:rsid w:val="1FE20707"/>
    <w:rsid w:val="1FE64182"/>
    <w:rsid w:val="1FEC4367"/>
    <w:rsid w:val="200C3C23"/>
    <w:rsid w:val="20281ADB"/>
    <w:rsid w:val="20325D43"/>
    <w:rsid w:val="203A2484"/>
    <w:rsid w:val="20CA3EEF"/>
    <w:rsid w:val="20E406FC"/>
    <w:rsid w:val="20F52170"/>
    <w:rsid w:val="213C22E6"/>
    <w:rsid w:val="213D2165"/>
    <w:rsid w:val="217C0935"/>
    <w:rsid w:val="21DE339D"/>
    <w:rsid w:val="21DE779E"/>
    <w:rsid w:val="21E07C0E"/>
    <w:rsid w:val="220F7F28"/>
    <w:rsid w:val="22276873"/>
    <w:rsid w:val="22851AFF"/>
    <w:rsid w:val="22943AF1"/>
    <w:rsid w:val="22C56F28"/>
    <w:rsid w:val="230961F8"/>
    <w:rsid w:val="230D47B1"/>
    <w:rsid w:val="23445819"/>
    <w:rsid w:val="234E00AF"/>
    <w:rsid w:val="237D20DD"/>
    <w:rsid w:val="237F6C4B"/>
    <w:rsid w:val="238B5CC6"/>
    <w:rsid w:val="2399026C"/>
    <w:rsid w:val="23CD2AB0"/>
    <w:rsid w:val="23D77374"/>
    <w:rsid w:val="23E2675E"/>
    <w:rsid w:val="23ED5B9A"/>
    <w:rsid w:val="242B66E0"/>
    <w:rsid w:val="24761396"/>
    <w:rsid w:val="24B46637"/>
    <w:rsid w:val="25276E09"/>
    <w:rsid w:val="252D4FEE"/>
    <w:rsid w:val="253B7530"/>
    <w:rsid w:val="254A62EC"/>
    <w:rsid w:val="255B6AB3"/>
    <w:rsid w:val="25B53949"/>
    <w:rsid w:val="2609783F"/>
    <w:rsid w:val="26103D41"/>
    <w:rsid w:val="26182BBE"/>
    <w:rsid w:val="2623548B"/>
    <w:rsid w:val="262461E3"/>
    <w:rsid w:val="26513FE9"/>
    <w:rsid w:val="267A330E"/>
    <w:rsid w:val="26CB1A16"/>
    <w:rsid w:val="26CF7759"/>
    <w:rsid w:val="26FA0C40"/>
    <w:rsid w:val="270C3BDB"/>
    <w:rsid w:val="2719399B"/>
    <w:rsid w:val="273977AC"/>
    <w:rsid w:val="27854579"/>
    <w:rsid w:val="27C76EF3"/>
    <w:rsid w:val="27CE1D61"/>
    <w:rsid w:val="27E70E9B"/>
    <w:rsid w:val="282F4953"/>
    <w:rsid w:val="28332399"/>
    <w:rsid w:val="284877C3"/>
    <w:rsid w:val="285A0BC7"/>
    <w:rsid w:val="286A0B60"/>
    <w:rsid w:val="28BD335E"/>
    <w:rsid w:val="293B4D0E"/>
    <w:rsid w:val="294C32E2"/>
    <w:rsid w:val="29657F00"/>
    <w:rsid w:val="29AE7D3A"/>
    <w:rsid w:val="29D0219D"/>
    <w:rsid w:val="29D77EF3"/>
    <w:rsid w:val="29E51041"/>
    <w:rsid w:val="29F20600"/>
    <w:rsid w:val="2A0277C5"/>
    <w:rsid w:val="2A391286"/>
    <w:rsid w:val="2A494281"/>
    <w:rsid w:val="2A4F4886"/>
    <w:rsid w:val="2A7F5505"/>
    <w:rsid w:val="2ABA427C"/>
    <w:rsid w:val="2B0A2EA3"/>
    <w:rsid w:val="2B143B98"/>
    <w:rsid w:val="2B3F2753"/>
    <w:rsid w:val="2B406EFF"/>
    <w:rsid w:val="2B6F7BD4"/>
    <w:rsid w:val="2B720822"/>
    <w:rsid w:val="2BAE19C7"/>
    <w:rsid w:val="2BB87E35"/>
    <w:rsid w:val="2BCE32E3"/>
    <w:rsid w:val="2C067B37"/>
    <w:rsid w:val="2C5379A3"/>
    <w:rsid w:val="2C974875"/>
    <w:rsid w:val="2CAB2132"/>
    <w:rsid w:val="2CAD335C"/>
    <w:rsid w:val="2CCB4009"/>
    <w:rsid w:val="2CF33FC6"/>
    <w:rsid w:val="2CFD4778"/>
    <w:rsid w:val="2D0B6185"/>
    <w:rsid w:val="2D216834"/>
    <w:rsid w:val="2D4F1E09"/>
    <w:rsid w:val="2D6D14C1"/>
    <w:rsid w:val="2D7D4451"/>
    <w:rsid w:val="2DC42A84"/>
    <w:rsid w:val="2DE60E0D"/>
    <w:rsid w:val="2DF751F3"/>
    <w:rsid w:val="2E033B56"/>
    <w:rsid w:val="2E715669"/>
    <w:rsid w:val="2E891740"/>
    <w:rsid w:val="2EA953B6"/>
    <w:rsid w:val="2EB07040"/>
    <w:rsid w:val="2EC27624"/>
    <w:rsid w:val="2ED23024"/>
    <w:rsid w:val="2ED75A9F"/>
    <w:rsid w:val="2EFC4E63"/>
    <w:rsid w:val="2F4D56BE"/>
    <w:rsid w:val="2F5842D0"/>
    <w:rsid w:val="2F5A7523"/>
    <w:rsid w:val="2F7F5907"/>
    <w:rsid w:val="2FA13062"/>
    <w:rsid w:val="2FB641FC"/>
    <w:rsid w:val="2FE36FA0"/>
    <w:rsid w:val="30055F99"/>
    <w:rsid w:val="30280E73"/>
    <w:rsid w:val="302E56FD"/>
    <w:rsid w:val="303D02A2"/>
    <w:rsid w:val="30882C93"/>
    <w:rsid w:val="314B586D"/>
    <w:rsid w:val="317C0BC3"/>
    <w:rsid w:val="31913E8E"/>
    <w:rsid w:val="31CB3665"/>
    <w:rsid w:val="31CE0296"/>
    <w:rsid w:val="31DA771B"/>
    <w:rsid w:val="31F61357"/>
    <w:rsid w:val="32034DFD"/>
    <w:rsid w:val="3203562A"/>
    <w:rsid w:val="320D5A10"/>
    <w:rsid w:val="3240150B"/>
    <w:rsid w:val="325D52F8"/>
    <w:rsid w:val="32902492"/>
    <w:rsid w:val="32A45F3D"/>
    <w:rsid w:val="32A82827"/>
    <w:rsid w:val="32B53456"/>
    <w:rsid w:val="33111653"/>
    <w:rsid w:val="332B21BB"/>
    <w:rsid w:val="334A479D"/>
    <w:rsid w:val="33641B20"/>
    <w:rsid w:val="33751688"/>
    <w:rsid w:val="33816FCE"/>
    <w:rsid w:val="33CF29A4"/>
    <w:rsid w:val="33EE79F7"/>
    <w:rsid w:val="34193CA8"/>
    <w:rsid w:val="34196205"/>
    <w:rsid w:val="34425A0E"/>
    <w:rsid w:val="344D5DD6"/>
    <w:rsid w:val="344F2ED9"/>
    <w:rsid w:val="34711E4F"/>
    <w:rsid w:val="34733E19"/>
    <w:rsid w:val="34A93377"/>
    <w:rsid w:val="34F26786"/>
    <w:rsid w:val="34FC56F2"/>
    <w:rsid w:val="35026F4B"/>
    <w:rsid w:val="35102324"/>
    <w:rsid w:val="355C665B"/>
    <w:rsid w:val="356E638F"/>
    <w:rsid w:val="358C2142"/>
    <w:rsid w:val="35A65B28"/>
    <w:rsid w:val="35BD418B"/>
    <w:rsid w:val="35D2375F"/>
    <w:rsid w:val="35E52AF5"/>
    <w:rsid w:val="35F8221C"/>
    <w:rsid w:val="3600792F"/>
    <w:rsid w:val="360702B8"/>
    <w:rsid w:val="360F36CE"/>
    <w:rsid w:val="3623361D"/>
    <w:rsid w:val="363C15BE"/>
    <w:rsid w:val="364F21A6"/>
    <w:rsid w:val="365D365D"/>
    <w:rsid w:val="36633A19"/>
    <w:rsid w:val="37236989"/>
    <w:rsid w:val="37256F21"/>
    <w:rsid w:val="375743B3"/>
    <w:rsid w:val="3772660A"/>
    <w:rsid w:val="37A5537B"/>
    <w:rsid w:val="37D7646D"/>
    <w:rsid w:val="37E2358C"/>
    <w:rsid w:val="37F17C4E"/>
    <w:rsid w:val="37FE4100"/>
    <w:rsid w:val="385F4816"/>
    <w:rsid w:val="3870241E"/>
    <w:rsid w:val="38DD7AB3"/>
    <w:rsid w:val="38EE00C1"/>
    <w:rsid w:val="39035FE4"/>
    <w:rsid w:val="39553EE3"/>
    <w:rsid w:val="396310BC"/>
    <w:rsid w:val="39657E94"/>
    <w:rsid w:val="39721A80"/>
    <w:rsid w:val="39817C51"/>
    <w:rsid w:val="39A405D1"/>
    <w:rsid w:val="39A93CBE"/>
    <w:rsid w:val="39A9723F"/>
    <w:rsid w:val="39E474A4"/>
    <w:rsid w:val="39F234CA"/>
    <w:rsid w:val="39F32DB4"/>
    <w:rsid w:val="3A357430"/>
    <w:rsid w:val="3A4B4EF0"/>
    <w:rsid w:val="3A5A447A"/>
    <w:rsid w:val="3A5C2DAD"/>
    <w:rsid w:val="3A6B503D"/>
    <w:rsid w:val="3A747630"/>
    <w:rsid w:val="3AE01E17"/>
    <w:rsid w:val="3AE710BD"/>
    <w:rsid w:val="3AF31761"/>
    <w:rsid w:val="3AF37A62"/>
    <w:rsid w:val="3AF63950"/>
    <w:rsid w:val="3B143534"/>
    <w:rsid w:val="3B1E43B3"/>
    <w:rsid w:val="3B2B3384"/>
    <w:rsid w:val="3B454DA1"/>
    <w:rsid w:val="3B505571"/>
    <w:rsid w:val="3B5B1163"/>
    <w:rsid w:val="3B9113BF"/>
    <w:rsid w:val="3BAE5737"/>
    <w:rsid w:val="3BC278C2"/>
    <w:rsid w:val="3BEB7484"/>
    <w:rsid w:val="3C2526F2"/>
    <w:rsid w:val="3C8D359E"/>
    <w:rsid w:val="3CAB2861"/>
    <w:rsid w:val="3CE543D4"/>
    <w:rsid w:val="3CE57675"/>
    <w:rsid w:val="3D156C40"/>
    <w:rsid w:val="3D3108F0"/>
    <w:rsid w:val="3D6D463B"/>
    <w:rsid w:val="3D743AA7"/>
    <w:rsid w:val="3D92643C"/>
    <w:rsid w:val="3DBE69D1"/>
    <w:rsid w:val="3E016A21"/>
    <w:rsid w:val="3E0E6961"/>
    <w:rsid w:val="3E4F3DC9"/>
    <w:rsid w:val="3E5C356F"/>
    <w:rsid w:val="3E6108DC"/>
    <w:rsid w:val="3EA971BA"/>
    <w:rsid w:val="3ECD05CA"/>
    <w:rsid w:val="3ED03C16"/>
    <w:rsid w:val="3EF773F5"/>
    <w:rsid w:val="3F035D9A"/>
    <w:rsid w:val="3F1C5008"/>
    <w:rsid w:val="3F2F6B8F"/>
    <w:rsid w:val="3F4D4E3D"/>
    <w:rsid w:val="3F542383"/>
    <w:rsid w:val="3F835F13"/>
    <w:rsid w:val="3F9D520F"/>
    <w:rsid w:val="3FA96891"/>
    <w:rsid w:val="3FAC01DF"/>
    <w:rsid w:val="3FDE3B17"/>
    <w:rsid w:val="3FE12CBD"/>
    <w:rsid w:val="3FF73B50"/>
    <w:rsid w:val="409A021C"/>
    <w:rsid w:val="40C32F32"/>
    <w:rsid w:val="40CB0356"/>
    <w:rsid w:val="41194293"/>
    <w:rsid w:val="413744B8"/>
    <w:rsid w:val="416A0352"/>
    <w:rsid w:val="41747D82"/>
    <w:rsid w:val="419F3962"/>
    <w:rsid w:val="41DD1686"/>
    <w:rsid w:val="4258398A"/>
    <w:rsid w:val="42586A54"/>
    <w:rsid w:val="429628AA"/>
    <w:rsid w:val="42B26B5F"/>
    <w:rsid w:val="42B4172C"/>
    <w:rsid w:val="42B73D4C"/>
    <w:rsid w:val="42C37256"/>
    <w:rsid w:val="42ED4D97"/>
    <w:rsid w:val="42F51E9D"/>
    <w:rsid w:val="431412A9"/>
    <w:rsid w:val="43210EE4"/>
    <w:rsid w:val="436274D2"/>
    <w:rsid w:val="43C63BD6"/>
    <w:rsid w:val="441E71D2"/>
    <w:rsid w:val="445241CE"/>
    <w:rsid w:val="44774400"/>
    <w:rsid w:val="44A83362"/>
    <w:rsid w:val="44B111CA"/>
    <w:rsid w:val="44C9432E"/>
    <w:rsid w:val="44E150AC"/>
    <w:rsid w:val="44FD397C"/>
    <w:rsid w:val="452369CF"/>
    <w:rsid w:val="452913FC"/>
    <w:rsid w:val="455920A4"/>
    <w:rsid w:val="45AD6A5F"/>
    <w:rsid w:val="45F75F2C"/>
    <w:rsid w:val="45F85A36"/>
    <w:rsid w:val="4618037D"/>
    <w:rsid w:val="46212B20"/>
    <w:rsid w:val="464C6002"/>
    <w:rsid w:val="465E6206"/>
    <w:rsid w:val="46944856"/>
    <w:rsid w:val="46BC2BD8"/>
    <w:rsid w:val="46D36999"/>
    <w:rsid w:val="472E158C"/>
    <w:rsid w:val="473954E9"/>
    <w:rsid w:val="473D1787"/>
    <w:rsid w:val="477A116A"/>
    <w:rsid w:val="478B2DD0"/>
    <w:rsid w:val="479C6D8B"/>
    <w:rsid w:val="47C50090"/>
    <w:rsid w:val="47DB5B06"/>
    <w:rsid w:val="47E80223"/>
    <w:rsid w:val="47EE4E56"/>
    <w:rsid w:val="47EF638A"/>
    <w:rsid w:val="47F97336"/>
    <w:rsid w:val="480706A9"/>
    <w:rsid w:val="48160B49"/>
    <w:rsid w:val="482173AE"/>
    <w:rsid w:val="4860600B"/>
    <w:rsid w:val="48636034"/>
    <w:rsid w:val="488B4B77"/>
    <w:rsid w:val="48B7790B"/>
    <w:rsid w:val="48E549E9"/>
    <w:rsid w:val="49033566"/>
    <w:rsid w:val="492E2E2E"/>
    <w:rsid w:val="492E43F8"/>
    <w:rsid w:val="49394063"/>
    <w:rsid w:val="4A0977B8"/>
    <w:rsid w:val="4A1D0657"/>
    <w:rsid w:val="4A317C5F"/>
    <w:rsid w:val="4A464AE8"/>
    <w:rsid w:val="4A560B18"/>
    <w:rsid w:val="4A7933B4"/>
    <w:rsid w:val="4AD36F68"/>
    <w:rsid w:val="4ADB4211"/>
    <w:rsid w:val="4ADD7DE7"/>
    <w:rsid w:val="4AEF7951"/>
    <w:rsid w:val="4AFD5D93"/>
    <w:rsid w:val="4B367F93"/>
    <w:rsid w:val="4B6E3924"/>
    <w:rsid w:val="4BA12BC2"/>
    <w:rsid w:val="4BBE0575"/>
    <w:rsid w:val="4BC211D2"/>
    <w:rsid w:val="4BE5149F"/>
    <w:rsid w:val="4BFC24EE"/>
    <w:rsid w:val="4BFE5973"/>
    <w:rsid w:val="4C224242"/>
    <w:rsid w:val="4C3D1913"/>
    <w:rsid w:val="4C40385D"/>
    <w:rsid w:val="4C451FE0"/>
    <w:rsid w:val="4C485734"/>
    <w:rsid w:val="4CCD64F4"/>
    <w:rsid w:val="4CE92A73"/>
    <w:rsid w:val="4D092279"/>
    <w:rsid w:val="4D1A0E7E"/>
    <w:rsid w:val="4D317F76"/>
    <w:rsid w:val="4D331F40"/>
    <w:rsid w:val="4D3B084B"/>
    <w:rsid w:val="4D530AA8"/>
    <w:rsid w:val="4D7E572D"/>
    <w:rsid w:val="4DA27269"/>
    <w:rsid w:val="4DEF6893"/>
    <w:rsid w:val="4E0C71FC"/>
    <w:rsid w:val="4E402B66"/>
    <w:rsid w:val="4EA1353B"/>
    <w:rsid w:val="4EAA7FE0"/>
    <w:rsid w:val="4EB909E9"/>
    <w:rsid w:val="4F0A4DE8"/>
    <w:rsid w:val="4F3506AC"/>
    <w:rsid w:val="4F534AF8"/>
    <w:rsid w:val="4F5F4C64"/>
    <w:rsid w:val="4F714FA1"/>
    <w:rsid w:val="4F763D0A"/>
    <w:rsid w:val="4FC26BC9"/>
    <w:rsid w:val="4FE53EE9"/>
    <w:rsid w:val="502C0328"/>
    <w:rsid w:val="505059C1"/>
    <w:rsid w:val="507111E9"/>
    <w:rsid w:val="50744D49"/>
    <w:rsid w:val="50827466"/>
    <w:rsid w:val="508302FA"/>
    <w:rsid w:val="50A10CF0"/>
    <w:rsid w:val="50D73662"/>
    <w:rsid w:val="50F25458"/>
    <w:rsid w:val="50F73284"/>
    <w:rsid w:val="50F97086"/>
    <w:rsid w:val="512B026F"/>
    <w:rsid w:val="51542485"/>
    <w:rsid w:val="51A34050"/>
    <w:rsid w:val="51AB5F03"/>
    <w:rsid w:val="51AC0513"/>
    <w:rsid w:val="51B352C4"/>
    <w:rsid w:val="51BA2F76"/>
    <w:rsid w:val="52220DD4"/>
    <w:rsid w:val="52320A18"/>
    <w:rsid w:val="529A036B"/>
    <w:rsid w:val="53063385"/>
    <w:rsid w:val="53412BBB"/>
    <w:rsid w:val="53500FF5"/>
    <w:rsid w:val="53530C46"/>
    <w:rsid w:val="53B35B89"/>
    <w:rsid w:val="53B611D5"/>
    <w:rsid w:val="53CB255A"/>
    <w:rsid w:val="53EB29D5"/>
    <w:rsid w:val="5418171E"/>
    <w:rsid w:val="54240A2E"/>
    <w:rsid w:val="543A0953"/>
    <w:rsid w:val="545428EA"/>
    <w:rsid w:val="54635240"/>
    <w:rsid w:val="5510685A"/>
    <w:rsid w:val="551D56FC"/>
    <w:rsid w:val="554671C6"/>
    <w:rsid w:val="5552584C"/>
    <w:rsid w:val="556D1D67"/>
    <w:rsid w:val="55FE7A11"/>
    <w:rsid w:val="561D553B"/>
    <w:rsid w:val="562D6C09"/>
    <w:rsid w:val="56321E1B"/>
    <w:rsid w:val="568D3428"/>
    <w:rsid w:val="56982E14"/>
    <w:rsid w:val="56A774E2"/>
    <w:rsid w:val="56B05C18"/>
    <w:rsid w:val="57213788"/>
    <w:rsid w:val="57366542"/>
    <w:rsid w:val="575D5514"/>
    <w:rsid w:val="57793128"/>
    <w:rsid w:val="57831D16"/>
    <w:rsid w:val="579F706F"/>
    <w:rsid w:val="57D528CD"/>
    <w:rsid w:val="57E227D2"/>
    <w:rsid w:val="57EE22E8"/>
    <w:rsid w:val="57FA3D86"/>
    <w:rsid w:val="58015C98"/>
    <w:rsid w:val="581F559B"/>
    <w:rsid w:val="58236478"/>
    <w:rsid w:val="585B5276"/>
    <w:rsid w:val="588E54CA"/>
    <w:rsid w:val="58922210"/>
    <w:rsid w:val="58A9755A"/>
    <w:rsid w:val="58AE5938"/>
    <w:rsid w:val="590C3FF5"/>
    <w:rsid w:val="59407F54"/>
    <w:rsid w:val="596A2319"/>
    <w:rsid w:val="597E1677"/>
    <w:rsid w:val="59823E17"/>
    <w:rsid w:val="59851D75"/>
    <w:rsid w:val="59937919"/>
    <w:rsid w:val="59FF543B"/>
    <w:rsid w:val="5A317655"/>
    <w:rsid w:val="5A3572F7"/>
    <w:rsid w:val="5A386DE8"/>
    <w:rsid w:val="5A3C6C73"/>
    <w:rsid w:val="5A635C5A"/>
    <w:rsid w:val="5AA1498D"/>
    <w:rsid w:val="5AD81D9A"/>
    <w:rsid w:val="5ADC209B"/>
    <w:rsid w:val="5B3C6463"/>
    <w:rsid w:val="5B5E28C5"/>
    <w:rsid w:val="5B6D2AE6"/>
    <w:rsid w:val="5B745BFD"/>
    <w:rsid w:val="5B7B595E"/>
    <w:rsid w:val="5B9900F2"/>
    <w:rsid w:val="5BA34735"/>
    <w:rsid w:val="5BF467EC"/>
    <w:rsid w:val="5C0038D4"/>
    <w:rsid w:val="5C043425"/>
    <w:rsid w:val="5C11169E"/>
    <w:rsid w:val="5C25339C"/>
    <w:rsid w:val="5C323CC9"/>
    <w:rsid w:val="5C34538D"/>
    <w:rsid w:val="5C441A74"/>
    <w:rsid w:val="5C447DD1"/>
    <w:rsid w:val="5C574268"/>
    <w:rsid w:val="5C6B5BC5"/>
    <w:rsid w:val="5C7D54FC"/>
    <w:rsid w:val="5CA66E29"/>
    <w:rsid w:val="5CB86213"/>
    <w:rsid w:val="5CBF2962"/>
    <w:rsid w:val="5D530D5F"/>
    <w:rsid w:val="5D9D79EF"/>
    <w:rsid w:val="5DA707E9"/>
    <w:rsid w:val="5DB70229"/>
    <w:rsid w:val="5DE11544"/>
    <w:rsid w:val="5DEE3CCB"/>
    <w:rsid w:val="5DF21B98"/>
    <w:rsid w:val="5E1216FE"/>
    <w:rsid w:val="5E3308A2"/>
    <w:rsid w:val="5E575A76"/>
    <w:rsid w:val="5E60690D"/>
    <w:rsid w:val="5E68756F"/>
    <w:rsid w:val="5E7F77FB"/>
    <w:rsid w:val="5EAE4DD9"/>
    <w:rsid w:val="5EB804F7"/>
    <w:rsid w:val="5F2B6984"/>
    <w:rsid w:val="5F6150CD"/>
    <w:rsid w:val="5F6D7533"/>
    <w:rsid w:val="5F987E63"/>
    <w:rsid w:val="5FCB28E4"/>
    <w:rsid w:val="5FCF7853"/>
    <w:rsid w:val="5FD52766"/>
    <w:rsid w:val="5FE5531C"/>
    <w:rsid w:val="5FF46D11"/>
    <w:rsid w:val="60384AA2"/>
    <w:rsid w:val="6093514A"/>
    <w:rsid w:val="60BA6EBD"/>
    <w:rsid w:val="610417D1"/>
    <w:rsid w:val="610B7004"/>
    <w:rsid w:val="614F7E1C"/>
    <w:rsid w:val="61706E67"/>
    <w:rsid w:val="617B022B"/>
    <w:rsid w:val="61B42238"/>
    <w:rsid w:val="62233ED9"/>
    <w:rsid w:val="62247EF5"/>
    <w:rsid w:val="62CF4061"/>
    <w:rsid w:val="631430B3"/>
    <w:rsid w:val="637C5F97"/>
    <w:rsid w:val="638A11D4"/>
    <w:rsid w:val="63F41F58"/>
    <w:rsid w:val="63F76584"/>
    <w:rsid w:val="644C3BBB"/>
    <w:rsid w:val="64B04A7C"/>
    <w:rsid w:val="64F32289"/>
    <w:rsid w:val="654752D4"/>
    <w:rsid w:val="655E7EC4"/>
    <w:rsid w:val="65822F09"/>
    <w:rsid w:val="65965996"/>
    <w:rsid w:val="659730E5"/>
    <w:rsid w:val="65C82F60"/>
    <w:rsid w:val="65CE0D2C"/>
    <w:rsid w:val="65DF280D"/>
    <w:rsid w:val="663E0D58"/>
    <w:rsid w:val="66846410"/>
    <w:rsid w:val="66A24F5B"/>
    <w:rsid w:val="66A6332B"/>
    <w:rsid w:val="67025399"/>
    <w:rsid w:val="671F6E1E"/>
    <w:rsid w:val="672F0A3C"/>
    <w:rsid w:val="67453492"/>
    <w:rsid w:val="67A02C6C"/>
    <w:rsid w:val="67E71B6D"/>
    <w:rsid w:val="67EF6CEE"/>
    <w:rsid w:val="67FF20E2"/>
    <w:rsid w:val="68306BC4"/>
    <w:rsid w:val="688073EB"/>
    <w:rsid w:val="68842FD3"/>
    <w:rsid w:val="689C2C37"/>
    <w:rsid w:val="68A2014F"/>
    <w:rsid w:val="68BF6DF6"/>
    <w:rsid w:val="68C43E52"/>
    <w:rsid w:val="68F55EA4"/>
    <w:rsid w:val="690B1A91"/>
    <w:rsid w:val="69201173"/>
    <w:rsid w:val="692B215E"/>
    <w:rsid w:val="698C3515"/>
    <w:rsid w:val="698E432E"/>
    <w:rsid w:val="69992B92"/>
    <w:rsid w:val="69D41F5D"/>
    <w:rsid w:val="69E9103A"/>
    <w:rsid w:val="6A9040D6"/>
    <w:rsid w:val="6AC50223"/>
    <w:rsid w:val="6AD26CD2"/>
    <w:rsid w:val="6B016D82"/>
    <w:rsid w:val="6B2D6EEB"/>
    <w:rsid w:val="6B5F5D4D"/>
    <w:rsid w:val="6B685053"/>
    <w:rsid w:val="6BAF4A30"/>
    <w:rsid w:val="6BB93969"/>
    <w:rsid w:val="6BC06C3D"/>
    <w:rsid w:val="6C0D4AD4"/>
    <w:rsid w:val="6C3D5F2F"/>
    <w:rsid w:val="6C575222"/>
    <w:rsid w:val="6C6770B8"/>
    <w:rsid w:val="6C71768C"/>
    <w:rsid w:val="6CA125CA"/>
    <w:rsid w:val="6CB22DA1"/>
    <w:rsid w:val="6CB46566"/>
    <w:rsid w:val="6CC03E6D"/>
    <w:rsid w:val="6CD363C3"/>
    <w:rsid w:val="6CD526FE"/>
    <w:rsid w:val="6D3451EC"/>
    <w:rsid w:val="6D8855DB"/>
    <w:rsid w:val="6DE360A7"/>
    <w:rsid w:val="6DEE5CE3"/>
    <w:rsid w:val="6E245261"/>
    <w:rsid w:val="6E2D3C69"/>
    <w:rsid w:val="6EA57E47"/>
    <w:rsid w:val="6EB736CD"/>
    <w:rsid w:val="6ECE2BD2"/>
    <w:rsid w:val="6ED468F0"/>
    <w:rsid w:val="6EFF182A"/>
    <w:rsid w:val="6F011A46"/>
    <w:rsid w:val="6F33171B"/>
    <w:rsid w:val="6F7044D6"/>
    <w:rsid w:val="6F965673"/>
    <w:rsid w:val="6F9E54E7"/>
    <w:rsid w:val="6FBB10C2"/>
    <w:rsid w:val="6FD4247C"/>
    <w:rsid w:val="6FDB730A"/>
    <w:rsid w:val="6FDD7DBD"/>
    <w:rsid w:val="700A4B8C"/>
    <w:rsid w:val="70227CFD"/>
    <w:rsid w:val="70334E10"/>
    <w:rsid w:val="70756248"/>
    <w:rsid w:val="707A11F3"/>
    <w:rsid w:val="707F2C23"/>
    <w:rsid w:val="709C6F93"/>
    <w:rsid w:val="71031D5F"/>
    <w:rsid w:val="71056959"/>
    <w:rsid w:val="713C0F09"/>
    <w:rsid w:val="71756B0D"/>
    <w:rsid w:val="717F5B7A"/>
    <w:rsid w:val="71866233"/>
    <w:rsid w:val="719721EE"/>
    <w:rsid w:val="71D12840"/>
    <w:rsid w:val="71DA1240"/>
    <w:rsid w:val="71EF48DF"/>
    <w:rsid w:val="725400DF"/>
    <w:rsid w:val="7270363A"/>
    <w:rsid w:val="72955F39"/>
    <w:rsid w:val="72BC3722"/>
    <w:rsid w:val="72CE4767"/>
    <w:rsid w:val="72D20B62"/>
    <w:rsid w:val="731E506B"/>
    <w:rsid w:val="73372E32"/>
    <w:rsid w:val="73400CFB"/>
    <w:rsid w:val="734A2124"/>
    <w:rsid w:val="73A017A5"/>
    <w:rsid w:val="73CE48E4"/>
    <w:rsid w:val="73E37359"/>
    <w:rsid w:val="73E55A30"/>
    <w:rsid w:val="73E86D31"/>
    <w:rsid w:val="73F25C64"/>
    <w:rsid w:val="745771EB"/>
    <w:rsid w:val="74675EA7"/>
    <w:rsid w:val="7474601E"/>
    <w:rsid w:val="747D01F0"/>
    <w:rsid w:val="74934EEE"/>
    <w:rsid w:val="74A34E73"/>
    <w:rsid w:val="74B97E59"/>
    <w:rsid w:val="74C40EAA"/>
    <w:rsid w:val="755778E6"/>
    <w:rsid w:val="758F7D6B"/>
    <w:rsid w:val="75A153E9"/>
    <w:rsid w:val="75A44ED9"/>
    <w:rsid w:val="75C16B30"/>
    <w:rsid w:val="75DC08C0"/>
    <w:rsid w:val="75F565F2"/>
    <w:rsid w:val="75FA6B3E"/>
    <w:rsid w:val="760B6D06"/>
    <w:rsid w:val="764F12E9"/>
    <w:rsid w:val="76530DD9"/>
    <w:rsid w:val="7658375B"/>
    <w:rsid w:val="7672338B"/>
    <w:rsid w:val="767D7F65"/>
    <w:rsid w:val="76856640"/>
    <w:rsid w:val="76A809F9"/>
    <w:rsid w:val="76C31579"/>
    <w:rsid w:val="77197752"/>
    <w:rsid w:val="774150D6"/>
    <w:rsid w:val="77494B12"/>
    <w:rsid w:val="776E39F1"/>
    <w:rsid w:val="77A70D03"/>
    <w:rsid w:val="77C35511"/>
    <w:rsid w:val="77C67389"/>
    <w:rsid w:val="77CE573C"/>
    <w:rsid w:val="77DA51F2"/>
    <w:rsid w:val="78127750"/>
    <w:rsid w:val="782E0F03"/>
    <w:rsid w:val="78593AF3"/>
    <w:rsid w:val="78742588"/>
    <w:rsid w:val="787A3E9B"/>
    <w:rsid w:val="787B5781"/>
    <w:rsid w:val="78B76110"/>
    <w:rsid w:val="78C733B9"/>
    <w:rsid w:val="79250FDE"/>
    <w:rsid w:val="792B6F2B"/>
    <w:rsid w:val="79AB2884"/>
    <w:rsid w:val="79B7167F"/>
    <w:rsid w:val="79C124FE"/>
    <w:rsid w:val="79D7619B"/>
    <w:rsid w:val="79E1494E"/>
    <w:rsid w:val="79E14EC0"/>
    <w:rsid w:val="79FA7343"/>
    <w:rsid w:val="79FC26F3"/>
    <w:rsid w:val="7A08406B"/>
    <w:rsid w:val="7A173293"/>
    <w:rsid w:val="7A382CBF"/>
    <w:rsid w:val="7A643FFA"/>
    <w:rsid w:val="7A6D1D3E"/>
    <w:rsid w:val="7A811750"/>
    <w:rsid w:val="7A831561"/>
    <w:rsid w:val="7AB160CE"/>
    <w:rsid w:val="7AB8722A"/>
    <w:rsid w:val="7AD040D4"/>
    <w:rsid w:val="7AD972A3"/>
    <w:rsid w:val="7AFD4FEE"/>
    <w:rsid w:val="7B17441B"/>
    <w:rsid w:val="7B1E128A"/>
    <w:rsid w:val="7B206841"/>
    <w:rsid w:val="7B292109"/>
    <w:rsid w:val="7B2A11CE"/>
    <w:rsid w:val="7BBB0959"/>
    <w:rsid w:val="7BCE0366"/>
    <w:rsid w:val="7BDA3403"/>
    <w:rsid w:val="7BEB0B45"/>
    <w:rsid w:val="7BF02C26"/>
    <w:rsid w:val="7C030BAC"/>
    <w:rsid w:val="7C556F2D"/>
    <w:rsid w:val="7CB579CC"/>
    <w:rsid w:val="7D1868D9"/>
    <w:rsid w:val="7D24527D"/>
    <w:rsid w:val="7D27773C"/>
    <w:rsid w:val="7D3356C7"/>
    <w:rsid w:val="7D422172"/>
    <w:rsid w:val="7D4713B5"/>
    <w:rsid w:val="7D5976B6"/>
    <w:rsid w:val="7D6A3904"/>
    <w:rsid w:val="7D92368A"/>
    <w:rsid w:val="7DA07E94"/>
    <w:rsid w:val="7DA16F04"/>
    <w:rsid w:val="7DB36601"/>
    <w:rsid w:val="7E2D0162"/>
    <w:rsid w:val="7E321CD4"/>
    <w:rsid w:val="7E646068"/>
    <w:rsid w:val="7EA3546E"/>
    <w:rsid w:val="7EB33EA8"/>
    <w:rsid w:val="7ED6280D"/>
    <w:rsid w:val="7F06620E"/>
    <w:rsid w:val="7F1C70BC"/>
    <w:rsid w:val="7F4406D0"/>
    <w:rsid w:val="7FC855EC"/>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link w:val="199"/>
    <w:autoRedefine/>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autoRedefine/>
    <w:qFormat/>
    <w:uiPriority w:val="0"/>
    <w:pPr>
      <w:keepNext/>
      <w:keepLines/>
      <w:spacing w:before="120" w:after="120" w:line="360" w:lineRule="exact"/>
      <w:jc w:val="center"/>
      <w:outlineLvl w:val="1"/>
    </w:pPr>
    <w:rPr>
      <w:rFonts w:ascii="宋体" w:hAnsi="宋体"/>
      <w:b/>
      <w:sz w:val="24"/>
      <w:szCs w:val="24"/>
    </w:rPr>
  </w:style>
  <w:style w:type="paragraph" w:styleId="9">
    <w:name w:val="heading 3"/>
    <w:basedOn w:val="1"/>
    <w:next w:val="1"/>
    <w:link w:val="212"/>
    <w:autoRedefine/>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10">
    <w:name w:val="heading 4"/>
    <w:basedOn w:val="1"/>
    <w:next w:val="1"/>
    <w:link w:val="97"/>
    <w:autoRedefine/>
    <w:qFormat/>
    <w:uiPriority w:val="0"/>
    <w:pPr>
      <w:keepNext/>
      <w:keepLines/>
      <w:spacing w:before="120" w:after="120"/>
      <w:outlineLvl w:val="3"/>
    </w:pPr>
    <w:rPr>
      <w:rFonts w:ascii="Arial" w:hAnsi="Arial" w:eastAsia="黑体"/>
      <w:b/>
      <w:sz w:val="20"/>
    </w:rPr>
  </w:style>
  <w:style w:type="paragraph" w:styleId="11">
    <w:name w:val="heading 5"/>
    <w:basedOn w:val="1"/>
    <w:next w:val="4"/>
    <w:link w:val="87"/>
    <w:autoRedefine/>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2">
    <w:name w:val="heading 6"/>
    <w:basedOn w:val="1"/>
    <w:next w:val="1"/>
    <w:link w:val="131"/>
    <w:autoRedefine/>
    <w:qFormat/>
    <w:uiPriority w:val="0"/>
    <w:pPr>
      <w:keepNext/>
      <w:keepLines/>
      <w:spacing w:before="240" w:after="64" w:line="319" w:lineRule="auto"/>
      <w:outlineLvl w:val="5"/>
    </w:pPr>
    <w:rPr>
      <w:rFonts w:ascii="Arial" w:hAnsi="Arial" w:eastAsia="黑体"/>
      <w:b/>
      <w:bCs/>
      <w:sz w:val="24"/>
      <w:szCs w:val="24"/>
    </w:rPr>
  </w:style>
  <w:style w:type="paragraph" w:styleId="13">
    <w:name w:val="heading 7"/>
    <w:basedOn w:val="1"/>
    <w:next w:val="1"/>
    <w:link w:val="146"/>
    <w:autoRedefine/>
    <w:qFormat/>
    <w:uiPriority w:val="0"/>
    <w:pPr>
      <w:keepNext/>
      <w:keepLines/>
      <w:spacing w:before="240" w:after="64" w:line="319" w:lineRule="auto"/>
      <w:outlineLvl w:val="6"/>
    </w:pPr>
    <w:rPr>
      <w:b/>
      <w:bCs/>
      <w:sz w:val="24"/>
      <w:szCs w:val="24"/>
    </w:rPr>
  </w:style>
  <w:style w:type="paragraph" w:styleId="14">
    <w:name w:val="heading 8"/>
    <w:basedOn w:val="1"/>
    <w:next w:val="1"/>
    <w:link w:val="160"/>
    <w:autoRedefine/>
    <w:qFormat/>
    <w:uiPriority w:val="0"/>
    <w:pPr>
      <w:keepNext/>
      <w:keepLines/>
      <w:spacing w:before="240" w:after="64" w:line="319" w:lineRule="auto"/>
      <w:outlineLvl w:val="7"/>
    </w:pPr>
    <w:rPr>
      <w:rFonts w:ascii="Arial" w:hAnsi="Arial" w:eastAsia="黑体"/>
      <w:sz w:val="24"/>
      <w:szCs w:val="24"/>
    </w:rPr>
  </w:style>
  <w:style w:type="paragraph" w:styleId="15">
    <w:name w:val="heading 9"/>
    <w:basedOn w:val="1"/>
    <w:next w:val="1"/>
    <w:link w:val="166"/>
    <w:autoRedefine/>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autoRedefine/>
    <w:semiHidden/>
    <w:unhideWhenUsed/>
    <w:qFormat/>
    <w:uiPriority w:val="1"/>
  </w:style>
  <w:style w:type="table" w:default="1" w:styleId="6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autoRedefine/>
    <w:qFormat/>
    <w:uiPriority w:val="0"/>
    <w:pPr>
      <w:ind w:firstLine="420"/>
    </w:pPr>
  </w:style>
  <w:style w:type="paragraph" w:styleId="5">
    <w:name w:val="Body Text First Indent 2"/>
    <w:basedOn w:val="6"/>
    <w:autoRedefine/>
    <w:unhideWhenUsed/>
    <w:qFormat/>
    <w:uiPriority w:val="99"/>
    <w:pPr>
      <w:spacing w:after="120"/>
      <w:ind w:left="420" w:leftChars="200" w:firstLine="420"/>
    </w:pPr>
    <w:rPr>
      <w:sz w:val="21"/>
      <w:szCs w:val="24"/>
    </w:rPr>
  </w:style>
  <w:style w:type="paragraph" w:styleId="6">
    <w:name w:val="Body Text Indent"/>
    <w:basedOn w:val="1"/>
    <w:next w:val="7"/>
    <w:link w:val="178"/>
    <w:autoRedefine/>
    <w:qFormat/>
    <w:uiPriority w:val="0"/>
    <w:pPr>
      <w:ind w:firstLine="645"/>
    </w:pPr>
    <w:rPr>
      <w:sz w:val="20"/>
    </w:rPr>
  </w:style>
  <w:style w:type="paragraph" w:styleId="7">
    <w:name w:val="envelope return"/>
    <w:basedOn w:val="1"/>
    <w:next w:val="8"/>
    <w:autoRedefine/>
    <w:unhideWhenUsed/>
    <w:qFormat/>
    <w:uiPriority w:val="99"/>
    <w:pPr>
      <w:snapToGrid w:val="0"/>
    </w:pPr>
    <w:rPr>
      <w:rFonts w:hint="eastAsia" w:ascii="Arial" w:hAnsi="Arial"/>
    </w:rPr>
  </w:style>
  <w:style w:type="paragraph" w:styleId="8">
    <w:name w:val="Title"/>
    <w:basedOn w:val="1"/>
    <w:next w:val="1"/>
    <w:link w:val="179"/>
    <w:autoRedefine/>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16">
    <w:name w:val="List 3"/>
    <w:basedOn w:val="1"/>
    <w:autoRedefine/>
    <w:qFormat/>
    <w:uiPriority w:val="0"/>
    <w:pPr>
      <w:ind w:left="1260" w:hanging="420"/>
    </w:pPr>
  </w:style>
  <w:style w:type="paragraph" w:styleId="17">
    <w:name w:val="toc 7"/>
    <w:basedOn w:val="1"/>
    <w:next w:val="1"/>
    <w:autoRedefine/>
    <w:qFormat/>
    <w:uiPriority w:val="0"/>
    <w:pPr>
      <w:ind w:left="1260"/>
      <w:jc w:val="left"/>
    </w:pPr>
    <w:rPr>
      <w:sz w:val="18"/>
    </w:rPr>
  </w:style>
  <w:style w:type="paragraph" w:styleId="18">
    <w:name w:val="List Number 2"/>
    <w:basedOn w:val="1"/>
    <w:autoRedefine/>
    <w:qFormat/>
    <w:uiPriority w:val="0"/>
    <w:pPr>
      <w:tabs>
        <w:tab w:val="left" w:pos="1440"/>
      </w:tabs>
      <w:spacing w:line="360" w:lineRule="auto"/>
      <w:ind w:left="1440" w:hanging="1440"/>
    </w:pPr>
    <w:rPr>
      <w:sz w:val="24"/>
      <w:szCs w:val="24"/>
    </w:rPr>
  </w:style>
  <w:style w:type="paragraph" w:styleId="19">
    <w:name w:val="index 8"/>
    <w:basedOn w:val="1"/>
    <w:next w:val="1"/>
    <w:autoRedefine/>
    <w:qFormat/>
    <w:uiPriority w:val="0"/>
    <w:pPr>
      <w:ind w:left="2940"/>
    </w:pPr>
  </w:style>
  <w:style w:type="paragraph" w:styleId="20">
    <w:name w:val="List Number"/>
    <w:basedOn w:val="1"/>
    <w:autoRedefine/>
    <w:qFormat/>
    <w:uiPriority w:val="0"/>
    <w:pPr>
      <w:tabs>
        <w:tab w:val="left" w:pos="2952"/>
      </w:tabs>
      <w:ind w:left="2952" w:hanging="432"/>
    </w:pPr>
    <w:rPr>
      <w:szCs w:val="24"/>
    </w:rPr>
  </w:style>
  <w:style w:type="paragraph" w:styleId="21">
    <w:name w:val="index 5"/>
    <w:basedOn w:val="1"/>
    <w:next w:val="1"/>
    <w:autoRedefine/>
    <w:qFormat/>
    <w:uiPriority w:val="0"/>
    <w:pPr>
      <w:ind w:left="1680"/>
    </w:pPr>
  </w:style>
  <w:style w:type="paragraph" w:styleId="22">
    <w:name w:val="Document Map"/>
    <w:basedOn w:val="1"/>
    <w:link w:val="205"/>
    <w:autoRedefine/>
    <w:qFormat/>
    <w:uiPriority w:val="0"/>
    <w:pPr>
      <w:shd w:val="clear" w:color="auto" w:fill="000080"/>
    </w:pPr>
    <w:rPr>
      <w:rFonts w:ascii="宋体"/>
      <w:sz w:val="18"/>
      <w:szCs w:val="18"/>
    </w:rPr>
  </w:style>
  <w:style w:type="paragraph" w:styleId="23">
    <w:name w:val="annotation text"/>
    <w:basedOn w:val="1"/>
    <w:link w:val="137"/>
    <w:autoRedefine/>
    <w:qFormat/>
    <w:uiPriority w:val="99"/>
    <w:pPr>
      <w:jc w:val="left"/>
    </w:pPr>
    <w:rPr>
      <w:sz w:val="20"/>
    </w:rPr>
  </w:style>
  <w:style w:type="paragraph" w:styleId="24">
    <w:name w:val="index 6"/>
    <w:basedOn w:val="1"/>
    <w:next w:val="1"/>
    <w:autoRedefine/>
    <w:qFormat/>
    <w:uiPriority w:val="0"/>
    <w:pPr>
      <w:ind w:left="2100"/>
    </w:pPr>
  </w:style>
  <w:style w:type="paragraph" w:styleId="25">
    <w:name w:val="Salutation"/>
    <w:basedOn w:val="1"/>
    <w:next w:val="1"/>
    <w:link w:val="201"/>
    <w:autoRedefine/>
    <w:qFormat/>
    <w:uiPriority w:val="0"/>
    <w:rPr>
      <w:rFonts w:ascii="仿宋_GB2312" w:eastAsia="仿宋_GB2312"/>
      <w:sz w:val="20"/>
    </w:rPr>
  </w:style>
  <w:style w:type="paragraph" w:styleId="26">
    <w:name w:val="Body Text 3"/>
    <w:basedOn w:val="1"/>
    <w:link w:val="98"/>
    <w:autoRedefine/>
    <w:qFormat/>
    <w:uiPriority w:val="0"/>
    <w:rPr>
      <w:rFonts w:ascii="仿宋_GB2312" w:hAnsi="Arial" w:eastAsia="仿宋_GB2312"/>
      <w:sz w:val="20"/>
    </w:rPr>
  </w:style>
  <w:style w:type="paragraph" w:styleId="27">
    <w:name w:val="Body Text"/>
    <w:basedOn w:val="1"/>
    <w:link w:val="85"/>
    <w:autoRedefine/>
    <w:qFormat/>
    <w:uiPriority w:val="0"/>
    <w:rPr>
      <w:rFonts w:ascii="楷体_GB2312" w:hAnsi="Arial" w:eastAsia="楷体_GB2312"/>
      <w:sz w:val="20"/>
    </w:rPr>
  </w:style>
  <w:style w:type="paragraph" w:styleId="28">
    <w:name w:val="List Bullet 2"/>
    <w:basedOn w:val="1"/>
    <w:autoRedefine/>
    <w:semiHidden/>
    <w:unhideWhenUsed/>
    <w:qFormat/>
    <w:uiPriority w:val="99"/>
    <w:pPr>
      <w:numPr>
        <w:ilvl w:val="0"/>
        <w:numId w:val="1"/>
      </w:numPr>
    </w:pPr>
  </w:style>
  <w:style w:type="paragraph" w:styleId="29">
    <w:name w:val="index 4"/>
    <w:basedOn w:val="1"/>
    <w:next w:val="1"/>
    <w:autoRedefine/>
    <w:qFormat/>
    <w:uiPriority w:val="0"/>
    <w:pPr>
      <w:ind w:left="1260"/>
    </w:pPr>
  </w:style>
  <w:style w:type="paragraph" w:styleId="30">
    <w:name w:val="toc 5"/>
    <w:basedOn w:val="1"/>
    <w:next w:val="1"/>
    <w:autoRedefine/>
    <w:qFormat/>
    <w:uiPriority w:val="0"/>
    <w:pPr>
      <w:ind w:left="840"/>
      <w:jc w:val="left"/>
    </w:pPr>
    <w:rPr>
      <w:sz w:val="18"/>
    </w:rPr>
  </w:style>
  <w:style w:type="paragraph" w:styleId="31">
    <w:name w:val="toc 3"/>
    <w:basedOn w:val="1"/>
    <w:next w:val="1"/>
    <w:autoRedefine/>
    <w:qFormat/>
    <w:uiPriority w:val="39"/>
    <w:pPr>
      <w:ind w:left="420"/>
      <w:jc w:val="left"/>
    </w:pPr>
    <w:rPr>
      <w:i/>
      <w:sz w:val="20"/>
    </w:rPr>
  </w:style>
  <w:style w:type="paragraph" w:styleId="32">
    <w:name w:val="Plain Text"/>
    <w:basedOn w:val="1"/>
    <w:link w:val="130"/>
    <w:autoRedefine/>
    <w:qFormat/>
    <w:uiPriority w:val="99"/>
    <w:rPr>
      <w:rFonts w:ascii="宋体" w:hAnsi="Courier New" w:cs="Courier New"/>
      <w:szCs w:val="21"/>
    </w:rPr>
  </w:style>
  <w:style w:type="paragraph" w:styleId="33">
    <w:name w:val="toc 8"/>
    <w:basedOn w:val="1"/>
    <w:next w:val="1"/>
    <w:autoRedefine/>
    <w:qFormat/>
    <w:uiPriority w:val="0"/>
    <w:pPr>
      <w:ind w:left="1470"/>
      <w:jc w:val="left"/>
    </w:pPr>
    <w:rPr>
      <w:sz w:val="18"/>
    </w:rPr>
  </w:style>
  <w:style w:type="paragraph" w:styleId="34">
    <w:name w:val="index 3"/>
    <w:basedOn w:val="1"/>
    <w:next w:val="1"/>
    <w:autoRedefine/>
    <w:qFormat/>
    <w:uiPriority w:val="0"/>
    <w:pPr>
      <w:ind w:left="840"/>
    </w:pPr>
  </w:style>
  <w:style w:type="paragraph" w:styleId="35">
    <w:name w:val="Date"/>
    <w:basedOn w:val="1"/>
    <w:next w:val="1"/>
    <w:link w:val="149"/>
    <w:autoRedefine/>
    <w:qFormat/>
    <w:uiPriority w:val="0"/>
    <w:pPr>
      <w:ind w:left="100" w:leftChars="2500"/>
    </w:pPr>
    <w:rPr>
      <w:sz w:val="20"/>
    </w:rPr>
  </w:style>
  <w:style w:type="paragraph" w:styleId="36">
    <w:name w:val="Body Text Indent 2"/>
    <w:basedOn w:val="1"/>
    <w:link w:val="172"/>
    <w:autoRedefine/>
    <w:qFormat/>
    <w:uiPriority w:val="0"/>
    <w:pPr>
      <w:ind w:left="630" w:firstLine="645"/>
    </w:pPr>
    <w:rPr>
      <w:sz w:val="20"/>
    </w:rPr>
  </w:style>
  <w:style w:type="paragraph" w:styleId="37">
    <w:name w:val="endnote text"/>
    <w:basedOn w:val="1"/>
    <w:link w:val="215"/>
    <w:autoRedefine/>
    <w:qFormat/>
    <w:uiPriority w:val="0"/>
    <w:pPr>
      <w:snapToGrid w:val="0"/>
      <w:jc w:val="left"/>
    </w:pPr>
    <w:rPr>
      <w:kern w:val="0"/>
      <w:sz w:val="24"/>
      <w:szCs w:val="24"/>
    </w:rPr>
  </w:style>
  <w:style w:type="paragraph" w:styleId="38">
    <w:name w:val="Balloon Text"/>
    <w:basedOn w:val="1"/>
    <w:link w:val="214"/>
    <w:autoRedefine/>
    <w:qFormat/>
    <w:uiPriority w:val="0"/>
    <w:rPr>
      <w:sz w:val="18"/>
      <w:szCs w:val="18"/>
    </w:rPr>
  </w:style>
  <w:style w:type="paragraph" w:styleId="39">
    <w:name w:val="footer"/>
    <w:basedOn w:val="1"/>
    <w:link w:val="207"/>
    <w:autoRedefine/>
    <w:qFormat/>
    <w:uiPriority w:val="99"/>
    <w:pPr>
      <w:tabs>
        <w:tab w:val="center" w:pos="4153"/>
        <w:tab w:val="right" w:pos="8306"/>
      </w:tabs>
      <w:snapToGrid w:val="0"/>
      <w:jc w:val="left"/>
    </w:pPr>
    <w:rPr>
      <w:sz w:val="18"/>
      <w:szCs w:val="18"/>
    </w:rPr>
  </w:style>
  <w:style w:type="paragraph" w:styleId="40">
    <w:name w:val="header"/>
    <w:basedOn w:val="1"/>
    <w:link w:val="143"/>
    <w:autoRedefine/>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40"/>
    <w:autoRedefine/>
    <w:qFormat/>
    <w:uiPriority w:val="0"/>
    <w:pPr>
      <w:adjustRightInd w:val="0"/>
      <w:spacing w:after="600" w:line="312" w:lineRule="atLeast"/>
      <w:jc w:val="center"/>
      <w:textAlignment w:val="baseline"/>
    </w:pPr>
    <w:rPr>
      <w:rFonts w:eastAsia="仿宋_GB2312"/>
      <w:kern w:val="0"/>
      <w:sz w:val="20"/>
    </w:rPr>
  </w:style>
  <w:style w:type="paragraph" w:styleId="42">
    <w:name w:val="toc 1"/>
    <w:basedOn w:val="1"/>
    <w:next w:val="1"/>
    <w:autoRedefine/>
    <w:qFormat/>
    <w:uiPriority w:val="39"/>
    <w:pPr>
      <w:spacing w:before="120" w:after="120"/>
      <w:jc w:val="left"/>
    </w:pPr>
    <w:rPr>
      <w:b/>
      <w:caps/>
      <w:sz w:val="20"/>
    </w:rPr>
  </w:style>
  <w:style w:type="paragraph" w:styleId="43">
    <w:name w:val="toc 4"/>
    <w:basedOn w:val="1"/>
    <w:next w:val="1"/>
    <w:autoRedefine/>
    <w:qFormat/>
    <w:uiPriority w:val="0"/>
    <w:pPr>
      <w:ind w:left="630"/>
      <w:jc w:val="left"/>
    </w:pPr>
    <w:rPr>
      <w:sz w:val="18"/>
    </w:rPr>
  </w:style>
  <w:style w:type="paragraph" w:styleId="44">
    <w:name w:val="index heading"/>
    <w:basedOn w:val="1"/>
    <w:next w:val="45"/>
    <w:autoRedefine/>
    <w:qFormat/>
    <w:uiPriority w:val="0"/>
  </w:style>
  <w:style w:type="paragraph" w:styleId="45">
    <w:name w:val="index 1"/>
    <w:basedOn w:val="1"/>
    <w:next w:val="1"/>
    <w:autoRedefine/>
    <w:qFormat/>
    <w:uiPriority w:val="0"/>
    <w:rPr>
      <w:rFonts w:ascii="仿宋_GB2312" w:hAnsi="宋体" w:eastAsia="仿宋_GB2312"/>
      <w:sz w:val="30"/>
      <w:szCs w:val="24"/>
    </w:rPr>
  </w:style>
  <w:style w:type="paragraph" w:styleId="46">
    <w:name w:val="Subtitle"/>
    <w:basedOn w:val="1"/>
    <w:next w:val="1"/>
    <w:link w:val="89"/>
    <w:autoRedefine/>
    <w:qFormat/>
    <w:uiPriority w:val="0"/>
    <w:pPr>
      <w:widowControl/>
      <w:spacing w:after="600" w:line="276" w:lineRule="auto"/>
      <w:jc w:val="left"/>
    </w:pPr>
    <w:rPr>
      <w:rFonts w:ascii="Cambria" w:hAnsi="Cambria"/>
      <w:i/>
      <w:iCs/>
      <w:spacing w:val="13"/>
      <w:kern w:val="0"/>
      <w:sz w:val="24"/>
      <w:szCs w:val="24"/>
      <w:lang w:eastAsia="en-US"/>
    </w:rPr>
  </w:style>
  <w:style w:type="paragraph" w:styleId="47">
    <w:name w:val="footnote text"/>
    <w:basedOn w:val="1"/>
    <w:link w:val="142"/>
    <w:autoRedefine/>
    <w:qFormat/>
    <w:uiPriority w:val="0"/>
    <w:pPr>
      <w:snapToGrid w:val="0"/>
      <w:jc w:val="left"/>
    </w:pPr>
    <w:rPr>
      <w:sz w:val="18"/>
      <w:szCs w:val="18"/>
    </w:rPr>
  </w:style>
  <w:style w:type="paragraph" w:styleId="48">
    <w:name w:val="toc 6"/>
    <w:basedOn w:val="1"/>
    <w:next w:val="1"/>
    <w:autoRedefine/>
    <w:qFormat/>
    <w:uiPriority w:val="0"/>
    <w:pPr>
      <w:ind w:left="1050"/>
      <w:jc w:val="left"/>
    </w:pPr>
    <w:rPr>
      <w:sz w:val="18"/>
    </w:rPr>
  </w:style>
  <w:style w:type="paragraph" w:styleId="49">
    <w:name w:val="Body Text Indent 3"/>
    <w:basedOn w:val="1"/>
    <w:link w:val="122"/>
    <w:autoRedefine/>
    <w:qFormat/>
    <w:uiPriority w:val="0"/>
    <w:pPr>
      <w:ind w:left="645" w:firstLine="645"/>
    </w:pPr>
    <w:rPr>
      <w:sz w:val="16"/>
      <w:szCs w:val="16"/>
    </w:rPr>
  </w:style>
  <w:style w:type="paragraph" w:styleId="50">
    <w:name w:val="index 7"/>
    <w:basedOn w:val="1"/>
    <w:next w:val="1"/>
    <w:autoRedefine/>
    <w:qFormat/>
    <w:uiPriority w:val="0"/>
    <w:pPr>
      <w:ind w:left="2520"/>
    </w:pPr>
  </w:style>
  <w:style w:type="paragraph" w:styleId="51">
    <w:name w:val="index 9"/>
    <w:basedOn w:val="1"/>
    <w:next w:val="1"/>
    <w:autoRedefine/>
    <w:qFormat/>
    <w:uiPriority w:val="0"/>
    <w:pPr>
      <w:ind w:left="3360"/>
    </w:pPr>
  </w:style>
  <w:style w:type="paragraph" w:styleId="52">
    <w:name w:val="table of figures"/>
    <w:basedOn w:val="1"/>
    <w:next w:val="1"/>
    <w:autoRedefine/>
    <w:qFormat/>
    <w:uiPriority w:val="0"/>
    <w:pPr>
      <w:ind w:left="840" w:hanging="420"/>
    </w:pPr>
  </w:style>
  <w:style w:type="paragraph" w:styleId="53">
    <w:name w:val="toc 2"/>
    <w:basedOn w:val="1"/>
    <w:next w:val="1"/>
    <w:autoRedefine/>
    <w:qFormat/>
    <w:uiPriority w:val="0"/>
    <w:pPr>
      <w:ind w:left="210"/>
      <w:jc w:val="left"/>
    </w:pPr>
    <w:rPr>
      <w:smallCaps/>
      <w:sz w:val="20"/>
    </w:rPr>
  </w:style>
  <w:style w:type="paragraph" w:styleId="54">
    <w:name w:val="toc 9"/>
    <w:basedOn w:val="1"/>
    <w:next w:val="1"/>
    <w:autoRedefine/>
    <w:qFormat/>
    <w:uiPriority w:val="0"/>
    <w:pPr>
      <w:ind w:left="1680"/>
      <w:jc w:val="left"/>
    </w:pPr>
    <w:rPr>
      <w:sz w:val="18"/>
    </w:rPr>
  </w:style>
  <w:style w:type="paragraph" w:styleId="55">
    <w:name w:val="Body Text 2"/>
    <w:basedOn w:val="1"/>
    <w:link w:val="182"/>
    <w:autoRedefine/>
    <w:qFormat/>
    <w:uiPriority w:val="0"/>
    <w:pPr>
      <w:widowControl/>
      <w:jc w:val="center"/>
    </w:pPr>
    <w:rPr>
      <w:rFonts w:ascii="楷体_GB2312" w:eastAsia="楷体_GB2312"/>
      <w:sz w:val="20"/>
    </w:rPr>
  </w:style>
  <w:style w:type="paragraph" w:styleId="56">
    <w:name w:val="HTML Preformatted"/>
    <w:basedOn w:val="1"/>
    <w:link w:val="17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7">
    <w:name w:val="Normal (Web)"/>
    <w:basedOn w:val="1"/>
    <w:autoRedefine/>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8">
    <w:name w:val="index 2"/>
    <w:basedOn w:val="1"/>
    <w:next w:val="1"/>
    <w:autoRedefine/>
    <w:qFormat/>
    <w:uiPriority w:val="0"/>
    <w:pPr>
      <w:ind w:left="420"/>
    </w:pPr>
  </w:style>
  <w:style w:type="paragraph" w:styleId="59">
    <w:name w:val="annotation subject"/>
    <w:basedOn w:val="23"/>
    <w:next w:val="23"/>
    <w:link w:val="153"/>
    <w:autoRedefine/>
    <w:qFormat/>
    <w:uiPriority w:val="0"/>
    <w:rPr>
      <w:b/>
      <w:bCs/>
    </w:rPr>
  </w:style>
  <w:style w:type="paragraph" w:styleId="60">
    <w:name w:val="Body Text First Indent"/>
    <w:basedOn w:val="27"/>
    <w:link w:val="114"/>
    <w:autoRedefine/>
    <w:qFormat/>
    <w:uiPriority w:val="0"/>
    <w:pPr>
      <w:spacing w:after="120"/>
      <w:ind w:firstLine="420" w:firstLineChars="100"/>
    </w:pPr>
    <w:rPr>
      <w:rFonts w:ascii="Times New Roman" w:hAnsi="Times New Roman" w:eastAsia="宋体"/>
      <w:sz w:val="24"/>
      <w:szCs w:val="24"/>
    </w:rPr>
  </w:style>
  <w:style w:type="table" w:styleId="62">
    <w:name w:val="Table Grid"/>
    <w:basedOn w:val="6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autoRedefine/>
    <w:qFormat/>
    <w:uiPriority w:val="0"/>
    <w:rPr>
      <w:b/>
      <w:bCs/>
    </w:rPr>
  </w:style>
  <w:style w:type="character" w:styleId="65">
    <w:name w:val="endnote reference"/>
    <w:basedOn w:val="63"/>
    <w:autoRedefine/>
    <w:qFormat/>
    <w:uiPriority w:val="0"/>
    <w:rPr>
      <w:vertAlign w:val="superscript"/>
    </w:rPr>
  </w:style>
  <w:style w:type="character" w:styleId="66">
    <w:name w:val="page number"/>
    <w:basedOn w:val="63"/>
    <w:autoRedefine/>
    <w:qFormat/>
    <w:uiPriority w:val="0"/>
    <w:rPr>
      <w:rFonts w:cs="Times New Roman"/>
    </w:rPr>
  </w:style>
  <w:style w:type="character" w:styleId="67">
    <w:name w:val="FollowedHyperlink"/>
    <w:basedOn w:val="63"/>
    <w:autoRedefine/>
    <w:qFormat/>
    <w:uiPriority w:val="0"/>
    <w:rPr>
      <w:color w:val="800080"/>
      <w:u w:val="single"/>
    </w:rPr>
  </w:style>
  <w:style w:type="character" w:styleId="68">
    <w:name w:val="Emphasis"/>
    <w:basedOn w:val="63"/>
    <w:autoRedefine/>
    <w:qFormat/>
    <w:uiPriority w:val="0"/>
    <w:rPr>
      <w:b/>
      <w:i/>
      <w:spacing w:val="10"/>
      <w:shd w:val="clear" w:color="auto" w:fill="auto"/>
    </w:rPr>
  </w:style>
  <w:style w:type="character" w:styleId="69">
    <w:name w:val="line number"/>
    <w:basedOn w:val="63"/>
    <w:autoRedefine/>
    <w:qFormat/>
    <w:uiPriority w:val="0"/>
    <w:rPr>
      <w:rFonts w:cs="Times New Roman"/>
    </w:rPr>
  </w:style>
  <w:style w:type="character" w:styleId="70">
    <w:name w:val="HTML Definition"/>
    <w:basedOn w:val="63"/>
    <w:autoRedefine/>
    <w:semiHidden/>
    <w:unhideWhenUsed/>
    <w:qFormat/>
    <w:uiPriority w:val="99"/>
    <w:rPr>
      <w:i/>
      <w:iCs/>
    </w:rPr>
  </w:style>
  <w:style w:type="character" w:styleId="71">
    <w:name w:val="HTML Typewriter"/>
    <w:basedOn w:val="63"/>
    <w:autoRedefine/>
    <w:qFormat/>
    <w:uiPriority w:val="0"/>
    <w:rPr>
      <w:rFonts w:ascii="宋体" w:hAnsi="宋体" w:eastAsia="宋体"/>
      <w:sz w:val="24"/>
    </w:rPr>
  </w:style>
  <w:style w:type="character" w:styleId="72">
    <w:name w:val="HTML Acronym"/>
    <w:basedOn w:val="63"/>
    <w:autoRedefine/>
    <w:semiHidden/>
    <w:unhideWhenUsed/>
    <w:qFormat/>
    <w:uiPriority w:val="99"/>
  </w:style>
  <w:style w:type="character" w:styleId="73">
    <w:name w:val="HTML Variable"/>
    <w:basedOn w:val="63"/>
    <w:autoRedefine/>
    <w:semiHidden/>
    <w:unhideWhenUsed/>
    <w:qFormat/>
    <w:uiPriority w:val="99"/>
  </w:style>
  <w:style w:type="character" w:styleId="74">
    <w:name w:val="Hyperlink"/>
    <w:basedOn w:val="63"/>
    <w:autoRedefine/>
    <w:qFormat/>
    <w:uiPriority w:val="99"/>
    <w:rPr>
      <w:color w:val="0000FF"/>
      <w:u w:val="single"/>
    </w:rPr>
  </w:style>
  <w:style w:type="character" w:styleId="75">
    <w:name w:val="HTML Code"/>
    <w:basedOn w:val="63"/>
    <w:autoRedefine/>
    <w:semiHidden/>
    <w:unhideWhenUsed/>
    <w:qFormat/>
    <w:uiPriority w:val="99"/>
    <w:rPr>
      <w:rFonts w:hint="default" w:ascii="monospace" w:hAnsi="monospace" w:eastAsia="monospace" w:cs="monospace"/>
      <w:sz w:val="21"/>
      <w:szCs w:val="21"/>
    </w:rPr>
  </w:style>
  <w:style w:type="character" w:styleId="76">
    <w:name w:val="annotation reference"/>
    <w:basedOn w:val="63"/>
    <w:autoRedefine/>
    <w:qFormat/>
    <w:uiPriority w:val="99"/>
    <w:rPr>
      <w:sz w:val="21"/>
    </w:rPr>
  </w:style>
  <w:style w:type="character" w:styleId="77">
    <w:name w:val="HTML Cite"/>
    <w:basedOn w:val="63"/>
    <w:autoRedefine/>
    <w:semiHidden/>
    <w:unhideWhenUsed/>
    <w:qFormat/>
    <w:uiPriority w:val="99"/>
  </w:style>
  <w:style w:type="character" w:styleId="78">
    <w:name w:val="footnote reference"/>
    <w:basedOn w:val="63"/>
    <w:autoRedefine/>
    <w:qFormat/>
    <w:uiPriority w:val="0"/>
    <w:rPr>
      <w:vertAlign w:val="superscript"/>
    </w:rPr>
  </w:style>
  <w:style w:type="character" w:styleId="79">
    <w:name w:val="HTML Keyboard"/>
    <w:basedOn w:val="63"/>
    <w:autoRedefine/>
    <w:semiHidden/>
    <w:unhideWhenUsed/>
    <w:qFormat/>
    <w:uiPriority w:val="99"/>
    <w:rPr>
      <w:rFonts w:hint="default" w:ascii="monospace" w:hAnsi="monospace" w:eastAsia="monospace" w:cs="monospace"/>
      <w:sz w:val="21"/>
      <w:szCs w:val="21"/>
    </w:rPr>
  </w:style>
  <w:style w:type="character" w:styleId="80">
    <w:name w:val="HTML Sample"/>
    <w:basedOn w:val="63"/>
    <w:autoRedefine/>
    <w:qFormat/>
    <w:uiPriority w:val="0"/>
    <w:rPr>
      <w:rFonts w:ascii="Courier New" w:hAnsi="宋体" w:eastAsia="宋体"/>
    </w:rPr>
  </w:style>
  <w:style w:type="paragraph" w:customStyle="1" w:styleId="8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6"/>
    <w:autoRedefine/>
    <w:qFormat/>
    <w:uiPriority w:val="0"/>
    <w:pPr>
      <w:spacing w:beforeLines="50" w:after="10"/>
      <w:ind w:firstLine="490" w:firstLineChars="175"/>
      <w:jc w:val="left"/>
    </w:pPr>
  </w:style>
  <w:style w:type="paragraph" w:customStyle="1" w:styleId="83">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84">
    <w:name w:val="页脚 Char1"/>
    <w:basedOn w:val="63"/>
    <w:autoRedefine/>
    <w:qFormat/>
    <w:uiPriority w:val="0"/>
    <w:rPr>
      <w:rFonts w:cs="Times New Roman"/>
      <w:kern w:val="2"/>
      <w:sz w:val="18"/>
      <w:szCs w:val="18"/>
    </w:rPr>
  </w:style>
  <w:style w:type="character" w:customStyle="1" w:styleId="85">
    <w:name w:val="正文文本 字符"/>
    <w:basedOn w:val="63"/>
    <w:link w:val="27"/>
    <w:autoRedefine/>
    <w:qFormat/>
    <w:uiPriority w:val="0"/>
    <w:rPr>
      <w:rFonts w:ascii="楷体_GB2312" w:hAnsi="Arial" w:eastAsia="楷体_GB2312" w:cs="Times New Roman"/>
      <w:sz w:val="20"/>
      <w:szCs w:val="20"/>
    </w:rPr>
  </w:style>
  <w:style w:type="character" w:customStyle="1" w:styleId="86">
    <w:name w:val="Body Text Indent 2 Char"/>
    <w:autoRedefine/>
    <w:qFormat/>
    <w:uiPriority w:val="0"/>
    <w:rPr>
      <w:rFonts w:ascii="Arial" w:hAnsi="Arial" w:eastAsia="仿宋_GB2312"/>
      <w:sz w:val="32"/>
    </w:rPr>
  </w:style>
  <w:style w:type="character" w:customStyle="1" w:styleId="87">
    <w:name w:val="标题 5 字符"/>
    <w:basedOn w:val="63"/>
    <w:link w:val="11"/>
    <w:autoRedefine/>
    <w:qFormat/>
    <w:uiPriority w:val="0"/>
    <w:rPr>
      <w:rFonts w:ascii="黑体" w:hAnsi="Times New Roman" w:eastAsia="黑体" w:cs="Times New Roman"/>
      <w:b/>
      <w:color w:val="000000"/>
      <w:kern w:val="0"/>
      <w:sz w:val="20"/>
      <w:szCs w:val="20"/>
    </w:rPr>
  </w:style>
  <w:style w:type="character" w:customStyle="1" w:styleId="88">
    <w:name w:val="Body Text Indent 3 Char1"/>
    <w:basedOn w:val="63"/>
    <w:autoRedefine/>
    <w:qFormat/>
    <w:uiPriority w:val="0"/>
    <w:rPr>
      <w:rFonts w:ascii="Times New Roman" w:hAnsi="Times New Roman"/>
      <w:kern w:val="2"/>
      <w:sz w:val="16"/>
      <w:szCs w:val="16"/>
    </w:rPr>
  </w:style>
  <w:style w:type="character" w:customStyle="1" w:styleId="89">
    <w:name w:val="副标题 字符"/>
    <w:basedOn w:val="63"/>
    <w:link w:val="46"/>
    <w:autoRedefine/>
    <w:qFormat/>
    <w:uiPriority w:val="0"/>
    <w:rPr>
      <w:rFonts w:ascii="Cambria" w:hAnsi="Cambria" w:eastAsia="宋体" w:cs="Times New Roman"/>
      <w:i/>
      <w:iCs/>
      <w:spacing w:val="13"/>
      <w:kern w:val="0"/>
      <w:sz w:val="24"/>
      <w:szCs w:val="24"/>
      <w:lang w:eastAsia="en-US"/>
    </w:rPr>
  </w:style>
  <w:style w:type="character" w:customStyle="1" w:styleId="90">
    <w:name w:val="listbenefit"/>
    <w:autoRedefine/>
    <w:qFormat/>
    <w:uiPriority w:val="0"/>
  </w:style>
  <w:style w:type="character" w:customStyle="1" w:styleId="91">
    <w:name w:val="Char Char27"/>
    <w:autoRedefine/>
    <w:qFormat/>
    <w:uiPriority w:val="0"/>
    <w:rPr>
      <w:b/>
      <w:kern w:val="44"/>
      <w:sz w:val="44"/>
    </w:rPr>
  </w:style>
  <w:style w:type="character" w:customStyle="1" w:styleId="92">
    <w:name w:val="param-value"/>
    <w:basedOn w:val="63"/>
    <w:autoRedefine/>
    <w:qFormat/>
    <w:uiPriority w:val="0"/>
    <w:rPr>
      <w:rFonts w:cs="Times New Roman"/>
    </w:rPr>
  </w:style>
  <w:style w:type="character" w:customStyle="1" w:styleId="93">
    <w:name w:val="纯文本 Char Char Char1"/>
    <w:autoRedefine/>
    <w:qFormat/>
    <w:uiPriority w:val="0"/>
    <w:rPr>
      <w:rFonts w:ascii="宋体" w:hAnsi="Courier New" w:eastAsia="宋体"/>
      <w:kern w:val="2"/>
      <w:sz w:val="21"/>
      <w:lang w:val="en-US" w:eastAsia="zh-CN"/>
    </w:rPr>
  </w:style>
  <w:style w:type="character" w:customStyle="1" w:styleId="94">
    <w:name w:val="apple-converted-space"/>
    <w:basedOn w:val="63"/>
    <w:autoRedefine/>
    <w:qFormat/>
    <w:uiPriority w:val="0"/>
    <w:rPr>
      <w:rFonts w:cs="Times New Roman"/>
    </w:rPr>
  </w:style>
  <w:style w:type="character" w:customStyle="1" w:styleId="95">
    <w:name w:val="Char Char29"/>
    <w:autoRedefine/>
    <w:qFormat/>
    <w:uiPriority w:val="0"/>
    <w:rPr>
      <w:rFonts w:ascii="Times New Roman" w:hAnsi="Times New Roman" w:eastAsia="宋体"/>
      <w:b/>
      <w:kern w:val="44"/>
      <w:sz w:val="44"/>
    </w:rPr>
  </w:style>
  <w:style w:type="character" w:customStyle="1" w:styleId="96">
    <w:name w:val="标题 3 Char"/>
    <w:basedOn w:val="63"/>
    <w:autoRedefine/>
    <w:qFormat/>
    <w:uiPriority w:val="0"/>
    <w:rPr>
      <w:rFonts w:ascii="Times New Roman" w:hAnsi="Times New Roman" w:eastAsia="宋体" w:cs="Times New Roman"/>
      <w:b/>
      <w:bCs/>
      <w:sz w:val="32"/>
      <w:szCs w:val="32"/>
    </w:rPr>
  </w:style>
  <w:style w:type="character" w:customStyle="1" w:styleId="97">
    <w:name w:val="标题 4 字符"/>
    <w:basedOn w:val="63"/>
    <w:link w:val="10"/>
    <w:autoRedefine/>
    <w:qFormat/>
    <w:uiPriority w:val="0"/>
    <w:rPr>
      <w:rFonts w:ascii="Arial" w:hAnsi="Arial" w:eastAsia="黑体" w:cs="Times New Roman"/>
      <w:b/>
      <w:sz w:val="20"/>
      <w:szCs w:val="20"/>
    </w:rPr>
  </w:style>
  <w:style w:type="character" w:customStyle="1" w:styleId="98">
    <w:name w:val="正文文本 3 字符"/>
    <w:basedOn w:val="63"/>
    <w:link w:val="26"/>
    <w:autoRedefine/>
    <w:qFormat/>
    <w:uiPriority w:val="0"/>
    <w:rPr>
      <w:rFonts w:ascii="仿宋_GB2312" w:hAnsi="Arial" w:eastAsia="仿宋_GB2312" w:cs="Times New Roman"/>
      <w:sz w:val="20"/>
      <w:szCs w:val="20"/>
    </w:rPr>
  </w:style>
  <w:style w:type="character" w:customStyle="1" w:styleId="99">
    <w:name w:val="正文文本缩进 Char"/>
    <w:basedOn w:val="63"/>
    <w:autoRedefine/>
    <w:qFormat/>
    <w:uiPriority w:val="0"/>
    <w:rPr>
      <w:rFonts w:ascii="Times New Roman" w:hAnsi="Times New Roman" w:eastAsia="宋体" w:cs="Times New Roman"/>
      <w:sz w:val="20"/>
      <w:szCs w:val="20"/>
    </w:rPr>
  </w:style>
  <w:style w:type="character" w:customStyle="1" w:styleId="100">
    <w:name w:val="Plain Text Char"/>
    <w:autoRedefine/>
    <w:qFormat/>
    <w:uiPriority w:val="0"/>
    <w:rPr>
      <w:rFonts w:ascii="宋体" w:hAnsi="Courier New"/>
    </w:rPr>
  </w:style>
  <w:style w:type="character" w:customStyle="1" w:styleId="101">
    <w:name w:val="HTML 预设格式 Char"/>
    <w:basedOn w:val="63"/>
    <w:autoRedefine/>
    <w:qFormat/>
    <w:uiPriority w:val="0"/>
    <w:rPr>
      <w:rFonts w:ascii="Courier New" w:hAnsi="Courier New" w:eastAsia="宋体" w:cs="Courier New"/>
      <w:sz w:val="20"/>
      <w:szCs w:val="20"/>
    </w:rPr>
  </w:style>
  <w:style w:type="character" w:customStyle="1" w:styleId="102">
    <w:name w:val="批注文字 Char Char"/>
    <w:autoRedefine/>
    <w:qFormat/>
    <w:uiPriority w:val="0"/>
    <w:rPr>
      <w:rFonts w:eastAsia="宋体"/>
      <w:kern w:val="2"/>
      <w:sz w:val="21"/>
      <w:lang w:val="en-US" w:eastAsia="zh-CN"/>
    </w:rPr>
  </w:style>
  <w:style w:type="character" w:customStyle="1" w:styleId="103">
    <w:name w:val="Body Text Indent Char"/>
    <w:autoRedefine/>
    <w:qFormat/>
    <w:uiPriority w:val="0"/>
    <w:rPr>
      <w:rFonts w:ascii="楷体_GB2312" w:eastAsia="楷体_GB2312"/>
      <w:sz w:val="32"/>
    </w:rPr>
  </w:style>
  <w:style w:type="character" w:customStyle="1" w:styleId="104">
    <w:name w:val="已访问的超链接1"/>
    <w:autoRedefine/>
    <w:qFormat/>
    <w:uiPriority w:val="0"/>
    <w:rPr>
      <w:color w:val="auto"/>
      <w:u w:val="none"/>
    </w:rPr>
  </w:style>
  <w:style w:type="character" w:customStyle="1" w:styleId="105">
    <w:name w:val="纯文本 Char Char Char"/>
    <w:autoRedefine/>
    <w:qFormat/>
    <w:uiPriority w:val="0"/>
    <w:rPr>
      <w:rFonts w:ascii="宋体" w:hAnsi="Courier New" w:eastAsia="宋体"/>
      <w:kern w:val="2"/>
      <w:sz w:val="21"/>
      <w:lang w:val="en-US" w:eastAsia="zh-CN"/>
    </w:rPr>
  </w:style>
  <w:style w:type="character" w:customStyle="1" w:styleId="106">
    <w:name w:val="普通文字1 Char"/>
    <w:autoRedefine/>
    <w:qFormat/>
    <w:uiPriority w:val="0"/>
    <w:rPr>
      <w:rFonts w:ascii="宋体" w:eastAsia="宋体"/>
      <w:kern w:val="2"/>
      <w:sz w:val="21"/>
      <w:lang w:val="en-US" w:eastAsia="zh-CN"/>
    </w:rPr>
  </w:style>
  <w:style w:type="character" w:customStyle="1" w:styleId="107">
    <w:name w:val="Comment Subject Char"/>
    <w:autoRedefine/>
    <w:qFormat/>
    <w:uiPriority w:val="0"/>
    <w:rPr>
      <w:b/>
    </w:rPr>
  </w:style>
  <w:style w:type="character" w:customStyle="1" w:styleId="108">
    <w:name w:val="Char Char28"/>
    <w:autoRedefine/>
    <w:qFormat/>
    <w:uiPriority w:val="0"/>
    <w:rPr>
      <w:rFonts w:ascii="Arial" w:hAnsi="Arial" w:eastAsia="黑体"/>
      <w:b/>
      <w:sz w:val="32"/>
    </w:rPr>
  </w:style>
  <w:style w:type="character" w:customStyle="1" w:styleId="109">
    <w:name w:val="Char Char23"/>
    <w:autoRedefine/>
    <w:qFormat/>
    <w:uiPriority w:val="0"/>
    <w:rPr>
      <w:rFonts w:ascii="Arial" w:hAnsi="Arial" w:eastAsia="黑体"/>
      <w:b/>
      <w:kern w:val="2"/>
      <w:sz w:val="24"/>
    </w:rPr>
  </w:style>
  <w:style w:type="character" w:customStyle="1" w:styleId="110">
    <w:name w:val="Char Char21"/>
    <w:autoRedefine/>
    <w:qFormat/>
    <w:uiPriority w:val="0"/>
    <w:rPr>
      <w:rFonts w:ascii="Arial" w:hAnsi="Arial" w:eastAsia="黑体"/>
      <w:kern w:val="2"/>
      <w:sz w:val="24"/>
    </w:rPr>
  </w:style>
  <w:style w:type="character" w:customStyle="1" w:styleId="111">
    <w:name w:val="Char Char2"/>
    <w:autoRedefine/>
    <w:qFormat/>
    <w:uiPriority w:val="0"/>
    <w:rPr>
      <w:rFonts w:ascii="宋体" w:hAnsi="Courier New" w:eastAsia="宋体"/>
      <w:kern w:val="2"/>
      <w:sz w:val="21"/>
      <w:lang w:val="en-US" w:eastAsia="zh-CN"/>
    </w:rPr>
  </w:style>
  <w:style w:type="character" w:customStyle="1" w:styleId="112">
    <w:name w:val="t1"/>
    <w:autoRedefine/>
    <w:qFormat/>
    <w:uiPriority w:val="0"/>
  </w:style>
  <w:style w:type="character" w:customStyle="1" w:styleId="113">
    <w:name w:val="华宇段落1 Char Char Char"/>
    <w:autoRedefine/>
    <w:qFormat/>
    <w:uiPriority w:val="0"/>
    <w:rPr>
      <w:rFonts w:eastAsia="宋体"/>
      <w:kern w:val="2"/>
      <w:sz w:val="24"/>
      <w:lang w:val="en-US" w:eastAsia="zh-CN"/>
    </w:rPr>
  </w:style>
  <w:style w:type="character" w:customStyle="1" w:styleId="114">
    <w:name w:val="正文文本首行缩进 字符"/>
    <w:basedOn w:val="85"/>
    <w:link w:val="60"/>
    <w:autoRedefine/>
    <w:qFormat/>
    <w:uiPriority w:val="0"/>
    <w:rPr>
      <w:rFonts w:ascii="Times New Roman" w:hAnsi="Times New Roman" w:eastAsia="宋体" w:cs="Times New Roman"/>
      <w:sz w:val="24"/>
      <w:szCs w:val="24"/>
    </w:rPr>
  </w:style>
  <w:style w:type="character" w:customStyle="1" w:styleId="115">
    <w:name w:val="纯文本 Char1"/>
    <w:autoRedefine/>
    <w:qFormat/>
    <w:uiPriority w:val="0"/>
    <w:rPr>
      <w:rFonts w:ascii="宋体" w:hAnsi="Courier New"/>
      <w:kern w:val="2"/>
      <w:sz w:val="21"/>
    </w:rPr>
  </w:style>
  <w:style w:type="character" w:customStyle="1" w:styleId="116">
    <w:name w:val="textcontents"/>
    <w:basedOn w:val="63"/>
    <w:autoRedefine/>
    <w:qFormat/>
    <w:uiPriority w:val="0"/>
    <w:rPr>
      <w:rFonts w:cs="Times New Roman"/>
    </w:rPr>
  </w:style>
  <w:style w:type="character" w:customStyle="1" w:styleId="117">
    <w:name w:val="Intense Quote Char2"/>
    <w:basedOn w:val="63"/>
    <w:autoRedefine/>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autoRedefine/>
    <w:qFormat/>
    <w:uiPriority w:val="0"/>
    <w:rPr>
      <w:rFonts w:ascii="宋体" w:hAnsi="Courier New" w:eastAsia="宋体" w:cs="Courier New"/>
      <w:sz w:val="21"/>
      <w:szCs w:val="21"/>
    </w:rPr>
  </w:style>
  <w:style w:type="character" w:customStyle="1" w:styleId="119">
    <w:name w:val="我的正文 Char Char"/>
    <w:link w:val="120"/>
    <w:autoRedefine/>
    <w:qFormat/>
    <w:uiPriority w:val="0"/>
    <w:rPr>
      <w:rFonts w:ascii="宋体" w:eastAsia="宋体"/>
      <w:sz w:val="21"/>
    </w:rPr>
  </w:style>
  <w:style w:type="paragraph" w:customStyle="1" w:styleId="120">
    <w:name w:val="我的正文"/>
    <w:basedOn w:val="1"/>
    <w:link w:val="119"/>
    <w:autoRedefine/>
    <w:qFormat/>
    <w:uiPriority w:val="0"/>
    <w:pPr>
      <w:widowControl/>
      <w:spacing w:line="360" w:lineRule="auto"/>
      <w:ind w:firstLine="420"/>
      <w:jc w:val="left"/>
    </w:pPr>
    <w:rPr>
      <w:rFonts w:ascii="宋体" w:hAnsi="Calibri"/>
      <w:kern w:val="0"/>
    </w:rPr>
  </w:style>
  <w:style w:type="character" w:customStyle="1" w:styleId="121">
    <w:name w:val="Title Char"/>
    <w:autoRedefine/>
    <w:qFormat/>
    <w:uiPriority w:val="0"/>
    <w:rPr>
      <w:rFonts w:eastAsia="黑体"/>
      <w:b/>
      <w:sz w:val="28"/>
      <w:lang w:val="en-GB"/>
    </w:rPr>
  </w:style>
  <w:style w:type="character" w:customStyle="1" w:styleId="122">
    <w:name w:val="正文文本缩进 3 字符"/>
    <w:basedOn w:val="63"/>
    <w:link w:val="49"/>
    <w:autoRedefine/>
    <w:qFormat/>
    <w:uiPriority w:val="0"/>
    <w:rPr>
      <w:rFonts w:ascii="Times New Roman" w:hAnsi="Times New Roman" w:eastAsia="宋体" w:cs="Times New Roman"/>
      <w:sz w:val="16"/>
      <w:szCs w:val="16"/>
    </w:rPr>
  </w:style>
  <w:style w:type="character" w:customStyle="1" w:styleId="123">
    <w:name w:val="Title1 Char"/>
    <w:autoRedefine/>
    <w:qFormat/>
    <w:uiPriority w:val="0"/>
    <w:rPr>
      <w:rFonts w:eastAsia="宋体"/>
      <w:b/>
      <w:kern w:val="44"/>
      <w:sz w:val="44"/>
      <w:lang w:val="en-US" w:eastAsia="zh-CN"/>
    </w:rPr>
  </w:style>
  <w:style w:type="character" w:customStyle="1" w:styleId="124">
    <w:name w:val="content"/>
    <w:basedOn w:val="63"/>
    <w:autoRedefine/>
    <w:qFormat/>
    <w:uiPriority w:val="0"/>
    <w:rPr>
      <w:rFonts w:cs="Times New Roman"/>
    </w:rPr>
  </w:style>
  <w:style w:type="character" w:customStyle="1" w:styleId="125">
    <w:name w:val="Char Char17"/>
    <w:autoRedefine/>
    <w:qFormat/>
    <w:uiPriority w:val="0"/>
    <w:rPr>
      <w:rFonts w:ascii="宋体" w:hAnsi="Courier New"/>
      <w:kern w:val="2"/>
      <w:sz w:val="21"/>
    </w:rPr>
  </w:style>
  <w:style w:type="character" w:customStyle="1" w:styleId="126">
    <w:name w:val="标准小四 Char Char"/>
    <w:autoRedefine/>
    <w:qFormat/>
    <w:uiPriority w:val="0"/>
    <w:rPr>
      <w:rFonts w:ascii="Arial" w:hAnsi="Arial" w:eastAsia="宋体"/>
      <w:kern w:val="2"/>
      <w:sz w:val="21"/>
      <w:lang w:val="en-US" w:eastAsia="zh-CN"/>
    </w:rPr>
  </w:style>
  <w:style w:type="character" w:customStyle="1" w:styleId="127">
    <w:name w:val="样式 宋体 小四"/>
    <w:autoRedefine/>
    <w:qFormat/>
    <w:uiPriority w:val="0"/>
    <w:rPr>
      <w:rFonts w:ascii="宋体" w:eastAsia="宋体"/>
      <w:sz w:val="24"/>
    </w:rPr>
  </w:style>
  <w:style w:type="character" w:customStyle="1" w:styleId="128">
    <w:name w:val="ih151"/>
    <w:autoRedefine/>
    <w:qFormat/>
    <w:uiPriority w:val="0"/>
    <w:rPr>
      <w:color w:val="666666"/>
      <w:sz w:val="18"/>
      <w:u w:val="none"/>
    </w:rPr>
  </w:style>
  <w:style w:type="character" w:customStyle="1" w:styleId="129">
    <w:name w:val="style13"/>
    <w:autoRedefine/>
    <w:qFormat/>
    <w:uiPriority w:val="0"/>
    <w:rPr>
      <w:sz w:val="18"/>
    </w:rPr>
  </w:style>
  <w:style w:type="character" w:customStyle="1" w:styleId="130">
    <w:name w:val="纯文本 字符"/>
    <w:basedOn w:val="63"/>
    <w:link w:val="32"/>
    <w:autoRedefine/>
    <w:qFormat/>
    <w:uiPriority w:val="99"/>
    <w:rPr>
      <w:rFonts w:ascii="宋体" w:hAnsi="Courier New" w:cs="Courier New"/>
      <w:kern w:val="2"/>
      <w:sz w:val="21"/>
      <w:szCs w:val="21"/>
    </w:rPr>
  </w:style>
  <w:style w:type="character" w:customStyle="1" w:styleId="131">
    <w:name w:val="标题 6 字符"/>
    <w:basedOn w:val="63"/>
    <w:link w:val="12"/>
    <w:autoRedefine/>
    <w:qFormat/>
    <w:uiPriority w:val="0"/>
    <w:rPr>
      <w:rFonts w:ascii="Arial" w:hAnsi="Arial" w:eastAsia="黑体" w:cs="Times New Roman"/>
      <w:b/>
      <w:bCs/>
      <w:sz w:val="24"/>
      <w:szCs w:val="24"/>
    </w:rPr>
  </w:style>
  <w:style w:type="character" w:customStyle="1" w:styleId="132">
    <w:name w:val="style131"/>
    <w:autoRedefine/>
    <w:qFormat/>
    <w:uiPriority w:val="0"/>
    <w:rPr>
      <w:sz w:val="18"/>
    </w:rPr>
  </w:style>
  <w:style w:type="character" w:customStyle="1" w:styleId="133">
    <w:name w:val="Char Char25"/>
    <w:autoRedefine/>
    <w:qFormat/>
    <w:uiPriority w:val="0"/>
    <w:rPr>
      <w:rFonts w:ascii="Arial" w:hAnsi="Arial" w:eastAsia="黑体"/>
      <w:b/>
      <w:kern w:val="2"/>
      <w:sz w:val="28"/>
    </w:rPr>
  </w:style>
  <w:style w:type="character" w:customStyle="1" w:styleId="134">
    <w:name w:val="不明显强调1"/>
    <w:basedOn w:val="63"/>
    <w:autoRedefine/>
    <w:qFormat/>
    <w:uiPriority w:val="0"/>
    <w:rPr>
      <w:i/>
    </w:rPr>
  </w:style>
  <w:style w:type="character" w:customStyle="1" w:styleId="135">
    <w:name w:val="标准文本 Char Char"/>
    <w:autoRedefine/>
    <w:qFormat/>
    <w:uiPriority w:val="0"/>
    <w:rPr>
      <w:rFonts w:eastAsia="宋体"/>
      <w:kern w:val="2"/>
      <w:sz w:val="24"/>
      <w:lang w:val="en-US" w:eastAsia="zh-CN"/>
    </w:rPr>
  </w:style>
  <w:style w:type="character" w:customStyle="1" w:styleId="136">
    <w:name w:val="Comment Subject Char1"/>
    <w:basedOn w:val="137"/>
    <w:autoRedefine/>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23"/>
    <w:autoRedefine/>
    <w:qFormat/>
    <w:uiPriority w:val="99"/>
    <w:rPr>
      <w:rFonts w:ascii="Times New Roman" w:hAnsi="Times New Roman" w:eastAsia="宋体" w:cs="Times New Roman"/>
      <w:sz w:val="20"/>
      <w:szCs w:val="20"/>
    </w:rPr>
  </w:style>
  <w:style w:type="character" w:customStyle="1" w:styleId="138">
    <w:name w:val="normalfont1"/>
    <w:autoRedefine/>
    <w:qFormat/>
    <w:uiPriority w:val="0"/>
    <w:rPr>
      <w:rFonts w:ascii="??" w:hAnsi="??"/>
      <w:sz w:val="18"/>
      <w:u w:val="none"/>
    </w:rPr>
  </w:style>
  <w:style w:type="character" w:customStyle="1" w:styleId="139">
    <w:name w:val="小四 段落 宋体 Char Char Char Char Char Char Char Char"/>
    <w:autoRedefine/>
    <w:qFormat/>
    <w:uiPriority w:val="0"/>
    <w:rPr>
      <w:rFonts w:eastAsia="宋体"/>
      <w:kern w:val="2"/>
      <w:sz w:val="24"/>
      <w:lang w:val="en-US" w:eastAsia="zh-CN"/>
    </w:rPr>
  </w:style>
  <w:style w:type="character" w:customStyle="1" w:styleId="140">
    <w:name w:val="签名 字符"/>
    <w:basedOn w:val="63"/>
    <w:link w:val="41"/>
    <w:autoRedefine/>
    <w:qFormat/>
    <w:uiPriority w:val="0"/>
    <w:rPr>
      <w:rFonts w:ascii="Times New Roman" w:hAnsi="Times New Roman" w:eastAsia="仿宋_GB2312" w:cs="Times New Roman"/>
      <w:kern w:val="0"/>
      <w:sz w:val="20"/>
      <w:szCs w:val="20"/>
    </w:rPr>
  </w:style>
  <w:style w:type="character" w:customStyle="1" w:styleId="141">
    <w:name w:val="标题 Char1"/>
    <w:autoRedefine/>
    <w:qFormat/>
    <w:uiPriority w:val="0"/>
    <w:rPr>
      <w:rFonts w:ascii="Cambria" w:eastAsia="宋体"/>
      <w:b/>
      <w:sz w:val="32"/>
    </w:rPr>
  </w:style>
  <w:style w:type="character" w:customStyle="1" w:styleId="142">
    <w:name w:val="脚注文本 字符"/>
    <w:basedOn w:val="63"/>
    <w:link w:val="47"/>
    <w:autoRedefine/>
    <w:qFormat/>
    <w:uiPriority w:val="0"/>
    <w:rPr>
      <w:rFonts w:ascii="Times New Roman" w:hAnsi="Times New Roman" w:eastAsia="宋体" w:cs="Times New Roman"/>
      <w:sz w:val="18"/>
      <w:szCs w:val="18"/>
    </w:rPr>
  </w:style>
  <w:style w:type="character" w:customStyle="1" w:styleId="143">
    <w:name w:val="页眉 字符"/>
    <w:basedOn w:val="63"/>
    <w:link w:val="40"/>
    <w:autoRedefine/>
    <w:qFormat/>
    <w:uiPriority w:val="99"/>
    <w:rPr>
      <w:rFonts w:cs="Times New Roman"/>
      <w:sz w:val="18"/>
      <w:szCs w:val="18"/>
    </w:rPr>
  </w:style>
  <w:style w:type="character" w:customStyle="1" w:styleId="144">
    <w:name w:val="Quote Char Char"/>
    <w:autoRedefine/>
    <w:qFormat/>
    <w:uiPriority w:val="0"/>
    <w:rPr>
      <w:rFonts w:ascii="Calibri" w:hAnsi="Calibri"/>
      <w:i/>
      <w:sz w:val="22"/>
      <w:lang w:eastAsia="en-US"/>
    </w:rPr>
  </w:style>
  <w:style w:type="character" w:customStyle="1" w:styleId="145">
    <w:name w:val="content_lineheight1"/>
    <w:basedOn w:val="63"/>
    <w:autoRedefine/>
    <w:qFormat/>
    <w:uiPriority w:val="0"/>
    <w:rPr>
      <w:rFonts w:cs="Times New Roman"/>
    </w:rPr>
  </w:style>
  <w:style w:type="character" w:customStyle="1" w:styleId="146">
    <w:name w:val="标题 7 字符"/>
    <w:basedOn w:val="63"/>
    <w:link w:val="13"/>
    <w:autoRedefine/>
    <w:qFormat/>
    <w:uiPriority w:val="0"/>
    <w:rPr>
      <w:rFonts w:ascii="Times New Roman" w:hAnsi="Times New Roman" w:eastAsia="宋体" w:cs="Times New Roman"/>
      <w:b/>
      <w:bCs/>
      <w:sz w:val="24"/>
      <w:szCs w:val="24"/>
    </w:rPr>
  </w:style>
  <w:style w:type="character" w:customStyle="1" w:styleId="147">
    <w:name w:val="Title Char1"/>
    <w:basedOn w:val="63"/>
    <w:autoRedefine/>
    <w:qFormat/>
    <w:uiPriority w:val="0"/>
    <w:rPr>
      <w:rFonts w:ascii="Cambria" w:hAnsi="Cambria" w:cs="Times New Roman"/>
      <w:b/>
      <w:bCs/>
      <w:kern w:val="2"/>
      <w:sz w:val="32"/>
      <w:szCs w:val="32"/>
    </w:rPr>
  </w:style>
  <w:style w:type="character" w:customStyle="1" w:styleId="148">
    <w:name w:val="正文 + 宋体 Char"/>
    <w:autoRedefine/>
    <w:qFormat/>
    <w:uiPriority w:val="0"/>
    <w:rPr>
      <w:rFonts w:eastAsia="宋体"/>
      <w:kern w:val="2"/>
      <w:sz w:val="24"/>
      <w:lang w:val="en-US" w:eastAsia="zh-CN"/>
    </w:rPr>
  </w:style>
  <w:style w:type="character" w:customStyle="1" w:styleId="149">
    <w:name w:val="日期 字符"/>
    <w:basedOn w:val="63"/>
    <w:link w:val="35"/>
    <w:autoRedefine/>
    <w:qFormat/>
    <w:uiPriority w:val="0"/>
    <w:rPr>
      <w:rFonts w:ascii="Times New Roman" w:hAnsi="Times New Roman" w:eastAsia="宋体" w:cs="Times New Roman"/>
      <w:sz w:val="20"/>
      <w:szCs w:val="20"/>
    </w:rPr>
  </w:style>
  <w:style w:type="character" w:customStyle="1" w:styleId="150">
    <w:name w:val="特点 Char1"/>
    <w:autoRedefine/>
    <w:qFormat/>
    <w:uiPriority w:val="0"/>
    <w:rPr>
      <w:rFonts w:eastAsia="宋体"/>
      <w:kern w:val="2"/>
      <w:sz w:val="21"/>
      <w:lang w:val="en-US" w:eastAsia="zh-CN"/>
    </w:rPr>
  </w:style>
  <w:style w:type="character" w:customStyle="1" w:styleId="151">
    <w:name w:val="表格抬头 Char Char"/>
    <w:link w:val="152"/>
    <w:autoRedefine/>
    <w:qFormat/>
    <w:uiPriority w:val="0"/>
    <w:rPr>
      <w:rFonts w:ascii="黑体" w:eastAsia="黑体"/>
      <w:b/>
    </w:rPr>
  </w:style>
  <w:style w:type="paragraph" w:customStyle="1" w:styleId="152">
    <w:name w:val="表格抬头"/>
    <w:basedOn w:val="1"/>
    <w:link w:val="151"/>
    <w:autoRedefine/>
    <w:qFormat/>
    <w:uiPriority w:val="0"/>
    <w:pPr>
      <w:jc w:val="center"/>
    </w:pPr>
    <w:rPr>
      <w:rFonts w:ascii="黑体" w:hAnsi="Calibri" w:eastAsia="黑体"/>
      <w:b/>
      <w:kern w:val="0"/>
      <w:sz w:val="20"/>
    </w:rPr>
  </w:style>
  <w:style w:type="character" w:customStyle="1" w:styleId="153">
    <w:name w:val="批注主题 字符"/>
    <w:basedOn w:val="137"/>
    <w:link w:val="59"/>
    <w:autoRedefine/>
    <w:qFormat/>
    <w:uiPriority w:val="0"/>
    <w:rPr>
      <w:rFonts w:ascii="Times New Roman" w:hAnsi="Times New Roman" w:eastAsia="宋体" w:cs="Times New Roman"/>
      <w:b/>
      <w:bCs/>
      <w:sz w:val="20"/>
      <w:szCs w:val="20"/>
    </w:rPr>
  </w:style>
  <w:style w:type="character" w:customStyle="1" w:styleId="154">
    <w:name w:val="HTML Preformatted Char"/>
    <w:autoRedefine/>
    <w:qFormat/>
    <w:uiPriority w:val="0"/>
    <w:rPr>
      <w:rFonts w:ascii="黑体" w:hAnsi="Courier New" w:eastAsia="黑体"/>
    </w:rPr>
  </w:style>
  <w:style w:type="character" w:customStyle="1" w:styleId="155">
    <w:name w:val="h Char Char"/>
    <w:autoRedefine/>
    <w:qFormat/>
    <w:uiPriority w:val="0"/>
    <w:rPr>
      <w:rFonts w:eastAsia="宋体"/>
      <w:kern w:val="2"/>
      <w:sz w:val="18"/>
      <w:lang w:val="en-US" w:eastAsia="zh-CN"/>
    </w:rPr>
  </w:style>
  <w:style w:type="character" w:customStyle="1" w:styleId="156">
    <w:name w:val="subtitle1"/>
    <w:autoRedefine/>
    <w:qFormat/>
    <w:uiPriority w:val="0"/>
    <w:rPr>
      <w:rFonts w:ascii="Georgia" w:hAnsi="Georgia"/>
      <w:b/>
      <w:color w:val="666666"/>
      <w:sz w:val="18"/>
    </w:rPr>
  </w:style>
  <w:style w:type="character" w:customStyle="1" w:styleId="157">
    <w:name w:val="样式 非加粗"/>
    <w:autoRedefine/>
    <w:qFormat/>
    <w:uiPriority w:val="0"/>
    <w:rPr>
      <w:rFonts w:eastAsia="宋体"/>
      <w:sz w:val="28"/>
    </w:rPr>
  </w:style>
  <w:style w:type="character" w:customStyle="1" w:styleId="158">
    <w:name w:val="小四 段落 宋体 Char Char Char Char Char"/>
    <w:link w:val="159"/>
    <w:autoRedefine/>
    <w:qFormat/>
    <w:uiPriority w:val="0"/>
    <w:rPr>
      <w:rFonts w:eastAsia="宋体"/>
      <w:kern w:val="2"/>
      <w:sz w:val="24"/>
      <w:lang w:val="en-US" w:eastAsia="zh-CN"/>
    </w:rPr>
  </w:style>
  <w:style w:type="paragraph" w:customStyle="1" w:styleId="159">
    <w:name w:val="小四 段落 宋体"/>
    <w:basedOn w:val="20"/>
    <w:link w:val="158"/>
    <w:autoRedefine/>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4"/>
    <w:autoRedefine/>
    <w:qFormat/>
    <w:uiPriority w:val="0"/>
    <w:rPr>
      <w:rFonts w:ascii="Arial" w:hAnsi="Arial" w:eastAsia="黑体" w:cs="Times New Roman"/>
      <w:sz w:val="24"/>
      <w:szCs w:val="24"/>
    </w:rPr>
  </w:style>
  <w:style w:type="character" w:customStyle="1" w:styleId="161">
    <w:name w:val="Document Map Char"/>
    <w:autoRedefine/>
    <w:qFormat/>
    <w:uiPriority w:val="0"/>
    <w:rPr>
      <w:shd w:val="clear" w:color="auto" w:fill="000080"/>
    </w:rPr>
  </w:style>
  <w:style w:type="character" w:customStyle="1" w:styleId="162">
    <w:name w:val="para_small"/>
    <w:basedOn w:val="63"/>
    <w:autoRedefine/>
    <w:qFormat/>
    <w:uiPriority w:val="0"/>
    <w:rPr>
      <w:rFonts w:cs="Times New Roman"/>
    </w:rPr>
  </w:style>
  <w:style w:type="character" w:customStyle="1" w:styleId="163">
    <w:name w:val="2nd level Char"/>
    <w:autoRedefine/>
    <w:qFormat/>
    <w:uiPriority w:val="0"/>
    <w:rPr>
      <w:rFonts w:ascii="Arial" w:hAnsi="Arial" w:eastAsia="黑体"/>
      <w:b/>
      <w:kern w:val="2"/>
      <w:sz w:val="32"/>
      <w:lang w:val="en-US" w:eastAsia="zh-CN"/>
    </w:rPr>
  </w:style>
  <w:style w:type="character" w:customStyle="1" w:styleId="164">
    <w:name w:val="小四 段落 宋体 Char Char Char Char1"/>
    <w:autoRedefine/>
    <w:qFormat/>
    <w:uiPriority w:val="0"/>
    <w:rPr>
      <w:rFonts w:eastAsia="宋体"/>
      <w:kern w:val="2"/>
      <w:sz w:val="24"/>
      <w:lang w:val="en-US" w:eastAsia="zh-CN"/>
    </w:rPr>
  </w:style>
  <w:style w:type="character" w:customStyle="1" w:styleId="165">
    <w:name w:val="Body Text Indent 2 Char1"/>
    <w:basedOn w:val="63"/>
    <w:autoRedefine/>
    <w:qFormat/>
    <w:uiPriority w:val="0"/>
    <w:rPr>
      <w:rFonts w:ascii="Times New Roman" w:hAnsi="Times New Roman"/>
      <w:kern w:val="2"/>
      <w:sz w:val="21"/>
    </w:rPr>
  </w:style>
  <w:style w:type="character" w:customStyle="1" w:styleId="166">
    <w:name w:val="标题 9 字符"/>
    <w:basedOn w:val="63"/>
    <w:link w:val="15"/>
    <w:autoRedefine/>
    <w:qFormat/>
    <w:uiPriority w:val="0"/>
    <w:rPr>
      <w:rFonts w:ascii="Arial" w:hAnsi="Arial" w:eastAsia="黑体" w:cs="Times New Roman"/>
      <w:sz w:val="21"/>
      <w:szCs w:val="21"/>
    </w:rPr>
  </w:style>
  <w:style w:type="character" w:customStyle="1" w:styleId="167">
    <w:name w:val="明显强调1"/>
    <w:basedOn w:val="63"/>
    <w:autoRedefine/>
    <w:qFormat/>
    <w:uiPriority w:val="0"/>
    <w:rPr>
      <w:b/>
    </w:rPr>
  </w:style>
  <w:style w:type="character" w:customStyle="1" w:styleId="168">
    <w:name w:val="标题 2 字符"/>
    <w:basedOn w:val="63"/>
    <w:link w:val="3"/>
    <w:autoRedefine/>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uiPriority w:val="0"/>
    <w:rPr>
      <w:rFonts w:eastAsia="宋体"/>
      <w:b/>
      <w:kern w:val="2"/>
      <w:sz w:val="32"/>
      <w:lang w:val="en-US" w:eastAsia="zh-CN"/>
    </w:rPr>
  </w:style>
  <w:style w:type="character" w:customStyle="1" w:styleId="170">
    <w:name w:val="Quote Char2"/>
    <w:basedOn w:val="63"/>
    <w:autoRedefine/>
    <w:qFormat/>
    <w:uiPriority w:val="0"/>
    <w:rPr>
      <w:rFonts w:ascii="Times New Roman" w:hAnsi="Times New Roman" w:eastAsia="宋体" w:cs="Times New Roman"/>
      <w:i/>
      <w:iCs/>
      <w:color w:val="000000"/>
      <w:sz w:val="20"/>
      <w:szCs w:val="20"/>
    </w:rPr>
  </w:style>
  <w:style w:type="character" w:customStyle="1" w:styleId="171">
    <w:name w:val="小四 段落 宋体 Char Char Char1"/>
    <w:autoRedefine/>
    <w:qFormat/>
    <w:uiPriority w:val="0"/>
    <w:rPr>
      <w:rFonts w:ascii="宋体" w:hAnsi="宋体" w:eastAsia="宋体"/>
      <w:kern w:val="2"/>
      <w:sz w:val="24"/>
      <w:lang w:val="en-US" w:eastAsia="zh-CN"/>
    </w:rPr>
  </w:style>
  <w:style w:type="character" w:customStyle="1" w:styleId="172">
    <w:name w:val="正文文本缩进 2 字符"/>
    <w:basedOn w:val="63"/>
    <w:link w:val="36"/>
    <w:autoRedefine/>
    <w:qFormat/>
    <w:uiPriority w:val="0"/>
    <w:rPr>
      <w:rFonts w:ascii="Times New Roman" w:hAnsi="Times New Roman" w:eastAsia="宋体" w:cs="Times New Roman"/>
      <w:sz w:val="20"/>
      <w:szCs w:val="20"/>
    </w:rPr>
  </w:style>
  <w:style w:type="character" w:customStyle="1" w:styleId="173">
    <w:name w:val="Quote Char1"/>
    <w:basedOn w:val="63"/>
    <w:link w:val="174"/>
    <w:autoRedefine/>
    <w:qFormat/>
    <w:uiPriority w:val="0"/>
    <w:rPr>
      <w:rFonts w:ascii="Times New Roman" w:hAnsi="Times New Roman"/>
      <w:i/>
      <w:iCs/>
      <w:color w:val="000000"/>
      <w:kern w:val="2"/>
      <w:sz w:val="21"/>
    </w:rPr>
  </w:style>
  <w:style w:type="paragraph" w:customStyle="1" w:styleId="174">
    <w:name w:val="引用1"/>
    <w:basedOn w:val="1"/>
    <w:next w:val="1"/>
    <w:link w:val="173"/>
    <w:autoRedefine/>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autoRedefine/>
    <w:qFormat/>
    <w:uiPriority w:val="0"/>
    <w:rPr>
      <w:rFonts w:ascii="宋体" w:hAnsi="Times New Roman" w:eastAsia="宋体" w:cs="Times New Roman"/>
      <w:sz w:val="18"/>
      <w:szCs w:val="18"/>
    </w:rPr>
  </w:style>
  <w:style w:type="character" w:customStyle="1" w:styleId="176">
    <w:name w:val="HTML 预设格式 字符"/>
    <w:basedOn w:val="63"/>
    <w:link w:val="56"/>
    <w:autoRedefine/>
    <w:qFormat/>
    <w:uiPriority w:val="0"/>
    <w:rPr>
      <w:rFonts w:ascii="Courier New" w:hAnsi="Courier New" w:cs="Courier New"/>
      <w:kern w:val="2"/>
    </w:rPr>
  </w:style>
  <w:style w:type="character" w:customStyle="1" w:styleId="177">
    <w:name w:val="标准文本 Char Char Char"/>
    <w:autoRedefine/>
    <w:qFormat/>
    <w:uiPriority w:val="0"/>
    <w:rPr>
      <w:rFonts w:eastAsia="宋体"/>
      <w:kern w:val="2"/>
      <w:sz w:val="24"/>
      <w:lang w:val="en-US" w:eastAsia="zh-CN"/>
    </w:rPr>
  </w:style>
  <w:style w:type="character" w:customStyle="1" w:styleId="178">
    <w:name w:val="正文文本缩进 字符"/>
    <w:basedOn w:val="63"/>
    <w:link w:val="6"/>
    <w:autoRedefine/>
    <w:qFormat/>
    <w:uiPriority w:val="0"/>
    <w:rPr>
      <w:rFonts w:ascii="Times New Roman" w:hAnsi="Times New Roman"/>
      <w:kern w:val="2"/>
      <w:sz w:val="21"/>
    </w:rPr>
  </w:style>
  <w:style w:type="character" w:customStyle="1" w:styleId="179">
    <w:name w:val="标题 字符"/>
    <w:basedOn w:val="63"/>
    <w:link w:val="8"/>
    <w:autoRedefine/>
    <w:qFormat/>
    <w:uiPriority w:val="0"/>
    <w:rPr>
      <w:rFonts w:ascii="Cambria" w:hAnsi="Cambria" w:eastAsia="宋体" w:cs="Times New Roman"/>
      <w:b/>
      <w:bCs/>
      <w:sz w:val="32"/>
      <w:szCs w:val="32"/>
    </w:rPr>
  </w:style>
  <w:style w:type="character" w:customStyle="1" w:styleId="180">
    <w:name w:val="纯文本 Char Char"/>
    <w:autoRedefine/>
    <w:qFormat/>
    <w:uiPriority w:val="0"/>
    <w:rPr>
      <w:rFonts w:ascii="宋体" w:hAnsi="Courier New" w:eastAsia="宋体"/>
      <w:kern w:val="2"/>
      <w:sz w:val="21"/>
      <w:lang w:val="en-US" w:eastAsia="zh-CN"/>
    </w:rPr>
  </w:style>
  <w:style w:type="character" w:customStyle="1" w:styleId="181">
    <w:name w:val="case31"/>
    <w:autoRedefine/>
    <w:qFormat/>
    <w:uiPriority w:val="0"/>
    <w:rPr>
      <w:sz w:val="21"/>
    </w:rPr>
  </w:style>
  <w:style w:type="character" w:customStyle="1" w:styleId="182">
    <w:name w:val="正文文本 2 字符"/>
    <w:basedOn w:val="63"/>
    <w:link w:val="55"/>
    <w:autoRedefine/>
    <w:qFormat/>
    <w:uiPriority w:val="0"/>
    <w:rPr>
      <w:rFonts w:ascii="楷体_GB2312" w:hAnsi="Times New Roman" w:eastAsia="楷体_GB2312" w:cs="Times New Roman"/>
      <w:sz w:val="20"/>
      <w:szCs w:val="20"/>
    </w:rPr>
  </w:style>
  <w:style w:type="character" w:customStyle="1" w:styleId="183">
    <w:name w:val="标题 3 Char Char"/>
    <w:autoRedefine/>
    <w:qFormat/>
    <w:uiPriority w:val="0"/>
    <w:rPr>
      <w:rFonts w:eastAsia="仿宋_GB2312"/>
      <w:b/>
      <w:kern w:val="2"/>
      <w:sz w:val="32"/>
      <w:lang w:val="en-US" w:eastAsia="zh-CN"/>
    </w:rPr>
  </w:style>
  <w:style w:type="character" w:customStyle="1" w:styleId="184">
    <w:name w:val="正文缩进 Char1"/>
    <w:link w:val="185"/>
    <w:autoRedefine/>
    <w:qFormat/>
    <w:uiPriority w:val="0"/>
    <w:rPr>
      <w:rFonts w:ascii="Times New Roman" w:hAnsi="Times New Roman" w:eastAsia="宋体"/>
      <w:kern w:val="0"/>
      <w:sz w:val="20"/>
    </w:rPr>
  </w:style>
  <w:style w:type="paragraph" w:customStyle="1" w:styleId="185">
    <w:name w:val="正文缩进1"/>
    <w:basedOn w:val="1"/>
    <w:link w:val="184"/>
    <w:autoRedefine/>
    <w:qFormat/>
    <w:uiPriority w:val="0"/>
    <w:pPr>
      <w:ind w:firstLine="420"/>
    </w:pPr>
    <w:rPr>
      <w:kern w:val="0"/>
      <w:sz w:val="20"/>
    </w:rPr>
  </w:style>
  <w:style w:type="character" w:customStyle="1" w:styleId="186">
    <w:name w:val="新图表正文 Char Char"/>
    <w:link w:val="187"/>
    <w:autoRedefine/>
    <w:qFormat/>
    <w:uiPriority w:val="0"/>
    <w:rPr>
      <w:rFonts w:ascii="宋体" w:hAnsi="宋体"/>
      <w:kern w:val="2"/>
      <w:sz w:val="18"/>
      <w:szCs w:val="21"/>
      <w:lang w:val="en-US" w:eastAsia="zh-CN" w:bidi="ar-SA"/>
    </w:rPr>
  </w:style>
  <w:style w:type="paragraph" w:customStyle="1" w:styleId="187">
    <w:name w:val="新图表正文"/>
    <w:link w:val="186"/>
    <w:autoRedefine/>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autoRedefine/>
    <w:qFormat/>
    <w:uiPriority w:val="0"/>
    <w:rPr>
      <w:rFonts w:eastAsia="宋体"/>
      <w:kern w:val="2"/>
      <w:sz w:val="24"/>
      <w:lang w:val="en-US" w:eastAsia="zh-CN"/>
    </w:rPr>
  </w:style>
  <w:style w:type="character" w:customStyle="1" w:styleId="189">
    <w:name w:val="Intense Quote Char1"/>
    <w:basedOn w:val="63"/>
    <w:link w:val="190"/>
    <w:autoRedefine/>
    <w:qFormat/>
    <w:uiPriority w:val="0"/>
    <w:rPr>
      <w:rFonts w:ascii="Times New Roman" w:hAnsi="Times New Roman"/>
      <w:b/>
      <w:bCs/>
      <w:i/>
      <w:iCs/>
      <w:color w:val="4F81BD"/>
      <w:kern w:val="2"/>
      <w:sz w:val="21"/>
    </w:rPr>
  </w:style>
  <w:style w:type="paragraph" w:customStyle="1" w:styleId="190">
    <w:name w:val="明显引用1"/>
    <w:basedOn w:val="1"/>
    <w:next w:val="1"/>
    <w:link w:val="189"/>
    <w:autoRedefine/>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autoRedefine/>
    <w:qFormat/>
    <w:uiPriority w:val="0"/>
    <w:rPr>
      <w:rFonts w:ascii="Arial" w:hAnsi="Arial" w:eastAsia="黑体"/>
      <w:kern w:val="2"/>
      <w:sz w:val="21"/>
    </w:rPr>
  </w:style>
  <w:style w:type="character" w:customStyle="1" w:styleId="192">
    <w:name w:val="No Spacing Char Char"/>
    <w:link w:val="193"/>
    <w:autoRedefine/>
    <w:qFormat/>
    <w:uiPriority w:val="0"/>
    <w:rPr>
      <w:rFonts w:eastAsia="微软雅黑"/>
      <w:kern w:val="2"/>
      <w:sz w:val="24"/>
      <w:szCs w:val="22"/>
      <w:lang w:val="en-US" w:eastAsia="zh-CN" w:bidi="ar-SA"/>
    </w:rPr>
  </w:style>
  <w:style w:type="paragraph" w:customStyle="1" w:styleId="193">
    <w:name w:val="无间隔2"/>
    <w:link w:val="192"/>
    <w:autoRedefine/>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autoRedefine/>
    <w:qFormat/>
    <w:uiPriority w:val="0"/>
    <w:rPr>
      <w:rFonts w:eastAsia="宋体"/>
      <w:kern w:val="2"/>
      <w:sz w:val="24"/>
      <w:lang w:val="en-US" w:eastAsia="zh-CN"/>
    </w:rPr>
  </w:style>
  <w:style w:type="character" w:customStyle="1" w:styleId="195">
    <w:name w:val="3zw"/>
    <w:basedOn w:val="63"/>
    <w:autoRedefine/>
    <w:qFormat/>
    <w:uiPriority w:val="0"/>
    <w:rPr>
      <w:rFonts w:cs="Times New Roman"/>
    </w:rPr>
  </w:style>
  <w:style w:type="character" w:customStyle="1" w:styleId="196">
    <w:name w:val="Intense Quote Char Char"/>
    <w:autoRedefine/>
    <w:qFormat/>
    <w:uiPriority w:val="0"/>
    <w:rPr>
      <w:rFonts w:ascii="Calibri" w:hAnsi="Calibri"/>
      <w:b/>
      <w:i/>
      <w:sz w:val="22"/>
      <w:lang w:eastAsia="en-US"/>
    </w:rPr>
  </w:style>
  <w:style w:type="character" w:customStyle="1" w:styleId="197">
    <w:name w:val="Body Text Indent 3 Char"/>
    <w:autoRedefine/>
    <w:qFormat/>
    <w:uiPriority w:val="0"/>
    <w:rPr>
      <w:rFonts w:ascii="Arial" w:hAnsi="Arial" w:eastAsia="仿宋_GB2312"/>
      <w:color w:val="FFFF00"/>
      <w:sz w:val="32"/>
    </w:rPr>
  </w:style>
  <w:style w:type="character" w:customStyle="1" w:styleId="198">
    <w:name w:val="A2"/>
    <w:autoRedefine/>
    <w:qFormat/>
    <w:uiPriority w:val="0"/>
    <w:rPr>
      <w:color w:val="000000"/>
      <w:sz w:val="18"/>
    </w:rPr>
  </w:style>
  <w:style w:type="character" w:customStyle="1" w:styleId="199">
    <w:name w:val="标题 1 字符"/>
    <w:basedOn w:val="63"/>
    <w:link w:val="2"/>
    <w:autoRedefine/>
    <w:qFormat/>
    <w:uiPriority w:val="0"/>
    <w:rPr>
      <w:rFonts w:ascii="黑体" w:hAnsi="Times New Roman" w:eastAsia="黑体" w:cs="Times New Roman"/>
      <w:b/>
      <w:kern w:val="44"/>
      <w:sz w:val="28"/>
      <w:szCs w:val="28"/>
    </w:rPr>
  </w:style>
  <w:style w:type="character" w:customStyle="1" w:styleId="200">
    <w:name w:val="明显参考1"/>
    <w:basedOn w:val="63"/>
    <w:autoRedefine/>
    <w:qFormat/>
    <w:uiPriority w:val="0"/>
    <w:rPr>
      <w:smallCaps/>
      <w:spacing w:val="5"/>
      <w:u w:val="single"/>
    </w:rPr>
  </w:style>
  <w:style w:type="character" w:customStyle="1" w:styleId="201">
    <w:name w:val="称呼 字符"/>
    <w:basedOn w:val="63"/>
    <w:link w:val="25"/>
    <w:autoRedefine/>
    <w:qFormat/>
    <w:uiPriority w:val="0"/>
    <w:rPr>
      <w:rFonts w:ascii="仿宋_GB2312" w:hAnsi="Times New Roman" w:eastAsia="仿宋_GB2312" w:cs="Times New Roman"/>
      <w:sz w:val="20"/>
      <w:szCs w:val="20"/>
    </w:rPr>
  </w:style>
  <w:style w:type="character" w:customStyle="1" w:styleId="202">
    <w:name w:val="111111 Char Char"/>
    <w:link w:val="203"/>
    <w:autoRedefine/>
    <w:qFormat/>
    <w:uiPriority w:val="0"/>
    <w:rPr>
      <w:rFonts w:ascii="宋体" w:hAnsi="宋体" w:eastAsia="黑体"/>
      <w:b/>
      <w:sz w:val="21"/>
    </w:rPr>
  </w:style>
  <w:style w:type="paragraph" w:customStyle="1" w:styleId="203">
    <w:name w:val="111111"/>
    <w:basedOn w:val="1"/>
    <w:link w:val="202"/>
    <w:autoRedefine/>
    <w:qFormat/>
    <w:uiPriority w:val="0"/>
    <w:pPr>
      <w:spacing w:before="120" w:after="120"/>
      <w:jc w:val="center"/>
    </w:pPr>
    <w:rPr>
      <w:rFonts w:ascii="宋体" w:hAnsi="宋体" w:eastAsia="黑体"/>
      <w:b/>
      <w:kern w:val="0"/>
    </w:rPr>
  </w:style>
  <w:style w:type="character" w:customStyle="1" w:styleId="204">
    <w:name w:val="小四 段落 宋体 Char1"/>
    <w:autoRedefine/>
    <w:qFormat/>
    <w:uiPriority w:val="0"/>
    <w:rPr>
      <w:rFonts w:eastAsia="宋体"/>
      <w:kern w:val="2"/>
      <w:sz w:val="24"/>
      <w:lang w:val="en-US" w:eastAsia="zh-CN"/>
    </w:rPr>
  </w:style>
  <w:style w:type="character" w:customStyle="1" w:styleId="205">
    <w:name w:val="文档结构图 字符"/>
    <w:basedOn w:val="63"/>
    <w:link w:val="22"/>
    <w:autoRedefine/>
    <w:qFormat/>
    <w:uiPriority w:val="0"/>
    <w:rPr>
      <w:rFonts w:ascii="Times New Roman" w:hAnsi="Times New Roman"/>
      <w:kern w:val="2"/>
      <w:sz w:val="16"/>
      <w:szCs w:val="0"/>
    </w:rPr>
  </w:style>
  <w:style w:type="character" w:customStyle="1" w:styleId="206">
    <w:name w:val="title_emph1"/>
    <w:autoRedefine/>
    <w:qFormat/>
    <w:uiPriority w:val="0"/>
    <w:rPr>
      <w:rFonts w:ascii="Arial"/>
      <w:b/>
      <w:sz w:val="18"/>
    </w:rPr>
  </w:style>
  <w:style w:type="character" w:customStyle="1" w:styleId="207">
    <w:name w:val="页脚 字符"/>
    <w:basedOn w:val="63"/>
    <w:link w:val="39"/>
    <w:autoRedefine/>
    <w:qFormat/>
    <w:uiPriority w:val="99"/>
    <w:rPr>
      <w:rFonts w:cs="Times New Roman"/>
      <w:sz w:val="18"/>
      <w:szCs w:val="18"/>
    </w:rPr>
  </w:style>
  <w:style w:type="character" w:customStyle="1" w:styleId="208">
    <w:name w:val="书籍标题1"/>
    <w:basedOn w:val="63"/>
    <w:autoRedefine/>
    <w:qFormat/>
    <w:uiPriority w:val="0"/>
    <w:rPr>
      <w:i/>
      <w:smallCaps/>
      <w:spacing w:val="5"/>
    </w:rPr>
  </w:style>
  <w:style w:type="character" w:customStyle="1" w:styleId="209">
    <w:name w:val="不明显参考1"/>
    <w:basedOn w:val="63"/>
    <w:autoRedefine/>
    <w:qFormat/>
    <w:uiPriority w:val="0"/>
    <w:rPr>
      <w:smallCaps/>
    </w:rPr>
  </w:style>
  <w:style w:type="character" w:customStyle="1" w:styleId="210">
    <w:name w:val="样式 首行缩进:  2 字符 Char Char"/>
    <w:link w:val="211"/>
    <w:autoRedefine/>
    <w:qFormat/>
    <w:uiPriority w:val="0"/>
    <w:rPr>
      <w:sz w:val="24"/>
    </w:rPr>
  </w:style>
  <w:style w:type="paragraph" w:customStyle="1" w:styleId="211">
    <w:name w:val="样式 首行缩进:  2 字符"/>
    <w:basedOn w:val="1"/>
    <w:link w:val="210"/>
    <w:autoRedefine/>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9"/>
    <w:autoRedefine/>
    <w:qFormat/>
    <w:uiPriority w:val="0"/>
    <w:rPr>
      <w:rFonts w:ascii="宋体" w:hAnsi="宋体" w:eastAsia="宋体"/>
      <w:b/>
      <w:sz w:val="21"/>
      <w:shd w:val="clear" w:color="auto" w:fill="FFFFFF"/>
    </w:rPr>
  </w:style>
  <w:style w:type="character" w:customStyle="1" w:styleId="213">
    <w:name w:val="Char Char22"/>
    <w:autoRedefine/>
    <w:qFormat/>
    <w:uiPriority w:val="0"/>
    <w:rPr>
      <w:b/>
      <w:kern w:val="2"/>
      <w:sz w:val="24"/>
    </w:rPr>
  </w:style>
  <w:style w:type="character" w:customStyle="1" w:styleId="214">
    <w:name w:val="批注框文本 字符"/>
    <w:basedOn w:val="63"/>
    <w:link w:val="38"/>
    <w:autoRedefine/>
    <w:qFormat/>
    <w:uiPriority w:val="0"/>
    <w:rPr>
      <w:rFonts w:ascii="Times New Roman" w:hAnsi="Times New Roman" w:eastAsia="宋体" w:cs="Times New Roman"/>
      <w:sz w:val="18"/>
      <w:szCs w:val="18"/>
    </w:rPr>
  </w:style>
  <w:style w:type="character" w:customStyle="1" w:styleId="215">
    <w:name w:val="尾注文本 字符"/>
    <w:basedOn w:val="63"/>
    <w:link w:val="37"/>
    <w:autoRedefine/>
    <w:qFormat/>
    <w:uiPriority w:val="0"/>
    <w:rPr>
      <w:rFonts w:ascii="Times New Roman" w:hAnsi="Times New Roman" w:eastAsia="宋体" w:cs="Times New Roman"/>
      <w:kern w:val="0"/>
      <w:sz w:val="24"/>
      <w:szCs w:val="24"/>
    </w:rPr>
  </w:style>
  <w:style w:type="character" w:customStyle="1" w:styleId="216">
    <w:name w:val="point_normal1"/>
    <w:autoRedefine/>
    <w:qFormat/>
    <w:uiPriority w:val="0"/>
    <w:rPr>
      <w:rFonts w:ascii="Arial" w:hAnsi="Arial"/>
      <w:sz w:val="18"/>
    </w:rPr>
  </w:style>
  <w:style w:type="character" w:customStyle="1" w:styleId="217">
    <w:name w:val="Char Char26"/>
    <w:autoRedefine/>
    <w:qFormat/>
    <w:uiPriority w:val="0"/>
    <w:rPr>
      <w:b/>
      <w:kern w:val="2"/>
      <w:sz w:val="32"/>
    </w:rPr>
  </w:style>
  <w:style w:type="character" w:customStyle="1" w:styleId="218">
    <w:name w:val="Char Char24"/>
    <w:autoRedefine/>
    <w:qFormat/>
    <w:uiPriority w:val="0"/>
    <w:rPr>
      <w:b/>
      <w:kern w:val="2"/>
      <w:sz w:val="28"/>
    </w:rPr>
  </w:style>
  <w:style w:type="character" w:customStyle="1" w:styleId="219">
    <w:name w:val="concon"/>
    <w:autoRedefine/>
    <w:qFormat/>
    <w:uiPriority w:val="0"/>
  </w:style>
  <w:style w:type="paragraph" w:customStyle="1" w:styleId="220">
    <w:name w:val="标准文本"/>
    <w:basedOn w:val="1"/>
    <w:autoRedefine/>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autoRedefine/>
    <w:qFormat/>
    <w:uiPriority w:val="0"/>
    <w:pPr>
      <w:widowControl/>
      <w:spacing w:after="160" w:line="240" w:lineRule="exact"/>
      <w:jc w:val="left"/>
    </w:pPr>
    <w:rPr>
      <w:szCs w:val="24"/>
    </w:rPr>
  </w:style>
  <w:style w:type="paragraph" w:customStyle="1" w:styleId="222">
    <w:name w:val="列出段落2"/>
    <w:basedOn w:val="1"/>
    <w:autoRedefine/>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autoRedefine/>
    <w:qFormat/>
    <w:uiPriority w:val="0"/>
    <w:pPr>
      <w:spacing w:after="284"/>
    </w:pPr>
    <w:rPr>
      <w:rFonts w:eastAsia="宋体"/>
      <w:b w:val="0"/>
    </w:rPr>
  </w:style>
  <w:style w:type="paragraph" w:customStyle="1" w:styleId="224">
    <w:name w:val="flName"/>
    <w:basedOn w:val="225"/>
    <w:autoRedefine/>
    <w:qFormat/>
    <w:uiPriority w:val="0"/>
    <w:pPr>
      <w:spacing w:before="0" w:line="113" w:lineRule="atLeast"/>
    </w:pPr>
  </w:style>
  <w:style w:type="paragraph" w:customStyle="1" w:styleId="225">
    <w:name w:val="flNote"/>
    <w:basedOn w:val="1"/>
    <w:autoRedefine/>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autoRedefine/>
    <w:qFormat/>
    <w:uiPriority w:val="0"/>
    <w:pPr>
      <w:spacing w:line="360" w:lineRule="auto"/>
      <w:ind w:firstLine="200" w:firstLineChars="200"/>
    </w:pPr>
    <w:rPr>
      <w:bCs/>
      <w:sz w:val="24"/>
      <w:szCs w:val="24"/>
    </w:rPr>
  </w:style>
  <w:style w:type="paragraph" w:customStyle="1" w:styleId="227">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autoRedefine/>
    <w:qFormat/>
    <w:uiPriority w:val="0"/>
    <w:pPr>
      <w:tabs>
        <w:tab w:val="left" w:pos="360"/>
      </w:tabs>
      <w:ind w:left="200" w:hanging="200" w:hangingChars="200"/>
    </w:pPr>
    <w:rPr>
      <w:sz w:val="24"/>
      <w:szCs w:val="24"/>
    </w:rPr>
  </w:style>
  <w:style w:type="paragraph" w:customStyle="1" w:styleId="229">
    <w:name w:val="greytypebeni"/>
    <w:basedOn w:val="1"/>
    <w:autoRedefine/>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autoRedefine/>
    <w:qFormat/>
    <w:uiPriority w:val="0"/>
    <w:rPr>
      <w:rFonts w:ascii="Tahoma" w:hAnsi="Tahoma"/>
      <w:sz w:val="24"/>
    </w:rPr>
  </w:style>
  <w:style w:type="paragraph" w:customStyle="1" w:styleId="231">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rPr>
  </w:style>
  <w:style w:type="paragraph" w:customStyle="1" w:styleId="232">
    <w:name w:val="Char Char1"/>
    <w:basedOn w:val="1"/>
    <w:autoRedefine/>
    <w:qFormat/>
    <w:uiPriority w:val="0"/>
    <w:rPr>
      <w:rFonts w:ascii="Tahoma" w:hAnsi="Tahoma" w:cs="Tahoma"/>
      <w:sz w:val="24"/>
    </w:rPr>
  </w:style>
  <w:style w:type="paragraph" w:customStyle="1" w:styleId="233">
    <w:name w:val="小四 段落 宋体 Char Char Char"/>
    <w:basedOn w:val="20"/>
    <w:autoRedefine/>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autoRedefine/>
    <w:qFormat/>
    <w:uiPriority w:val="0"/>
    <w:pPr>
      <w:ind w:firstLine="420" w:firstLineChars="200"/>
    </w:pPr>
    <w:rPr>
      <w:rFonts w:ascii="Calibri" w:hAnsi="Calibri"/>
      <w:szCs w:val="22"/>
    </w:rPr>
  </w:style>
  <w:style w:type="paragraph" w:customStyle="1" w:styleId="237">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22"/>
    <w:autoRedefine/>
    <w:qFormat/>
    <w:uiPriority w:val="0"/>
  </w:style>
  <w:style w:type="paragraph" w:customStyle="1" w:styleId="240">
    <w:name w:val="样式 样式 首行缩进:  2 字符 + 行距: 1.5 倍行距"/>
    <w:basedOn w:val="1"/>
    <w:autoRedefine/>
    <w:qFormat/>
    <w:uiPriority w:val="0"/>
    <w:pPr>
      <w:spacing w:line="360" w:lineRule="auto"/>
      <w:ind w:firstLine="470" w:firstLineChars="196"/>
    </w:pPr>
    <w:rPr>
      <w:sz w:val="24"/>
    </w:rPr>
  </w:style>
  <w:style w:type="paragraph" w:customStyle="1" w:styleId="241">
    <w:name w:val="正文11"/>
    <w:basedOn w:val="1"/>
    <w:next w:val="1"/>
    <w:autoRedefine/>
    <w:qFormat/>
    <w:uiPriority w:val="0"/>
    <w:pPr>
      <w:spacing w:before="156" w:line="360" w:lineRule="auto"/>
      <w:ind w:firstLine="510" w:firstLineChars="200"/>
    </w:pPr>
    <w:rPr>
      <w:sz w:val="24"/>
    </w:rPr>
  </w:style>
  <w:style w:type="paragraph" w:customStyle="1" w:styleId="242">
    <w:name w:val="Pa5"/>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autoRedefine/>
    <w:qFormat/>
    <w:uiPriority w:val="0"/>
    <w:rPr>
      <w:rFonts w:ascii="Tahoma" w:hAnsi="Tahoma"/>
      <w:sz w:val="24"/>
    </w:rPr>
  </w:style>
  <w:style w:type="paragraph" w:customStyle="1" w:styleId="244">
    <w:name w:val="丁华正文"/>
    <w:basedOn w:val="49"/>
    <w:autoRedefine/>
    <w:qFormat/>
    <w:uiPriority w:val="0"/>
    <w:pPr>
      <w:adjustRightInd w:val="0"/>
      <w:snapToGrid w:val="0"/>
      <w:spacing w:line="360" w:lineRule="auto"/>
      <w:ind w:left="0" w:firstLine="510"/>
    </w:pPr>
    <w:rPr>
      <w:sz w:val="24"/>
    </w:rPr>
  </w:style>
  <w:style w:type="paragraph" w:customStyle="1" w:styleId="245">
    <w:name w:val="正文 居中"/>
    <w:basedOn w:val="1"/>
    <w:autoRedefine/>
    <w:qFormat/>
    <w:uiPriority w:val="0"/>
    <w:pPr>
      <w:spacing w:line="360" w:lineRule="auto"/>
      <w:jc w:val="center"/>
    </w:pPr>
    <w:rPr>
      <w:sz w:val="24"/>
    </w:rPr>
  </w:style>
  <w:style w:type="paragraph" w:customStyle="1" w:styleId="246">
    <w:name w:val="Char Char3"/>
    <w:basedOn w:val="1"/>
    <w:autoRedefine/>
    <w:qFormat/>
    <w:uiPriority w:val="0"/>
    <w:rPr>
      <w:rFonts w:ascii="Tahoma" w:hAnsi="Tahoma" w:cs="Tahoma"/>
      <w:sz w:val="24"/>
    </w:rPr>
  </w:style>
  <w:style w:type="paragraph" w:customStyle="1" w:styleId="247">
    <w:name w:val="Char Char Char Char Char"/>
    <w:basedOn w:val="1"/>
    <w:autoRedefine/>
    <w:qFormat/>
    <w:uiPriority w:val="0"/>
    <w:rPr>
      <w:rFonts w:ascii="Tahoma" w:hAnsi="Tahoma"/>
      <w:sz w:val="24"/>
    </w:rPr>
  </w:style>
  <w:style w:type="paragraph" w:customStyle="1" w:styleId="248">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autoRedefine/>
    <w:qFormat/>
    <w:uiPriority w:val="0"/>
    <w:rPr>
      <w:rFonts w:ascii="Tahoma" w:hAnsi="Tahoma" w:cs="Tahoma"/>
      <w:sz w:val="24"/>
    </w:rPr>
  </w:style>
  <w:style w:type="paragraph" w:customStyle="1" w:styleId="250">
    <w:name w:val="样式"/>
    <w:basedOn w:val="1"/>
    <w:autoRedefine/>
    <w:qFormat/>
    <w:uiPriority w:val="0"/>
    <w:pPr>
      <w:autoSpaceDE w:val="0"/>
      <w:autoSpaceDN w:val="0"/>
      <w:snapToGrid w:val="0"/>
      <w:spacing w:before="120" w:after="120" w:line="360" w:lineRule="auto"/>
    </w:pPr>
    <w:rPr>
      <w:rFonts w:ascii="宋体"/>
      <w:sz w:val="24"/>
    </w:rPr>
  </w:style>
  <w:style w:type="paragraph" w:customStyle="1" w:styleId="251">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22"/>
    <w:autoRedefine/>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autoRedefine/>
    <w:qFormat/>
    <w:uiPriority w:val="0"/>
    <w:pPr>
      <w:spacing w:line="360" w:lineRule="auto"/>
      <w:ind w:firstLine="480" w:firstLineChars="200"/>
    </w:pPr>
    <w:rPr>
      <w:rFonts w:ascii="Arial" w:hAnsi="Arial"/>
      <w:sz w:val="24"/>
      <w:szCs w:val="21"/>
    </w:rPr>
  </w:style>
  <w:style w:type="paragraph" w:customStyle="1" w:styleId="254">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autoRedefine/>
    <w:qFormat/>
    <w:uiPriority w:val="0"/>
    <w:rPr>
      <w:rFonts w:ascii="Tahoma" w:hAnsi="Tahoma"/>
      <w:sz w:val="24"/>
    </w:rPr>
  </w:style>
  <w:style w:type="paragraph" w:customStyle="1" w:styleId="25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autoRedefine/>
    <w:qFormat/>
    <w:uiPriority w:val="0"/>
    <w:rPr>
      <w:sz w:val="24"/>
      <w:szCs w:val="24"/>
    </w:rPr>
  </w:style>
  <w:style w:type="paragraph" w:customStyle="1" w:styleId="260">
    <w:name w:val="列出段落1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autoRedefine/>
    <w:qFormat/>
    <w:uiPriority w:val="0"/>
    <w:pPr>
      <w:tabs>
        <w:tab w:val="left" w:pos="693"/>
      </w:tabs>
      <w:ind w:left="482"/>
      <w:outlineLvl w:val="0"/>
    </w:pPr>
    <w:rPr>
      <w:color w:val="000000"/>
      <w:sz w:val="24"/>
      <w:szCs w:val="24"/>
    </w:rPr>
  </w:style>
  <w:style w:type="paragraph" w:customStyle="1" w:styleId="263">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autoRedefine/>
    <w:qFormat/>
    <w:uiPriority w:val="0"/>
    <w:rPr>
      <w:rFonts w:ascii="Tahoma" w:hAnsi="Tahoma" w:cs="Tahoma"/>
      <w:sz w:val="24"/>
    </w:rPr>
  </w:style>
  <w:style w:type="paragraph" w:customStyle="1" w:styleId="265">
    <w:name w:val="正文表标题"/>
    <w:next w:val="257"/>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autoRedefine/>
    <w:qFormat/>
    <w:uiPriority w:val="0"/>
  </w:style>
  <w:style w:type="paragraph" w:customStyle="1" w:styleId="267">
    <w:name w:val="Char Char Char1"/>
    <w:basedOn w:val="22"/>
    <w:autoRedefine/>
    <w:qFormat/>
    <w:uiPriority w:val="0"/>
    <w:pPr>
      <w:spacing w:line="436" w:lineRule="exact"/>
    </w:pPr>
    <w:rPr>
      <w:szCs w:val="24"/>
    </w:rPr>
  </w:style>
  <w:style w:type="paragraph" w:customStyle="1" w:styleId="268">
    <w:name w:val="表格1"/>
    <w:basedOn w:val="1"/>
    <w:autoRedefine/>
    <w:qFormat/>
    <w:uiPriority w:val="0"/>
    <w:pPr>
      <w:adjustRightInd w:val="0"/>
      <w:textAlignment w:val="baseline"/>
    </w:pPr>
    <w:rPr>
      <w:rFonts w:ascii="宋体"/>
      <w:kern w:val="24"/>
      <w:szCs w:val="21"/>
    </w:rPr>
  </w:style>
  <w:style w:type="paragraph" w:customStyle="1" w:styleId="269">
    <w:name w:val="项目符号：一级"/>
    <w:basedOn w:val="263"/>
    <w:next w:val="263"/>
    <w:autoRedefine/>
    <w:qFormat/>
    <w:uiPriority w:val="0"/>
    <w:pPr>
      <w:ind w:right="-134" w:rightChars="-64"/>
    </w:pPr>
    <w:rPr>
      <w:bCs w:val="0"/>
    </w:rPr>
  </w:style>
  <w:style w:type="paragraph" w:customStyle="1" w:styleId="27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autoRedefine/>
    <w:qFormat/>
    <w:uiPriority w:val="0"/>
    <w:rPr>
      <w:rFonts w:ascii="Tahoma" w:hAnsi="Tahoma" w:cs="Tahoma"/>
      <w:sz w:val="24"/>
    </w:rPr>
  </w:style>
  <w:style w:type="paragraph" w:customStyle="1" w:styleId="272">
    <w:name w:val="样式 标题 2第一章 标题 2Heading 2 HiddenHeading 2 CCBSheading 2H2h2..."/>
    <w:basedOn w:val="3"/>
    <w:autoRedefine/>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autoRedefine/>
    <w:qFormat/>
    <w:uiPriority w:val="0"/>
    <w:pPr>
      <w:spacing w:after="120"/>
      <w:ind w:left="420" w:leftChars="200"/>
    </w:pPr>
    <w:rPr>
      <w:szCs w:val="24"/>
    </w:rPr>
  </w:style>
  <w:style w:type="paragraph" w:customStyle="1" w:styleId="274">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autoRedefine/>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autoRedefine/>
    <w:qFormat/>
    <w:uiPriority w:val="0"/>
    <w:pPr>
      <w:jc w:val="left"/>
    </w:pPr>
    <w:rPr>
      <w:rFonts w:ascii="Tahoma" w:hAnsi="Tahoma"/>
      <w:sz w:val="24"/>
    </w:rPr>
  </w:style>
  <w:style w:type="paragraph" w:customStyle="1" w:styleId="27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autoRedefine/>
    <w:qFormat/>
    <w:uiPriority w:val="0"/>
    <w:pPr>
      <w:spacing w:line="300" w:lineRule="atLeast"/>
    </w:pPr>
    <w:rPr>
      <w:sz w:val="18"/>
      <w:szCs w:val="24"/>
    </w:rPr>
  </w:style>
  <w:style w:type="paragraph" w:customStyle="1" w:styleId="279">
    <w:name w:val="样式3"/>
    <w:basedOn w:val="1"/>
    <w:next w:val="1"/>
    <w:autoRedefine/>
    <w:qFormat/>
    <w:uiPriority w:val="0"/>
    <w:pPr>
      <w:spacing w:line="360" w:lineRule="auto"/>
    </w:pPr>
  </w:style>
  <w:style w:type="paragraph" w:customStyle="1" w:styleId="280">
    <w:name w:val="无间隔1"/>
    <w:autoRedefine/>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autoRedefine/>
    <w:qFormat/>
    <w:uiPriority w:val="0"/>
    <w:pPr>
      <w:tabs>
        <w:tab w:val="left" w:pos="720"/>
      </w:tabs>
      <w:spacing w:afterLines="50" w:line="400" w:lineRule="atLeast"/>
      <w:ind w:left="720"/>
    </w:pPr>
    <w:rPr>
      <w:sz w:val="24"/>
      <w:szCs w:val="24"/>
    </w:rPr>
  </w:style>
  <w:style w:type="paragraph" w:customStyle="1" w:styleId="284">
    <w:name w:val="正文2"/>
    <w:basedOn w:val="1"/>
    <w:autoRedefine/>
    <w:qFormat/>
    <w:uiPriority w:val="0"/>
    <w:pPr>
      <w:spacing w:before="156" w:line="360" w:lineRule="auto"/>
      <w:ind w:firstLine="510" w:firstLineChars="200"/>
    </w:pPr>
    <w:rPr>
      <w:sz w:val="24"/>
    </w:rPr>
  </w:style>
  <w:style w:type="paragraph" w:customStyle="1" w:styleId="285">
    <w:name w:val="content_lineheight"/>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autoRedefine/>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autoRedefine/>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autoRedefine/>
    <w:qFormat/>
    <w:uiPriority w:val="0"/>
    <w:pPr>
      <w:ind w:firstLine="200" w:firstLineChars="200"/>
      <w:jc w:val="left"/>
    </w:pPr>
    <w:rPr>
      <w:rFonts w:ascii="Tahoma" w:hAnsi="Tahoma"/>
      <w:sz w:val="24"/>
      <w:szCs w:val="24"/>
    </w:rPr>
  </w:style>
  <w:style w:type="paragraph" w:customStyle="1" w:styleId="290">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autoRedefine/>
    <w:qFormat/>
    <w:uiPriority w:val="0"/>
    <w:pPr>
      <w:tabs>
        <w:tab w:val="left" w:pos="360"/>
      </w:tabs>
      <w:ind w:left="360" w:hanging="360" w:hangingChars="200"/>
    </w:pPr>
    <w:rPr>
      <w:sz w:val="24"/>
      <w:szCs w:val="24"/>
    </w:rPr>
  </w:style>
  <w:style w:type="paragraph" w:customStyle="1" w:styleId="292">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autoRedefine/>
    <w:qFormat/>
    <w:uiPriority w:val="0"/>
    <w:pPr>
      <w:tabs>
        <w:tab w:val="left" w:pos="903"/>
      </w:tabs>
      <w:spacing w:line="360" w:lineRule="auto"/>
      <w:ind w:left="900" w:hanging="420"/>
    </w:pPr>
    <w:rPr>
      <w:rFonts w:ascii="Arial" w:hAnsi="Arial" w:cs="Arial"/>
      <w:sz w:val="24"/>
    </w:rPr>
  </w:style>
  <w:style w:type="paragraph" w:customStyle="1" w:styleId="297">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autoRedefine/>
    <w:qFormat/>
    <w:uiPriority w:val="0"/>
    <w:rPr>
      <w:rFonts w:ascii="Tahoma" w:hAnsi="Tahoma" w:cs="Tahoma"/>
      <w:sz w:val="24"/>
    </w:rPr>
  </w:style>
  <w:style w:type="paragraph" w:customStyle="1" w:styleId="299">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3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10"/>
    <w:autoRedefine/>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autoRedefine/>
    <w:qFormat/>
    <w:uiPriority w:val="0"/>
    <w:rPr>
      <w:rFonts w:ascii="宋体" w:hAnsi="宋体" w:cs="宋体"/>
      <w:kern w:val="0"/>
      <w:sz w:val="24"/>
      <w:u w:color="000000"/>
    </w:rPr>
  </w:style>
  <w:style w:type="paragraph" w:customStyle="1" w:styleId="30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autoRedefine/>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9"/>
    <w:autoRedefine/>
    <w:qFormat/>
    <w:uiPriority w:val="0"/>
    <w:pPr>
      <w:keepNext w:val="0"/>
      <w:keepLines w:val="0"/>
      <w:spacing w:line="360" w:lineRule="auto"/>
    </w:pPr>
    <w:rPr>
      <w:rFonts w:eastAsia="仿宋_GB2312"/>
      <w:b w:val="0"/>
      <w:bCs/>
      <w:sz w:val="30"/>
      <w:szCs w:val="32"/>
    </w:rPr>
  </w:style>
  <w:style w:type="paragraph" w:customStyle="1" w:styleId="310">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autoRedefine/>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autoRedefine/>
    <w:qFormat/>
    <w:uiPriority w:val="0"/>
    <w:pPr>
      <w:adjustRightInd w:val="0"/>
      <w:spacing w:line="360" w:lineRule="auto"/>
      <w:textAlignment w:val="baseline"/>
    </w:pPr>
    <w:rPr>
      <w:b/>
      <w:bCs/>
      <w:sz w:val="28"/>
      <w:szCs w:val="21"/>
    </w:rPr>
  </w:style>
  <w:style w:type="paragraph" w:customStyle="1" w:styleId="31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7"/>
    <w:autoRedefine/>
    <w:qFormat/>
    <w:uiPriority w:val="0"/>
    <w:rPr>
      <w:rFonts w:ascii="楷体_GB2312" w:hAnsi="Arial" w:eastAsia="楷体_GB2312"/>
      <w:sz w:val="28"/>
    </w:rPr>
  </w:style>
  <w:style w:type="paragraph" w:customStyle="1" w:styleId="31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autoRedefine/>
    <w:qFormat/>
    <w:uiPriority w:val="0"/>
    <w:pPr>
      <w:tabs>
        <w:tab w:val="left" w:pos="0"/>
      </w:tabs>
      <w:spacing w:line="360" w:lineRule="auto"/>
      <w:outlineLvl w:val="3"/>
    </w:pPr>
    <w:rPr>
      <w:rFonts w:ascii="宋体" w:hAnsi="宋体"/>
      <w:b/>
      <w:sz w:val="24"/>
      <w:szCs w:val="24"/>
    </w:rPr>
  </w:style>
  <w:style w:type="paragraph" w:customStyle="1" w:styleId="321">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autoRedefine/>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22"/>
    <w:autoRedefine/>
    <w:qFormat/>
    <w:uiPriority w:val="0"/>
    <w:rPr>
      <w:rFonts w:ascii="Tahoma" w:hAnsi="Tahoma"/>
      <w:sz w:val="24"/>
      <w:szCs w:val="24"/>
    </w:rPr>
  </w:style>
  <w:style w:type="paragraph" w:customStyle="1" w:styleId="32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autoRedefine/>
    <w:qFormat/>
    <w:uiPriority w:val="0"/>
    <w:pPr>
      <w:spacing w:line="460" w:lineRule="exact"/>
      <w:ind w:firstLine="480"/>
    </w:pPr>
    <w:rPr>
      <w:sz w:val="24"/>
    </w:rPr>
  </w:style>
  <w:style w:type="paragraph" w:customStyle="1" w:styleId="327">
    <w:name w:val="列出段落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7"/>
    <w:autoRedefine/>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autoRedefine/>
    <w:qFormat/>
    <w:uiPriority w:val="0"/>
    <w:pPr>
      <w:widowControl/>
      <w:spacing w:before="100" w:beforeAutospacing="1" w:after="100" w:afterAutospacing="1"/>
      <w:jc w:val="left"/>
    </w:pPr>
    <w:rPr>
      <w:b/>
      <w:bCs/>
      <w:kern w:val="0"/>
      <w:sz w:val="20"/>
    </w:rPr>
  </w:style>
  <w:style w:type="paragraph" w:customStyle="1" w:styleId="331">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autoRedefine/>
    <w:qFormat/>
    <w:uiPriority w:val="0"/>
    <w:rPr>
      <w:rFonts w:ascii="Tahoma" w:hAnsi="Tahoma"/>
      <w:sz w:val="24"/>
    </w:rPr>
  </w:style>
  <w:style w:type="paragraph" w:customStyle="1" w:styleId="333">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autoRedefine/>
    <w:qFormat/>
    <w:uiPriority w:val="0"/>
    <w:pPr>
      <w:spacing w:line="360" w:lineRule="auto"/>
      <w:ind w:left="200" w:leftChars="200"/>
    </w:pPr>
    <w:rPr>
      <w:rFonts w:ascii="宋体" w:hAnsi="宋体"/>
      <w:b/>
      <w:sz w:val="24"/>
      <w:szCs w:val="24"/>
    </w:rPr>
  </w:style>
  <w:style w:type="paragraph" w:customStyle="1" w:styleId="335">
    <w:name w:val="条1"/>
    <w:basedOn w:val="1"/>
    <w:autoRedefine/>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autoRedefine/>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autoRedefine/>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5"/>
    <w:autoRedefine/>
    <w:qFormat/>
    <w:uiPriority w:val="0"/>
    <w:pPr>
      <w:spacing w:line="360" w:lineRule="auto"/>
    </w:pPr>
    <w:rPr>
      <w:rFonts w:eastAsia="仿宋_GB2312"/>
      <w:sz w:val="24"/>
      <w:szCs w:val="24"/>
    </w:rPr>
  </w:style>
  <w:style w:type="paragraph" w:customStyle="1" w:styleId="341">
    <w:name w:val="正文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20"/>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6"/>
    <w:autoRedefine/>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autoRedefine/>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autoRedefine/>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autoRedefin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autoRedefine/>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autoRedefine/>
    <w:qFormat/>
    <w:uiPriority w:val="0"/>
    <w:pPr>
      <w:numPr>
        <w:ilvl w:val="1"/>
        <w:numId w:val="4"/>
      </w:numPr>
      <w:spacing w:line="413" w:lineRule="auto"/>
    </w:pPr>
    <w:rPr>
      <w:rFonts w:ascii="Arial" w:hAnsi="Arial" w:eastAsia="黑体"/>
      <w:b w:val="0"/>
      <w:sz w:val="28"/>
      <w:szCs w:val="20"/>
    </w:rPr>
  </w:style>
  <w:style w:type="paragraph" w:customStyle="1" w:styleId="35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autoRedefine/>
    <w:qFormat/>
    <w:uiPriority w:val="0"/>
    <w:pPr>
      <w:spacing w:afterLines="50" w:line="360" w:lineRule="auto"/>
    </w:pPr>
    <w:rPr>
      <w:rFonts w:ascii="Tahoma" w:hAnsi="Tahoma"/>
      <w:sz w:val="24"/>
    </w:rPr>
  </w:style>
  <w:style w:type="paragraph" w:customStyle="1" w:styleId="358">
    <w:name w:val="项目符号，二级"/>
    <w:basedOn w:val="263"/>
    <w:next w:val="263"/>
    <w:autoRedefine/>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autoRedefine/>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autoRedefine/>
    <w:qFormat/>
    <w:uiPriority w:val="0"/>
    <w:rPr>
      <w:rFonts w:ascii="Tahoma" w:hAnsi="Tahoma" w:cs="Tahoma"/>
      <w:sz w:val="24"/>
    </w:rPr>
  </w:style>
  <w:style w:type="paragraph" w:customStyle="1" w:styleId="361">
    <w:name w:val="Char Char Char Char Char1"/>
    <w:basedOn w:val="1"/>
    <w:autoRedefine/>
    <w:qFormat/>
    <w:uiPriority w:val="0"/>
    <w:rPr>
      <w:rFonts w:ascii="Tahoma" w:hAnsi="Tahoma" w:cs="Tahoma"/>
      <w:sz w:val="24"/>
    </w:rPr>
  </w:style>
  <w:style w:type="paragraph" w:customStyle="1" w:styleId="36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autoRedefine/>
    <w:qFormat/>
    <w:uiPriority w:val="0"/>
    <w:pPr>
      <w:tabs>
        <w:tab w:val="left" w:pos="900"/>
      </w:tabs>
      <w:spacing w:afterLines="50" w:line="400" w:lineRule="atLeast"/>
      <w:ind w:left="900" w:hanging="420"/>
    </w:pPr>
    <w:rPr>
      <w:sz w:val="24"/>
      <w:szCs w:val="24"/>
    </w:rPr>
  </w:style>
  <w:style w:type="paragraph" w:customStyle="1" w:styleId="365">
    <w:name w:val="样式1"/>
    <w:basedOn w:val="1"/>
    <w:autoRedefine/>
    <w:qFormat/>
    <w:uiPriority w:val="0"/>
    <w:pPr>
      <w:spacing w:line="300" w:lineRule="auto"/>
      <w:ind w:firstLine="480" w:firstLineChars="200"/>
    </w:pPr>
    <w:rPr>
      <w:sz w:val="24"/>
      <w:szCs w:val="24"/>
    </w:rPr>
  </w:style>
  <w:style w:type="paragraph" w:customStyle="1" w:styleId="366">
    <w:name w:val="Bullets L1"/>
    <w:basedOn w:val="1"/>
    <w:autoRedefine/>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autoRedefine/>
    <w:qFormat/>
    <w:uiPriority w:val="0"/>
    <w:pPr>
      <w:spacing w:line="360" w:lineRule="auto"/>
      <w:ind w:firstLine="480"/>
    </w:pPr>
    <w:rPr>
      <w:rFonts w:cs="宋体"/>
      <w:sz w:val="24"/>
    </w:rPr>
  </w:style>
  <w:style w:type="paragraph" w:customStyle="1" w:styleId="370">
    <w:name w:val="Char2"/>
    <w:basedOn w:val="1"/>
    <w:autoRedefine/>
    <w:qFormat/>
    <w:uiPriority w:val="0"/>
    <w:rPr>
      <w:rFonts w:ascii="Tahoma" w:hAnsi="Tahoma" w:cs="仿宋_GB2312"/>
      <w:sz w:val="24"/>
      <w:szCs w:val="28"/>
    </w:rPr>
  </w:style>
  <w:style w:type="paragraph" w:customStyle="1" w:styleId="371">
    <w:name w:val="正文文本 New New"/>
    <w:basedOn w:val="1"/>
    <w:autoRedefine/>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autoRedefine/>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autoRedefine/>
    <w:qFormat/>
    <w:uiPriority w:val="0"/>
    <w:pPr>
      <w:spacing w:line="360" w:lineRule="auto"/>
      <w:ind w:firstLine="480"/>
    </w:pPr>
    <w:rPr>
      <w:rFonts w:ascii="楷体_GB2312" w:eastAsia="楷体_GB2312"/>
      <w:bCs/>
      <w:sz w:val="24"/>
      <w:szCs w:val="24"/>
    </w:rPr>
  </w:style>
  <w:style w:type="paragraph" w:customStyle="1" w:styleId="374">
    <w:name w:val="论文正文"/>
    <w:basedOn w:val="36"/>
    <w:autoRedefine/>
    <w:qFormat/>
    <w:uiPriority w:val="0"/>
    <w:pPr>
      <w:spacing w:line="360" w:lineRule="auto"/>
      <w:ind w:left="0" w:firstLine="200" w:firstLineChars="200"/>
      <w:jc w:val="left"/>
    </w:pPr>
    <w:rPr>
      <w:sz w:val="28"/>
      <w:szCs w:val="24"/>
    </w:rPr>
  </w:style>
  <w:style w:type="paragraph" w:customStyle="1" w:styleId="375">
    <w:name w:val="列出段落3"/>
    <w:basedOn w:val="1"/>
    <w:autoRedefine/>
    <w:qFormat/>
    <w:uiPriority w:val="0"/>
    <w:pPr>
      <w:ind w:firstLine="420" w:firstLineChars="200"/>
    </w:pPr>
    <w:rPr>
      <w:szCs w:val="24"/>
    </w:rPr>
  </w:style>
  <w:style w:type="paragraph" w:customStyle="1" w:styleId="376">
    <w:name w:val="丁华标题1"/>
    <w:basedOn w:val="2"/>
    <w:next w:val="244"/>
    <w:autoRedefine/>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autoRedefine/>
    <w:qFormat/>
    <w:uiPriority w:val="0"/>
    <w:pPr>
      <w:tabs>
        <w:tab w:val="left" w:pos="1620"/>
      </w:tabs>
      <w:adjustRightInd w:val="0"/>
      <w:jc w:val="center"/>
    </w:pPr>
    <w:rPr>
      <w:bCs/>
      <w:color w:val="000000"/>
      <w:szCs w:val="22"/>
    </w:rPr>
  </w:style>
  <w:style w:type="paragraph" w:customStyle="1" w:styleId="378">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autoRedefine/>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autoRedefine/>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9"/>
    <w:autoRedefine/>
    <w:qFormat/>
    <w:uiPriority w:val="0"/>
    <w:pPr>
      <w:spacing w:beforeLines="50" w:afterLines="50"/>
      <w:jc w:val="left"/>
    </w:pPr>
    <w:rPr>
      <w:rFonts w:cs="宋体"/>
      <w:bCs/>
      <w:sz w:val="30"/>
    </w:rPr>
  </w:style>
  <w:style w:type="paragraph" w:customStyle="1" w:styleId="383">
    <w:name w:val="Char Char Char Char Char Char Char Char Char Char Char1"/>
    <w:basedOn w:val="1"/>
    <w:autoRedefine/>
    <w:qFormat/>
    <w:uiPriority w:val="0"/>
    <w:rPr>
      <w:rFonts w:ascii="Tahoma" w:hAnsi="Tahoma"/>
      <w:sz w:val="24"/>
    </w:rPr>
  </w:style>
  <w:style w:type="paragraph" w:customStyle="1" w:styleId="384">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385">
    <w:name w:val="font14"/>
    <w:basedOn w:val="1"/>
    <w:autoRedefine/>
    <w:qFormat/>
    <w:uiPriority w:val="0"/>
    <w:pPr>
      <w:widowControl/>
      <w:spacing w:before="100" w:beforeAutospacing="1" w:after="100" w:afterAutospacing="1"/>
      <w:jc w:val="left"/>
    </w:pPr>
    <w:rPr>
      <w:kern w:val="0"/>
      <w:sz w:val="36"/>
      <w:szCs w:val="36"/>
    </w:rPr>
  </w:style>
  <w:style w:type="paragraph" w:customStyle="1" w:styleId="386">
    <w:name w:val="部分1"/>
    <w:basedOn w:val="1"/>
    <w:autoRedefine/>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autoRedefine/>
    <w:qFormat/>
    <w:uiPriority w:val="0"/>
    <w:pPr>
      <w:spacing w:line="360" w:lineRule="auto"/>
      <w:ind w:firstLine="420"/>
    </w:pPr>
    <w:rPr>
      <w:rFonts w:ascii="楷体_GB2312" w:eastAsia="楷体_GB2312"/>
      <w:bCs/>
      <w:sz w:val="24"/>
    </w:rPr>
  </w:style>
  <w:style w:type="paragraph" w:customStyle="1" w:styleId="388">
    <w:name w:val="Test2"/>
    <w:basedOn w:val="3"/>
    <w:autoRedefine/>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autoRedefine/>
    <w:qFormat/>
    <w:uiPriority w:val="0"/>
    <w:rPr>
      <w:rFonts w:ascii="Tahoma" w:hAnsi="Tahoma"/>
      <w:sz w:val="24"/>
    </w:rPr>
  </w:style>
  <w:style w:type="paragraph" w:customStyle="1" w:styleId="392">
    <w:name w:val="Default Text"/>
    <w:basedOn w:val="1"/>
    <w:autoRedefine/>
    <w:qFormat/>
    <w:uiPriority w:val="0"/>
    <w:pPr>
      <w:widowControl/>
      <w:jc w:val="left"/>
    </w:pPr>
    <w:rPr>
      <w:kern w:val="0"/>
      <w:sz w:val="24"/>
      <w:lang w:eastAsia="en-US"/>
    </w:rPr>
  </w:style>
  <w:style w:type="paragraph" w:customStyle="1" w:styleId="39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autoRedefine/>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autoRedefine/>
    <w:qFormat/>
    <w:uiPriority w:val="0"/>
    <w:pPr>
      <w:widowControl/>
      <w:tabs>
        <w:tab w:val="left" w:pos="2240"/>
      </w:tabs>
      <w:ind w:hanging="420"/>
      <w:outlineLvl w:val="3"/>
    </w:pPr>
    <w:rPr>
      <w:rFonts w:eastAsia="黑体"/>
      <w:kern w:val="0"/>
    </w:rPr>
  </w:style>
  <w:style w:type="paragraph" w:customStyle="1" w:styleId="398">
    <w:name w:val="font8"/>
    <w:basedOn w:val="1"/>
    <w:autoRedefine/>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autoRedefine/>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autoRedefine/>
    <w:qFormat/>
    <w:uiPriority w:val="0"/>
    <w:pPr>
      <w:spacing w:line="360" w:lineRule="auto"/>
      <w:ind w:firstLine="420" w:firstLineChars="200"/>
    </w:pPr>
    <w:rPr>
      <w:szCs w:val="24"/>
    </w:rPr>
  </w:style>
  <w:style w:type="paragraph" w:customStyle="1" w:styleId="402">
    <w:name w:val="Char Char Char Char Char Char Char Char1"/>
    <w:basedOn w:val="1"/>
    <w:autoRedefine/>
    <w:qFormat/>
    <w:uiPriority w:val="0"/>
    <w:rPr>
      <w:rFonts w:ascii="Tahoma" w:hAnsi="Tahoma" w:cs="Tahoma"/>
      <w:sz w:val="24"/>
    </w:rPr>
  </w:style>
  <w:style w:type="paragraph" w:customStyle="1" w:styleId="403">
    <w:name w:val="Char Char Char Char1"/>
    <w:basedOn w:val="22"/>
    <w:autoRedefine/>
    <w:qFormat/>
    <w:uiPriority w:val="0"/>
    <w:pPr>
      <w:adjustRightInd w:val="0"/>
      <w:snapToGrid w:val="0"/>
      <w:spacing w:line="360" w:lineRule="auto"/>
    </w:pPr>
    <w:rPr>
      <w:rFonts w:ascii="Tahoma" w:hAnsi="Tahoma"/>
      <w:sz w:val="24"/>
      <w:szCs w:val="24"/>
    </w:rPr>
  </w:style>
  <w:style w:type="paragraph" w:customStyle="1" w:styleId="404">
    <w:name w:val="正文1"/>
    <w:basedOn w:val="1"/>
    <w:autoRedefine/>
    <w:qFormat/>
    <w:uiPriority w:val="0"/>
    <w:rPr>
      <w:rFonts w:ascii="Calibri" w:hAnsi="Calibri" w:eastAsia="Times New Roman" w:cs="宋体"/>
      <w:kern w:val="0"/>
      <w:lang w:val="zh-CN"/>
    </w:rPr>
  </w:style>
  <w:style w:type="paragraph" w:customStyle="1" w:styleId="405">
    <w:name w:val="font6"/>
    <w:basedOn w:val="1"/>
    <w:autoRedefine/>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autoRedefine/>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autoRedefine/>
    <w:qFormat/>
    <w:uiPriority w:val="0"/>
    <w:rPr>
      <w:rFonts w:ascii="Calibri" w:hAnsi="Calibri" w:eastAsia="Times New Roman" w:cs="宋体"/>
      <w:kern w:val="0"/>
      <w:lang w:val="zh-CN"/>
    </w:rPr>
  </w:style>
  <w:style w:type="paragraph" w:customStyle="1" w:styleId="408">
    <w:name w:val="纯文本1"/>
    <w:basedOn w:val="1"/>
    <w:autoRedefine/>
    <w:qFormat/>
    <w:uiPriority w:val="0"/>
    <w:pPr>
      <w:adjustRightInd w:val="0"/>
      <w:textAlignment w:val="baseline"/>
    </w:pPr>
    <w:rPr>
      <w:rFonts w:ascii="宋体" w:hAnsi="宋体" w:eastAsia="楷体_GB2312" w:cs="宋体"/>
      <w:sz w:val="28"/>
    </w:rPr>
  </w:style>
  <w:style w:type="paragraph" w:customStyle="1" w:styleId="409">
    <w:name w:val="正文lzq"/>
    <w:basedOn w:val="1"/>
    <w:autoRedefine/>
    <w:qFormat/>
    <w:uiPriority w:val="0"/>
    <w:pPr>
      <w:adjustRightInd w:val="0"/>
      <w:spacing w:line="360" w:lineRule="auto"/>
      <w:ind w:firstLine="480"/>
      <w:textAlignment w:val="baseline"/>
    </w:pPr>
    <w:rPr>
      <w:kern w:val="0"/>
      <w:sz w:val="24"/>
    </w:rPr>
  </w:style>
  <w:style w:type="paragraph" w:customStyle="1" w:styleId="410">
    <w:name w:val="列表内容"/>
    <w:basedOn w:val="1"/>
    <w:next w:val="1"/>
    <w:autoRedefine/>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autoRedefine/>
    <w:qFormat/>
    <w:uiPriority w:val="0"/>
    <w:rPr>
      <w:rFonts w:ascii="Tahoma" w:hAnsi="Tahoma"/>
      <w:sz w:val="24"/>
    </w:rPr>
  </w:style>
  <w:style w:type="paragraph" w:customStyle="1" w:styleId="412">
    <w:name w:val="Char Char Char"/>
    <w:basedOn w:val="1"/>
    <w:autoRedefine/>
    <w:qFormat/>
    <w:uiPriority w:val="0"/>
    <w:rPr>
      <w:rFonts w:ascii="Tahoma" w:hAnsi="Tahoma"/>
      <w:sz w:val="24"/>
    </w:rPr>
  </w:style>
  <w:style w:type="paragraph" w:customStyle="1" w:styleId="413">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autoRedefine/>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autoRedefine/>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autoRedefine/>
    <w:qFormat/>
    <w:uiPriority w:val="0"/>
    <w:pPr>
      <w:outlineLvl w:val="1"/>
    </w:pPr>
    <w:rPr>
      <w:rFonts w:ascii="仿宋_GB2312" w:hAnsi="宋体" w:eastAsia="仿宋_GB2312"/>
      <w:kern w:val="28"/>
      <w:sz w:val="28"/>
      <w:szCs w:val="24"/>
    </w:rPr>
  </w:style>
  <w:style w:type="paragraph" w:customStyle="1" w:styleId="417">
    <w:name w:val="文档正文"/>
    <w:basedOn w:val="1"/>
    <w:autoRedefine/>
    <w:qFormat/>
    <w:uiPriority w:val="0"/>
    <w:pPr>
      <w:spacing w:line="360" w:lineRule="auto"/>
    </w:pPr>
    <w:rPr>
      <w:rFonts w:ascii="宋体" w:hAnsi="宋体"/>
      <w:b/>
      <w:bCs/>
      <w:szCs w:val="24"/>
    </w:rPr>
  </w:style>
  <w:style w:type="paragraph" w:customStyle="1" w:styleId="418">
    <w:name w:val="Char Char Char Char Char Char Char Char Char Char Char"/>
    <w:basedOn w:val="1"/>
    <w:autoRedefine/>
    <w:qFormat/>
    <w:uiPriority w:val="0"/>
    <w:rPr>
      <w:rFonts w:ascii="Tahoma" w:hAnsi="Tahoma" w:cs="Tahoma"/>
      <w:sz w:val="24"/>
    </w:rPr>
  </w:style>
  <w:style w:type="paragraph" w:customStyle="1" w:styleId="419">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11"/>
    <w:autoRedefine/>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autoRedefine/>
    <w:semiHidden/>
    <w:qFormat/>
    <w:uiPriority w:val="99"/>
    <w:rPr>
      <w:rFonts w:ascii="Times New Roman" w:hAnsi="Times New Roman" w:eastAsia="宋体" w:cs="Times New Roman"/>
      <w:szCs w:val="24"/>
    </w:rPr>
  </w:style>
  <w:style w:type="paragraph" w:styleId="423">
    <w:name w:val="List Paragraph"/>
    <w:basedOn w:val="1"/>
    <w:autoRedefine/>
    <w:qFormat/>
    <w:uiPriority w:val="99"/>
    <w:pPr>
      <w:ind w:firstLine="420" w:firstLineChars="200"/>
    </w:pPr>
    <w:rPr>
      <w:szCs w:val="24"/>
    </w:rPr>
  </w:style>
  <w:style w:type="paragraph" w:customStyle="1" w:styleId="424">
    <w:name w:val="二级无"/>
    <w:basedOn w:val="1"/>
    <w:autoRedefine/>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autoRedefine/>
    <w:qFormat/>
    <w:uiPriority w:val="0"/>
    <w:rPr>
      <w:rFonts w:hint="eastAsia" w:ascii="宋体" w:hAnsi="宋体" w:eastAsia="宋体" w:cs="宋体"/>
      <w:color w:val="000000"/>
      <w:sz w:val="24"/>
      <w:szCs w:val="24"/>
      <w:u w:val="none"/>
    </w:rPr>
  </w:style>
  <w:style w:type="character" w:customStyle="1" w:styleId="426">
    <w:name w:val="font31"/>
    <w:basedOn w:val="63"/>
    <w:autoRedefine/>
    <w:qFormat/>
    <w:uiPriority w:val="0"/>
    <w:rPr>
      <w:rFonts w:hint="default" w:ascii="楷体_GB2312" w:eastAsia="楷体_GB2312" w:cs="楷体_GB2312"/>
      <w:color w:val="000000"/>
      <w:sz w:val="24"/>
      <w:szCs w:val="24"/>
      <w:u w:val="none"/>
    </w:rPr>
  </w:style>
  <w:style w:type="character" w:customStyle="1" w:styleId="427">
    <w:name w:val="tit"/>
    <w:basedOn w:val="63"/>
    <w:autoRedefine/>
    <w:qFormat/>
    <w:uiPriority w:val="0"/>
    <w:rPr>
      <w:color w:val="333333"/>
      <w:sz w:val="24"/>
      <w:szCs w:val="24"/>
    </w:rPr>
  </w:style>
  <w:style w:type="character" w:customStyle="1" w:styleId="428">
    <w:name w:val="img_title18"/>
    <w:basedOn w:val="63"/>
    <w:autoRedefine/>
    <w:qFormat/>
    <w:uiPriority w:val="0"/>
    <w:rPr>
      <w:vanish/>
    </w:rPr>
  </w:style>
  <w:style w:type="character" w:customStyle="1" w:styleId="429">
    <w:name w:val="nostart"/>
    <w:basedOn w:val="63"/>
    <w:autoRedefine/>
    <w:qFormat/>
    <w:uiPriority w:val="0"/>
    <w:rPr>
      <w:rFonts w:ascii="Arial" w:hAnsi="Arial" w:cs="Arial"/>
      <w:color w:val="DD0000"/>
      <w:sz w:val="19"/>
      <w:szCs w:val="19"/>
    </w:rPr>
  </w:style>
  <w:style w:type="character" w:customStyle="1" w:styleId="430">
    <w:name w:val="starting"/>
    <w:basedOn w:val="63"/>
    <w:autoRedefine/>
    <w:qFormat/>
    <w:uiPriority w:val="0"/>
    <w:rPr>
      <w:color w:val="13844D"/>
    </w:rPr>
  </w:style>
  <w:style w:type="character" w:customStyle="1" w:styleId="431">
    <w:name w:val="hit"/>
    <w:basedOn w:val="63"/>
    <w:autoRedefine/>
    <w:qFormat/>
    <w:uiPriority w:val="0"/>
  </w:style>
  <w:style w:type="character" w:customStyle="1" w:styleId="432">
    <w:name w:val="c3"/>
    <w:basedOn w:val="63"/>
    <w:autoRedefine/>
    <w:qFormat/>
    <w:uiPriority w:val="0"/>
  </w:style>
  <w:style w:type="character" w:customStyle="1" w:styleId="433">
    <w:name w:val="over8"/>
    <w:basedOn w:val="63"/>
    <w:autoRedefine/>
    <w:qFormat/>
    <w:uiPriority w:val="0"/>
    <w:rPr>
      <w:color w:val="999999"/>
      <w:sz w:val="19"/>
      <w:szCs w:val="19"/>
    </w:rPr>
  </w:style>
  <w:style w:type="character" w:customStyle="1" w:styleId="434">
    <w:name w:val="right4"/>
    <w:basedOn w:val="63"/>
    <w:autoRedefine/>
    <w:qFormat/>
    <w:uiPriority w:val="0"/>
    <w:rPr>
      <w:color w:val="A1A1A1"/>
    </w:rPr>
  </w:style>
  <w:style w:type="character" w:customStyle="1" w:styleId="435">
    <w:name w:val="msg-box8"/>
    <w:basedOn w:val="63"/>
    <w:autoRedefine/>
    <w:qFormat/>
    <w:uiPriority w:val="0"/>
  </w:style>
  <w:style w:type="character" w:customStyle="1" w:styleId="436">
    <w:name w:val="c2"/>
    <w:basedOn w:val="63"/>
    <w:autoRedefine/>
    <w:qFormat/>
    <w:uiPriority w:val="0"/>
  </w:style>
  <w:style w:type="character" w:customStyle="1" w:styleId="437">
    <w:name w:val="c1"/>
    <w:basedOn w:val="63"/>
    <w:autoRedefine/>
    <w:qFormat/>
    <w:uiPriority w:val="0"/>
  </w:style>
  <w:style w:type="character" w:customStyle="1" w:styleId="438">
    <w:name w:val="tit4"/>
    <w:basedOn w:val="63"/>
    <w:autoRedefine/>
    <w:qFormat/>
    <w:uiPriority w:val="0"/>
    <w:rPr>
      <w:color w:val="333333"/>
      <w:sz w:val="24"/>
      <w:szCs w:val="24"/>
    </w:rPr>
  </w:style>
  <w:style w:type="character" w:customStyle="1" w:styleId="439">
    <w:name w:val="starting8"/>
    <w:basedOn w:val="63"/>
    <w:autoRedefine/>
    <w:qFormat/>
    <w:uiPriority w:val="0"/>
    <w:rPr>
      <w:color w:val="13844D"/>
    </w:rPr>
  </w:style>
  <w:style w:type="character" w:customStyle="1" w:styleId="440">
    <w:name w:val="nostart8"/>
    <w:basedOn w:val="63"/>
    <w:autoRedefine/>
    <w:qFormat/>
    <w:uiPriority w:val="0"/>
    <w:rPr>
      <w:color w:val="DD0000"/>
    </w:rPr>
  </w:style>
  <w:style w:type="character" w:customStyle="1" w:styleId="441">
    <w:name w:val="over"/>
    <w:basedOn w:val="63"/>
    <w:autoRedefine/>
    <w:qFormat/>
    <w:uiPriority w:val="0"/>
    <w:rPr>
      <w:color w:val="999999"/>
      <w:sz w:val="19"/>
      <w:szCs w:val="19"/>
    </w:rPr>
  </w:style>
  <w:style w:type="character" w:customStyle="1" w:styleId="442">
    <w:name w:val="msg-box"/>
    <w:basedOn w:val="63"/>
    <w:autoRedefine/>
    <w:qFormat/>
    <w:uiPriority w:val="0"/>
  </w:style>
  <w:style w:type="character" w:customStyle="1" w:styleId="443">
    <w:name w:val="img_title"/>
    <w:basedOn w:val="63"/>
    <w:autoRedefine/>
    <w:qFormat/>
    <w:uiPriority w:val="0"/>
    <w:rPr>
      <w:vanish/>
    </w:rPr>
  </w:style>
  <w:style w:type="character" w:customStyle="1" w:styleId="444">
    <w:name w:val="right3"/>
    <w:basedOn w:val="63"/>
    <w:autoRedefine/>
    <w:qFormat/>
    <w:uiPriority w:val="0"/>
    <w:rPr>
      <w:color w:val="A1A1A1"/>
    </w:rPr>
  </w:style>
  <w:style w:type="character" w:customStyle="1" w:styleId="445">
    <w:name w:val="right"/>
    <w:basedOn w:val="63"/>
    <w:autoRedefine/>
    <w:qFormat/>
    <w:uiPriority w:val="0"/>
    <w:rPr>
      <w:color w:val="A1A1A1"/>
    </w:rPr>
  </w:style>
  <w:style w:type="character" w:customStyle="1" w:styleId="446">
    <w:name w:val="starting7"/>
    <w:basedOn w:val="63"/>
    <w:autoRedefine/>
    <w:qFormat/>
    <w:uiPriority w:val="0"/>
    <w:rPr>
      <w:color w:val="13844D"/>
    </w:rPr>
  </w:style>
  <w:style w:type="character" w:customStyle="1" w:styleId="447">
    <w:name w:val="tit3"/>
    <w:basedOn w:val="63"/>
    <w:autoRedefine/>
    <w:qFormat/>
    <w:uiPriority w:val="0"/>
    <w:rPr>
      <w:color w:val="333333"/>
      <w:sz w:val="24"/>
      <w:szCs w:val="24"/>
    </w:rPr>
  </w:style>
  <w:style w:type="character" w:customStyle="1" w:styleId="448">
    <w:name w:val="nostart5"/>
    <w:basedOn w:val="63"/>
    <w:autoRedefine/>
    <w:qFormat/>
    <w:uiPriority w:val="0"/>
    <w:rPr>
      <w:color w:val="DD0000"/>
    </w:rPr>
  </w:style>
  <w:style w:type="character" w:customStyle="1" w:styleId="449">
    <w:name w:val="starting5"/>
    <w:basedOn w:val="63"/>
    <w:autoRedefine/>
    <w:qFormat/>
    <w:uiPriority w:val="0"/>
    <w:rPr>
      <w:color w:val="13844D"/>
    </w:rPr>
  </w:style>
  <w:style w:type="paragraph" w:customStyle="1" w:styleId="450">
    <w:name w:val="Body Text First Indent 21"/>
    <w:basedOn w:val="451"/>
    <w:autoRedefine/>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autoRedefine/>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autoRedefine/>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autoRedefine/>
    <w:qFormat/>
    <w:uiPriority w:val="0"/>
  </w:style>
  <w:style w:type="character" w:customStyle="1" w:styleId="454">
    <w:name w:val="layui-layer-tabnow"/>
    <w:basedOn w:val="63"/>
    <w:autoRedefine/>
    <w:qFormat/>
    <w:uiPriority w:val="0"/>
    <w:rPr>
      <w:bdr w:val="single" w:color="CCCCCC" w:sz="6" w:space="0"/>
      <w:shd w:val="clear" w:color="auto" w:fill="FFFFFF"/>
    </w:rPr>
  </w:style>
  <w:style w:type="character" w:customStyle="1" w:styleId="455">
    <w:name w:val="font41"/>
    <w:basedOn w:val="63"/>
    <w:autoRedefine/>
    <w:qFormat/>
    <w:uiPriority w:val="0"/>
    <w:rPr>
      <w:rFonts w:hint="eastAsia" w:ascii="宋体" w:hAnsi="宋体" w:eastAsia="宋体" w:cs="宋体"/>
      <w:color w:val="000000"/>
      <w:sz w:val="22"/>
      <w:szCs w:val="22"/>
      <w:u w:val="none"/>
    </w:rPr>
  </w:style>
  <w:style w:type="character" w:customStyle="1" w:styleId="456">
    <w:name w:val="font51"/>
    <w:basedOn w:val="63"/>
    <w:autoRedefine/>
    <w:qFormat/>
    <w:uiPriority w:val="0"/>
    <w:rPr>
      <w:rFonts w:hint="eastAsia" w:ascii="宋体" w:hAnsi="宋体" w:eastAsia="宋体" w:cs="宋体"/>
      <w:color w:val="000000"/>
      <w:sz w:val="24"/>
      <w:szCs w:val="24"/>
      <w:u w:val="none"/>
    </w:rPr>
  </w:style>
  <w:style w:type="character" w:customStyle="1" w:styleId="457">
    <w:name w:val="font112"/>
    <w:basedOn w:val="63"/>
    <w:qFormat/>
    <w:uiPriority w:val="0"/>
    <w:rPr>
      <w:rFonts w:hint="eastAsia" w:ascii="宋体" w:hAnsi="宋体" w:eastAsia="宋体" w:cs="宋体"/>
      <w:color w:val="000000"/>
      <w:sz w:val="22"/>
      <w:szCs w:val="22"/>
      <w:u w:val="none"/>
    </w:rPr>
  </w:style>
  <w:style w:type="character" w:customStyle="1" w:styleId="458">
    <w:name w:val="font141"/>
    <w:basedOn w:val="63"/>
    <w:qFormat/>
    <w:uiPriority w:val="0"/>
    <w:rPr>
      <w:rFonts w:hint="eastAsia" w:ascii="宋体" w:hAnsi="宋体" w:eastAsia="宋体" w:cs="宋体"/>
      <w:color w:val="FF0000"/>
      <w:sz w:val="22"/>
      <w:szCs w:val="22"/>
      <w:u w:val="none"/>
    </w:rPr>
  </w:style>
  <w:style w:type="paragraph" w:customStyle="1" w:styleId="459">
    <w:name w:val="_Style 13"/>
    <w:qFormat/>
    <w:uiPriority w:val="0"/>
    <w:pPr>
      <w:spacing w:before="120" w:after="120" w:line="288" w:lineRule="auto"/>
      <w:ind w:left="0"/>
      <w:jc w:val="left"/>
    </w:pPr>
    <w:rPr>
      <w:rFonts w:ascii="Arial" w:hAnsi="Arial" w:eastAsia="等线" w:cs="Arial"/>
      <w:sz w:val="22"/>
      <w:szCs w:val="22"/>
    </w:rPr>
  </w:style>
  <w:style w:type="character" w:customStyle="1" w:styleId="460">
    <w:name w:val="NormalCharacter"/>
    <w:link w:val="461"/>
    <w:qFormat/>
    <w:uiPriority w:val="0"/>
  </w:style>
  <w:style w:type="paragraph" w:customStyle="1" w:styleId="461">
    <w:name w:val="UserStyle_0"/>
    <w:basedOn w:val="1"/>
    <w:link w:val="460"/>
    <w:qFormat/>
    <w:uiPriority w:val="0"/>
    <w:pPr>
      <w:spacing w:line="600" w:lineRule="exact"/>
      <w:jc w:val="both"/>
      <w:textAlignment w:val="baseline"/>
    </w:pPr>
  </w:style>
  <w:style w:type="paragraph" w:customStyle="1" w:styleId="462">
    <w:name w:val="Main Title"/>
    <w:next w:val="1"/>
    <w:qFormat/>
    <w:uiPriority w:val="0"/>
    <w:pPr>
      <w:adjustRightInd w:val="0"/>
      <w:snapToGrid w:val="0"/>
      <w:spacing w:after="120" w:afterLines="50" w:line="360" w:lineRule="auto"/>
      <w:jc w:val="center"/>
    </w:pPr>
    <w:rPr>
      <w:rFonts w:ascii="黑体" w:hAnsi="黑体" w:eastAsia="黑体" w:cs="DaunPenh"/>
      <w:b/>
      <w:kern w:val="2"/>
      <w:sz w:val="36"/>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86</Pages>
  <Words>13191</Words>
  <Characters>13978</Characters>
  <Lines>69</Lines>
  <Paragraphs>19</Paragraphs>
  <TotalTime>1</TotalTime>
  <ScaleCrop>false</ScaleCrop>
  <LinksUpToDate>false</LinksUpToDate>
  <CharactersWithSpaces>14080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2023-12-14T01:03:00Z</cp:lastPrinted>
  <dcterms:modified xsi:type="dcterms:W3CDTF">2025-12-29T00:40:26Z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BBE2967F039E422BBC061EB4484A3197_13</vt:lpwstr>
  </property>
  <property fmtid="{D5CDD505-2E9C-101B-9397-08002B2CF9AE}" pid="4" name="KSOTemplateDocerSaveRecord">
    <vt:lpwstr>eyJoZGlkIjoiODg5OTFhMDZlNTRlMDA0MmIxOWM3MTZhYWRlMmFjYWMiLCJ1c2VySWQiOiI1MDM3OTU2NDYifQ==</vt:lpwstr>
  </property>
</Properties>
</file>