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i w:val="0"/>
          <w:iCs w:val="0"/>
          <w:caps w:val="0"/>
          <w:color w:val="333333"/>
          <w:spacing w:val="0"/>
          <w:sz w:val="40"/>
          <w:szCs w:val="40"/>
        </w:rPr>
      </w:pPr>
      <w:r>
        <w:rPr>
          <w:rFonts w:hint="eastAsia" w:ascii="微软雅黑" w:hAnsi="微软雅黑" w:eastAsia="微软雅黑" w:cs="微软雅黑"/>
          <w:i w:val="0"/>
          <w:iCs w:val="0"/>
          <w:caps w:val="0"/>
          <w:color w:val="333333"/>
          <w:spacing w:val="0"/>
          <w:sz w:val="40"/>
          <w:szCs w:val="40"/>
          <w:bdr w:val="none" w:color="auto" w:sz="0" w:space="0"/>
          <w:shd w:val="clear" w:fill="FFFFFF"/>
        </w:rPr>
        <w:t>安庆市自然资源和规划局国有建设用地使用权出让公告</w:t>
      </w:r>
      <w:r>
        <w:rPr>
          <w:rFonts w:hint="eastAsia" w:ascii="微软雅黑" w:hAnsi="微软雅黑" w:eastAsia="微软雅黑" w:cs="微软雅黑"/>
          <w:i w:val="0"/>
          <w:iCs w:val="0"/>
          <w:caps w:val="0"/>
          <w:color w:val="333333"/>
          <w:spacing w:val="0"/>
          <w:sz w:val="40"/>
          <w:szCs w:val="40"/>
          <w:bdr w:val="none" w:color="auto" w:sz="0" w:space="0"/>
          <w:shd w:val="clear" w:fill="FFFFFF"/>
        </w:rPr>
        <w:br w:type="textWrapping"/>
      </w:r>
      <w:r>
        <w:rPr>
          <w:rFonts w:hint="eastAsia" w:ascii="微软雅黑" w:hAnsi="微软雅黑" w:eastAsia="微软雅黑" w:cs="微软雅黑"/>
          <w:i w:val="0"/>
          <w:iCs w:val="0"/>
          <w:caps w:val="0"/>
          <w:color w:val="333333"/>
          <w:spacing w:val="0"/>
          <w:sz w:val="40"/>
          <w:szCs w:val="40"/>
          <w:bdr w:val="none" w:color="auto" w:sz="0" w:space="0"/>
          <w:shd w:val="clear" w:fill="FFFFFF"/>
        </w:rPr>
        <w:t>庆自然资告字〔2022〕45号</w:t>
      </w:r>
    </w:p>
    <w:p>
      <w:pPr>
        <w:keepNext w:val="0"/>
        <w:keepLines w:val="0"/>
        <w:widowControl/>
        <w:suppressLineNumbers w:val="0"/>
        <w:pBdr>
          <w:top w:val="none" w:color="auto" w:sz="0" w:space="0"/>
          <w:left w:val="none" w:color="auto" w:sz="0" w:space="0"/>
          <w:bottom w:val="single" w:color="DBDEE1" w:sz="6" w:space="0"/>
          <w:right w:val="none" w:color="auto" w:sz="0" w:space="0"/>
        </w:pBdr>
        <w:shd w:val="clear" w:fill="FFFFFF"/>
        <w:spacing w:before="0" w:beforeAutospacing="0" w:after="0" w:afterAutospacing="0" w:line="510" w:lineRule="atLeast"/>
        <w:ind w:left="0" w:right="0" w:firstLine="0"/>
        <w:jc w:val="center"/>
        <w:rPr>
          <w:rFonts w:hint="eastAsia" w:ascii="微软雅黑" w:hAnsi="微软雅黑" w:eastAsia="微软雅黑" w:cs="微软雅黑"/>
          <w:i w:val="0"/>
          <w:iCs w:val="0"/>
          <w:caps w:val="0"/>
          <w:color w:val="666666"/>
          <w:spacing w:val="0"/>
          <w:sz w:val="18"/>
          <w:szCs w:val="18"/>
        </w:rPr>
      </w:pPr>
      <w:r>
        <w:rPr>
          <w:rFonts w:hint="eastAsia" w:ascii="微软雅黑" w:hAnsi="微软雅黑" w:eastAsia="微软雅黑" w:cs="微软雅黑"/>
          <w:i w:val="0"/>
          <w:iCs w:val="0"/>
          <w:caps w:val="0"/>
          <w:color w:val="666666"/>
          <w:spacing w:val="0"/>
          <w:kern w:val="0"/>
          <w:sz w:val="18"/>
          <w:szCs w:val="18"/>
          <w:bdr w:val="none" w:color="auto" w:sz="0" w:space="0"/>
          <w:shd w:val="clear" w:fill="FFFFFF"/>
          <w:lang w:val="en-US" w:eastAsia="zh-CN" w:bidi="ar"/>
        </w:rPr>
        <w:t>发布日期：2022-12-20 15:26:25 作者：市自然资源和规划局  来源：安庆市自然资源和规划局  阅读：661 次 字体：</w:t>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instrText xml:space="preserve"> HYPERLINK "https://zrzyhghj.anqing.gov.cn/ywgg/tdgycr/zpgcrgg/javascript:void(0);" </w:instrText>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666666"/>
          <w:spacing w:val="0"/>
          <w:sz w:val="18"/>
          <w:szCs w:val="18"/>
          <w:u w:val="none"/>
          <w:bdr w:val="none" w:color="auto" w:sz="0" w:space="0"/>
          <w:shd w:val="clear" w:fill="FFFFFF"/>
        </w:rPr>
        <w:t>[ 大 ]</w:t>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666666"/>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instrText xml:space="preserve"> HYPERLINK "https://zrzyhghj.anqing.gov.cn/ywgg/tdgycr/zpgcrgg/javascript:void(0);" </w:instrText>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666666"/>
          <w:spacing w:val="0"/>
          <w:sz w:val="18"/>
          <w:szCs w:val="18"/>
          <w:u w:val="none"/>
          <w:bdr w:val="none" w:color="auto" w:sz="0" w:space="0"/>
          <w:shd w:val="clear" w:fill="FFFFFF"/>
        </w:rPr>
        <w:t>[ 中 ]</w:t>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666666"/>
          <w:spacing w:val="0"/>
          <w:kern w:val="0"/>
          <w:sz w:val="18"/>
          <w:szCs w:val="18"/>
          <w:bdr w:val="none" w:color="auto" w:sz="0" w:space="0"/>
          <w:shd w:val="clear" w:fill="FFFFFF"/>
          <w:lang w:val="en-US" w:eastAsia="zh-CN" w:bidi="ar"/>
        </w:rPr>
        <w:t> </w:t>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instrText xml:space="preserve"> HYPERLINK "https://zrzyhghj.anqing.gov.cn/ywgg/tdgycr/zpgcrgg/javascript:void(0);" </w:instrText>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666666"/>
          <w:spacing w:val="0"/>
          <w:sz w:val="18"/>
          <w:szCs w:val="18"/>
          <w:u w:val="none"/>
          <w:bdr w:val="none" w:color="auto" w:sz="0" w:space="0"/>
          <w:shd w:val="clear" w:fill="FFFFFF"/>
        </w:rPr>
        <w:t>[ 小 ]</w:t>
      </w:r>
      <w:r>
        <w:rPr>
          <w:rFonts w:hint="eastAsia" w:ascii="微软雅黑" w:hAnsi="微软雅黑" w:eastAsia="微软雅黑" w:cs="微软雅黑"/>
          <w:i w:val="0"/>
          <w:iCs w:val="0"/>
          <w:caps w:val="0"/>
          <w:color w:val="666666"/>
          <w:spacing w:val="0"/>
          <w:kern w:val="0"/>
          <w:sz w:val="18"/>
          <w:szCs w:val="18"/>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FF0000"/>
          <w:spacing w:val="0"/>
          <w:kern w:val="0"/>
          <w:sz w:val="18"/>
          <w:szCs w:val="18"/>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FF0000"/>
          <w:spacing w:val="0"/>
          <w:kern w:val="0"/>
          <w:sz w:val="18"/>
          <w:szCs w:val="18"/>
          <w:u w:val="none"/>
          <w:bdr w:val="none" w:color="auto" w:sz="0" w:space="0"/>
          <w:shd w:val="clear" w:fill="FFFFFF"/>
          <w:lang w:val="en-US" w:eastAsia="zh-CN" w:bidi="ar"/>
        </w:rPr>
        <w:instrText xml:space="preserve"> HYPERLINK "https://zrzyhghj.anqing.gov.cn/ywgg/tdgycr/zpgcrgg/javascript:void(0)" </w:instrText>
      </w:r>
      <w:r>
        <w:rPr>
          <w:rFonts w:hint="eastAsia" w:ascii="微软雅黑" w:hAnsi="微软雅黑" w:eastAsia="微软雅黑" w:cs="微软雅黑"/>
          <w:i w:val="0"/>
          <w:iCs w:val="0"/>
          <w:caps w:val="0"/>
          <w:color w:val="FF0000"/>
          <w:spacing w:val="0"/>
          <w:kern w:val="0"/>
          <w:sz w:val="18"/>
          <w:szCs w:val="18"/>
          <w:u w:val="none"/>
          <w:bdr w:val="none" w:color="auto" w:sz="0" w:space="0"/>
          <w:shd w:val="clear" w:fill="FFFFFF"/>
          <w:lang w:val="en-US" w:eastAsia="zh-CN" w:bidi="ar"/>
        </w:rPr>
        <w:fldChar w:fldCharType="separate"/>
      </w:r>
      <w:r>
        <w:rPr>
          <w:rStyle w:val="6"/>
          <w:rFonts w:hint="eastAsia" w:ascii="微软雅黑" w:hAnsi="微软雅黑" w:eastAsia="微软雅黑" w:cs="微软雅黑"/>
          <w:i w:val="0"/>
          <w:iCs w:val="0"/>
          <w:caps w:val="0"/>
          <w:color w:val="FF0000"/>
          <w:spacing w:val="0"/>
          <w:sz w:val="18"/>
          <w:szCs w:val="18"/>
          <w:u w:val="none"/>
          <w:bdr w:val="none" w:color="auto" w:sz="0" w:space="0"/>
          <w:shd w:val="clear" w:fill="FFFFFF"/>
        </w:rPr>
        <w:t>我要纠错</w:t>
      </w:r>
      <w:r>
        <w:rPr>
          <w:rFonts w:hint="eastAsia" w:ascii="微软雅黑" w:hAnsi="微软雅黑" w:eastAsia="微软雅黑" w:cs="微软雅黑"/>
          <w:i w:val="0"/>
          <w:iCs w:val="0"/>
          <w:caps w:val="0"/>
          <w:color w:val="FF0000"/>
          <w:spacing w:val="0"/>
          <w:kern w:val="0"/>
          <w:sz w:val="18"/>
          <w:szCs w:val="18"/>
          <w:u w:val="none"/>
          <w:bdr w:val="none" w:color="auto" w:sz="0" w:space="0"/>
          <w:shd w:val="clear" w:fill="FFFFFF"/>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center"/>
        <w:rPr>
          <w:sz w:val="30"/>
          <w:szCs w:val="30"/>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both"/>
      </w:pPr>
      <w:r>
        <w:rPr>
          <w:rFonts w:ascii="CESI仿宋-GB18030" w:hAnsi="CESI仿宋-GB18030" w:eastAsia="CESI仿宋-GB18030" w:cs="CESI仿宋-GB18030"/>
          <w:i w:val="0"/>
          <w:iCs w:val="0"/>
          <w:caps w:val="0"/>
          <w:color w:val="333333"/>
          <w:spacing w:val="0"/>
          <w:sz w:val="32"/>
          <w:szCs w:val="32"/>
          <w:bdr w:val="none" w:color="auto" w:sz="0" w:space="0"/>
          <w:shd w:val="clear" w:fill="FFFFFF"/>
        </w:rPr>
        <w:t>根据《中华人民共和国土地管理法》《中华人民共和国城市房地产管理法》《招标拍卖挂牌出让国有建设用地使用权规定》（原国土资源部</w:t>
      </w: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39号令）等法律、法规的规定，经批准，安庆市自然资源和规划局决定出让庆自然出字〔2022〕006号地块的国有建设用地使用权。现将有关事项公告如下：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一、出让地块的基本情况 </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809"/>
        <w:gridCol w:w="768"/>
        <w:gridCol w:w="1308"/>
        <w:gridCol w:w="372"/>
        <w:gridCol w:w="431"/>
        <w:gridCol w:w="709"/>
        <w:gridCol w:w="702"/>
        <w:gridCol w:w="666"/>
        <w:gridCol w:w="796"/>
        <w:gridCol w:w="765"/>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PrEx>
        <w:trPr>
          <w:trHeight w:val="574" w:hRule="atLeast"/>
          <w:jc w:val="center"/>
        </w:trPr>
        <w:tc>
          <w:tcPr>
            <w:tcW w:w="2571" w:type="dxa"/>
            <w:vMerge w:val="restart"/>
            <w:tcBorders>
              <w:top w:val="outset" w:color="auto" w:sz="8" w:space="0"/>
              <w:left w:val="outset" w:color="auto" w:sz="8" w:space="0"/>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地块编号</w:t>
            </w:r>
          </w:p>
        </w:tc>
        <w:tc>
          <w:tcPr>
            <w:tcW w:w="785" w:type="dxa"/>
            <w:vMerge w:val="restart"/>
            <w:tcBorders>
              <w:top w:val="outset" w:color="auto" w:sz="8" w:space="0"/>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土 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位 置</w:t>
            </w:r>
          </w:p>
        </w:tc>
        <w:tc>
          <w:tcPr>
            <w:tcW w:w="1500" w:type="dxa"/>
            <w:vMerge w:val="restart"/>
            <w:tcBorders>
              <w:top w:val="outset" w:color="auto" w:sz="8" w:space="0"/>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土地面积</w:t>
            </w:r>
          </w:p>
        </w:tc>
        <w:tc>
          <w:tcPr>
            <w:tcW w:w="401" w:type="dxa"/>
            <w:vMerge w:val="restart"/>
            <w:tcBorders>
              <w:top w:val="outset" w:color="auto" w:sz="8" w:space="0"/>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土地用途</w:t>
            </w:r>
          </w:p>
        </w:tc>
        <w:tc>
          <w:tcPr>
            <w:tcW w:w="2487" w:type="dxa"/>
            <w:gridSpan w:val="3"/>
            <w:tcBorders>
              <w:top w:val="outset" w:color="auto" w:sz="8" w:space="0"/>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规划指标要求</w:t>
            </w:r>
          </w:p>
        </w:tc>
        <w:tc>
          <w:tcPr>
            <w:tcW w:w="672" w:type="dxa"/>
            <w:vMerge w:val="restart"/>
            <w:tcBorders>
              <w:top w:val="outset" w:color="auto" w:sz="8" w:space="0"/>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出让年限(年)</w:t>
            </w:r>
          </w:p>
        </w:tc>
        <w:tc>
          <w:tcPr>
            <w:tcW w:w="922" w:type="dxa"/>
            <w:vMerge w:val="restart"/>
            <w:tcBorders>
              <w:top w:val="outset" w:color="auto" w:sz="8" w:space="0"/>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起叫价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（万元）</w:t>
            </w:r>
          </w:p>
        </w:tc>
        <w:tc>
          <w:tcPr>
            <w:tcW w:w="862" w:type="dxa"/>
            <w:vMerge w:val="restart"/>
            <w:tcBorders>
              <w:top w:val="outset" w:color="auto" w:sz="8" w:space="0"/>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竞买保证金（万元）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586" w:hRule="atLeast"/>
          <w:jc w:val="center"/>
        </w:trPr>
        <w:tc>
          <w:tcPr>
            <w:tcW w:w="2571" w:type="dxa"/>
            <w:vMerge w:val="continue"/>
            <w:tcBorders>
              <w:top w:val="outset" w:color="auto" w:sz="8" w:space="0"/>
              <w:left w:val="outset" w:color="auto" w:sz="8" w:space="0"/>
              <w:bottom w:val="outset" w:color="auto" w:sz="8" w:space="0"/>
              <w:right w:val="outset" w:color="auto" w:sz="8" w:space="0"/>
            </w:tcBorders>
            <w:shd w:val="clear" w:color="auto" w:fill="FFFFFF"/>
            <w:vAlign w:val="center"/>
          </w:tcPr>
          <w:p>
            <w:pPr>
              <w:rPr>
                <w:rFonts w:hint="eastAsia" w:ascii="宋体"/>
                <w:sz w:val="24"/>
                <w:szCs w:val="24"/>
              </w:rPr>
            </w:pPr>
          </w:p>
        </w:tc>
        <w:tc>
          <w:tcPr>
            <w:tcW w:w="785" w:type="dxa"/>
            <w:vMerge w:val="continue"/>
            <w:tcBorders>
              <w:top w:val="outset" w:color="auto" w:sz="8" w:space="0"/>
              <w:left w:val="nil"/>
              <w:bottom w:val="outset" w:color="auto" w:sz="8" w:space="0"/>
              <w:right w:val="outset" w:color="auto" w:sz="8" w:space="0"/>
            </w:tcBorders>
            <w:shd w:val="clear" w:color="auto" w:fill="FFFFFF"/>
            <w:vAlign w:val="center"/>
          </w:tcPr>
          <w:p>
            <w:pPr>
              <w:rPr>
                <w:rFonts w:hint="eastAsia" w:ascii="宋体"/>
                <w:sz w:val="24"/>
                <w:szCs w:val="24"/>
              </w:rPr>
            </w:pPr>
          </w:p>
        </w:tc>
        <w:tc>
          <w:tcPr>
            <w:tcW w:w="1500" w:type="dxa"/>
            <w:vMerge w:val="continue"/>
            <w:tcBorders>
              <w:top w:val="outset" w:color="auto" w:sz="8" w:space="0"/>
              <w:left w:val="nil"/>
              <w:bottom w:val="outset" w:color="auto" w:sz="8" w:space="0"/>
              <w:right w:val="outset" w:color="auto" w:sz="8" w:space="0"/>
            </w:tcBorders>
            <w:shd w:val="clear" w:color="auto" w:fill="FFFFFF"/>
            <w:vAlign w:val="center"/>
          </w:tcPr>
          <w:p>
            <w:pPr>
              <w:rPr>
                <w:rFonts w:hint="eastAsia" w:ascii="宋体"/>
                <w:sz w:val="24"/>
                <w:szCs w:val="24"/>
              </w:rPr>
            </w:pPr>
          </w:p>
        </w:tc>
        <w:tc>
          <w:tcPr>
            <w:tcW w:w="401" w:type="dxa"/>
            <w:vMerge w:val="continue"/>
            <w:tcBorders>
              <w:top w:val="outset" w:color="auto" w:sz="8" w:space="0"/>
              <w:left w:val="nil"/>
              <w:bottom w:val="outset" w:color="auto" w:sz="8" w:space="0"/>
              <w:right w:val="outset" w:color="auto" w:sz="8" w:space="0"/>
            </w:tcBorders>
            <w:shd w:val="clear" w:color="auto" w:fill="FFFFFF"/>
            <w:vAlign w:val="center"/>
          </w:tcPr>
          <w:p>
            <w:pPr>
              <w:rPr>
                <w:rFonts w:hint="eastAsia" w:ascii="宋体"/>
                <w:sz w:val="24"/>
                <w:szCs w:val="24"/>
              </w:rPr>
            </w:pPr>
          </w:p>
        </w:tc>
        <w:tc>
          <w:tcPr>
            <w:tcW w:w="477" w:type="dxa"/>
            <w:tcBorders>
              <w:top w:val="nil"/>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容积率</w:t>
            </w:r>
          </w:p>
        </w:tc>
        <w:tc>
          <w:tcPr>
            <w:tcW w:w="1011" w:type="dxa"/>
            <w:tcBorders>
              <w:top w:val="nil"/>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建筑密度</w:t>
            </w:r>
          </w:p>
        </w:tc>
        <w:tc>
          <w:tcPr>
            <w:tcW w:w="999" w:type="dxa"/>
            <w:tcBorders>
              <w:top w:val="nil"/>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default" w:ascii="CESI仿宋-GB18030" w:hAnsi="CESI仿宋-GB18030" w:eastAsia="CESI仿宋-GB18030" w:cs="CESI仿宋-GB18030"/>
                <w:caps w:val="0"/>
                <w:color w:val="333333"/>
                <w:spacing w:val="0"/>
                <w:sz w:val="32"/>
                <w:szCs w:val="32"/>
                <w:bdr w:val="none" w:color="auto" w:sz="0" w:space="0"/>
              </w:rPr>
              <w:t>绿地率</w:t>
            </w:r>
          </w:p>
        </w:tc>
        <w:tc>
          <w:tcPr>
            <w:tcW w:w="672" w:type="dxa"/>
            <w:vMerge w:val="continue"/>
            <w:tcBorders>
              <w:top w:val="outset" w:color="auto" w:sz="8" w:space="0"/>
              <w:left w:val="nil"/>
              <w:bottom w:val="outset" w:color="auto" w:sz="8" w:space="0"/>
              <w:right w:val="outset" w:color="auto" w:sz="8" w:space="0"/>
            </w:tcBorders>
            <w:shd w:val="clear" w:color="auto" w:fill="FFFFFF"/>
            <w:vAlign w:val="center"/>
          </w:tcPr>
          <w:p>
            <w:pPr>
              <w:rPr>
                <w:rFonts w:hint="eastAsia" w:ascii="宋体"/>
                <w:sz w:val="24"/>
                <w:szCs w:val="24"/>
              </w:rPr>
            </w:pPr>
          </w:p>
        </w:tc>
        <w:tc>
          <w:tcPr>
            <w:tcW w:w="922" w:type="dxa"/>
            <w:vMerge w:val="continue"/>
            <w:tcBorders>
              <w:top w:val="outset" w:color="auto" w:sz="8" w:space="0"/>
              <w:left w:val="nil"/>
              <w:bottom w:val="outset" w:color="auto" w:sz="8" w:space="0"/>
              <w:right w:val="outset" w:color="auto" w:sz="8" w:space="0"/>
            </w:tcBorders>
            <w:shd w:val="clear" w:color="auto" w:fill="FFFFFF"/>
            <w:vAlign w:val="center"/>
          </w:tcPr>
          <w:p>
            <w:pPr>
              <w:rPr>
                <w:rFonts w:hint="eastAsia" w:ascii="宋体"/>
                <w:sz w:val="24"/>
                <w:szCs w:val="24"/>
              </w:rPr>
            </w:pPr>
          </w:p>
        </w:tc>
        <w:tc>
          <w:tcPr>
            <w:tcW w:w="862" w:type="dxa"/>
            <w:vMerge w:val="continue"/>
            <w:tcBorders>
              <w:top w:val="outset" w:color="auto" w:sz="8" w:space="0"/>
              <w:left w:val="nil"/>
              <w:bottom w:val="outset" w:color="auto" w:sz="8" w:space="0"/>
              <w:right w:val="outset" w:color="auto" w:sz="8" w:space="0"/>
            </w:tcBorders>
            <w:shd w:val="clear" w:color="auto" w:fill="FFFFFF"/>
            <w:vAlign w:val="center"/>
          </w:tcPr>
          <w:p>
            <w:pPr>
              <w:rPr>
                <w:rFonts w:hint="eastAsia" w:ascii="宋体"/>
                <w:sz w:val="24"/>
                <w:szCs w:val="24"/>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1695" w:hRule="atLeast"/>
          <w:jc w:val="center"/>
        </w:trPr>
        <w:tc>
          <w:tcPr>
            <w:tcW w:w="2571" w:type="dxa"/>
            <w:tcBorders>
              <w:top w:val="nil"/>
              <w:left w:val="outset" w:color="auto" w:sz="8" w:space="0"/>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ascii="楷体" w:hAnsi="楷体" w:eastAsia="楷体" w:cs="楷体"/>
                <w:caps w:val="0"/>
                <w:color w:val="000000"/>
                <w:spacing w:val="0"/>
                <w:sz w:val="24"/>
                <w:szCs w:val="24"/>
                <w:bdr w:val="none" w:color="auto" w:sz="0" w:space="0"/>
              </w:rPr>
              <w:t>庆自然出字〔</w:t>
            </w:r>
            <w:r>
              <w:rPr>
                <w:rFonts w:hint="eastAsia" w:ascii="楷体" w:hAnsi="楷体" w:eastAsia="楷体" w:cs="楷体"/>
                <w:caps w:val="0"/>
                <w:color w:val="000000"/>
                <w:spacing w:val="0"/>
                <w:sz w:val="24"/>
                <w:szCs w:val="24"/>
                <w:bdr w:val="none" w:color="auto" w:sz="0" w:space="0"/>
              </w:rPr>
              <w:t>2022〕</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000000"/>
                <w:spacing w:val="0"/>
                <w:sz w:val="24"/>
                <w:szCs w:val="24"/>
                <w:bdr w:val="none" w:color="auto" w:sz="0" w:space="0"/>
              </w:rPr>
              <w:t> 006号</w:t>
            </w:r>
          </w:p>
        </w:tc>
        <w:tc>
          <w:tcPr>
            <w:tcW w:w="785" w:type="dxa"/>
            <w:tcBorders>
              <w:top w:val="nil"/>
              <w:left w:val="nil"/>
              <w:bottom w:val="outset" w:color="auto" w:sz="8" w:space="0"/>
              <w:right w:val="outset" w:color="auto" w:sz="8" w:space="0"/>
            </w:tcBorders>
            <w:shd w:val="clear" w:color="auto" w:fill="FFFFFF"/>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both"/>
            </w:pPr>
            <w:r>
              <w:rPr>
                <w:rFonts w:hint="eastAsia" w:ascii="楷体" w:hAnsi="楷体" w:eastAsia="楷体" w:cs="楷体"/>
                <w:caps w:val="0"/>
                <w:color w:val="333333"/>
                <w:spacing w:val="0"/>
                <w:sz w:val="24"/>
                <w:szCs w:val="24"/>
                <w:bdr w:val="none" w:color="auto" w:sz="0" w:space="0"/>
              </w:rPr>
              <w:t>位于宜秀区，振风大道以北、龙眠山路以东</w:t>
            </w:r>
          </w:p>
        </w:tc>
        <w:tc>
          <w:tcPr>
            <w:tcW w:w="1500" w:type="dxa"/>
            <w:tcBorders>
              <w:top w:val="nil"/>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116905.05㎡（合175.36亩）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 </w:t>
            </w:r>
          </w:p>
        </w:tc>
        <w:tc>
          <w:tcPr>
            <w:tcW w:w="401" w:type="dxa"/>
            <w:tcBorders>
              <w:top w:val="nil"/>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住宅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用地</w:t>
            </w:r>
          </w:p>
        </w:tc>
        <w:tc>
          <w:tcPr>
            <w:tcW w:w="477" w:type="dxa"/>
            <w:tcBorders>
              <w:top w:val="nil"/>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＜2.2</w:t>
            </w:r>
          </w:p>
        </w:tc>
        <w:tc>
          <w:tcPr>
            <w:tcW w:w="1011" w:type="dxa"/>
            <w:tcBorders>
              <w:top w:val="nil"/>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≤28%</w:t>
            </w:r>
          </w:p>
        </w:tc>
        <w:tc>
          <w:tcPr>
            <w:tcW w:w="999" w:type="dxa"/>
            <w:tcBorders>
              <w:top w:val="nil"/>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≥30%</w:t>
            </w:r>
          </w:p>
        </w:tc>
        <w:tc>
          <w:tcPr>
            <w:tcW w:w="672" w:type="dxa"/>
            <w:tcBorders>
              <w:top w:val="nil"/>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70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 </w:t>
            </w:r>
          </w:p>
        </w:tc>
        <w:tc>
          <w:tcPr>
            <w:tcW w:w="922" w:type="dxa"/>
            <w:tcBorders>
              <w:top w:val="nil"/>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87700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 </w:t>
            </w:r>
          </w:p>
        </w:tc>
        <w:tc>
          <w:tcPr>
            <w:tcW w:w="862" w:type="dxa"/>
            <w:tcBorders>
              <w:top w:val="nil"/>
              <w:left w:val="nil"/>
              <w:bottom w:val="outset" w:color="auto" w:sz="8" w:space="0"/>
              <w:right w:val="outset" w:color="auto" w:sz="8" w:space="0"/>
            </w:tcBorders>
            <w:shd w:val="clear" w:color="auto" w:fill="FFFFFF"/>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caps w:val="0"/>
                <w:color w:val="333333"/>
                <w:spacing w:val="0"/>
                <w:sz w:val="24"/>
                <w:szCs w:val="24"/>
                <w:bdr w:val="none" w:color="auto" w:sz="0" w:space="0"/>
              </w:rPr>
              <w:t>17540</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jc w:val="center"/>
      </w:pPr>
      <w:r>
        <w:rPr>
          <w:rFonts w:hint="eastAsia" w:ascii="楷体" w:hAnsi="楷体" w:eastAsia="楷体" w:cs="楷体"/>
          <w:i w:val="0"/>
          <w:iCs w:val="0"/>
          <w:caps w:val="0"/>
          <w:color w:val="333333"/>
          <w:spacing w:val="0"/>
          <w:sz w:val="24"/>
          <w:szCs w:val="24"/>
          <w:bdr w:val="none" w:color="auto" w:sz="0" w:space="0"/>
          <w:shd w:val="clear" w:fill="FFFFFF"/>
        </w:rPr>
        <w:t>备注：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1.庆自然出字〔2022〕006号地块规划用地性质为住宅用地，配套商业建筑面积占地块总建筑面积比例不得低于1%。</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2.出让地块具体规划指标以安庆市自然资源和规划局出具的规划条件为准，土地准确面积以正式出具的测绘成果为准。出让地块具体情况详见出让文件（起叫价不含契税、印花税）。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二、竞买人资格  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1.中华人民共和国境内外的法人和其他组织，除法律法规另有规定外，均可申请参加。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2.禁止目前在安庆市城区范围内尚拖欠土地出让金的企业竞买。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三、出让方式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拍卖〔至拍卖报名截止，如有3家以上（含3家）报名，按期拍卖；如有2家报名，转为现场竞价；如不足2家报名，则转为挂牌〕。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四、竞买约定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1.提交竞买申请前，竞买申请人应对出让宗地进行实地踏勘，全面了解出让文件和宗地现状；对出让文件和宗地现状有疑问的，应在竞买申请前向安庆市自然资源和规划局书面提出。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2.竞买申请人一旦提出竞买申请，即视为对出让文件内容清楚并自愿受其约束，对宗地现状无异议。竞买申请人竞得出让宗地后，不得以该宗地的出让文件和现状异议对成交结果及所签署的相关文件提出抗辩。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五、竞买登记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1.本次出让的详细资料和具体要求，见出让文件。竞买人可于2022年12月30日至2023年2月6日到安庆市自然资源和规划局（天柱山西路201号）领取出让文件。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2.竞买人申请办理竞买登记前须缴纳竞买保证金，竞买保证金缴纳到安庆市自然资源和规划局指定账户，申请人凭银行进账单到安庆市自然资源和规划局换取竞买保证金收据，再凭竞买保证金收据到安庆市自然资源和规划局主楼1002室申请竞买，办理竞买登记手续，逾期不再受理(竞买保证金缴纳时间以实际到账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采取拍卖（或现场竞价）方式出让地块，申请人应于2023年1月16日11:30前到安庆市自然资源和规划局提交书面申请，竞买保证金缴纳的截止时间为2023年1月16日11:30前，经审查申请人具备申请条件的，我局将在2023年1月16日17：30前确认其竞买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采取挂牌方式出让地块，申请人应于</w:t>
      </w:r>
      <w:r>
        <w:rPr>
          <w:rFonts w:ascii="仿宋_GB2312" w:hAnsi="微软雅黑" w:eastAsia="仿宋_GB2312" w:cs="仿宋_GB2312"/>
          <w:i w:val="0"/>
          <w:iCs w:val="0"/>
          <w:caps w:val="0"/>
          <w:color w:val="333333"/>
          <w:spacing w:val="0"/>
          <w:sz w:val="32"/>
          <w:szCs w:val="32"/>
          <w:bdr w:val="none" w:color="auto" w:sz="0" w:space="0"/>
          <w:shd w:val="clear" w:fill="FFFFFF"/>
        </w:rPr>
        <w:t>2023年</w:t>
      </w:r>
      <w:r>
        <w:rPr>
          <w:rFonts w:hint="default" w:ascii="仿宋_GB2312" w:hAnsi="微软雅黑" w:eastAsia="仿宋_GB2312" w:cs="仿宋_GB2312"/>
          <w:i w:val="0"/>
          <w:iCs w:val="0"/>
          <w:caps w:val="0"/>
          <w:color w:val="333333"/>
          <w:spacing w:val="0"/>
          <w:sz w:val="32"/>
          <w:szCs w:val="32"/>
          <w:bdr w:val="none" w:color="auto" w:sz="0" w:space="0"/>
          <w:shd w:val="clear" w:fill="FFFFFF"/>
        </w:rPr>
        <w:t>2月6日</w:t>
      </w: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11:30前到安庆市自然资源和规划局提交书面申请，竞买保证金缴纳的截止时间为</w:t>
      </w:r>
      <w:r>
        <w:rPr>
          <w:rFonts w:hint="default" w:ascii="仿宋_GB2312" w:hAnsi="微软雅黑" w:eastAsia="仿宋_GB2312" w:cs="仿宋_GB2312"/>
          <w:i w:val="0"/>
          <w:iCs w:val="0"/>
          <w:caps w:val="0"/>
          <w:color w:val="333333"/>
          <w:spacing w:val="0"/>
          <w:sz w:val="32"/>
          <w:szCs w:val="32"/>
          <w:bdr w:val="none" w:color="auto" w:sz="0" w:space="0"/>
          <w:shd w:val="clear" w:fill="FFFFFF"/>
        </w:rPr>
        <w:t>2023年2月6日</w:t>
      </w: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11:30前。经审查，申请人具备申请条件的，我局将在</w:t>
      </w:r>
      <w:r>
        <w:rPr>
          <w:rFonts w:hint="default" w:ascii="仿宋_GB2312" w:hAnsi="微软雅黑" w:eastAsia="仿宋_GB2312" w:cs="仿宋_GB2312"/>
          <w:i w:val="0"/>
          <w:iCs w:val="0"/>
          <w:caps w:val="0"/>
          <w:color w:val="333333"/>
          <w:spacing w:val="0"/>
          <w:sz w:val="32"/>
          <w:szCs w:val="32"/>
          <w:bdr w:val="none" w:color="auto" w:sz="0" w:space="0"/>
          <w:shd w:val="clear" w:fill="FFFFFF"/>
        </w:rPr>
        <w:t>2023年2月6日</w:t>
      </w: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17：30前确认其竞买资格。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六、时间和地点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1.拍卖（或现场竞价）日期：2023年1月18日10:30。具体时点由拍卖主持人根据现场情况调整。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2.挂牌日期：</w:t>
      </w:r>
      <w:r>
        <w:rPr>
          <w:rFonts w:hint="default" w:ascii="仿宋_GB2312" w:hAnsi="微软雅黑" w:eastAsia="仿宋_GB2312" w:cs="仿宋_GB2312"/>
          <w:i w:val="0"/>
          <w:iCs w:val="0"/>
          <w:caps w:val="0"/>
          <w:color w:val="333333"/>
          <w:spacing w:val="0"/>
          <w:sz w:val="32"/>
          <w:szCs w:val="32"/>
          <w:bdr w:val="none" w:color="auto" w:sz="0" w:space="0"/>
          <w:shd w:val="clear" w:fill="FFFFFF"/>
        </w:rPr>
        <w:t> 2023年1月16日至2023年2月8日</w:t>
      </w: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，挂牌时间为上午8:30-11：30、下午3：00-5：00。挂牌截止时间为</w:t>
      </w:r>
      <w:r>
        <w:rPr>
          <w:rFonts w:hint="default" w:ascii="仿宋_GB2312" w:hAnsi="微软雅黑" w:eastAsia="仿宋_GB2312" w:cs="仿宋_GB2312"/>
          <w:i w:val="0"/>
          <w:iCs w:val="0"/>
          <w:caps w:val="0"/>
          <w:color w:val="333333"/>
          <w:spacing w:val="0"/>
          <w:sz w:val="32"/>
          <w:szCs w:val="32"/>
          <w:bdr w:val="none" w:color="auto" w:sz="0" w:space="0"/>
          <w:shd w:val="clear" w:fill="FFFFFF"/>
        </w:rPr>
        <w:t>2023年2月8日</w:t>
      </w: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10：00止。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3.出让活动地点：安庆市公共资源交易中心（龙山路215号）。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七、特别说明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1.竞得人在该项目预售后建立共管账户，共管账户资金优先支付在建工程购买费用人民币3.3 亿元（具体金额以最终审计审核结果为准）至安庆市土地收购储备中心指定账户（账户名称：安庆市土地收购储备中心，开户行：徽商银行安庆寿庆支行，账号：169,070,102,100,009,9188），并书面承诺同意该笔资金在竞得土地后作为地块内现状在建工程的购买费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2.竞得人须按规划条件无条件完成地块开发建设(包含已有在建工程的剩余工程量)。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3.竞得人须配建12班幼儿园一处，用地面积不小于5400平方米，建筑面积不小于3749平方米，要求独立占地；中心菜市场一处，用地面积不小于4000平方米，建筑面积不小于3500平方米，要求独立占地；社区服务用房建筑面积不小于1000平方米。以上配建竣工验收合格后，不动产权无偿移交给宜秀区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4.竞得人须按批准的规划建筑设计方案，代建DQ01-1716地块内18班小学一处，建筑面积不小于6885平方米，竣工验收后无偿移交宜秀区人民政府。涉及用地、规划、建设、验收等所有费用由竞得人承担，学校交付标准按照市政府有关规定执行。由宜秀区人民政府负责办理学校划拨供地手续和工程建设监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5.竞得人代建的学校须与本次出让地块同步建设，在出让合同约定竣工时间内完成竣工验收，不能在出让合同约定时间内完成代建工程竣工验收的，视为违约，竞得人须按照批准的初步设计总造价的10%向出让人支付违约金，并继续履行代建义务；竞得人拒绝继续履行的，须承担学校的实际建设费用。由市自然资源和规划局会同市住建局、教体局、宜秀区人民政府监督落实。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6.竞得人须在土地成交后10个工作日内与出让人签订《国有建设用地使用权出让合同》，逾期未签订的，视为竞得人放弃竞得资格，竞买保证金不予返还。竞得人可在签订出让合同后1个月内付清全部土地成交价款，也可分期付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如分期付款，竞得人须在签订土地出让合同1个月内付至土地出让金总额的50%（含竞买保证金），6个月内付清余款。竞得人提前申请商品房预售的，须在批准预售前付清全部土地成交价款。竞得人在支付第二期及以后各期土地出让金时，应按照支付第一期土地出让金之日中国人民银行公布的一年期贷款利率，向出让人支付利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7.竞得人须在签订出让合同后1个月内开工建设，并在开工建设后2年内竣工（主体结构封顶）。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8.自签订出让合同之日起10日内交地，由市土地收购储备中心联合宜秀区政府、市自然资源和规划局、市住建局、市人防办等向竞得人办理交付手续（地上建筑物及附属物现状交付），签订交地确认书。市土地收购储备中心负责向竞得人移交地上建（构）筑物和工程相关档案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9.竞得人在地块内开发建设的商品房须按市政府有关规定参与房票安置。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64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10.竞买申请人除按要求提供的材料外，还必须提交竞买保证金不属于银行贷款、股东借款、转贷和募集资金的承诺书及商业金融机构的资信证明。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八、其他事项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1.本次出让不接受电话、传真、邮寄及口头竞买申请。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2.本次国有建设用地使用权出让采用增价方式，并设有保留底价，没有达到保留底价的，不予成交。达到或超过保留底价的，按照价高者得的原则确定竞得人。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3.竞买人在参加竞买活动时，应至少有一次有效报价，否则，竞买保证金不予退回。初次报价应大于或等于起叫价。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4.本公告未尽事宜详见出让文件，以出让文件载明为准。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九、联系方式及银行账户  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1.联系方式: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①安庆市自然资源和规划局（竞买咨询）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联系人：李亚丽 13685566755；陈先美 13956536818</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②安庆市土地收购储备中心（地块咨询）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联系人：詹宏斌  18956962125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2.竞买保证金账户 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账户名称：安庆市国土空间生态保护修复和整治中心  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开 户 行：徽商银行安庆寿庆支行  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账   号：225006007701000002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both"/>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40" w:lineRule="atLeast"/>
        <w:ind w:left="0" w:right="0" w:firstLine="420"/>
        <w:jc w:val="right"/>
      </w:pPr>
      <w:r>
        <w:rPr>
          <w:rFonts w:hint="default" w:ascii="CESI仿宋-GB18030" w:hAnsi="CESI仿宋-GB18030" w:eastAsia="CESI仿宋-GB18030" w:cs="CESI仿宋-GB18030"/>
          <w:i w:val="0"/>
          <w:iCs w:val="0"/>
          <w:caps w:val="0"/>
          <w:color w:val="333333"/>
          <w:spacing w:val="0"/>
          <w:sz w:val="32"/>
          <w:szCs w:val="32"/>
          <w:bdr w:val="none" w:color="auto" w:sz="0" w:space="0"/>
          <w:shd w:val="clear" w:fill="FFFFFF"/>
        </w:rPr>
        <w:t>安庆市自然资源和规划局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right"/>
      </w:pPr>
      <w:r>
        <w:rPr>
          <w:rFonts w:hint="default" w:ascii="CESI仿宋-GB18030" w:hAnsi="CESI仿宋-GB18030" w:eastAsia="CESI仿宋-GB18030" w:cs="CESI仿宋-GB18030"/>
          <w:i w:val="0"/>
          <w:iCs w:val="0"/>
          <w:caps w:val="0"/>
          <w:color w:val="333333"/>
          <w:spacing w:val="0"/>
          <w:kern w:val="0"/>
          <w:sz w:val="32"/>
          <w:szCs w:val="32"/>
          <w:bdr w:val="none" w:color="auto" w:sz="0" w:space="0"/>
          <w:shd w:val="clear" w:fill="FFFFFF"/>
          <w:lang w:val="en-US" w:eastAsia="zh-CN" w:bidi="ar"/>
        </w:rPr>
        <w:t>2022年 12月20日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ESI仿宋-GB18030">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D15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2023-02-20T00:48:45Z</dcterms:created>
  <dc:creator>Admin</dc:creator>
  <cp:lastModifiedBy>Admin</cp:lastModifiedBy>
  <dcterms:modified xsi:type="dcterms:W3CDTF">2023-02-20T00:48:55Z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8D3014FA52ED45B48EAA75F6EADBDE0B</vt:lpwstr>
  </property>
</Properties>
</file>