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37BD4">
      <w:pPr>
        <w:pStyle w:val="30"/>
        <w:ind w:left="0" w:leftChars="0" w:firstLine="0" w:firstLineChars="0"/>
        <w:jc w:val="center"/>
        <w:rPr>
          <w:rFonts w:hint="default" w:ascii="宋体" w:hAnsi="宋体" w:cs="宋体"/>
          <w:b w:val="0"/>
          <w:bCs/>
          <w:color w:val="000000"/>
          <w:sz w:val="48"/>
          <w:szCs w:val="48"/>
          <w:lang w:val="en-US" w:eastAsia="zh-CN"/>
        </w:rPr>
      </w:pPr>
      <w:bookmarkStart w:id="0" w:name="_Toc35393797"/>
      <w:bookmarkStart w:id="1" w:name="_Toc28359011"/>
      <w:bookmarkStart w:id="24" w:name="_GoBack"/>
      <w:bookmarkEnd w:id="24"/>
      <w:r>
        <w:rPr>
          <w:rFonts w:hint="eastAsia" w:ascii="宋体" w:hAnsi="宋体" w:cs="宋体"/>
          <w:b w:val="0"/>
          <w:bCs/>
          <w:color w:val="000000"/>
          <w:sz w:val="48"/>
          <w:szCs w:val="48"/>
          <w:lang w:val="en-US" w:eastAsia="zh-CN"/>
        </w:rPr>
        <w:t>集团公司2025年第三季度办公用品采购</w:t>
      </w:r>
    </w:p>
    <w:p w14:paraId="5E399F5C">
      <w:pPr>
        <w:pStyle w:val="30"/>
        <w:ind w:left="0" w:leftChars="0" w:firstLine="0" w:firstLineChars="0"/>
        <w:jc w:val="center"/>
        <w:rPr>
          <w:rFonts w:hint="eastAsia" w:ascii="宋体" w:hAnsi="宋体" w:cs="宋体"/>
          <w:b w:val="0"/>
          <w:bCs/>
          <w:color w:val="000000"/>
          <w:sz w:val="48"/>
          <w:szCs w:val="48"/>
          <w:lang w:val="en-US" w:eastAsia="zh-CN"/>
        </w:rPr>
      </w:pPr>
    </w:p>
    <w:p w14:paraId="6947D9AC">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69BCC247">
      <w:pPr>
        <w:spacing w:line="360" w:lineRule="auto"/>
        <w:ind w:firstLine="3360" w:firstLineChars="1400"/>
        <w:rPr>
          <w:rFonts w:hint="eastAsia" w:ascii="宋体" w:hAnsi="宋体" w:eastAsia="宋体" w:cs="宋体"/>
          <w:b w:val="0"/>
          <w:bCs/>
          <w:color w:val="000000"/>
          <w:sz w:val="24"/>
        </w:rPr>
      </w:pPr>
    </w:p>
    <w:p w14:paraId="4B4572F4">
      <w:pPr>
        <w:pStyle w:val="6"/>
        <w:rPr>
          <w:rFonts w:hint="eastAsia" w:ascii="宋体" w:hAnsi="宋体" w:eastAsia="宋体" w:cs="宋体"/>
          <w:b w:val="0"/>
          <w:bCs/>
          <w:color w:val="000000"/>
          <w:sz w:val="24"/>
        </w:rPr>
      </w:pPr>
    </w:p>
    <w:p w14:paraId="51B0414F">
      <w:pPr>
        <w:pStyle w:val="6"/>
        <w:rPr>
          <w:rFonts w:hint="eastAsia" w:ascii="宋体" w:hAnsi="宋体" w:eastAsia="宋体" w:cs="宋体"/>
          <w:b w:val="0"/>
          <w:bCs/>
          <w:color w:val="000000"/>
          <w:sz w:val="24"/>
        </w:rPr>
      </w:pPr>
    </w:p>
    <w:p w14:paraId="60F81CB2">
      <w:pPr>
        <w:pStyle w:val="6"/>
        <w:rPr>
          <w:rFonts w:hint="eastAsia" w:ascii="宋体" w:hAnsi="宋体" w:eastAsia="宋体" w:cs="宋体"/>
          <w:b w:val="0"/>
          <w:bCs/>
          <w:color w:val="000000"/>
          <w:sz w:val="24"/>
        </w:rPr>
      </w:pPr>
    </w:p>
    <w:p w14:paraId="36831B27">
      <w:pPr>
        <w:spacing w:line="360" w:lineRule="auto"/>
        <w:jc w:val="center"/>
        <w:rPr>
          <w:rFonts w:hint="default"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AQJK-CG-2025-061</w:t>
      </w:r>
    </w:p>
    <w:p w14:paraId="0F614462">
      <w:pPr>
        <w:spacing w:line="360" w:lineRule="auto"/>
        <w:rPr>
          <w:rFonts w:ascii="宋体" w:hAnsi="宋体" w:eastAsia="宋体" w:cs="宋体"/>
          <w:b w:val="0"/>
          <w:bCs/>
          <w:color w:val="000000"/>
          <w:sz w:val="24"/>
        </w:rPr>
      </w:pPr>
    </w:p>
    <w:p w14:paraId="055D69E6">
      <w:pPr>
        <w:spacing w:line="360" w:lineRule="auto"/>
        <w:rPr>
          <w:rFonts w:ascii="宋体" w:hAnsi="宋体" w:eastAsia="宋体" w:cs="宋体"/>
          <w:b w:val="0"/>
          <w:bCs/>
          <w:color w:val="000000"/>
          <w:sz w:val="24"/>
        </w:rPr>
      </w:pPr>
    </w:p>
    <w:p w14:paraId="506A1248">
      <w:pPr>
        <w:spacing w:line="360" w:lineRule="auto"/>
        <w:rPr>
          <w:rFonts w:ascii="宋体" w:hAnsi="宋体" w:eastAsia="宋体" w:cs="宋体"/>
          <w:b w:val="0"/>
          <w:bCs/>
          <w:color w:val="000000"/>
          <w:sz w:val="24"/>
        </w:rPr>
      </w:pPr>
    </w:p>
    <w:p w14:paraId="4B5DDEE0">
      <w:pPr>
        <w:spacing w:line="360" w:lineRule="auto"/>
        <w:rPr>
          <w:rFonts w:ascii="宋体" w:hAnsi="宋体" w:eastAsia="宋体" w:cs="宋体"/>
          <w:b w:val="0"/>
          <w:bCs/>
          <w:color w:val="000000"/>
          <w:sz w:val="24"/>
        </w:rPr>
      </w:pPr>
    </w:p>
    <w:p w14:paraId="22B8CA7E">
      <w:pPr>
        <w:spacing w:line="360" w:lineRule="auto"/>
        <w:ind w:firstLine="594" w:firstLineChars="198"/>
        <w:jc w:val="both"/>
        <w:rPr>
          <w:rFonts w:hint="default" w:ascii="宋体" w:hAnsi="宋体" w:eastAsia="宋体" w:cs="宋体"/>
          <w:b w:val="0"/>
          <w:bCs/>
          <w:color w:val="000000"/>
          <w:szCs w:val="21"/>
          <w:lang w:val="en-US"/>
        </w:rPr>
      </w:pPr>
      <w:r>
        <w:rPr>
          <w:rFonts w:hint="eastAsia" w:ascii="宋体" w:hAnsi="宋体" w:eastAsia="宋体" w:cs="宋体"/>
          <w:b w:val="0"/>
          <w:bCs/>
          <w:color w:val="000000"/>
          <w:sz w:val="30"/>
          <w:szCs w:val="30"/>
        </w:rPr>
        <w:t>采购人：</w:t>
      </w:r>
      <w:r>
        <w:rPr>
          <w:rFonts w:hint="eastAsia" w:ascii="宋体" w:hAnsi="宋体" w:cs="宋体"/>
          <w:b w:val="0"/>
          <w:bCs/>
          <w:color w:val="000000"/>
          <w:sz w:val="30"/>
          <w:szCs w:val="30"/>
          <w:u w:val="single"/>
          <w:lang w:val="en-US" w:eastAsia="zh-CN"/>
        </w:rPr>
        <w:t xml:space="preserve">           安庆市交通控股集团有限公司办公室             </w:t>
      </w:r>
    </w:p>
    <w:p w14:paraId="0F74CA16">
      <w:pPr>
        <w:spacing w:line="360" w:lineRule="auto"/>
        <w:rPr>
          <w:rFonts w:ascii="宋体" w:hAnsi="宋体" w:eastAsia="宋体" w:cs="宋体"/>
          <w:b w:val="0"/>
          <w:bCs/>
          <w:color w:val="000000"/>
          <w:sz w:val="24"/>
        </w:rPr>
      </w:pPr>
    </w:p>
    <w:p w14:paraId="54D99397">
      <w:pPr>
        <w:spacing w:line="360" w:lineRule="auto"/>
        <w:rPr>
          <w:rFonts w:ascii="宋体" w:hAnsi="宋体" w:eastAsia="宋体" w:cs="宋体"/>
          <w:b w:val="0"/>
          <w:bCs/>
          <w:color w:val="000000"/>
          <w:sz w:val="24"/>
        </w:rPr>
      </w:pPr>
    </w:p>
    <w:p w14:paraId="35EB6784">
      <w:pPr>
        <w:widowControl w:val="0"/>
        <w:snapToGrid w:val="0"/>
        <w:jc w:val="left"/>
        <w:rPr>
          <w:rFonts w:ascii="宋体" w:hAnsi="宋体" w:eastAsia="宋体" w:cs="宋体"/>
          <w:b w:val="0"/>
          <w:bCs/>
          <w:color w:val="000000"/>
          <w:kern w:val="2"/>
          <w:sz w:val="24"/>
          <w:szCs w:val="18"/>
          <w:lang w:val="en-US" w:eastAsia="zh-CN" w:bidi="ar-SA"/>
        </w:rPr>
      </w:pPr>
    </w:p>
    <w:p w14:paraId="0DAAAB72">
      <w:pPr>
        <w:widowControl w:val="0"/>
        <w:snapToGrid w:val="0"/>
        <w:jc w:val="left"/>
        <w:rPr>
          <w:rFonts w:ascii="宋体" w:hAnsi="宋体" w:eastAsia="宋体" w:cs="宋体"/>
          <w:b w:val="0"/>
          <w:bCs/>
          <w:color w:val="000000"/>
          <w:kern w:val="2"/>
          <w:sz w:val="24"/>
          <w:szCs w:val="18"/>
          <w:lang w:val="en-US" w:eastAsia="zh-CN" w:bidi="ar-SA"/>
        </w:rPr>
      </w:pPr>
    </w:p>
    <w:p w14:paraId="21AC06E4">
      <w:pPr>
        <w:spacing w:line="360" w:lineRule="auto"/>
        <w:rPr>
          <w:rFonts w:ascii="宋体" w:hAnsi="宋体" w:eastAsia="宋体" w:cs="宋体"/>
          <w:b w:val="0"/>
          <w:bCs/>
          <w:color w:val="000000"/>
          <w:sz w:val="24"/>
        </w:rPr>
      </w:pPr>
    </w:p>
    <w:p w14:paraId="302B2A85">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eastAsia="zh-CN"/>
        </w:rPr>
        <w:t>安庆市交通控股集团有限公司集采中心</w:t>
      </w:r>
      <w:r>
        <w:rPr>
          <w:rFonts w:hint="eastAsia" w:ascii="宋体" w:hAnsi="宋体" w:eastAsia="宋体" w:cs="宋体"/>
          <w:b w:val="0"/>
          <w:bCs/>
          <w:color w:val="000000"/>
          <w:sz w:val="30"/>
          <w:szCs w:val="30"/>
          <w:u w:val="single"/>
        </w:rPr>
        <w:t xml:space="preserve">  </w:t>
      </w:r>
      <w:r>
        <w:rPr>
          <w:rFonts w:hint="eastAsia" w:ascii="宋体" w:hAnsi="宋体" w:eastAsia="宋体" w:cs="宋体"/>
          <w:b w:val="0"/>
          <w:bCs/>
          <w:color w:val="000000"/>
          <w:spacing w:val="20"/>
          <w:sz w:val="30"/>
          <w:szCs w:val="30"/>
          <w:u w:val="single"/>
        </w:rPr>
        <w:t xml:space="preserve"> </w:t>
      </w:r>
      <w:r>
        <w:rPr>
          <w:rFonts w:hint="eastAsia" w:ascii="宋体" w:hAnsi="宋体" w:cs="宋体"/>
          <w:b w:val="0"/>
          <w:bCs/>
          <w:color w:val="000000"/>
          <w:spacing w:val="20"/>
          <w:sz w:val="30"/>
          <w:szCs w:val="30"/>
          <w:u w:val="single"/>
          <w:lang w:val="en-US" w:eastAsia="zh-CN"/>
        </w:rPr>
        <w:t xml:space="preserve">              </w:t>
      </w:r>
      <w:r>
        <w:rPr>
          <w:rFonts w:hint="eastAsia" w:ascii="宋体" w:hAnsi="宋体" w:eastAsia="宋体" w:cs="宋体"/>
          <w:b w:val="0"/>
          <w:bCs/>
          <w:color w:val="000000"/>
          <w:spacing w:val="20"/>
          <w:sz w:val="30"/>
          <w:szCs w:val="30"/>
          <w:u w:val="single"/>
        </w:rPr>
        <w:t xml:space="preserve"> </w:t>
      </w:r>
    </w:p>
    <w:p w14:paraId="584D7038">
      <w:pPr>
        <w:spacing w:line="360" w:lineRule="auto"/>
        <w:rPr>
          <w:rFonts w:ascii="宋体" w:hAnsi="宋体" w:eastAsia="宋体" w:cs="宋体"/>
          <w:b w:val="0"/>
          <w:bCs/>
          <w:color w:val="000000"/>
          <w:sz w:val="24"/>
          <w:u w:val="single"/>
        </w:rPr>
      </w:pPr>
    </w:p>
    <w:p w14:paraId="3362E235">
      <w:pPr>
        <w:spacing w:line="360" w:lineRule="auto"/>
        <w:rPr>
          <w:rFonts w:ascii="宋体" w:hAnsi="宋体" w:eastAsia="宋体" w:cs="宋体"/>
          <w:b w:val="0"/>
          <w:bCs/>
          <w:color w:val="000000"/>
          <w:sz w:val="24"/>
        </w:rPr>
      </w:pPr>
    </w:p>
    <w:p w14:paraId="1BD0C35A">
      <w:pPr>
        <w:spacing w:line="360" w:lineRule="auto"/>
        <w:rPr>
          <w:rFonts w:ascii="宋体" w:hAnsi="宋体" w:eastAsia="宋体" w:cs="宋体"/>
          <w:b w:val="0"/>
          <w:bCs/>
          <w:color w:val="000000"/>
          <w:sz w:val="24"/>
          <w:u w:val="single"/>
        </w:rPr>
      </w:pPr>
    </w:p>
    <w:p w14:paraId="2EBA753D">
      <w:pPr>
        <w:spacing w:line="360" w:lineRule="auto"/>
        <w:rPr>
          <w:rFonts w:ascii="宋体" w:hAnsi="宋体" w:eastAsia="宋体" w:cs="宋体"/>
          <w:b w:val="0"/>
          <w:bCs/>
          <w:color w:val="000000"/>
          <w:sz w:val="24"/>
          <w:u w:val="single"/>
        </w:rPr>
      </w:pPr>
    </w:p>
    <w:p w14:paraId="3AA92C41">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五</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七</w:t>
      </w:r>
      <w:r>
        <w:rPr>
          <w:rFonts w:hint="eastAsia" w:ascii="宋体" w:hAnsi="宋体" w:eastAsia="宋体" w:cs="宋体"/>
          <w:b w:val="0"/>
          <w:bCs/>
          <w:color w:val="000000"/>
          <w:sz w:val="30"/>
          <w:szCs w:val="30"/>
        </w:rPr>
        <w:t>月</w:t>
      </w:r>
    </w:p>
    <w:p w14:paraId="0C4DB5B3">
      <w:pPr>
        <w:rPr>
          <w:b w:val="0"/>
          <w:bCs/>
        </w:rPr>
        <w:sectPr>
          <w:pgSz w:w="11906" w:h="16838"/>
          <w:pgMar w:top="1417" w:right="1418" w:bottom="1276" w:left="1418" w:header="680" w:footer="680" w:gutter="0"/>
          <w:pgBorders>
            <w:top w:val="none" w:sz="0" w:space="0"/>
            <w:left w:val="none" w:sz="0" w:space="0"/>
            <w:bottom w:val="none" w:sz="0" w:space="0"/>
            <w:right w:val="none" w:sz="0" w:space="0"/>
          </w:pgBorders>
          <w:pgNumType w:fmt="decimal" w:start="1"/>
          <w:cols w:space="720" w:num="1"/>
          <w:docGrid w:type="lines" w:linePitch="312" w:charSpace="0"/>
        </w:sectPr>
      </w:pPr>
    </w:p>
    <w:p w14:paraId="37B33302">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val="en-US" w:eastAsia="zh-CN"/>
        </w:rPr>
        <w:t>集团公司2025年第三季度办公用品采购</w:t>
      </w: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56039699">
      <w:pPr>
        <w:pStyle w:val="30"/>
        <w:ind w:left="0" w:leftChars="0"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安庆市交通控股集团有限公司集采中心受安庆市交通控股集团有限公司办公室委托，现对集团公司2025年第三季度办公用品采购以公开询价的方式确定供应商和供货价格，欢迎有意向的供应商参与本次采购活动。</w:t>
      </w:r>
      <w:bookmarkStart w:id="2" w:name="_Toc35393629"/>
      <w:bookmarkStart w:id="3" w:name="_Toc28359089"/>
      <w:bookmarkStart w:id="4" w:name="_Toc35393798"/>
      <w:bookmarkStart w:id="5" w:name="_Toc28359012"/>
    </w:p>
    <w:p w14:paraId="353ACE1C">
      <w:pPr>
        <w:pStyle w:val="30"/>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5A994D27">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AQJK-CG-2025-061</w:t>
      </w:r>
    </w:p>
    <w:p w14:paraId="70B4D9D4">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集团公司2025年第三季度办公用品采购</w:t>
      </w:r>
    </w:p>
    <w:p w14:paraId="470D2FC3">
      <w:pPr>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最高限价：15714.00元</w:t>
      </w:r>
    </w:p>
    <w:p w14:paraId="7CD4B102">
      <w:pPr>
        <w:ind w:firstLine="600" w:firstLineChars="200"/>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确定方法：按照最低投标价法，由采购人审核确认后，（总价）报价最低的供应商即为成交人。</w:t>
      </w:r>
    </w:p>
    <w:p w14:paraId="4E839DCF">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1877A56F">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发票：增值税普通发票</w:t>
      </w:r>
    </w:p>
    <w:p w14:paraId="47A375AD">
      <w:pPr>
        <w:spacing w:line="480" w:lineRule="atLeast"/>
        <w:ind w:firstLine="60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付款方式：</w:t>
      </w:r>
      <w:r>
        <w:rPr>
          <w:rFonts w:hint="eastAsia" w:ascii="仿宋" w:hAnsi="仿宋" w:eastAsia="仿宋"/>
          <w:color w:val="000000" w:themeColor="text1"/>
          <w:sz w:val="28"/>
          <w:szCs w:val="28"/>
          <w:highlight w:val="none"/>
          <w:lang w:val="en-US" w:eastAsia="zh-CN"/>
          <w14:textFill>
            <w14:solidFill>
              <w14:schemeClr w14:val="tx1"/>
            </w14:solidFill>
          </w14:textFill>
        </w:rPr>
        <w:t>采购人在验收合格收到发票后 1个月内完成款项结算</w:t>
      </w:r>
    </w:p>
    <w:p w14:paraId="41232833">
      <w:pPr>
        <w:ind w:firstLine="600" w:firstLineChars="200"/>
        <w:rPr>
          <w:rFonts w:hint="default"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供货地点：</w:t>
      </w:r>
      <w:r>
        <w:rPr>
          <w:rFonts w:hint="eastAsia" w:ascii="仿宋" w:hAnsi="仿宋" w:eastAsia="仿宋" w:cs="仿宋"/>
          <w:sz w:val="30"/>
          <w:szCs w:val="30"/>
          <w:lang w:val="en-US" w:eastAsia="zh-CN"/>
        </w:rPr>
        <w:t>安徽省安庆市大观区宜园路16号交控</w:t>
      </w:r>
      <w:r>
        <w:rPr>
          <w:rFonts w:hint="eastAsia" w:ascii="仿宋" w:hAnsi="仿宋" w:eastAsia="仿宋" w:cs="仿宋"/>
          <w:color w:val="000000" w:themeColor="text1"/>
          <w:sz w:val="30"/>
          <w:szCs w:val="30"/>
          <w:highlight w:val="none"/>
          <w:lang w:val="en-US" w:eastAsia="zh-CN"/>
          <w14:textFill>
            <w14:solidFill>
              <w14:schemeClr w14:val="tx1"/>
            </w14:solidFill>
          </w14:textFill>
        </w:rPr>
        <w:t>集团公司办公室</w:t>
      </w:r>
    </w:p>
    <w:p w14:paraId="695FABC3">
      <w:pPr>
        <w:pStyle w:val="6"/>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二、供应商资格要求</w:t>
      </w:r>
    </w:p>
    <w:p w14:paraId="06E74B61">
      <w:pPr>
        <w:ind w:firstLine="600" w:firstLineChars="200"/>
        <w:rPr>
          <w:rFonts w:hint="eastAsia" w:ascii="仿宋" w:hAnsi="仿宋" w:eastAsia="仿宋" w:cs="仿宋"/>
          <w:sz w:val="30"/>
          <w:szCs w:val="30"/>
          <w:lang w:val="en-US" w:eastAsia="zh-CN"/>
        </w:rPr>
      </w:pPr>
      <w:bookmarkStart w:id="6" w:name="_Toc28359091"/>
      <w:bookmarkStart w:id="7" w:name="_Toc28359014"/>
      <w:bookmarkStart w:id="8" w:name="_Toc35393800"/>
      <w:bookmarkStart w:id="9" w:name="_Toc35393631"/>
      <w:r>
        <w:rPr>
          <w:rFonts w:hint="eastAsia" w:ascii="仿宋" w:hAnsi="仿宋" w:eastAsia="仿宋" w:cs="仿宋"/>
          <w:sz w:val="30"/>
          <w:szCs w:val="30"/>
          <w:lang w:val="en-US" w:eastAsia="zh-CN"/>
        </w:rPr>
        <w:t>1.具有合法有效的营业执照。</w:t>
      </w:r>
    </w:p>
    <w:p w14:paraId="24519F08">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2.供应商须具有与本采购项目相适应的供货及服务能力且未被列入集团公司黑名单管理系统、未在安庆交控集团处罚限制期限内。</w:t>
      </w:r>
    </w:p>
    <w:p w14:paraId="40362603">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3.本项目不接受联合体参选。</w:t>
      </w:r>
    </w:p>
    <w:bookmarkEnd w:id="6"/>
    <w:bookmarkEnd w:id="7"/>
    <w:bookmarkEnd w:id="8"/>
    <w:bookmarkEnd w:id="9"/>
    <w:p w14:paraId="06435C11">
      <w:pPr>
        <w:pStyle w:val="6"/>
        <w:numPr>
          <w:ilvl w:val="0"/>
          <w:numId w:val="0"/>
        </w:numPr>
        <w:rPr>
          <w:rFonts w:hint="eastAsia" w:ascii="黑体" w:hAnsi="黑体" w:eastAsia="黑体" w:cs="宋体"/>
          <w:bCs/>
          <w:kern w:val="2"/>
          <w:sz w:val="30"/>
          <w:szCs w:val="30"/>
          <w:lang w:val="en-US" w:eastAsia="zh-CN" w:bidi="ar-SA"/>
        </w:rPr>
      </w:pPr>
      <w:bookmarkStart w:id="10" w:name="_Toc28359092"/>
      <w:bookmarkStart w:id="11" w:name="_Toc35393801"/>
      <w:bookmarkStart w:id="12" w:name="_Toc35393632"/>
      <w:bookmarkStart w:id="13" w:name="_Toc28359015"/>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14:paraId="1778B43F">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bookmarkStart w:id="14" w:name="_Toc35393804"/>
      <w:bookmarkStart w:id="15" w:name="_Toc35393635"/>
      <w:r>
        <w:rPr>
          <w:rFonts w:hint="eastAsia" w:ascii="仿宋" w:hAnsi="仿宋" w:eastAsia="仿宋" w:cs="仿宋"/>
          <w:kern w:val="2"/>
          <w:sz w:val="30"/>
          <w:szCs w:val="30"/>
          <w:lang w:val="en-US" w:eastAsia="zh-CN" w:bidi="ar-SA"/>
        </w:rPr>
        <w:t>本项目只接受通过发送至指定邮箱的方式递交电子版报价表及相关资料，但应满足下列有关要求：</w:t>
      </w:r>
    </w:p>
    <w:p w14:paraId="2464583F">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w:t>
      </w:r>
      <w:r>
        <w:rPr>
          <w:rFonts w:hint="eastAsia" w:ascii="仿宋" w:hAnsi="仿宋" w:eastAsia="仿宋" w:cs="仿宋"/>
          <w:b/>
          <w:bCs/>
          <w:kern w:val="2"/>
          <w:sz w:val="30"/>
          <w:szCs w:val="30"/>
          <w:lang w:val="en-US" w:eastAsia="zh-CN" w:bidi="ar-SA"/>
        </w:rPr>
        <w:t>电子版报价表及相关资料</w:t>
      </w:r>
      <w:r>
        <w:rPr>
          <w:rFonts w:hint="eastAsia" w:ascii="仿宋" w:hAnsi="仿宋" w:eastAsia="仿宋" w:cs="仿宋"/>
          <w:kern w:val="2"/>
          <w:sz w:val="30"/>
          <w:szCs w:val="30"/>
          <w:lang w:val="en-US" w:eastAsia="zh-CN" w:bidi="ar-SA"/>
        </w:rPr>
        <w:t>，投标供应商应在报价表提交截止时间前将本项目报价表及相关资料发送至指定邮箱（邮箱：1179928670@qq.com，邮箱主题名称为：参与投标的企业名称+项目名称+联系方式，</w:t>
      </w:r>
      <w:r>
        <w:rPr>
          <w:rFonts w:hint="eastAsia" w:ascii="仿宋" w:hAnsi="仿宋" w:eastAsia="仿宋" w:cs="仿宋"/>
          <w:b/>
          <w:bCs/>
          <w:kern w:val="2"/>
          <w:sz w:val="30"/>
          <w:szCs w:val="30"/>
          <w:lang w:val="en-US" w:eastAsia="zh-CN" w:bidi="ar-SA"/>
        </w:rPr>
        <w:t>投标报价表及相关资料须盖公章</w:t>
      </w:r>
      <w:r>
        <w:rPr>
          <w:rFonts w:hint="eastAsia" w:ascii="仿宋" w:hAnsi="仿宋" w:eastAsia="仿宋" w:cs="仿宋"/>
          <w:kern w:val="2"/>
          <w:sz w:val="30"/>
          <w:szCs w:val="30"/>
          <w:lang w:val="en-US" w:eastAsia="zh-CN" w:bidi="ar-SA"/>
        </w:rPr>
        <w:t>，须采用*.PDF文件格式），同时须对报价文件进行密码加密，并在发送解密密码时间段内将解密密码发送至指定邮箱（邮箱：1179928670@qq.com，邮箱主题名称为：参与投标的企业名称+项目名称+解密密码）。若投标供应商未按时发送解密密码，则视为主动放弃，对其造成的不利后果由其自行承担。</w:t>
      </w:r>
    </w:p>
    <w:p w14:paraId="0218F87F">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报价表提交截止时间：2025年7月22日12时00分（北京时间）</w:t>
      </w:r>
    </w:p>
    <w:p w14:paraId="4C9049E9">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发送解密密码时间：2025年7月22日 下午15点00分至15点30分</w:t>
      </w:r>
    </w:p>
    <w:p w14:paraId="2CA020BE">
      <w:pPr>
        <w:pStyle w:val="6"/>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4"/>
      <w:bookmarkEnd w:id="15"/>
    </w:p>
    <w:p w14:paraId="391B8E6F">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08C45656">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14:paraId="05C0718E">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3、供应商关于本次采购的相关疑问请于工作日提出，节假休息日期间不予回复。</w:t>
      </w:r>
    </w:p>
    <w:p w14:paraId="73A5E7C0">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4.本次采购管理部门为安庆市交通控股集团有限公司集采中心，具体合同签订主体为安庆市交通控股集团有限公司办公室。</w:t>
      </w:r>
    </w:p>
    <w:p w14:paraId="186F63B6">
      <w:pPr>
        <w:ind w:firstLine="600" w:firstLineChars="200"/>
        <w:rPr>
          <w:rFonts w:hint="default"/>
          <w:lang w:val="en-US" w:eastAsia="zh-CN"/>
        </w:rPr>
      </w:pPr>
      <w:r>
        <w:rPr>
          <w:rFonts w:hint="eastAsia" w:ascii="仿宋" w:hAnsi="仿宋" w:eastAsia="仿宋" w:cs="仿宋"/>
          <w:sz w:val="30"/>
          <w:szCs w:val="30"/>
          <w:lang w:val="en-US" w:eastAsia="zh-CN"/>
        </w:rPr>
        <w:t>5.若出现两家或两家以上供应商报价最低且相等，则由采购人采取现场随机抽取的方式确定成交人。</w:t>
      </w:r>
    </w:p>
    <w:p w14:paraId="0D836D3C">
      <w:pPr>
        <w:pStyle w:val="6"/>
        <w:rPr>
          <w:rFonts w:hint="eastAsia" w:ascii="黑体" w:hAnsi="黑体" w:eastAsia="黑体" w:cs="宋体"/>
          <w:bCs/>
          <w:kern w:val="2"/>
          <w:sz w:val="30"/>
          <w:szCs w:val="30"/>
          <w:lang w:val="en-US" w:eastAsia="zh-CN" w:bidi="ar-SA"/>
        </w:rPr>
      </w:pPr>
      <w:bookmarkStart w:id="16" w:name="_Toc35393805"/>
      <w:bookmarkStart w:id="17" w:name="_Toc28359095"/>
      <w:bookmarkStart w:id="18" w:name="_Toc35393636"/>
      <w:bookmarkStart w:id="19" w:name="_Toc28359018"/>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14:paraId="224C87DE">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1.采购人信息：</w:t>
      </w:r>
    </w:p>
    <w:p w14:paraId="05A6F6A9">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称：安庆市交通控股集团有限公司办公室</w:t>
      </w:r>
    </w:p>
    <w:p w14:paraId="0A8F22D3">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3578F221">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人：汪先生</w:t>
      </w:r>
    </w:p>
    <w:p w14:paraId="0EF95A6A">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联系方式：0556-5578968</w:t>
      </w:r>
    </w:p>
    <w:p w14:paraId="2DB01695">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32E5BD9A">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称：安庆市交通控股集团有限公司集采中心</w:t>
      </w:r>
    </w:p>
    <w:p w14:paraId="39DB3CB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7E80F327">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3D609BB1">
      <w:pPr>
        <w:ind w:firstLine="600" w:firstLineChars="200"/>
        <w:rPr>
          <w:rFonts w:hint="default"/>
          <w:lang w:val="en-US" w:eastAsia="zh-CN"/>
        </w:rPr>
      </w:pPr>
      <w:r>
        <w:rPr>
          <w:rFonts w:hint="eastAsia" w:ascii="仿宋" w:hAnsi="仿宋" w:eastAsia="仿宋" w:cs="仿宋"/>
          <w:sz w:val="30"/>
          <w:szCs w:val="30"/>
          <w:lang w:val="en-US" w:eastAsia="zh-CN"/>
        </w:rPr>
        <w:t>联系方式：0556-5990510</w:t>
      </w:r>
    </w:p>
    <w:p w14:paraId="0B513F97">
      <w:pPr>
        <w:rPr>
          <w:rFonts w:hint="eastAsia" w:ascii="仿宋" w:hAnsi="仿宋" w:eastAsia="仿宋" w:cs="仿宋"/>
          <w:sz w:val="30"/>
          <w:szCs w:val="30"/>
          <w:lang w:val="en-US" w:eastAsia="zh-CN"/>
        </w:rPr>
      </w:pPr>
      <w:bookmarkStart w:id="20" w:name="_Toc35393808"/>
      <w:bookmarkStart w:id="21" w:name="_Toc35393639"/>
      <w:bookmarkStart w:id="22" w:name="_Toc28359021"/>
      <w:bookmarkStart w:id="23" w:name="_Toc28359098"/>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14:paraId="59C2D813">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19465B70">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p>
    <w:p w14:paraId="63135655">
      <w:pP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477"/>
        <w:gridCol w:w="696"/>
        <w:gridCol w:w="697"/>
        <w:gridCol w:w="2239"/>
        <w:gridCol w:w="1419"/>
        <w:gridCol w:w="1416"/>
        <w:gridCol w:w="1214"/>
      </w:tblGrid>
      <w:tr w14:paraId="708BB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gridSpan w:val="8"/>
            <w:tcBorders>
              <w:top w:val="nil"/>
              <w:left w:val="nil"/>
              <w:bottom w:val="nil"/>
              <w:right w:val="nil"/>
            </w:tcBorders>
            <w:shd w:val="clear" w:color="auto" w:fill="auto"/>
            <w:noWrap/>
            <w:vAlign w:val="center"/>
          </w:tcPr>
          <w:p w14:paraId="05A551E7">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b/>
                <w:bCs/>
                <w:i w:val="0"/>
                <w:iCs w:val="0"/>
                <w:color w:val="000000"/>
                <w:sz w:val="40"/>
                <w:szCs w:val="40"/>
                <w:u w:val="none"/>
              </w:rPr>
            </w:pPr>
            <w:r>
              <w:rPr>
                <w:rFonts w:hint="default" w:ascii="方正小标宋简体" w:hAnsi="方正小标宋简体" w:eastAsia="方正小标宋简体" w:cs="方正小标宋简体"/>
                <w:b/>
                <w:bCs/>
                <w:i w:val="0"/>
                <w:iCs w:val="0"/>
                <w:color w:val="000000"/>
                <w:kern w:val="0"/>
                <w:sz w:val="40"/>
                <w:szCs w:val="40"/>
                <w:u w:val="none"/>
                <w:lang w:val="en-US" w:eastAsia="zh-CN" w:bidi="ar"/>
              </w:rPr>
              <w:t>物资采购计划报价单</w:t>
            </w:r>
          </w:p>
        </w:tc>
      </w:tr>
      <w:tr w14:paraId="76265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492B">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E49E">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采购物品</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B765">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A836">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56D4">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规格型号</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D5F8">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单价（元）</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B4E0">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小计（元）</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639A">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07092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DD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51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A4打复印纸</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A6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3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5C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红百旺75g</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E8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7A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6650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37F8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496E4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F4A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55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A3打复印纸</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6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B7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A0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红百旺75g</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7A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22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E3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B943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97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5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按动中性笔黑色0.5mm</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5C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11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51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12支/盒，得力S88</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AD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5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E3FF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D4E3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4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11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按动中性笔黑色0.7mm</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39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D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E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得力按动，12支/盒</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7D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E8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903B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D5F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5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91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按动中性笔黑色0.5mm</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4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00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B2A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12支/盒，晨光K35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81A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27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BE8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6FA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3A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98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按动中性笔红色0.5mm</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C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87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22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12支/盒，晨光K35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56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27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297F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89B9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2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6F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按动中性笔蓝色0.5mm</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F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24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A1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12支/盒，晨光K35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A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2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F773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146E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A8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98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会议记录本</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42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BE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33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中佳皮面B5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0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D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7F4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7D72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2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5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A4红色纸</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B7D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F0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22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100张/包</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F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A82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120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D8F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195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CC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27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A4粉色纸</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856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8B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83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100张/包</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41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600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120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4B5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73BE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938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4B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南孚5号电池</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A9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E8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65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50节/盒</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4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7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5ED3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4AEB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6F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FB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公牛插排</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B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5B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CF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3米/6插位</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ED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22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9670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766D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76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99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家用热水瓶</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F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10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DDD9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6D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6C0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8AFE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458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E4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CF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垃圾袋</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58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D7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60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3卷/包，45cm*52cm</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FD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77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E4C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BEE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68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EF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分五节档案文件柜</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AE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DD3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CE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高1900*宽850*厚390mm</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3F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4B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1425</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7C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8C4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D6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84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得力燕尾夹6#</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C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7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BCB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F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E1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C3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15D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49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13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得力燕尾夹4#</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E74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19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EDC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C8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5B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508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6EE71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71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58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烧水壶</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27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10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4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美的1.7L</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8D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9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9469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7D0D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DA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15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家用扫把套组（含簸箕）</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A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2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C14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A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380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136C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077A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B0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48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垃圾桶</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B2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06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9A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16L</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6D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99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15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367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3A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0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海绵拖把桶</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8C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80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98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45cm*21cm*25cm</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D9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6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D55A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50CD9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4C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83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文件夹</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F9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02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0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单、双夹各5个</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8B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11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A5A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5C4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6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DEE87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合计（元）：</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ADD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r>
              <w:rPr>
                <w:rFonts w:hint="eastAsia" w:ascii="宋体" w:hAnsi="宋体" w:cs="宋体"/>
                <w:i w:val="0"/>
                <w:iCs w:val="0"/>
                <w:color w:val="000000"/>
                <w:kern w:val="0"/>
                <w:sz w:val="24"/>
                <w:szCs w:val="24"/>
                <w:u w:val="none"/>
                <w:lang w:val="en-US" w:eastAsia="zh-CN" w:bidi="ar"/>
              </w:rPr>
              <w:t>714</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570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bl>
    <w:p w14:paraId="20BB148C">
      <w:pPr>
        <w:ind w:firstLine="600" w:firstLineChars="200"/>
        <w:rPr>
          <w:rFonts w:hint="eastAsia" w:ascii="仿宋" w:hAnsi="仿宋" w:eastAsia="仿宋" w:cs="仿宋"/>
          <w:sz w:val="30"/>
          <w:szCs w:val="30"/>
          <w:highlight w:val="none"/>
          <w:lang w:val="en-US" w:eastAsia="zh-CN"/>
        </w:rPr>
      </w:pPr>
    </w:p>
    <w:p w14:paraId="430E0050">
      <w:pPr>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注：</w:t>
      </w:r>
      <w:r>
        <w:rPr>
          <w:rFonts w:hint="eastAsia" w:ascii="仿宋" w:hAnsi="仿宋" w:eastAsia="仿宋" w:cs="仿宋"/>
          <w:b w:val="0"/>
          <w:bCs w:val="0"/>
          <w:kern w:val="2"/>
          <w:sz w:val="28"/>
          <w:szCs w:val="28"/>
          <w:lang w:val="en-US" w:eastAsia="zh-CN" w:bidi="ar-SA"/>
        </w:rPr>
        <w:t>1.供应商必须确保自己信息真实、准确，否则，因此造成的不利影响，采购单位概不负责。</w:t>
      </w:r>
    </w:p>
    <w:p w14:paraId="4FEAB15F">
      <w:pPr>
        <w:ind w:firstLine="560" w:firstLineChars="200"/>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2.本项目按总价进行报价，按照总价最低原则进行采购。</w:t>
      </w:r>
    </w:p>
    <w:p w14:paraId="0FC8B52B">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3.投标报价包含但不限于到场所需的一切费用（如：货物运输及搬运费用），后续采购人不会再支付除中标价以外的任何价款。</w:t>
      </w:r>
    </w:p>
    <w:p w14:paraId="174C7667">
      <w:pPr>
        <w:ind w:firstLine="560" w:firstLineChars="200"/>
        <w:rPr>
          <w:rFonts w:hint="eastAsia" w:eastAsia="宋体"/>
          <w:b w:val="0"/>
          <w:bCs w:val="0"/>
          <w:lang w:val="en-US" w:eastAsia="zh-CN"/>
        </w:rPr>
      </w:pPr>
      <w:r>
        <w:rPr>
          <w:rFonts w:hint="eastAsia" w:ascii="仿宋" w:hAnsi="仿宋" w:eastAsia="仿宋" w:cs="仿宋"/>
          <w:b w:val="0"/>
          <w:bCs w:val="0"/>
          <w:kern w:val="2"/>
          <w:sz w:val="28"/>
          <w:szCs w:val="28"/>
          <w:lang w:val="en-US" w:eastAsia="zh-CN" w:bidi="ar-SA"/>
        </w:rPr>
        <w:t>4.供应商不得随意修改采购需求的规格、数量等要求，如有特殊情况请添加备注栏说明。供应商须对报价货物的单项合计、总价合计金额数的正确性负责，出现不符合文件要求或报价合计金额数有误的、有争议的，予以作废处理。</w:t>
      </w:r>
    </w:p>
    <w:p w14:paraId="0A7A1D4C">
      <w:pPr>
        <w:rPr>
          <w:rFonts w:hint="eastAsia"/>
        </w:rPr>
        <w:sectPr>
          <w:footerReference r:id="rId3" w:type="default"/>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pPr>
    </w:p>
    <w:p w14:paraId="4B18C5B0">
      <w:pPr>
        <w:rPr>
          <w:rFonts w:hint="eastAsia"/>
        </w:rPr>
      </w:pPr>
    </w:p>
    <w:p w14:paraId="140C60E3">
      <w:pPr>
        <w:rPr>
          <w:rFonts w:hint="eastAsia"/>
        </w:rPr>
      </w:pPr>
    </w:p>
    <w:tbl>
      <w:tblPr>
        <w:tblStyle w:val="14"/>
        <w:tblW w:w="5358" w:type="pct"/>
        <w:tblInd w:w="-3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539"/>
        <w:gridCol w:w="2985"/>
        <w:gridCol w:w="975"/>
        <w:gridCol w:w="1185"/>
        <w:gridCol w:w="1395"/>
        <w:gridCol w:w="1821"/>
      </w:tblGrid>
      <w:tr w14:paraId="6D6A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000" w:type="pct"/>
            <w:gridSpan w:val="7"/>
            <w:tcBorders>
              <w:top w:val="nil"/>
              <w:left w:val="nil"/>
              <w:bottom w:val="nil"/>
              <w:right w:val="nil"/>
            </w:tcBorders>
            <w:shd w:val="clear" w:color="auto" w:fill="auto"/>
            <w:noWrap/>
            <w:vAlign w:val="center"/>
          </w:tcPr>
          <w:p w14:paraId="1320A2D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0"/>
                <w:sz w:val="32"/>
                <w:szCs w:val="32"/>
                <w:u w:val="none"/>
                <w:lang w:val="en-US" w:eastAsia="zh-CN" w:bidi="ar"/>
              </w:rPr>
            </w:pPr>
            <w:r>
              <w:rPr>
                <w:rFonts w:hint="eastAsia" w:asciiTheme="majorEastAsia" w:hAnsiTheme="majorEastAsia" w:eastAsiaTheme="majorEastAsia" w:cstheme="majorEastAsia"/>
                <w:b/>
                <w:bCs/>
                <w:i w:val="0"/>
                <w:iCs w:val="0"/>
                <w:color w:val="000000"/>
                <w:kern w:val="0"/>
                <w:sz w:val="36"/>
                <w:szCs w:val="36"/>
                <w:u w:val="none"/>
                <w:lang w:val="en-US" w:eastAsia="zh-CN" w:bidi="ar"/>
              </w:rPr>
              <w:t>集团公司2025年第三季度办公用品采购报价表</w:t>
            </w:r>
          </w:p>
        </w:tc>
      </w:tr>
      <w:tr w14:paraId="703B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FE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序号</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0D51">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000000"/>
                <w:sz w:val="28"/>
                <w:szCs w:val="28"/>
                <w:u w:val="none"/>
                <w:lang w:val="en-US"/>
              </w:rPr>
            </w:pPr>
            <w:r>
              <w:rPr>
                <w:rFonts w:hint="eastAsia" w:asciiTheme="minorEastAsia" w:hAnsiTheme="minorEastAsia" w:eastAsiaTheme="minorEastAsia" w:cstheme="minorEastAsia"/>
                <w:b/>
                <w:bCs/>
                <w:i w:val="0"/>
                <w:iCs w:val="0"/>
                <w:color w:val="000000"/>
                <w:kern w:val="0"/>
                <w:sz w:val="28"/>
                <w:szCs w:val="28"/>
                <w:u w:val="none"/>
                <w:lang w:val="en-US" w:eastAsia="zh-CN" w:bidi="ar"/>
              </w:rPr>
              <w:t>货物名称</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42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规格参数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0CB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lang w:val="en-US" w:eastAsia="zh-CN" w:bidi="ar"/>
              </w:rPr>
              <w:t>单位</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BC3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lang w:val="en-US" w:eastAsia="zh-CN" w:bidi="ar"/>
              </w:rPr>
              <w:t>数量</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68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单价</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DC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小计（元）</w:t>
            </w:r>
          </w:p>
        </w:tc>
      </w:tr>
      <w:tr w14:paraId="506C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08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CF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 xml:space="preserve"> </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54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29C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ED9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DC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D7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r>
      <w:tr w14:paraId="0988E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9FA7">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B5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B7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3A8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781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91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7F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r>
      <w:tr w14:paraId="2E69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B72B">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3</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35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26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631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E42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84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2E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r>
      <w:tr w14:paraId="7DF04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9103">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4</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8F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E4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1A2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8E9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B0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BC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r>
      <w:tr w14:paraId="1659A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152B">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10B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A9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943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709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D6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AC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r>
      <w:tr w14:paraId="64C30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3267">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D7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02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4F4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418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30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B6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r>
      <w:tr w14:paraId="3392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13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ADE0">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000000"/>
                <w:sz w:val="28"/>
                <w:szCs w:val="28"/>
                <w:u w:val="none"/>
                <w:lang w:val="en-US" w:eastAsia="zh-CN"/>
              </w:rPr>
            </w:pPr>
            <w:r>
              <w:rPr>
                <w:rFonts w:hint="eastAsia" w:asciiTheme="minorEastAsia" w:hAnsiTheme="minorEastAsia" w:eastAsiaTheme="minorEastAsia" w:cstheme="minorEastAsia"/>
                <w:b/>
                <w:bCs/>
                <w:i w:val="0"/>
                <w:iCs w:val="0"/>
                <w:color w:val="000000"/>
                <w:sz w:val="28"/>
                <w:szCs w:val="28"/>
                <w:u w:val="none"/>
                <w:lang w:val="en-US" w:eastAsia="zh-CN"/>
              </w:rPr>
              <w:t>报价合计:</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59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r>
    </w:tbl>
    <w:p w14:paraId="3ADF567C">
      <w:pPr>
        <w:pStyle w:val="30"/>
        <w:ind w:left="0" w:leftChars="0" w:firstLine="0" w:firstLineChars="0"/>
        <w:rPr>
          <w:rFonts w:hint="eastAsia"/>
        </w:rPr>
      </w:pPr>
    </w:p>
    <w:p w14:paraId="144B2FE3">
      <w:pPr>
        <w:pStyle w:val="30"/>
        <w:ind w:left="0" w:leftChars="0" w:firstLine="0" w:firstLineChars="0"/>
        <w:rPr>
          <w:rFonts w:hint="eastAsia"/>
        </w:rPr>
      </w:pPr>
    </w:p>
    <w:p w14:paraId="6B2D04CD">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3A4DF92B">
      <w:pPr>
        <w:pStyle w:val="30"/>
        <w:rPr>
          <w:rFonts w:hint="eastAsia"/>
        </w:rPr>
      </w:pPr>
    </w:p>
    <w:p w14:paraId="71AFE7CF">
      <w:pPr>
        <w:pStyle w:val="30"/>
        <w:ind w:firstLine="3097" w:firstLineChars="1475"/>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12E1301E">
      <w:pPr>
        <w:pStyle w:val="30"/>
        <w:ind w:firstLine="3097" w:firstLineChars="1475"/>
        <w:rPr>
          <w:rFonts w:hint="eastAsia" w:ascii="宋体" w:hAnsi="宋体" w:eastAsia="宋体" w:cs="宋体"/>
          <w:color w:val="auto"/>
          <w:kern w:val="2"/>
          <w:sz w:val="21"/>
          <w:szCs w:val="21"/>
          <w:highlight w:val="none"/>
          <w:u w:val="single"/>
          <w:lang w:val="en-US" w:eastAsia="zh-CN" w:bidi="ar-SA"/>
        </w:rPr>
      </w:pPr>
    </w:p>
    <w:p w14:paraId="7550BF65">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负责人：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（签字或</w:t>
      </w:r>
      <w:r>
        <w:rPr>
          <w:rFonts w:hint="eastAsia" w:ascii="宋体" w:hAnsi="宋体" w:cs="宋体"/>
          <w:color w:val="auto"/>
          <w:szCs w:val="21"/>
          <w:highlight w:val="none"/>
          <w:lang w:val="en-US" w:eastAsia="zh-CN"/>
        </w:rPr>
        <w:t>盖</w:t>
      </w:r>
      <w:r>
        <w:rPr>
          <w:rFonts w:hint="eastAsia" w:ascii="宋体" w:hAnsi="宋体" w:cs="宋体"/>
          <w:color w:val="auto"/>
          <w:szCs w:val="21"/>
          <w:highlight w:val="none"/>
        </w:rPr>
        <w:t>章）</w:t>
      </w:r>
    </w:p>
    <w:p w14:paraId="7C62B760">
      <w:pPr>
        <w:spacing w:line="360" w:lineRule="auto"/>
        <w:ind w:firstLine="3570" w:firstLineChars="1700"/>
        <w:rPr>
          <w:rFonts w:ascii="宋体" w:cs="宋体"/>
          <w:color w:val="auto"/>
          <w:szCs w:val="21"/>
          <w:highlight w:val="none"/>
        </w:rPr>
      </w:pPr>
    </w:p>
    <w:p w14:paraId="2F65E88B">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7ABF830C">
      <w:pP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br w:type="page"/>
      </w:r>
    </w:p>
    <w:p w14:paraId="522BB8E8">
      <w:pPr>
        <w:numPr>
          <w:ilvl w:val="0"/>
          <w:numId w:val="0"/>
        </w:numPr>
        <w:jc w:val="cente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相关证明文件</w:t>
      </w:r>
    </w:p>
    <w:p w14:paraId="78303553">
      <w:pPr>
        <w:spacing w:line="360" w:lineRule="auto"/>
        <w:ind w:firstLine="420" w:firstLineChars="200"/>
        <w:rPr>
          <w:rFonts w:ascii="宋体" w:hAnsi="宋体" w:eastAsia="宋体" w:cs="宋体"/>
          <w:color w:val="auto"/>
          <w:szCs w:val="21"/>
          <w:highlight w:val="none"/>
        </w:rPr>
      </w:pPr>
    </w:p>
    <w:p w14:paraId="7A4062F5">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b/>
          <w:bCs/>
          <w:color w:val="auto"/>
          <w:szCs w:val="21"/>
          <w:highlight w:val="none"/>
          <w:lang w:val="en-US" w:eastAsia="zh-CN"/>
        </w:rPr>
        <w:t>营业执照副本</w:t>
      </w:r>
      <w:r>
        <w:rPr>
          <w:rFonts w:hint="eastAsia" w:ascii="宋体" w:hAnsi="宋体" w:cs="Times New Roman"/>
          <w:b/>
          <w:bCs/>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w:t>
      </w:r>
    </w:p>
    <w:p w14:paraId="60CA55B5">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w:t>
      </w:r>
      <w:r>
        <w:rPr>
          <w:rFonts w:hint="eastAsia" w:ascii="宋体" w:hAnsi="宋体" w:cs="Times New Roman"/>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（如为三证合一的，只需提供三证合一的营业执照复印件）</w:t>
      </w:r>
      <w:r>
        <w:rPr>
          <w:rFonts w:hint="eastAsia" w:ascii="宋体" w:hAnsi="宋体" w:cs="Times New Roman"/>
          <w:color w:val="auto"/>
          <w:szCs w:val="21"/>
          <w:highlight w:val="none"/>
          <w:lang w:val="en-US" w:eastAsia="zh-CN"/>
        </w:rPr>
        <w:t>；</w:t>
      </w:r>
    </w:p>
    <w:p w14:paraId="2721543D">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、参选人认为提供的其他材料；</w:t>
      </w:r>
    </w:p>
    <w:p w14:paraId="7D95A40A">
      <w:pPr>
        <w:spacing w:line="360" w:lineRule="auto"/>
        <w:ind w:firstLine="420"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b/>
          <w:bCs/>
          <w:color w:val="auto"/>
          <w:szCs w:val="21"/>
          <w:highlight w:val="none"/>
          <w:lang w:val="en-US" w:eastAsia="zh-CN"/>
        </w:rPr>
        <w:t>须提供上述证明文件扫描件</w:t>
      </w:r>
      <w:r>
        <w:rPr>
          <w:rFonts w:hint="eastAsia" w:ascii="宋体" w:hAnsi="宋体" w:cs="Times New Roman"/>
          <w:b/>
          <w:bCs/>
          <w:color w:val="auto"/>
          <w:szCs w:val="21"/>
          <w:highlight w:val="none"/>
          <w:lang w:val="en-US" w:eastAsia="zh-CN"/>
        </w:rPr>
        <w:t>并加盖单位章</w:t>
      </w:r>
      <w:r>
        <w:rPr>
          <w:rFonts w:hint="eastAsia" w:ascii="宋体" w:hAnsi="宋体" w:eastAsia="宋体" w:cs="Times New Roman"/>
          <w:color w:val="auto"/>
          <w:szCs w:val="21"/>
          <w:highlight w:val="none"/>
          <w:lang w:val="en-US" w:eastAsia="zh-CN"/>
        </w:rPr>
        <w:t>。</w:t>
      </w:r>
    </w:p>
    <w:sectPr>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145CA">
    <w:pPr>
      <w:pStyle w:val="11"/>
      <w:jc w:val="center"/>
    </w:pPr>
    <w:r>
      <w:fldChar w:fldCharType="begin"/>
    </w:r>
    <w:r>
      <w:instrText xml:space="preserve"> PAGE   \* MERGEFORMAT </w:instrText>
    </w:r>
    <w:r>
      <w:fldChar w:fldCharType="separate"/>
    </w:r>
    <w:r>
      <w:rPr>
        <w:lang w:val="zh-CN"/>
      </w:rPr>
      <w:t>1</w:t>
    </w:r>
    <w:r>
      <w:rPr>
        <w:lang w:val="zh-CN"/>
      </w:rPr>
      <w:fldChar w:fldCharType="end"/>
    </w:r>
  </w:p>
  <w:p w14:paraId="64448E55">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9f114061-70b2-4939-80b4-c8d7c8f0f095"/>
  </w:docVars>
  <w:rsids>
    <w:rsidRoot w:val="00000000"/>
    <w:rsid w:val="005A5FD9"/>
    <w:rsid w:val="03373831"/>
    <w:rsid w:val="054E0A22"/>
    <w:rsid w:val="06AF2555"/>
    <w:rsid w:val="075361E1"/>
    <w:rsid w:val="077E60E9"/>
    <w:rsid w:val="07AE7A02"/>
    <w:rsid w:val="07BB79FF"/>
    <w:rsid w:val="0AB64446"/>
    <w:rsid w:val="0AF10260"/>
    <w:rsid w:val="0B5F04E1"/>
    <w:rsid w:val="1024111B"/>
    <w:rsid w:val="128411BB"/>
    <w:rsid w:val="14AE23A8"/>
    <w:rsid w:val="16073D2B"/>
    <w:rsid w:val="16734728"/>
    <w:rsid w:val="199F3CF1"/>
    <w:rsid w:val="19EB7F67"/>
    <w:rsid w:val="1AAD0A2A"/>
    <w:rsid w:val="1B6F164B"/>
    <w:rsid w:val="1CE2697A"/>
    <w:rsid w:val="1EAF0286"/>
    <w:rsid w:val="1F0C74C8"/>
    <w:rsid w:val="1F4568DA"/>
    <w:rsid w:val="1F982105"/>
    <w:rsid w:val="1FDC5921"/>
    <w:rsid w:val="20C20786"/>
    <w:rsid w:val="21876A79"/>
    <w:rsid w:val="236577EE"/>
    <w:rsid w:val="24FC5398"/>
    <w:rsid w:val="26737BC3"/>
    <w:rsid w:val="26845326"/>
    <w:rsid w:val="284A2FED"/>
    <w:rsid w:val="290451DE"/>
    <w:rsid w:val="2A402842"/>
    <w:rsid w:val="2DE812CF"/>
    <w:rsid w:val="2EDA63CD"/>
    <w:rsid w:val="30055088"/>
    <w:rsid w:val="30C751DE"/>
    <w:rsid w:val="321D18EC"/>
    <w:rsid w:val="34C35352"/>
    <w:rsid w:val="351C1540"/>
    <w:rsid w:val="36425CED"/>
    <w:rsid w:val="36F34AAB"/>
    <w:rsid w:val="3A921C72"/>
    <w:rsid w:val="3C4F0C15"/>
    <w:rsid w:val="3CEF2F5B"/>
    <w:rsid w:val="3D730C6A"/>
    <w:rsid w:val="3D7647F4"/>
    <w:rsid w:val="3F4E33A6"/>
    <w:rsid w:val="3FAA436E"/>
    <w:rsid w:val="40F41E3E"/>
    <w:rsid w:val="45764C68"/>
    <w:rsid w:val="45DC6005"/>
    <w:rsid w:val="46193C36"/>
    <w:rsid w:val="4A9C5168"/>
    <w:rsid w:val="4C3A0034"/>
    <w:rsid w:val="51A65F56"/>
    <w:rsid w:val="538120ED"/>
    <w:rsid w:val="542235F6"/>
    <w:rsid w:val="568B5FBF"/>
    <w:rsid w:val="573F1A30"/>
    <w:rsid w:val="58800458"/>
    <w:rsid w:val="5BF31143"/>
    <w:rsid w:val="614A56CF"/>
    <w:rsid w:val="62455DE0"/>
    <w:rsid w:val="64966DD1"/>
    <w:rsid w:val="688B1BF3"/>
    <w:rsid w:val="68EE4742"/>
    <w:rsid w:val="69594684"/>
    <w:rsid w:val="6BF54D96"/>
    <w:rsid w:val="6C100DF0"/>
    <w:rsid w:val="6C6241DE"/>
    <w:rsid w:val="6C6C7B47"/>
    <w:rsid w:val="6C7B4F81"/>
    <w:rsid w:val="6D73576A"/>
    <w:rsid w:val="6E10335C"/>
    <w:rsid w:val="700C17BB"/>
    <w:rsid w:val="707C5D22"/>
    <w:rsid w:val="70D25720"/>
    <w:rsid w:val="74DF6386"/>
    <w:rsid w:val="79FC2292"/>
    <w:rsid w:val="7DE8117C"/>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jc w:val="left"/>
      <w:outlineLvl w:val="1"/>
    </w:pPr>
    <w:rPr>
      <w:rFonts w:hint="eastAsia" w:ascii="宋体" w:hAnsi="宋体"/>
      <w:kern w:val="0"/>
      <w:sz w:val="24"/>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52"/>
    <w:unhideWhenUsed/>
    <w:qFormat/>
    <w:uiPriority w:val="99"/>
    <w:pPr>
      <w:jc w:val="left"/>
    </w:pPr>
    <w:rPr>
      <w:rFonts w:ascii="等线" w:hAnsi="等线" w:eastAsia="等线"/>
      <w:szCs w:val="22"/>
    </w:rPr>
  </w:style>
  <w:style w:type="paragraph" w:styleId="6">
    <w:name w:val="Body Text"/>
    <w:basedOn w:val="1"/>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7">
    <w:name w:val="Body Text Indent"/>
    <w:basedOn w:val="1"/>
    <w:next w:val="8"/>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envelope return"/>
    <w:basedOn w:val="1"/>
    <w:unhideWhenUsed/>
    <w:qFormat/>
    <w:uiPriority w:val="99"/>
    <w:pPr>
      <w:snapToGrid w:val="0"/>
    </w:pPr>
    <w:rPr>
      <w:rFonts w:ascii="Arial" w:hAnsi="Arial"/>
    </w:rPr>
  </w:style>
  <w:style w:type="paragraph" w:styleId="9">
    <w:name w:val="Plain Text"/>
    <w:basedOn w:val="1"/>
    <w:link w:val="56"/>
    <w:qFormat/>
    <w:uiPriority w:val="0"/>
    <w:rPr>
      <w:rFonts w:ascii="宋体" w:hAnsi="Courier New"/>
      <w:szCs w:val="20"/>
    </w:rPr>
  </w:style>
  <w:style w:type="paragraph" w:styleId="10">
    <w:name w:val="Balloon Text"/>
    <w:basedOn w:val="1"/>
    <w:link w:val="54"/>
    <w:qFormat/>
    <w:uiPriority w:val="0"/>
    <w:rPr>
      <w:sz w:val="18"/>
      <w:szCs w:val="18"/>
    </w:rPr>
  </w:style>
  <w:style w:type="paragraph" w:styleId="11">
    <w:name w:val="footer"/>
    <w:basedOn w:val="1"/>
    <w:link w:val="50"/>
    <w:qFormat/>
    <w:uiPriority w:val="99"/>
    <w:pPr>
      <w:tabs>
        <w:tab w:val="center" w:pos="4153"/>
        <w:tab w:val="right" w:pos="8306"/>
      </w:tabs>
      <w:snapToGrid w:val="0"/>
      <w:jc w:val="left"/>
    </w:pPr>
    <w:rPr>
      <w:sz w:val="18"/>
      <w:szCs w:val="18"/>
    </w:rPr>
  </w:style>
  <w:style w:type="paragraph" w:styleId="12">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FollowedHyperlink"/>
    <w:basedOn w:val="16"/>
    <w:qFormat/>
    <w:uiPriority w:val="0"/>
    <w:rPr>
      <w:color w:val="000000"/>
      <w:u w:val="none"/>
    </w:rPr>
  </w:style>
  <w:style w:type="character" w:styleId="19">
    <w:name w:val="Emphasis"/>
    <w:basedOn w:val="16"/>
    <w:qFormat/>
    <w:uiPriority w:val="0"/>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00"/>
      <w:u w:val="none"/>
    </w:rPr>
  </w:style>
  <w:style w:type="character" w:styleId="25">
    <w:name w:val="HTML Code"/>
    <w:basedOn w:val="16"/>
    <w:qFormat/>
    <w:uiPriority w:val="0"/>
    <w:rPr>
      <w:rFonts w:hint="default" w:ascii="monospace" w:hAnsi="monospace" w:eastAsia="monospace" w:cs="monospace"/>
      <w:sz w:val="20"/>
    </w:rPr>
  </w:style>
  <w:style w:type="character" w:styleId="26">
    <w:name w:val="annotation reference"/>
    <w:unhideWhenUsed/>
    <w:qFormat/>
    <w:uiPriority w:val="99"/>
    <w:rPr>
      <w:sz w:val="21"/>
      <w:szCs w:val="21"/>
    </w:rPr>
  </w:style>
  <w:style w:type="character" w:styleId="27">
    <w:name w:val="HTML Cite"/>
    <w:basedOn w:val="16"/>
    <w:qFormat/>
    <w:uiPriority w:val="0"/>
  </w:style>
  <w:style w:type="character" w:styleId="28">
    <w:name w:val="HTML Keyboard"/>
    <w:basedOn w:val="16"/>
    <w:qFormat/>
    <w:uiPriority w:val="0"/>
    <w:rPr>
      <w:rFonts w:ascii="monospace" w:hAnsi="monospace" w:eastAsia="monospace" w:cs="monospace"/>
      <w:sz w:val="20"/>
    </w:rPr>
  </w:style>
  <w:style w:type="character" w:styleId="29">
    <w:name w:val="HTML Sample"/>
    <w:basedOn w:val="16"/>
    <w:qFormat/>
    <w:uiPriority w:val="0"/>
    <w:rPr>
      <w:rFonts w:hint="default" w:ascii="monospace" w:hAnsi="monospace" w:eastAsia="monospace" w:cs="monospace"/>
    </w:rPr>
  </w:style>
  <w:style w:type="paragraph" w:customStyle="1" w:styleId="30">
    <w:name w:val="模板普通正文"/>
    <w:basedOn w:val="7"/>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1">
    <w:name w:val="n-link3"/>
    <w:basedOn w:val="16"/>
    <w:qFormat/>
    <w:uiPriority w:val="0"/>
  </w:style>
  <w:style w:type="character" w:customStyle="1" w:styleId="32">
    <w:name w:val="n-link9"/>
    <w:basedOn w:val="16"/>
    <w:qFormat/>
    <w:uiPriority w:val="0"/>
  </w:style>
  <w:style w:type="character" w:customStyle="1" w:styleId="33">
    <w:name w:val="n-link5"/>
    <w:basedOn w:val="16"/>
    <w:qFormat/>
    <w:uiPriority w:val="0"/>
  </w:style>
  <w:style w:type="character" w:customStyle="1" w:styleId="34">
    <w:name w:val="n-link3h"/>
    <w:basedOn w:val="16"/>
    <w:qFormat/>
    <w:uiPriority w:val="0"/>
    <w:rPr>
      <w:color w:val="FFFFFF"/>
    </w:rPr>
  </w:style>
  <w:style w:type="character" w:customStyle="1" w:styleId="35">
    <w:name w:val="n-link1h"/>
    <w:basedOn w:val="16"/>
    <w:qFormat/>
    <w:uiPriority w:val="0"/>
    <w:rPr>
      <w:color w:val="FFFFFF"/>
    </w:rPr>
  </w:style>
  <w:style w:type="character" w:customStyle="1" w:styleId="36">
    <w:name w:val="n-link9h"/>
    <w:basedOn w:val="16"/>
    <w:qFormat/>
    <w:uiPriority w:val="0"/>
    <w:rPr>
      <w:color w:val="FFFFFF"/>
    </w:rPr>
  </w:style>
  <w:style w:type="character" w:customStyle="1" w:styleId="37">
    <w:name w:val="n-link6h"/>
    <w:basedOn w:val="16"/>
    <w:qFormat/>
    <w:uiPriority w:val="0"/>
    <w:rPr>
      <w:color w:val="FFFFFF"/>
    </w:rPr>
  </w:style>
  <w:style w:type="character" w:customStyle="1" w:styleId="38">
    <w:name w:val="n-link7"/>
    <w:basedOn w:val="16"/>
    <w:qFormat/>
    <w:uiPriority w:val="0"/>
  </w:style>
  <w:style w:type="character" w:customStyle="1" w:styleId="39">
    <w:name w:val="n-link5h"/>
    <w:basedOn w:val="16"/>
    <w:qFormat/>
    <w:uiPriority w:val="0"/>
    <w:rPr>
      <w:color w:val="FFFFFF"/>
    </w:rPr>
  </w:style>
  <w:style w:type="character" w:customStyle="1" w:styleId="40">
    <w:name w:val="n-link2"/>
    <w:basedOn w:val="16"/>
    <w:qFormat/>
    <w:uiPriority w:val="0"/>
  </w:style>
  <w:style w:type="character" w:customStyle="1" w:styleId="41">
    <w:name w:val="n-link4h"/>
    <w:basedOn w:val="16"/>
    <w:qFormat/>
    <w:uiPriority w:val="0"/>
    <w:rPr>
      <w:color w:val="FFFFFF"/>
    </w:rPr>
  </w:style>
  <w:style w:type="character" w:customStyle="1" w:styleId="42">
    <w:name w:val="n-link8h"/>
    <w:basedOn w:val="16"/>
    <w:qFormat/>
    <w:uiPriority w:val="0"/>
    <w:rPr>
      <w:color w:val="FFFFFF"/>
    </w:rPr>
  </w:style>
  <w:style w:type="character" w:customStyle="1" w:styleId="43">
    <w:name w:val="n-link6"/>
    <w:basedOn w:val="16"/>
    <w:qFormat/>
    <w:uiPriority w:val="0"/>
  </w:style>
  <w:style w:type="character" w:customStyle="1" w:styleId="44">
    <w:name w:val="n-link8"/>
    <w:basedOn w:val="16"/>
    <w:qFormat/>
    <w:uiPriority w:val="0"/>
  </w:style>
  <w:style w:type="character" w:customStyle="1" w:styleId="45">
    <w:name w:val="n-link4"/>
    <w:basedOn w:val="16"/>
    <w:qFormat/>
    <w:uiPriority w:val="0"/>
  </w:style>
  <w:style w:type="character" w:customStyle="1" w:styleId="46">
    <w:name w:val="n-link1"/>
    <w:basedOn w:val="16"/>
    <w:qFormat/>
    <w:uiPriority w:val="0"/>
  </w:style>
  <w:style w:type="character" w:customStyle="1" w:styleId="47">
    <w:name w:val="n-link7h"/>
    <w:basedOn w:val="16"/>
    <w:qFormat/>
    <w:uiPriority w:val="0"/>
    <w:rPr>
      <w:color w:val="FFFFFF"/>
    </w:rPr>
  </w:style>
  <w:style w:type="character" w:customStyle="1" w:styleId="48">
    <w:name w:val="n-link2h"/>
    <w:basedOn w:val="16"/>
    <w:qFormat/>
    <w:uiPriority w:val="0"/>
    <w:rPr>
      <w:color w:val="FFFFFF"/>
    </w:rPr>
  </w:style>
  <w:style w:type="character" w:customStyle="1" w:styleId="49">
    <w:name w:val="页眉 字符"/>
    <w:basedOn w:val="16"/>
    <w:link w:val="12"/>
    <w:qFormat/>
    <w:uiPriority w:val="0"/>
    <w:rPr>
      <w:rFonts w:ascii="Calibri" w:hAnsi="Calibri"/>
      <w:kern w:val="2"/>
      <w:sz w:val="18"/>
      <w:szCs w:val="18"/>
    </w:rPr>
  </w:style>
  <w:style w:type="character" w:customStyle="1" w:styleId="50">
    <w:name w:val="页脚 字符"/>
    <w:basedOn w:val="16"/>
    <w:link w:val="11"/>
    <w:qFormat/>
    <w:uiPriority w:val="99"/>
    <w:rPr>
      <w:rFonts w:ascii="Calibri" w:hAnsi="Calibri"/>
      <w:kern w:val="2"/>
      <w:sz w:val="18"/>
      <w:szCs w:val="18"/>
    </w:rPr>
  </w:style>
  <w:style w:type="character" w:customStyle="1" w:styleId="51">
    <w:name w:val="标题 1 字符"/>
    <w:basedOn w:val="16"/>
    <w:link w:val="2"/>
    <w:qFormat/>
    <w:uiPriority w:val="0"/>
    <w:rPr>
      <w:rFonts w:ascii="Calibri" w:hAnsi="Calibri"/>
      <w:b/>
      <w:bCs/>
      <w:kern w:val="44"/>
      <w:sz w:val="44"/>
      <w:szCs w:val="44"/>
    </w:rPr>
  </w:style>
  <w:style w:type="character" w:customStyle="1" w:styleId="52">
    <w:name w:val="批注文字 字符"/>
    <w:basedOn w:val="16"/>
    <w:link w:val="5"/>
    <w:qFormat/>
    <w:uiPriority w:val="99"/>
    <w:rPr>
      <w:rFonts w:ascii="等线" w:hAnsi="等线" w:eastAsia="等线"/>
      <w:kern w:val="2"/>
      <w:sz w:val="21"/>
      <w:szCs w:val="22"/>
    </w:rPr>
  </w:style>
  <w:style w:type="character" w:customStyle="1" w:styleId="53">
    <w:name w:val="批注文字 Char1"/>
    <w:basedOn w:val="16"/>
    <w:qFormat/>
    <w:uiPriority w:val="0"/>
    <w:rPr>
      <w:rFonts w:ascii="Calibri" w:hAnsi="Calibri"/>
      <w:kern w:val="2"/>
      <w:sz w:val="21"/>
      <w:szCs w:val="24"/>
    </w:rPr>
  </w:style>
  <w:style w:type="character" w:customStyle="1" w:styleId="54">
    <w:name w:val="批注框文本 字符"/>
    <w:basedOn w:val="16"/>
    <w:link w:val="10"/>
    <w:qFormat/>
    <w:uiPriority w:val="0"/>
    <w:rPr>
      <w:rFonts w:ascii="Calibri" w:hAnsi="Calibri"/>
      <w:kern w:val="2"/>
      <w:sz w:val="18"/>
      <w:szCs w:val="18"/>
    </w:rPr>
  </w:style>
  <w:style w:type="paragraph" w:customStyle="1" w:styleId="55">
    <w:name w:val="修订1"/>
    <w:hidden/>
    <w:unhideWhenUsed/>
    <w:qFormat/>
    <w:uiPriority w:val="99"/>
    <w:rPr>
      <w:rFonts w:ascii="Calibri" w:hAnsi="Calibri" w:eastAsia="宋体" w:cs="Times New Roman"/>
      <w:kern w:val="2"/>
      <w:sz w:val="21"/>
      <w:szCs w:val="24"/>
      <w:lang w:val="en-US" w:eastAsia="zh-CN" w:bidi="ar-SA"/>
    </w:rPr>
  </w:style>
  <w:style w:type="character" w:customStyle="1" w:styleId="56">
    <w:name w:val="纯文本 字符"/>
    <w:link w:val="9"/>
    <w:qFormat/>
    <w:uiPriority w:val="0"/>
    <w:rPr>
      <w:rFonts w:ascii="宋体" w:hAnsi="Courier New"/>
      <w:kern w:val="2"/>
      <w:sz w:val="21"/>
    </w:rPr>
  </w:style>
  <w:style w:type="character" w:customStyle="1" w:styleId="57">
    <w:name w:val="纯文本 Char1"/>
    <w:basedOn w:val="16"/>
    <w:qFormat/>
    <w:uiPriority w:val="0"/>
    <w:rPr>
      <w:rFonts w:ascii="宋体" w:hAnsi="Courier New" w:cs="Courier New"/>
      <w:kern w:val="2"/>
      <w:sz w:val="21"/>
      <w:szCs w:val="21"/>
    </w:rPr>
  </w:style>
  <w:style w:type="paragraph" w:customStyle="1" w:styleId="5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0">
    <w:name w:val="font81"/>
    <w:basedOn w:val="16"/>
    <w:qFormat/>
    <w:uiPriority w:val="0"/>
    <w:rPr>
      <w:rFonts w:hint="default" w:ascii="Times New Roman" w:hAnsi="Times New Roman" w:cs="Times New Roman"/>
      <w:color w:val="000000"/>
      <w:sz w:val="20"/>
      <w:szCs w:val="20"/>
      <w:u w:val="none"/>
    </w:rPr>
  </w:style>
  <w:style w:type="character" w:customStyle="1" w:styleId="61">
    <w:name w:val="font41"/>
    <w:basedOn w:val="16"/>
    <w:qFormat/>
    <w:uiPriority w:val="0"/>
    <w:rPr>
      <w:rFonts w:hint="eastAsia" w:ascii="宋体" w:hAnsi="宋体" w:eastAsia="宋体" w:cs="宋体"/>
      <w:color w:val="000000"/>
      <w:sz w:val="20"/>
      <w:szCs w:val="20"/>
      <w:u w:val="none"/>
    </w:rPr>
  </w:style>
  <w:style w:type="paragraph" w:customStyle="1" w:styleId="62">
    <w:name w:val="正文 New"/>
    <w:basedOn w:val="1"/>
    <w:unhideWhenUsed/>
    <w:qFormat/>
    <w:uiPriority w:val="0"/>
    <w:pPr>
      <w:spacing w:before="100" w:beforeLines="0" w:beforeAutospacing="1" w:after="100" w:afterLines="0" w:afterAutospacing="1" w:line="440" w:lineRule="exact"/>
      <w:ind w:left="357" w:hanging="357"/>
    </w:pPr>
    <w:rPr>
      <w:rFonts w:hint="default"/>
      <w:sz w:val="21"/>
      <w:szCs w:val="21"/>
    </w:rPr>
  </w:style>
  <w:style w:type="character" w:customStyle="1" w:styleId="63">
    <w:name w:val="font0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2026</Words>
  <Characters>2381</Characters>
  <Lines>1</Lines>
  <Paragraphs>1</Paragraphs>
  <TotalTime>29</TotalTime>
  <ScaleCrop>false</ScaleCrop>
  <LinksUpToDate>false</LinksUpToDate>
  <CharactersWithSpaces>2568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2025-07-17T03:05:00Z</cp:lastPrinted>
  <dcterms:modified xsi:type="dcterms:W3CDTF">2025-07-17T03:18:16Z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6DD830D054DC496EA5CB17B4AAF4D841_13</vt:lpwstr>
  </property>
  <property fmtid="{D5CDD505-2E9C-101B-9397-08002B2CF9AE}" pid="4" name="KSOTemplateDocerSaveRecord">
    <vt:lpwstr>eyJoZGlkIjoiMTMwNThmOGUzNjkyYjE5ZmFlZTgwN2Y2ZWZmZGIyOGUiLCJ1c2VySWQiOiIyMjQxNjg4MTMifQ==</vt:lpwstr>
  </property>
</Properties>
</file>