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 xml:space="preserve">安兴公司业务车辆采购（二次） </w:t>
      </w:r>
    </w:p>
    <w:p w14:paraId="22E13E14">
      <w:pPr>
        <w:pStyle w:val="82"/>
        <w:ind w:left="0" w:leftChars="0" w:firstLine="0" w:firstLineChars="0"/>
        <w:rPr>
          <w:highlight w:val="none"/>
        </w:rPr>
      </w:pPr>
    </w:p>
    <w:p w14:paraId="166112D3">
      <w:pPr>
        <w:pStyle w:val="8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2"/>
        <w:spacing w:before="120"/>
        <w:ind w:firstLine="350"/>
        <w:rPr>
          <w:color w:val="000000" w:themeColor="text1"/>
          <w:highlight w:val="none"/>
          <w14:textFill>
            <w14:solidFill>
              <w14:schemeClr w14:val="tx1"/>
            </w14:solidFill>
          </w14:textFill>
        </w:rPr>
      </w:pPr>
    </w:p>
    <w:p w14:paraId="5FAA15A8">
      <w:pPr>
        <w:pStyle w:val="8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AQJK-CG-2025-047</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2"/>
        <w:spacing w:before="120"/>
        <w:ind w:firstLine="350"/>
        <w:rPr>
          <w:color w:val="000000" w:themeColor="text1"/>
          <w:highlight w:val="none"/>
          <w14:textFill>
            <w14:solidFill>
              <w14:schemeClr w14:val="tx1"/>
            </w14:solidFill>
          </w14:textFill>
        </w:rPr>
      </w:pPr>
    </w:p>
    <w:p w14:paraId="17A9177D">
      <w:pPr>
        <w:pStyle w:val="82"/>
        <w:spacing w:before="120"/>
        <w:ind w:firstLine="350"/>
        <w:rPr>
          <w:color w:val="000000" w:themeColor="text1"/>
          <w:highlight w:val="none"/>
          <w14:textFill>
            <w14:solidFill>
              <w14:schemeClr w14:val="tx1"/>
            </w14:solidFill>
          </w14:textFill>
        </w:rPr>
      </w:pPr>
    </w:p>
    <w:p w14:paraId="2962D74B">
      <w:pPr>
        <w:pStyle w:val="82"/>
        <w:spacing w:before="120"/>
        <w:rPr>
          <w:color w:val="000000" w:themeColor="text1"/>
          <w:highlight w:val="none"/>
          <w14:textFill>
            <w14:solidFill>
              <w14:schemeClr w14:val="tx1"/>
            </w14:solidFill>
          </w14:textFill>
        </w:rPr>
      </w:pPr>
    </w:p>
    <w:p w14:paraId="528C41A2">
      <w:pPr>
        <w:pStyle w:val="82"/>
        <w:spacing w:before="120"/>
        <w:ind w:left="0" w:leftChars="0" w:firstLine="0" w:firstLineChars="0"/>
        <w:rPr>
          <w:color w:val="000000" w:themeColor="text1"/>
          <w:highlight w:val="none"/>
          <w14:textFill>
            <w14:solidFill>
              <w14:schemeClr w14:val="tx1"/>
            </w14:solidFill>
          </w14:textFill>
        </w:rPr>
      </w:pPr>
    </w:p>
    <w:p w14:paraId="2F0EEB41">
      <w:pPr>
        <w:pStyle w:val="82"/>
        <w:spacing w:before="120"/>
        <w:ind w:left="0" w:leftChars="0" w:firstLine="0" w:firstLineChars="0"/>
        <w:rPr>
          <w:color w:val="000000" w:themeColor="text1"/>
          <w:highlight w:val="none"/>
          <w14:textFill>
            <w14:solidFill>
              <w14:schemeClr w14:val="tx1"/>
            </w14:solidFill>
          </w14:textFill>
        </w:rPr>
      </w:pPr>
    </w:p>
    <w:p w14:paraId="4E5A5848">
      <w:pPr>
        <w:pStyle w:val="8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安庆市安兴新材料科技有限公司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2"/>
        <w:rPr>
          <w:highlight w:val="none"/>
        </w:rPr>
      </w:pPr>
    </w:p>
    <w:p w14:paraId="38B8C5B5">
      <w:pPr>
        <w:pStyle w:val="8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079638AD">
      <w:pPr>
        <w:spacing w:line="360" w:lineRule="auto"/>
        <w:jc w:val="center"/>
        <w:rPr>
          <w:rFonts w:hint="eastAsia" w:ascii="宋体" w:hAnsi="宋体" w:eastAsia="宋体" w:cs="仿宋_GB2312"/>
          <w:b/>
          <w:color w:val="000000" w:themeColor="text1"/>
          <w:sz w:val="24"/>
          <w:highlight w:val="none"/>
          <w:u w:val="single"/>
          <w:lang w:eastAsia="zh-CN"/>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集</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采</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中</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心</w:t>
      </w:r>
    </w:p>
    <w:p w14:paraId="6367D6EB">
      <w:pPr>
        <w:spacing w:line="480" w:lineRule="exact"/>
        <w:rPr>
          <w:rFonts w:ascii="宋体" w:hAnsi="宋体" w:cs="仿宋_GB2312"/>
          <w:color w:val="000000" w:themeColor="text1"/>
          <w:szCs w:val="21"/>
          <w:highlight w:val="none"/>
          <w14:textFill>
            <w14:solidFill>
              <w14:schemeClr w14:val="tx1"/>
            </w14:solidFill>
          </w14:textFill>
        </w:rPr>
      </w:pP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27BAAF0">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六</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21464"/>
      <w:bookmarkStart w:id="1" w:name="_Toc54941328"/>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7</w:t>
      </w:r>
    </w:p>
    <w:p w14:paraId="33570848">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p>
    <w:p w14:paraId="1847CBA9">
      <w:pPr>
        <w:pStyle w:val="30"/>
        <w:tabs>
          <w:tab w:val="right" w:leader="dot" w:pos="9060"/>
        </w:tabs>
        <w:spacing w:line="480" w:lineRule="auto"/>
        <w:ind w:left="0"/>
        <w:jc w:val="center"/>
        <w:rPr>
          <w:rFonts w:hint="default" w:ascii="Arial" w:hAnsi="Arial" w:eastAsia="黑体"/>
          <w:b/>
          <w:i w:val="0"/>
          <w:color w:val="000000" w:themeColor="text1"/>
          <w:sz w:val="32"/>
          <w:szCs w:val="32"/>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 xml:space="preserve">安兴公司业务车辆采购（二次） </w:t>
      </w:r>
    </w:p>
    <w:p w14:paraId="77D98324">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28359012"/>
      <w:bookmarkStart w:id="6" w:name="_Toc35393798"/>
      <w:bookmarkStart w:id="7" w:name="_Toc35393629"/>
      <w:r>
        <w:rPr>
          <w:rFonts w:hint="eastAsia" w:ascii="仿宋" w:hAnsi="仿宋" w:eastAsia="仿宋"/>
          <w:color w:val="000000" w:themeColor="text1"/>
          <w:sz w:val="28"/>
          <w:szCs w:val="28"/>
          <w:highlight w:val="none"/>
          <w:lang w:eastAsia="zh-CN"/>
          <w14:textFill>
            <w14:solidFill>
              <w14:schemeClr w14:val="tx1"/>
            </w14:solidFill>
          </w14:textFill>
        </w:rPr>
        <w:t>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安庆市安兴新材料科技有限公司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 xml:space="preserve">安兴公司业务车辆采购（二次） </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AQJK-CG-2025-047</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 xml:space="preserve">安兴公司业务车辆采购（二次） </w:t>
      </w:r>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采购业务车辆（奇瑞风云T9 210KM超长续航旗舰型） </w:t>
      </w:r>
    </w:p>
    <w:p w14:paraId="10970356">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168000.00</w:t>
      </w:r>
      <w:r>
        <w:rPr>
          <w:rFonts w:hint="eastAsia" w:ascii="仿宋" w:hAnsi="仿宋" w:eastAsia="仿宋"/>
          <w:color w:val="000000" w:themeColor="text1"/>
          <w:sz w:val="28"/>
          <w:szCs w:val="28"/>
          <w:highlight w:val="none"/>
          <w:lang w:eastAsia="zh-CN"/>
          <w14:textFill>
            <w14:solidFill>
              <w14:schemeClr w14:val="tx1"/>
            </w14:solidFill>
          </w14:textFill>
        </w:rPr>
        <w:t>元</w:t>
      </w:r>
    </w:p>
    <w:p w14:paraId="03AEFC4B">
      <w:pPr>
        <w:spacing w:line="480" w:lineRule="atLeas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项目要求：中标单位与安兴公司签订采购合同，合同签订后安兴公司支付车辆定金10000元，中标单位收到定金后两周内交货，安兴公司现场验车无误后结清全款，自提车辆。中标单位需开具机动车销售统一发票。</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B68A11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7B3192F9">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5968A48">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6月18日</w:t>
      </w:r>
      <w:r>
        <w:rPr>
          <w:rFonts w:hint="eastAsia" w:ascii="仿宋" w:hAnsi="仿宋" w:eastAsia="仿宋"/>
          <w:color w:val="000000" w:themeColor="text1"/>
          <w:sz w:val="28"/>
          <w:szCs w:val="28"/>
          <w:highlight w:val="none"/>
          <w14:textFill>
            <w14:solidFill>
              <w14:schemeClr w14:val="tx1"/>
            </w14:solidFill>
          </w14:textFill>
        </w:rPr>
        <w:t>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6月18日</w:t>
      </w:r>
      <w:r>
        <w:rPr>
          <w:rFonts w:hint="eastAsia" w:ascii="仿宋" w:hAnsi="仿宋" w:eastAsia="仿宋"/>
          <w:color w:val="000000" w:themeColor="text1"/>
          <w:sz w:val="28"/>
          <w:szCs w:val="28"/>
          <w:highlight w:val="none"/>
          <w14:textFill>
            <w14:solidFill>
              <w14:schemeClr w14:val="tx1"/>
            </w14:solidFill>
          </w14:textFill>
        </w:rPr>
        <w:t>17点30分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06B63F6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2025年6月19日15</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35393805"/>
      <w:bookmarkStart w:id="10" w:name="_Toc28359095"/>
      <w:bookmarkStart w:id="11" w:name="_Toc28359018"/>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96"/>
      <w:bookmarkStart w:id="13" w:name="_Toc35393637"/>
      <w:bookmarkStart w:id="14" w:name="_Toc28359019"/>
      <w:bookmarkStart w:id="15" w:name="_Toc3539380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1DABCD8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称：安庆市安兴新材料科技有限公司</w:t>
      </w:r>
    </w:p>
    <w:p w14:paraId="1126377A">
      <w:pPr>
        <w:ind w:firstLine="560" w:firstLineChars="200"/>
        <w:rPr>
          <w:rFonts w:hint="eastAsia" w:ascii="仿宋" w:hAnsi="仿宋" w:eastAsia="仿宋" w:cs="仿宋"/>
          <w:sz w:val="30"/>
          <w:szCs w:val="30"/>
          <w:lang w:val="en-US" w:eastAsia="zh-CN"/>
        </w:rPr>
      </w:pPr>
      <w:r>
        <w:rPr>
          <w:rFonts w:hint="eastAsia" w:ascii="仿宋" w:hAnsi="仿宋" w:eastAsia="仿宋" w:cs="仿宋"/>
          <w:bCs/>
          <w:sz w:val="28"/>
          <w:szCs w:val="28"/>
          <w:highlight w:val="none"/>
          <w:lang w:val="en-US" w:eastAsia="zh-CN"/>
        </w:rPr>
        <w:t>地     址：</w:t>
      </w:r>
      <w:r>
        <w:rPr>
          <w:rFonts w:hint="eastAsia" w:ascii="仿宋" w:hAnsi="仿宋" w:eastAsia="仿宋" w:cs="仿宋"/>
          <w:sz w:val="30"/>
          <w:szCs w:val="30"/>
          <w:lang w:val="en-US" w:eastAsia="zh-CN"/>
        </w:rPr>
        <w:t>安庆市大观区宜园路16号交控集团2号楼</w:t>
      </w:r>
    </w:p>
    <w:p w14:paraId="092502D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人：吴昊</w:t>
      </w:r>
    </w:p>
    <w:p w14:paraId="240E7B58">
      <w:pPr>
        <w:ind w:firstLine="600" w:firstLineChars="200"/>
        <w:rPr>
          <w:rFonts w:hint="eastAsia" w:ascii="仿宋" w:hAnsi="仿宋" w:eastAsia="仿宋" w:cs="仿宋"/>
          <w:bCs/>
          <w:sz w:val="28"/>
          <w:szCs w:val="28"/>
          <w:highlight w:val="none"/>
          <w:lang w:val="en-US" w:eastAsia="zh-CN"/>
        </w:rPr>
      </w:pPr>
      <w:r>
        <w:rPr>
          <w:rFonts w:hint="eastAsia" w:ascii="仿宋" w:hAnsi="仿宋" w:eastAsia="仿宋" w:cs="仿宋"/>
          <w:sz w:val="30"/>
          <w:szCs w:val="30"/>
          <w:lang w:val="en-US" w:eastAsia="zh-CN"/>
        </w:rPr>
        <w:t>联系方式：0556-5578913</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w:t>
      </w:r>
      <w:r>
        <w:rPr>
          <w:rFonts w:ascii="仿宋" w:hAnsi="仿宋" w:eastAsia="仿宋" w:cs="仿宋"/>
          <w:i w:val="0"/>
          <w:iCs w:val="0"/>
          <w:caps w:val="0"/>
          <w:color w:val="000000"/>
          <w:spacing w:val="0"/>
          <w:sz w:val="28"/>
          <w:szCs w:val="28"/>
          <w:shd w:val="clear" w:fill="FFFFFF"/>
        </w:rPr>
        <w:t>0556-5990510</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安兴公司业务车辆采购（二次） 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26069"/>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3"/>
        <w:rPr>
          <w:rFonts w:cs="Tahoma"/>
          <w:bCs/>
          <w:color w:val="000000" w:themeColor="text1"/>
          <w:kern w:val="0"/>
          <w:sz w:val="32"/>
          <w:szCs w:val="32"/>
          <w:highlight w:val="none"/>
          <w14:textFill>
            <w14:solidFill>
              <w14:schemeClr w14:val="tx1"/>
            </w14:solidFill>
          </w14:textFill>
        </w:rPr>
      </w:pPr>
      <w:bookmarkStart w:id="20" w:name="_Toc17862"/>
      <w:bookmarkStart w:id="21" w:name="_Toc439316871"/>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bookmarkStart w:id="75" w:name="_GoBack"/>
            <w:r>
              <w:rPr>
                <w:rFonts w:hint="eastAsia"/>
                <w:b w:val="0"/>
                <w:bCs w:val="0"/>
                <w:color w:val="000000" w:themeColor="text1"/>
                <w:sz w:val="21"/>
                <w:szCs w:val="21"/>
                <w:highlight w:val="none"/>
                <w:lang w:val="en-US" w:eastAsia="zh-CN"/>
                <w14:textFill>
                  <w14:solidFill>
                    <w14:schemeClr w14:val="tx1"/>
                  </w14:solidFill>
                </w14:textFill>
              </w:rPr>
              <w:t>安兴公司业务车辆采购</w:t>
            </w:r>
            <w:bookmarkEnd w:id="75"/>
            <w:r>
              <w:rPr>
                <w:rFonts w:hint="eastAsia"/>
                <w:b w:val="0"/>
                <w:bCs w:val="0"/>
                <w:color w:val="000000" w:themeColor="text1"/>
                <w:sz w:val="21"/>
                <w:szCs w:val="21"/>
                <w:highlight w:val="none"/>
                <w:lang w:val="en-US" w:eastAsia="zh-CN"/>
                <w14:textFill>
                  <w14:solidFill>
                    <w14:schemeClr w14:val="tx1"/>
                  </w14:solidFill>
                </w14:textFill>
              </w:rPr>
              <w:t xml:space="preserve">（二次） </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AQJK-CG-2025-047</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安庆市安兴新材料科技有限公司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168000.00元</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2025年6月19日15</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项目要求</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中标单位与安兴公司签订采购合同，合同签订后安兴公司支付车辆定金10000元，中标单位收到定金后两周内交货，安兴公司现场验车无误后结清全款，自提车辆。中标单位需开具机动车销售统一发票。</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安庆市安兴新材料科技有限公司，特此说明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3"/>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16271"/>
      <w:bookmarkStart w:id="25" w:name="_Toc54941331"/>
      <w:bookmarkStart w:id="26" w:name="_Toc2521"/>
      <w:bookmarkStart w:id="27" w:name="_Toc12394"/>
      <w:bookmarkStart w:id="28" w:name="_Toc54941337"/>
      <w:bookmarkStart w:id="29" w:name="_Toc476584426"/>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bookmarkStart w:id="32" w:name="_Toc23618"/>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23EA11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0EF1F4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6B2CC9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5D407D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517A6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13ADAE1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468F923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540C070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6315C778">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eastAsia="宋体"/>
          <w:bCs/>
          <w:szCs w:val="21"/>
          <w:highlight w:val="none"/>
        </w:rPr>
      </w:pPr>
    </w:p>
    <w:p w14:paraId="4F044542">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3" w:name="_Toc8536"/>
      <w:bookmarkStart w:id="34" w:name="_Toc4481593"/>
      <w:bookmarkStart w:id="35" w:name="_Toc479622044"/>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w:t>
      </w:r>
      <w:bookmarkEnd w:id="33"/>
      <w:bookmarkEnd w:id="34"/>
      <w:bookmarkEnd w:id="35"/>
      <w:r>
        <w:rPr>
          <w:rFonts w:hint="eastAsia" w:ascii="Arial" w:hAnsi="Arial" w:eastAsia="宋体"/>
          <w:b/>
          <w:kern w:val="0"/>
          <w:sz w:val="32"/>
          <w:highlight w:val="none"/>
        </w:rPr>
        <w:t>比选文件</w:t>
      </w:r>
    </w:p>
    <w:p w14:paraId="3DC33FF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226642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088002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38D39F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（2）第二章  参选人须知；</w:t>
      </w:r>
    </w:p>
    <w:p w14:paraId="7A639ED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3504C3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6F41A3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4A494B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39A5E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2F29380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DD4DAED">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w:t>
      </w:r>
      <w:bookmarkStart w:id="36" w:name="_Toc9821"/>
      <w:r>
        <w:rPr>
          <w:rFonts w:hint="eastAsia" w:ascii="宋体" w:hAnsi="宋体" w:eastAsia="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bookmarkEnd w:id="36"/>
    <w:p w14:paraId="2CB1309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250E05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360D9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10、投标报价</w:t>
      </w:r>
    </w:p>
    <w:p w14:paraId="064CD3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10.1、参选文件的报价表上应清楚地标明参选人拟提供</w:t>
      </w:r>
      <w:r>
        <w:rPr>
          <w:rFonts w:hint="eastAsia" w:ascii="宋体" w:hAnsi="宋体" w:eastAsia="宋体"/>
          <w:szCs w:val="21"/>
          <w:highlight w:val="none"/>
          <w:lang w:val="en-US" w:eastAsia="zh-CN"/>
        </w:rPr>
        <w:t>货物/服务</w:t>
      </w:r>
      <w:r>
        <w:rPr>
          <w:rFonts w:hint="eastAsia" w:ascii="宋体" w:hAnsi="宋体" w:eastAsia="宋体"/>
          <w:szCs w:val="21"/>
          <w:highlight w:val="none"/>
        </w:rPr>
        <w:t>的名称、价格等内容。</w:t>
      </w:r>
    </w:p>
    <w:p w14:paraId="5BDD4DE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10.4、投标报价高于最高投标限价为投标无效。</w:t>
      </w:r>
    </w:p>
    <w:p w14:paraId="2F3B11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10.6、</w:t>
      </w:r>
      <w:r>
        <w:rPr>
          <w:rFonts w:hint="eastAsia" w:ascii="宋体" w:hAnsi="宋体" w:eastAsia="宋体"/>
          <w:szCs w:val="21"/>
          <w:highlight w:val="none"/>
          <w:lang w:eastAsia="zh-CN"/>
        </w:rPr>
        <w:t>参选函</w:t>
      </w:r>
      <w:r>
        <w:rPr>
          <w:rFonts w:hint="eastAsia" w:ascii="宋体" w:hAnsi="宋体" w:eastAsia="宋体"/>
          <w:szCs w:val="21"/>
          <w:highlight w:val="none"/>
        </w:rPr>
        <w:t>中报价与参选文件中相应内容不一致的，以</w:t>
      </w:r>
      <w:r>
        <w:rPr>
          <w:rFonts w:hint="eastAsia" w:ascii="宋体" w:hAnsi="宋体" w:eastAsia="宋体"/>
          <w:szCs w:val="21"/>
          <w:highlight w:val="none"/>
          <w:lang w:eastAsia="zh-CN"/>
        </w:rPr>
        <w:t>参选函</w:t>
      </w:r>
      <w:r>
        <w:rPr>
          <w:rFonts w:hint="eastAsia" w:ascii="宋体" w:hAnsi="宋体" w:eastAsia="宋体"/>
          <w:szCs w:val="21"/>
          <w:highlight w:val="none"/>
        </w:rPr>
        <w:t>中报价为准。</w:t>
      </w:r>
    </w:p>
    <w:p w14:paraId="173664E4">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2950B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3ECCDCB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1ECC73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59B07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7C87106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eastAsia="宋体"/>
          <w:szCs w:val="21"/>
          <w:highlight w:val="none"/>
        </w:rPr>
      </w:pPr>
    </w:p>
    <w:p w14:paraId="20314949">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7" w:name="_Toc4481594"/>
      <w:bookmarkStart w:id="38" w:name="_Toc25319"/>
      <w:bookmarkStart w:id="39" w:name="_Toc12503"/>
      <w:bookmarkStart w:id="40" w:name="_Toc479622046"/>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2F248F1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2C37328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214A60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6FC78CB2">
      <w:pPr>
        <w:widowControl/>
        <w:spacing w:line="500" w:lineRule="exact"/>
        <w:ind w:firstLine="420" w:firstLineChars="200"/>
        <w:jc w:val="left"/>
        <w:rPr>
          <w:rFonts w:ascii="宋体" w:hAnsi="宋体" w:eastAsia="宋体"/>
          <w:szCs w:val="21"/>
          <w:highlight w:val="none"/>
        </w:rPr>
      </w:pPr>
      <w:bookmarkStart w:id="41" w:name="_Toc479622047"/>
      <w:bookmarkStart w:id="42" w:name="_Toc23598"/>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5"/>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0D549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34D0D9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677A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00FBBA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3EF13D1F">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4E7CCA7C">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256A1E6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821B2CF">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4CF1178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14FB6F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4EB9114E">
      <w:pPr>
        <w:widowControl/>
        <w:spacing w:line="500" w:lineRule="exact"/>
        <w:ind w:firstLine="420" w:firstLineChars="200"/>
        <w:jc w:val="left"/>
        <w:rPr>
          <w:rFonts w:ascii="宋体" w:hAnsi="宋体" w:eastAsia="宋体"/>
          <w:szCs w:val="21"/>
          <w:highlight w:val="none"/>
        </w:rPr>
      </w:pPr>
    </w:p>
    <w:p w14:paraId="7F975AA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4" w:name="_Toc4481596"/>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5491D73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0C50B02F">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45D773C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75CF4D9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047A9A">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0C9D527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2BE14DD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eastAsia="宋体"/>
          <w:b/>
          <w:bCs/>
          <w:szCs w:val="21"/>
          <w:highlight w:val="none"/>
        </w:rPr>
        <w:t>参选人报价不得高于最高投标限价</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152E0904">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4B113B6F">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6B82D97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77F9EE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6A1B106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158C6B17">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7E5DBEAF">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09F08AC9">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45" w:name="_Toc15032"/>
      <w:bookmarkStart w:id="46" w:name="_Toc418517858"/>
      <w:bookmarkStart w:id="47" w:name="_Toc417655921"/>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szCs w:val="24"/>
          <w:highlight w:val="none"/>
        </w:rPr>
      </w:pPr>
      <w:bookmarkStart w:id="48" w:name="_Toc456882340"/>
      <w:bookmarkStart w:id="49" w:name="_Toc31095"/>
      <w:bookmarkStart w:id="50" w:name="_Toc19876"/>
      <w:bookmarkStart w:id="51" w:name="_Toc10586"/>
      <w:bookmarkStart w:id="52" w:name="_Toc10987"/>
      <w:bookmarkStart w:id="53" w:name="_Toc433721697"/>
      <w:bookmarkStart w:id="54" w:name="_Toc457998294"/>
      <w:bookmarkStart w:id="55" w:name="_Toc478821422"/>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56"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56"/>
    </w:p>
    <w:p w14:paraId="6F8B77F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57" w:name="_Toc418517860"/>
      <w:bookmarkStart w:id="58" w:name="_Toc21358"/>
      <w:bookmarkStart w:id="59" w:name="_Toc417655923"/>
      <w:r>
        <w:rPr>
          <w:rFonts w:hint="eastAsia" w:ascii="宋体" w:hAnsi="宋体" w:eastAsia="宋体"/>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28.1.1、中标人的中标价即为合同价款。</w:t>
      </w:r>
    </w:p>
    <w:p w14:paraId="37C6B42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3D1DFD49">
      <w:pPr>
        <w:pStyle w:val="2"/>
        <w:numPr>
          <w:ilvl w:val="0"/>
          <w:numId w:val="6"/>
        </w:numPr>
        <w:spacing w:before="62" w:beforeLines="20" w:after="62" w:afterLines="20" w:line="480" w:lineRule="exact"/>
        <w:ind w:firstLine="0" w:firstLineChars="0"/>
        <w:jc w:val="center"/>
        <w:rPr>
          <w:rFonts w:hint="eastAsia"/>
          <w:highlight w:val="none"/>
        </w:rPr>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pPr>
      <w:bookmarkStart w:id="60" w:name="_Toc54941340"/>
      <w:bookmarkStart w:id="61" w:name="_Toc10569"/>
      <w:bookmarkStart w:id="62" w:name="_Toc11149"/>
    </w:p>
    <w:p w14:paraId="63A7CC30">
      <w:pPr>
        <w:pStyle w:val="2"/>
        <w:numPr>
          <w:ilvl w:val="0"/>
          <w:numId w:val="0"/>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Arial" w:hAnsi="Arial" w:cs="Times New Roman"/>
          <w:color w:val="000000" w:themeColor="text1"/>
          <w:kern w:val="2"/>
          <w:sz w:val="32"/>
          <w:szCs w:val="32"/>
          <w:highlight w:val="none"/>
          <w:lang w:val="en-US" w:eastAsia="zh-CN"/>
          <w14:textFill>
            <w14:solidFill>
              <w14:schemeClr w14:val="tx1"/>
            </w14:solidFill>
          </w14:textFill>
        </w:rPr>
        <w:t>第三章</w:t>
      </w:r>
      <w:r>
        <w:rPr>
          <w:rFonts w:hint="eastAsia" w:ascii="Arial" w:hAnsi="Arial" w:cs="Times New Roman"/>
          <w:color w:val="000000" w:themeColor="text1"/>
          <w:kern w:val="2"/>
          <w:sz w:val="32"/>
          <w:szCs w:val="32"/>
          <w:highlight w:val="none"/>
          <w:lang w:eastAsia="zh-CN"/>
          <w14:textFill>
            <w14:solidFill>
              <w14:schemeClr w14:val="tx1"/>
            </w14:solidFill>
          </w14:textFill>
        </w:rPr>
        <w:t xml:space="preserve"> 项目</w:t>
      </w:r>
      <w:r>
        <w:rPr>
          <w:rFonts w:hint="eastAsia" w:ascii="Arial" w:hAnsi="Arial"/>
          <w:color w:val="000000" w:themeColor="text1"/>
          <w:kern w:val="2"/>
          <w:sz w:val="32"/>
          <w:szCs w:val="32"/>
          <w:highlight w:val="none"/>
          <w:lang w:eastAsia="zh-CN"/>
          <w14:textFill>
            <w14:solidFill>
              <w14:schemeClr w14:val="tx1"/>
            </w14:solidFill>
          </w14:textFill>
        </w:rPr>
        <w:t>需求及技术要求</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7"/>
        <w:gridCol w:w="2152"/>
        <w:gridCol w:w="7288"/>
        <w:gridCol w:w="1667"/>
        <w:gridCol w:w="1440"/>
      </w:tblGrid>
      <w:tr w14:paraId="4654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BB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业务车辆采购清单</w:t>
            </w:r>
          </w:p>
        </w:tc>
      </w:tr>
      <w:tr w14:paraId="39A2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1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D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货物类别</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7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配置内容</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333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最高限价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2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w:t>
            </w:r>
          </w:p>
        </w:tc>
      </w:tr>
      <w:tr w14:paraId="27E7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AC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安庆市安兴新材料科技有限公司</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C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业务车辆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（奇瑞风云T9 210KM超长续航旗舰型 5座）</w:t>
            </w:r>
          </w:p>
        </w:tc>
        <w:tc>
          <w:tcPr>
            <w:tcW w:w="2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33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长*宽*高 4795*1930*1738mm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油箱容积 70L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整备质量2006kg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第五代ACTECO1.5TGDI高效混动专用发动机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三挡超级电混DHT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电机最大功率165KW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动力电池类型 M3P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CLTC纯电续航里程 210km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WLTC综合续航里程 1400+km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直流快充 70kw</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CD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168000元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（裸车）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（不含保险、上牌费用）</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2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03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7354">
            <w:pPr>
              <w:jc w:val="center"/>
              <w:rPr>
                <w:rFonts w:hint="eastAsia" w:ascii="宋体" w:hAnsi="宋体" w:eastAsia="宋体" w:cs="宋体"/>
                <w:i w:val="0"/>
                <w:iCs w:val="0"/>
                <w:color w:val="000000"/>
                <w:sz w:val="36"/>
                <w:szCs w:val="36"/>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8ADBE">
            <w:pPr>
              <w:jc w:val="center"/>
              <w:rPr>
                <w:rFonts w:hint="eastAsia" w:ascii="宋体" w:hAnsi="宋体" w:eastAsia="宋体" w:cs="宋体"/>
                <w:i w:val="0"/>
                <w:iCs w:val="0"/>
                <w:color w:val="000000"/>
                <w:sz w:val="36"/>
                <w:szCs w:val="36"/>
                <w:u w:val="none"/>
              </w:rPr>
            </w:pPr>
          </w:p>
        </w:tc>
        <w:tc>
          <w:tcPr>
            <w:tcW w:w="2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5A911">
            <w:pPr>
              <w:jc w:val="center"/>
              <w:rPr>
                <w:rFonts w:hint="eastAsia" w:ascii="宋体" w:hAnsi="宋体" w:eastAsia="宋体" w:cs="宋体"/>
                <w:i w:val="0"/>
                <w:iCs w:val="0"/>
                <w:color w:val="000000"/>
                <w:sz w:val="36"/>
                <w:szCs w:val="36"/>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7891">
            <w:pPr>
              <w:jc w:val="center"/>
              <w:rPr>
                <w:rFonts w:hint="eastAsia" w:ascii="宋体" w:hAnsi="宋体" w:eastAsia="宋体" w:cs="宋体"/>
                <w:i w:val="0"/>
                <w:iCs w:val="0"/>
                <w:color w:val="000000"/>
                <w:sz w:val="36"/>
                <w:szCs w:val="36"/>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A856">
            <w:pPr>
              <w:jc w:val="center"/>
              <w:rPr>
                <w:rFonts w:hint="eastAsia" w:ascii="宋体" w:hAnsi="宋体" w:eastAsia="宋体" w:cs="宋体"/>
                <w:i w:val="0"/>
                <w:iCs w:val="0"/>
                <w:color w:val="000000"/>
                <w:sz w:val="36"/>
                <w:szCs w:val="36"/>
                <w:u w:val="none"/>
              </w:rPr>
            </w:pPr>
          </w:p>
        </w:tc>
      </w:tr>
      <w:tr w14:paraId="33C0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94F7">
            <w:pPr>
              <w:jc w:val="center"/>
              <w:rPr>
                <w:rFonts w:hint="eastAsia" w:ascii="宋体" w:hAnsi="宋体" w:eastAsia="宋体" w:cs="宋体"/>
                <w:i w:val="0"/>
                <w:iCs w:val="0"/>
                <w:color w:val="000000"/>
                <w:sz w:val="36"/>
                <w:szCs w:val="36"/>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D8AC">
            <w:pPr>
              <w:jc w:val="center"/>
              <w:rPr>
                <w:rFonts w:hint="eastAsia" w:ascii="宋体" w:hAnsi="宋体" w:eastAsia="宋体" w:cs="宋体"/>
                <w:i w:val="0"/>
                <w:iCs w:val="0"/>
                <w:color w:val="000000"/>
                <w:sz w:val="36"/>
                <w:szCs w:val="36"/>
                <w:u w:val="none"/>
              </w:rPr>
            </w:pPr>
          </w:p>
        </w:tc>
        <w:tc>
          <w:tcPr>
            <w:tcW w:w="2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4F6FD">
            <w:pPr>
              <w:jc w:val="center"/>
              <w:rPr>
                <w:rFonts w:hint="eastAsia" w:ascii="宋体" w:hAnsi="宋体" w:eastAsia="宋体" w:cs="宋体"/>
                <w:i w:val="0"/>
                <w:iCs w:val="0"/>
                <w:color w:val="000000"/>
                <w:sz w:val="36"/>
                <w:szCs w:val="36"/>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C89F">
            <w:pPr>
              <w:jc w:val="center"/>
              <w:rPr>
                <w:rFonts w:hint="eastAsia" w:ascii="宋体" w:hAnsi="宋体" w:eastAsia="宋体" w:cs="宋体"/>
                <w:i w:val="0"/>
                <w:iCs w:val="0"/>
                <w:color w:val="000000"/>
                <w:sz w:val="36"/>
                <w:szCs w:val="36"/>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14EA">
            <w:pPr>
              <w:jc w:val="center"/>
              <w:rPr>
                <w:rFonts w:hint="eastAsia" w:ascii="宋体" w:hAnsi="宋体" w:eastAsia="宋体" w:cs="宋体"/>
                <w:i w:val="0"/>
                <w:iCs w:val="0"/>
                <w:color w:val="000000"/>
                <w:sz w:val="36"/>
                <w:szCs w:val="36"/>
                <w:u w:val="none"/>
              </w:rPr>
            </w:pPr>
          </w:p>
        </w:tc>
      </w:tr>
      <w:tr w14:paraId="44ED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1500">
            <w:pPr>
              <w:jc w:val="center"/>
              <w:rPr>
                <w:rFonts w:hint="eastAsia" w:ascii="宋体" w:hAnsi="宋体" w:eastAsia="宋体" w:cs="宋体"/>
                <w:i w:val="0"/>
                <w:iCs w:val="0"/>
                <w:color w:val="000000"/>
                <w:sz w:val="36"/>
                <w:szCs w:val="36"/>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D319">
            <w:pPr>
              <w:jc w:val="center"/>
              <w:rPr>
                <w:rFonts w:hint="eastAsia" w:ascii="宋体" w:hAnsi="宋体" w:eastAsia="宋体" w:cs="宋体"/>
                <w:i w:val="0"/>
                <w:iCs w:val="0"/>
                <w:color w:val="000000"/>
                <w:sz w:val="36"/>
                <w:szCs w:val="36"/>
                <w:u w:val="none"/>
              </w:rPr>
            </w:pPr>
          </w:p>
        </w:tc>
        <w:tc>
          <w:tcPr>
            <w:tcW w:w="2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D2670">
            <w:pPr>
              <w:jc w:val="center"/>
              <w:rPr>
                <w:rFonts w:hint="eastAsia" w:ascii="宋体" w:hAnsi="宋体" w:eastAsia="宋体" w:cs="宋体"/>
                <w:i w:val="0"/>
                <w:iCs w:val="0"/>
                <w:color w:val="000000"/>
                <w:sz w:val="36"/>
                <w:szCs w:val="36"/>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3F01">
            <w:pPr>
              <w:jc w:val="center"/>
              <w:rPr>
                <w:rFonts w:hint="eastAsia" w:ascii="宋体" w:hAnsi="宋体" w:eastAsia="宋体" w:cs="宋体"/>
                <w:i w:val="0"/>
                <w:iCs w:val="0"/>
                <w:color w:val="000000"/>
                <w:sz w:val="36"/>
                <w:szCs w:val="36"/>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76A">
            <w:pPr>
              <w:jc w:val="center"/>
              <w:rPr>
                <w:rFonts w:hint="eastAsia" w:ascii="宋体" w:hAnsi="宋体" w:eastAsia="宋体" w:cs="宋体"/>
                <w:i w:val="0"/>
                <w:iCs w:val="0"/>
                <w:color w:val="000000"/>
                <w:sz w:val="36"/>
                <w:szCs w:val="36"/>
                <w:u w:val="none"/>
              </w:rPr>
            </w:pPr>
          </w:p>
        </w:tc>
      </w:tr>
    </w:tbl>
    <w:p w14:paraId="383B3943">
      <w:pPr>
        <w:tabs>
          <w:tab w:val="left" w:pos="3640"/>
        </w:tabs>
        <w:autoSpaceDE w:val="0"/>
        <w:autoSpaceDN w:val="0"/>
        <w:spacing w:line="360" w:lineRule="auto"/>
        <w:ind w:firstLine="480" w:firstLineChars="200"/>
        <w:rPr>
          <w:rFonts w:hint="eastAsia" w:ascii="宋体" w:hAnsi="宋体"/>
          <w:sz w:val="24"/>
          <w:szCs w:val="24"/>
          <w:highlight w:val="none"/>
          <w:lang w:val="en-US" w:eastAsia="zh-CN"/>
        </w:rPr>
      </w:pPr>
    </w:p>
    <w:p w14:paraId="56AE91F7">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sectPr>
          <w:pgSz w:w="16838" w:h="11906" w:orient="landscape"/>
          <w:pgMar w:top="1587" w:right="1440" w:bottom="1587" w:left="1440" w:header="851" w:footer="992" w:gutter="0"/>
          <w:pgBorders>
            <w:top w:val="none" w:sz="0" w:space="0"/>
            <w:left w:val="none" w:sz="0" w:space="0"/>
            <w:bottom w:val="none" w:sz="0" w:space="0"/>
            <w:right w:val="none" w:sz="0" w:space="0"/>
          </w:pgBorders>
          <w:cols w:space="0" w:num="1"/>
          <w:titlePg/>
          <w:docGrid w:type="lines" w:linePitch="312" w:charSpace="0"/>
        </w:sectPr>
      </w:pPr>
      <w:r>
        <w:rPr>
          <w:rFonts w:hint="eastAsia" w:ascii="宋体" w:hAnsi="宋体"/>
          <w:sz w:val="24"/>
          <w:szCs w:val="24"/>
          <w:highlight w:val="none"/>
          <w:lang w:val="en-US" w:eastAsia="zh-CN"/>
        </w:rPr>
        <w:t>注：</w:t>
      </w:r>
      <w:r>
        <w:rPr>
          <w:rFonts w:hint="eastAsia" w:ascii="宋体" w:hAnsi="宋体" w:eastAsia="宋体"/>
          <w:sz w:val="24"/>
          <w:szCs w:val="24"/>
          <w:highlight w:val="none"/>
          <w:lang w:val="en-US" w:eastAsia="zh-CN"/>
        </w:rPr>
        <w:t>中标单位与安兴公司签订采购合同，合同签订后安兴公司支付车辆定金10000元，中标单位收到定金后两周内交货，安兴公司现场验车无误后结清全款，自提车辆。中标单位需开具机动车销售统一发票。</w:t>
      </w:r>
      <w:r>
        <w:rPr>
          <w:rFonts w:hint="eastAsia" w:ascii="宋体" w:hAnsi="宋体" w:eastAsia="宋体"/>
          <w:sz w:val="24"/>
          <w:szCs w:val="24"/>
          <w:highlight w:val="none"/>
          <w:lang w:eastAsia="zh-CN"/>
        </w:rPr>
        <w:t xml:space="preserve"> </w:t>
      </w:r>
    </w:p>
    <w:p w14:paraId="68ABB74E">
      <w:pPr>
        <w:pStyle w:val="23"/>
        <w:rPr>
          <w:rFonts w:hint="eastAsia"/>
        </w:rPr>
      </w:pPr>
    </w:p>
    <w:p w14:paraId="287438E2">
      <w:pPr>
        <w:pStyle w:val="2"/>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3" w:name="_Toc10479"/>
      <w:bookmarkStart w:id="64"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60"/>
      <w:bookmarkEnd w:id="61"/>
      <w:bookmarkEnd w:id="62"/>
      <w:bookmarkEnd w:id="63"/>
      <w:bookmarkEnd w:id="64"/>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65" w:name="_Toc25399"/>
      <w:bookmarkStart w:id="66" w:name="_Toc439316880"/>
      <w:bookmarkStart w:id="67" w:name="_Toc54941341"/>
      <w:bookmarkStart w:id="68" w:name="_Toc8981"/>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5"/>
      <w:bookmarkEnd w:id="66"/>
      <w:bookmarkEnd w:id="67"/>
      <w:bookmarkEnd w:id="68"/>
      <w:bookmarkStart w:id="69" w:name="_Toc54884158"/>
      <w:bookmarkStart w:id="70"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69"/>
      <w:bookmarkEnd w:id="70"/>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43D54045">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C60CA3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3DAC9C4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三、相关证明文件</w:t>
      </w:r>
    </w:p>
    <w:p w14:paraId="633C2590">
      <w:pPr>
        <w:pStyle w:val="8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pStyle w:val="5"/>
        <w:jc w:val="center"/>
        <w:rPr>
          <w:color w:val="000000" w:themeColor="text1"/>
          <w:szCs w:val="21"/>
          <w:highlight w:val="none"/>
          <w14:textFill>
            <w14:solidFill>
              <w14:schemeClr w14:val="tx1"/>
            </w14:solidFill>
          </w14:textFill>
        </w:rPr>
      </w:pPr>
      <w:bookmarkStart w:id="71" w:name="_Toc476584433"/>
      <w:bookmarkStart w:id="72" w:name="_Toc54941342"/>
      <w:r>
        <w:rPr>
          <w:rFonts w:hint="eastAsia" w:cs="宋体"/>
          <w:color w:val="000000" w:themeColor="text1"/>
          <w:sz w:val="28"/>
          <w:szCs w:val="28"/>
          <w:highlight w:val="none"/>
          <w14:textFill>
            <w14:solidFill>
              <w14:schemeClr w14:val="tx1"/>
            </w14:solidFill>
          </w14:textFill>
        </w:rPr>
        <w:t>一、</w:t>
      </w:r>
      <w:bookmarkEnd w:id="71"/>
      <w:bookmarkEnd w:id="72"/>
      <w:r>
        <w:rPr>
          <w:rFonts w:hint="eastAsia"/>
          <w:color w:val="000000" w:themeColor="text1"/>
          <w:highlight w:val="none"/>
          <w:lang w:val="en-US" w:eastAsia="zh-CN"/>
          <w14:textFill>
            <w14:solidFill>
              <w14:schemeClr w14:val="tx1"/>
            </w14:solidFill>
          </w14:textFill>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安庆市安兴新材料科技有限公司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 xml:space="preserve"> 安兴公司业务车辆采购（二次） </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3"/>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73" w:name="_Toc476584438"/>
      <w:bookmarkStart w:id="74" w:name="_Toc54941350"/>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highlight w:val="none"/>
          <w:bdr w:val="single" w:color="auto" w:sz="4" w:space="0"/>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t>二、</w:t>
      </w:r>
      <w:r>
        <w:rPr>
          <w:rFonts w:hint="eastAsia" w:ascii="宋体" w:hAnsi="宋体" w:eastAsia="宋体" w:cs="Times New Roman"/>
          <w:b/>
          <w:color w:val="auto"/>
          <w:kern w:val="2"/>
          <w:sz w:val="21"/>
          <w:highlight w:val="none"/>
          <w:shd w:val="clear" w:color="auto" w:fill="FFFFFF"/>
          <w:lang w:val="en-US" w:eastAsia="zh-CN" w:bidi="ar-SA"/>
        </w:rPr>
        <w:t>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r>
        <w:rPr>
          <w:rFonts w:hint="eastAsia" w:ascii="宋体" w:hAnsi="宋体" w:cs="Times New Roman"/>
          <w:b/>
          <w:color w:val="auto"/>
          <w:sz w:val="24"/>
          <w:szCs w:val="24"/>
          <w:highlight w:val="none"/>
          <w:lang w:eastAsia="zh-CN"/>
        </w:rPr>
        <w:t>；报价后需附上报价清单明细</w:t>
      </w:r>
      <w:r>
        <w:rPr>
          <w:rFonts w:hint="eastAsia" w:ascii="宋体" w:hAnsi="宋体" w:eastAsia="宋体" w:cs="Times New Roman"/>
          <w:b/>
          <w:color w:val="auto"/>
          <w:sz w:val="24"/>
          <w:szCs w:val="24"/>
          <w:highlight w:val="none"/>
        </w:rPr>
        <w:t>）</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highlight w:val="none"/>
        </w:rPr>
      </w:pPr>
      <w:r>
        <w:rPr>
          <w:rFonts w:hint="eastAsia"/>
          <w:highlight w:val="none"/>
        </w:rPr>
        <w:br w:type="page"/>
      </w:r>
    </w:p>
    <w:p w14:paraId="6BB02D37">
      <w:pPr>
        <w:pStyle w:val="81"/>
        <w:rPr>
          <w:rFonts w:hint="eastAsia"/>
          <w:highlight w:val="none"/>
        </w:rPr>
      </w:pPr>
    </w:p>
    <w:bookmarkEnd w:id="73"/>
    <w:bookmarkEnd w:id="74"/>
    <w:p w14:paraId="16391EC0">
      <w:pPr>
        <w:keepNext/>
        <w:keepLines/>
        <w:widowControl w:val="0"/>
        <w:shd w:val="clear" w:color="auto" w:fill="FFFFFF"/>
        <w:wordWrap w:val="0"/>
        <w:spacing w:line="360" w:lineRule="exact"/>
        <w:jc w:val="center"/>
        <w:outlineLvl w:val="2"/>
        <w:rPr>
          <w:rFonts w:ascii="宋体" w:hAnsi="宋体" w:eastAsia="宋体" w:cs="宋体"/>
          <w:b/>
          <w:color w:val="auto"/>
          <w:kern w:val="2"/>
          <w:sz w:val="21"/>
          <w:highlight w:val="none"/>
          <w:bdr w:val="single" w:color="auto" w:sz="4" w:space="0"/>
          <w:shd w:val="clear" w:color="auto" w:fill="FFFFFF"/>
          <w:lang w:val="en-US" w:eastAsia="zh-CN" w:bidi="ar-SA"/>
        </w:rPr>
      </w:pPr>
      <w:r>
        <w:rPr>
          <w:rFonts w:hint="eastAsia" w:ascii="宋体" w:hAnsi="宋体" w:cs="宋体"/>
          <w:b/>
          <w:color w:val="auto"/>
          <w:kern w:val="2"/>
          <w:sz w:val="21"/>
          <w:highlight w:val="none"/>
          <w:shd w:val="clear" w:color="auto" w:fill="FFFFFF"/>
          <w:lang w:val="en-US" w:eastAsia="zh-CN" w:bidi="ar-SA"/>
        </w:rPr>
        <w:t>三</w:t>
      </w:r>
      <w:r>
        <w:rPr>
          <w:rFonts w:hint="eastAsia" w:ascii="宋体" w:hAnsi="宋体" w:eastAsia="宋体" w:cs="宋体"/>
          <w:b/>
          <w:color w:val="auto"/>
          <w:kern w:val="2"/>
          <w:sz w:val="21"/>
          <w:highlight w:val="none"/>
          <w:shd w:val="clear" w:color="auto" w:fill="FFFFFF"/>
          <w:lang w:val="en-US" w:eastAsia="zh-CN" w:bidi="ar-SA"/>
        </w:rPr>
        <w:t>、相关证明文件</w:t>
      </w:r>
    </w:p>
    <w:p w14:paraId="27D7AFC1">
      <w:pPr>
        <w:spacing w:line="360" w:lineRule="auto"/>
        <w:ind w:firstLine="420" w:firstLineChars="200"/>
        <w:rPr>
          <w:rFonts w:ascii="宋体" w:hAnsi="宋体" w:eastAsia="宋体" w:cs="宋体"/>
          <w:color w:val="auto"/>
          <w:szCs w:val="21"/>
          <w:highlight w:val="none"/>
        </w:rPr>
      </w:pPr>
    </w:p>
    <w:p w14:paraId="519F4C0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pgSz w:w="11906" w:h="16838"/>
      <w:pgMar w:top="1440" w:right="1587" w:bottom="1440" w:left="1587" w:header="851" w:footer="992" w:gutter="0"/>
      <w:pgBorders>
        <w:top w:val="none" w:sz="0" w:space="0"/>
        <w:left w:val="none" w:sz="0" w:space="0"/>
        <w:bottom w:val="none" w:sz="0" w:space="0"/>
        <w:right w:val="none" w:sz="0" w:space="0"/>
      </w:pgBorders>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C0888B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8"/>
          <w:jc w:val="center"/>
        </w:pPr>
        <w:r>
          <w:fldChar w:fldCharType="begin"/>
        </w:r>
        <w:r>
          <w:instrText xml:space="preserve">PAGE   \* MERGEFORMAT</w:instrText>
        </w:r>
        <w:r>
          <w:fldChar w:fldCharType="separate"/>
        </w:r>
        <w:r>
          <w:rPr>
            <w:lang w:val="zh-CN"/>
          </w:rPr>
          <w:t>2</w:t>
        </w:r>
        <w:r>
          <w:fldChar w:fldCharType="end"/>
        </w:r>
      </w:p>
    </w:sdtContent>
  </w:sdt>
  <w:p w14:paraId="2F434512">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8"/>
          <w:jc w:val="center"/>
        </w:pPr>
        <w:r>
          <w:fldChar w:fldCharType="begin"/>
        </w:r>
        <w:r>
          <w:instrText xml:space="preserve">PAGE   \* MERGEFORMAT</w:instrText>
        </w:r>
        <w:r>
          <w:fldChar w:fldCharType="separate"/>
        </w:r>
        <w:r>
          <w:rPr>
            <w:lang w:val="zh-CN"/>
          </w:rPr>
          <w:t>2</w:t>
        </w:r>
        <w:r>
          <w:fldChar w:fldCharType="end"/>
        </w:r>
      </w:p>
    </w:sdtContent>
  </w:sdt>
  <w:p w14:paraId="3EC87034">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39"/>
      <w:pBdr>
        <w:bottom w:val="single" w:color="auto" w:sz="4" w:space="1"/>
      </w:pBdr>
      <w:jc w:val="right"/>
    </w:pPr>
    <w:r>
      <w:rPr>
        <w:rFonts w:hint="eastAsia"/>
        <w:sz w:val="16"/>
        <w:szCs w:val="16"/>
        <w:lang w:eastAsia="zh-CN"/>
      </w:rPr>
      <w:t>安兴公司业务车辆采购（二次）</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安兴公司业务车辆采购（二次）</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1B0252"/>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461847"/>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D5DD6"/>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AC0531"/>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784DDB"/>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3744B8"/>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234F3D"/>
    <w:rsid w:val="464C6002"/>
    <w:rsid w:val="465E6206"/>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057FA8"/>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88761F"/>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94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9717</Words>
  <Characters>10479</Characters>
  <Lines>69</Lines>
  <Paragraphs>19</Paragraphs>
  <TotalTime>6</TotalTime>
  <ScaleCrop>false</ScaleCrop>
  <LinksUpToDate>false</LinksUpToDate>
  <CharactersWithSpaces>12194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2025-06-13T02:31:59Z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17B33B3041B64150BD802B7E87E09BE9_13</vt:lpwstr>
  </property>
  <property fmtid="{D5CDD505-2E9C-101B-9397-08002B2CF9AE}" pid="4" name="KSOTemplateDocerSaveRecord">
    <vt:lpwstr>eyJoZGlkIjoiODg5OTFhMDZlNTRlMDA0MmIxOWM3MTZhYWRlMmFjYWMiLCJ1c2VySWQiOiI1MDM3OTU2NDYifQ==</vt:lpwstr>
  </property>
</Properties>
</file>