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7C65EC">
      <w:pPr>
        <w:spacing w:line="480" w:lineRule="exact"/>
        <w:rPr>
          <w:rFonts w:ascii="宋体"/>
          <w:color w:val="000000" w:themeColor="text1"/>
          <w:sz w:val="36"/>
          <w:szCs w:val="36"/>
          <w14:textFill>
            <w14:solidFill>
              <w14:schemeClr w14:val="tx1"/>
            </w14:solidFill>
          </w14:textFill>
        </w:rPr>
      </w:pPr>
    </w:p>
    <w:p w14:paraId="187AB485">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r>
        <w:rPr>
          <w:rFonts w:hint="eastAsia" w:ascii="仿宋_GB2312" w:hAnsi="宋体" w:eastAsia="仿宋_GB2312"/>
          <w:b/>
          <w:color w:val="000000" w:themeColor="text1"/>
          <w:sz w:val="48"/>
          <w:szCs w:val="48"/>
          <w:highlight w:val="none"/>
          <w:lang w:val="en-US" w:eastAsia="zh-CN"/>
          <w14:textFill>
            <w14:solidFill>
              <w14:schemeClr w14:val="tx1"/>
            </w14:solidFill>
          </w14:textFill>
        </w:rPr>
        <w:t>2025年度安庆市皖圆市政园林工程有限公司农药、除草剂采购项目</w:t>
      </w:r>
    </w:p>
    <w:p w14:paraId="40D8A5C1">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14:paraId="2EFBD912">
      <w:pPr>
        <w:pStyle w:val="82"/>
        <w:ind w:left="0" w:leftChars="0" w:firstLine="0" w:firstLineChars="0"/>
        <w:rPr>
          <w:highlight w:val="none"/>
        </w:rPr>
      </w:pPr>
    </w:p>
    <w:p w14:paraId="6694DABB">
      <w:pPr>
        <w:pStyle w:val="82"/>
        <w:rPr>
          <w:highlight w:val="none"/>
        </w:rPr>
      </w:pPr>
    </w:p>
    <w:p w14:paraId="71C074A1">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665716B7">
      <w:pPr>
        <w:pStyle w:val="82"/>
        <w:spacing w:before="120"/>
        <w:ind w:firstLine="350"/>
        <w:rPr>
          <w:color w:val="000000" w:themeColor="text1"/>
          <w:highlight w:val="none"/>
          <w14:textFill>
            <w14:solidFill>
              <w14:schemeClr w14:val="tx1"/>
            </w14:solidFill>
          </w14:textFill>
        </w:rPr>
      </w:pPr>
    </w:p>
    <w:p w14:paraId="7613AE75">
      <w:pPr>
        <w:pStyle w:val="82"/>
        <w:spacing w:before="120"/>
        <w:ind w:firstLine="350"/>
        <w:rPr>
          <w:color w:val="000000" w:themeColor="text1"/>
          <w:highlight w:val="none"/>
          <w14:textFill>
            <w14:solidFill>
              <w14:schemeClr w14:val="tx1"/>
            </w14:solidFill>
          </w14:textFill>
        </w:rPr>
      </w:pPr>
    </w:p>
    <w:p w14:paraId="68869932">
      <w:pPr>
        <w:spacing w:line="480" w:lineRule="exact"/>
        <w:jc w:val="center"/>
        <w:rPr>
          <w:rFonts w:ascii="宋体" w:cs="宋体"/>
          <w:b/>
          <w:bCs/>
          <w:color w:val="000000" w:themeColor="text1"/>
          <w:sz w:val="48"/>
          <w:szCs w:val="48"/>
          <w:highlight w:val="none"/>
          <w14:textFill>
            <w14:solidFill>
              <w14:schemeClr w14:val="tx1"/>
            </w14:solidFill>
          </w14:textFill>
        </w:rPr>
      </w:pPr>
    </w:p>
    <w:p w14:paraId="3DBC5870">
      <w:pPr>
        <w:pStyle w:val="82"/>
        <w:rPr>
          <w:highlight w:val="none"/>
        </w:rPr>
      </w:pPr>
    </w:p>
    <w:p w14:paraId="0F77ECA3">
      <w:pPr>
        <w:spacing w:line="480" w:lineRule="exact"/>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AQJK-CG-2025-027</w:t>
      </w:r>
    </w:p>
    <w:p w14:paraId="7ED5917F">
      <w:pPr>
        <w:spacing w:line="480" w:lineRule="exact"/>
        <w:rPr>
          <w:rFonts w:ascii="宋体" w:hAnsi="宋体" w:cs="仿宋_GB2312"/>
          <w:color w:val="000000" w:themeColor="text1"/>
          <w:szCs w:val="21"/>
          <w:highlight w:val="none"/>
          <w14:textFill>
            <w14:solidFill>
              <w14:schemeClr w14:val="tx1"/>
            </w14:solidFill>
          </w14:textFill>
        </w:rPr>
      </w:pPr>
    </w:p>
    <w:p w14:paraId="0EC101B9">
      <w:pPr>
        <w:pStyle w:val="82"/>
        <w:spacing w:before="120"/>
        <w:ind w:left="0" w:leftChars="0" w:firstLine="0" w:firstLineChars="0"/>
        <w:rPr>
          <w:rFonts w:hint="default" w:eastAsia="宋体"/>
          <w:color w:val="000000" w:themeColor="text1"/>
          <w:highlight w:val="none"/>
          <w:lang w:val="en-US" w:eastAsia="zh-CN"/>
          <w14:textFill>
            <w14:solidFill>
              <w14:schemeClr w14:val="tx1"/>
            </w14:solidFill>
          </w14:textFill>
        </w:rPr>
      </w:pPr>
    </w:p>
    <w:p w14:paraId="37C9F972">
      <w:pPr>
        <w:pStyle w:val="82"/>
        <w:spacing w:before="120"/>
        <w:rPr>
          <w:color w:val="000000" w:themeColor="text1"/>
          <w:highlight w:val="none"/>
          <w14:textFill>
            <w14:solidFill>
              <w14:schemeClr w14:val="tx1"/>
            </w14:solidFill>
          </w14:textFill>
        </w:rPr>
      </w:pPr>
    </w:p>
    <w:p w14:paraId="0552775F">
      <w:pPr>
        <w:pStyle w:val="82"/>
        <w:spacing w:before="120"/>
        <w:ind w:left="0" w:leftChars="0" w:firstLine="0" w:firstLineChars="0"/>
        <w:rPr>
          <w:color w:val="000000" w:themeColor="text1"/>
          <w:highlight w:val="none"/>
          <w14:textFill>
            <w14:solidFill>
              <w14:schemeClr w14:val="tx1"/>
            </w14:solidFill>
          </w14:textFill>
        </w:rPr>
      </w:pPr>
    </w:p>
    <w:p w14:paraId="2371E67B">
      <w:pPr>
        <w:pStyle w:val="82"/>
        <w:spacing w:before="120"/>
        <w:ind w:left="0" w:leftChars="0" w:firstLine="0" w:firstLineChars="0"/>
        <w:rPr>
          <w:color w:val="000000" w:themeColor="text1"/>
          <w:highlight w:val="none"/>
          <w14:textFill>
            <w14:solidFill>
              <w14:schemeClr w14:val="tx1"/>
            </w14:solidFill>
          </w14:textFill>
        </w:rPr>
      </w:pPr>
    </w:p>
    <w:p w14:paraId="19E3B68E">
      <w:pPr>
        <w:pStyle w:val="82"/>
        <w:spacing w:before="120"/>
        <w:ind w:left="0" w:leftChars="0" w:firstLine="0" w:firstLineChars="0"/>
        <w:rPr>
          <w:color w:val="000000" w:themeColor="text1"/>
          <w:highlight w:val="none"/>
          <w14:textFill>
            <w14:solidFill>
              <w14:schemeClr w14:val="tx1"/>
            </w14:solidFill>
          </w14:textFill>
        </w:rPr>
      </w:pPr>
    </w:p>
    <w:p w14:paraId="5CD10B9C">
      <w:pPr>
        <w:spacing w:line="480" w:lineRule="exact"/>
        <w:rPr>
          <w:rFonts w:ascii="宋体" w:hAnsi="宋体" w:cs="仿宋_GB2312"/>
          <w:color w:val="000000" w:themeColor="text1"/>
          <w:szCs w:val="21"/>
          <w:highlight w:val="none"/>
          <w14:textFill>
            <w14:solidFill>
              <w14:schemeClr w14:val="tx1"/>
            </w14:solidFill>
          </w14:textFill>
        </w:rPr>
      </w:pPr>
    </w:p>
    <w:p w14:paraId="46184A0C">
      <w:pPr>
        <w:spacing w:line="360" w:lineRule="auto"/>
        <w:jc w:val="center"/>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安庆市皖圆市政园林工程有限公司     </w:t>
      </w:r>
    </w:p>
    <w:p w14:paraId="1756940E">
      <w:pPr>
        <w:spacing w:line="360" w:lineRule="auto"/>
        <w:rPr>
          <w:rFonts w:ascii="宋体" w:hAnsi="宋体" w:cs="仿宋_GB2312"/>
          <w:b/>
          <w:color w:val="000000" w:themeColor="text1"/>
          <w:sz w:val="24"/>
          <w:highlight w:val="none"/>
          <w14:textFill>
            <w14:solidFill>
              <w14:schemeClr w14:val="tx1"/>
            </w14:solidFill>
          </w14:textFill>
        </w:rPr>
      </w:pPr>
    </w:p>
    <w:p w14:paraId="1D2618CA">
      <w:pPr>
        <w:spacing w:line="360" w:lineRule="auto"/>
        <w:rPr>
          <w:rFonts w:ascii="宋体" w:hAnsi="宋体" w:cs="仿宋_GB2312"/>
          <w:b/>
          <w:color w:val="000000" w:themeColor="text1"/>
          <w:sz w:val="24"/>
          <w:highlight w:val="none"/>
          <w14:textFill>
            <w14:solidFill>
              <w14:schemeClr w14:val="tx1"/>
            </w14:solidFill>
          </w14:textFill>
        </w:rPr>
      </w:pPr>
    </w:p>
    <w:p w14:paraId="2F3FF85F">
      <w:pPr>
        <w:pStyle w:val="82"/>
        <w:rPr>
          <w:highlight w:val="none"/>
        </w:rPr>
      </w:pPr>
    </w:p>
    <w:p w14:paraId="49AA0E46">
      <w:pPr>
        <w:pStyle w:val="82"/>
        <w:rPr>
          <w:highlight w:val="none"/>
        </w:rPr>
      </w:pPr>
    </w:p>
    <w:p w14:paraId="3238BA07">
      <w:pPr>
        <w:spacing w:line="360" w:lineRule="auto"/>
        <w:rPr>
          <w:rFonts w:ascii="宋体" w:hAnsi="宋体" w:cs="仿宋_GB2312"/>
          <w:b/>
          <w:color w:val="000000" w:themeColor="text1"/>
          <w:sz w:val="24"/>
          <w:highlight w:val="none"/>
          <w14:textFill>
            <w14:solidFill>
              <w14:schemeClr w14:val="tx1"/>
            </w14:solidFill>
          </w14:textFill>
        </w:rPr>
      </w:pPr>
    </w:p>
    <w:p w14:paraId="04364041">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14:paraId="3E8A282F">
      <w:pPr>
        <w:spacing w:line="480" w:lineRule="exact"/>
        <w:rPr>
          <w:rFonts w:ascii="宋体" w:hAnsi="宋体" w:cs="仿宋_GB2312"/>
          <w:color w:val="000000" w:themeColor="text1"/>
          <w:szCs w:val="21"/>
          <w:highlight w:val="none"/>
          <w14:textFill>
            <w14:solidFill>
              <w14:schemeClr w14:val="tx1"/>
            </w14:solidFill>
          </w14:textFill>
        </w:rPr>
      </w:pPr>
    </w:p>
    <w:p w14:paraId="6B3D4DEE">
      <w:pPr>
        <w:spacing w:line="480" w:lineRule="exact"/>
        <w:rPr>
          <w:rFonts w:ascii="宋体" w:hAnsi="宋体" w:cs="仿宋_GB2312"/>
          <w:color w:val="000000" w:themeColor="text1"/>
          <w:szCs w:val="21"/>
          <w:highlight w:val="none"/>
          <w14:textFill>
            <w14:solidFill>
              <w14:schemeClr w14:val="tx1"/>
            </w14:solidFill>
          </w14:textFill>
        </w:rPr>
      </w:pPr>
    </w:p>
    <w:p w14:paraId="436578CF">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7E133B30">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四</w:t>
      </w:r>
      <w:r>
        <w:rPr>
          <w:rFonts w:hint="eastAsia" w:ascii="宋体" w:hAnsi="宋体" w:cs="仿宋_GB2312"/>
          <w:color w:val="000000" w:themeColor="text1"/>
          <w:sz w:val="32"/>
          <w:szCs w:val="32"/>
          <w:highlight w:val="none"/>
          <w14:textFill>
            <w14:solidFill>
              <w14:schemeClr w14:val="tx1"/>
            </w14:solidFill>
          </w14:textFill>
        </w:rPr>
        <w:t>月</w:t>
      </w:r>
    </w:p>
    <w:p w14:paraId="5583BF5B">
      <w:pPr>
        <w:widowControl/>
        <w:jc w:val="left"/>
        <w:rPr>
          <w:rFonts w:ascii="宋体" w:hAnsi="宋体" w:cs="宋体"/>
          <w:b/>
          <w:color w:val="000000" w:themeColor="text1"/>
          <w:sz w:val="36"/>
          <w:szCs w:val="36"/>
          <w:highlight w:val="none"/>
          <w14:textFill>
            <w14:solidFill>
              <w14:schemeClr w14:val="tx1"/>
            </w14:solidFill>
          </w14:textFill>
        </w:rPr>
      </w:pPr>
    </w:p>
    <w:p w14:paraId="5E6F3FA2">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4E60894B">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54941328"/>
      <w:bookmarkStart w:id="1" w:name="_Toc23467"/>
      <w:bookmarkStart w:id="2" w:name="_Toc21464"/>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38A7FD1C">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p>
    <w:p w14:paraId="683B9F50">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val="en-US" w:eastAsia="zh-CN"/>
          <w14:textFill>
            <w14:solidFill>
              <w14:schemeClr w14:val="tx1"/>
            </w14:solidFill>
          </w14:textFill>
        </w:rPr>
        <w:t>货物</w:t>
      </w:r>
      <w:r>
        <w:rPr>
          <w:rFonts w:hint="eastAsia" w:ascii="Arial" w:hAnsi="Arial"/>
          <w:color w:val="000000" w:themeColor="text1"/>
          <w:sz w:val="28"/>
          <w:szCs w:val="28"/>
          <w:highlight w:val="none"/>
          <w:lang w:eastAsia="zh-CN"/>
          <w14:textFill>
            <w14:solidFill>
              <w14:schemeClr w14:val="tx1"/>
            </w14:solidFill>
          </w14:textFill>
        </w:rPr>
        <w:t>需求</w:t>
      </w:r>
      <w:r>
        <w:rPr>
          <w:rFonts w:hint="eastAsia" w:ascii="Arial" w:hAnsi="Arial"/>
          <w:color w:val="000000" w:themeColor="text1"/>
          <w:sz w:val="28"/>
          <w:szCs w:val="28"/>
          <w:highlight w:val="none"/>
          <w14:textFill>
            <w14:solidFill>
              <w14:schemeClr w14:val="tx1"/>
            </w14:solidFill>
          </w14:textFill>
        </w:rPr>
        <w:t>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14:paraId="7BF80E52">
      <w:pPr>
        <w:pStyle w:val="41"/>
        <w:tabs>
          <w:tab w:val="right" w:leader="dot" w:pos="9070"/>
        </w:tabs>
        <w:spacing w:line="480" w:lineRule="auto"/>
        <w:rPr>
          <w:rFonts w:hint="default"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18</w:t>
      </w:r>
    </w:p>
    <w:p w14:paraId="16DB1E34">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23</w:t>
      </w:r>
    </w:p>
    <w:p w14:paraId="50E03EF6">
      <w:pPr>
        <w:pStyle w:val="28"/>
        <w:keepNext w:val="0"/>
        <w:keepLines w:val="0"/>
        <w:pageBreakBefore w:val="0"/>
        <w:widowControl w:val="0"/>
        <w:tabs>
          <w:tab w:val="right" w:leader="dot" w:pos="9060"/>
        </w:tabs>
        <w:kinsoku/>
        <w:wordWrap/>
        <w:overflowPunct/>
        <w:topLinePunct w:val="0"/>
        <w:autoSpaceDE/>
        <w:autoSpaceDN/>
        <w:bidi w:val="0"/>
        <w:adjustRightInd/>
        <w:snapToGrid/>
        <w:spacing w:before="157" w:beforeLines="50" w:after="157" w:afterLines="50" w:line="480" w:lineRule="auto"/>
        <w:ind w:left="0"/>
        <w:jc w:val="center"/>
        <w:textAlignment w:val="auto"/>
        <w:rPr>
          <w:rFonts w:ascii="Arial" w:hAnsi="Arial" w:eastAsia="黑体"/>
          <w:b/>
          <w:i w:val="0"/>
          <w:color w:val="000000" w:themeColor="text1"/>
          <w:sz w:val="32"/>
          <w:szCs w:val="32"/>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2025年度安庆市皖圆市政园林工程有限公司农药、除草剂采购项目</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347D641A">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28359012"/>
      <w:bookmarkStart w:id="6" w:name="_Toc35393629"/>
      <w:bookmarkStart w:id="7" w:name="_Toc28359089"/>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val="en-US" w:eastAsia="zh-CN"/>
          <w14:textFill>
            <w14:solidFill>
              <w14:schemeClr w14:val="tx1"/>
            </w14:solidFill>
          </w14:textFill>
        </w:rPr>
        <w:t>安庆市皖圆市政园林工程有限公司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val="en-US" w:eastAsia="zh-CN"/>
          <w14:textFill>
            <w14:solidFill>
              <w14:schemeClr w14:val="tx1"/>
            </w14:solidFill>
          </w14:textFill>
        </w:rPr>
        <w:t>“2025年度安庆市皖圆市政园林工程有限公司农药、除草剂采购项目</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AQJK-CG-2025-027</w:t>
      </w:r>
      <w:r>
        <w:rPr>
          <w:rFonts w:hint="eastAsia" w:ascii="仿宋" w:hAnsi="仿宋" w:eastAsia="仿宋"/>
          <w:color w:val="000000" w:themeColor="text1"/>
          <w:sz w:val="28"/>
          <w:szCs w:val="28"/>
          <w:highlight w:val="none"/>
          <w14:textFill>
            <w14:solidFill>
              <w14:schemeClr w14:val="tx1"/>
            </w14:solidFill>
          </w14:textFill>
        </w:rPr>
        <w:t>）进行比选。</w:t>
      </w:r>
    </w:p>
    <w:p w14:paraId="1A427734">
      <w:pPr>
        <w:spacing w:line="560" w:lineRule="exact"/>
        <w:ind w:firstLine="560" w:firstLineChars="200"/>
        <w:rPr>
          <w:rFonts w:hint="eastAsia" w:ascii="黑体" w:hAnsi="黑体" w:eastAsia="黑体" w:cs="宋体"/>
          <w:bCs/>
          <w:color w:val="000000" w:themeColor="text1"/>
          <w:sz w:val="28"/>
          <w:szCs w:val="28"/>
          <w:highlight w:val="none"/>
          <w:lang w:eastAsia="zh-CN"/>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一、</w:t>
      </w:r>
      <w:r>
        <w:rPr>
          <w:rFonts w:hint="eastAsia" w:ascii="黑体" w:hAnsi="黑体" w:eastAsia="黑体" w:cs="宋体"/>
          <w:bCs/>
          <w:color w:val="000000" w:themeColor="text1"/>
          <w:sz w:val="28"/>
          <w:szCs w:val="28"/>
          <w:highlight w:val="none"/>
          <w14:textFill>
            <w14:solidFill>
              <w14:schemeClr w14:val="tx1"/>
            </w14:solidFill>
          </w14:textFill>
        </w:rPr>
        <w:t>项目基本情况</w:t>
      </w:r>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14:paraId="36D76124">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项目编号：AQJK-CG-2025-027</w:t>
      </w:r>
    </w:p>
    <w:p w14:paraId="13AD6AA1">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2025年度安庆市皖圆市政园林工程有限公司农药、除草剂采购项目</w:t>
      </w:r>
    </w:p>
    <w:p w14:paraId="6EB379CD">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2025年度安庆市皖圆市政园林工程有限公司农药、除草剂采购</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详见项目需求。</w:t>
      </w:r>
    </w:p>
    <w:p w14:paraId="268035C8">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服务地点:安庆市</w:t>
      </w:r>
    </w:p>
    <w:p w14:paraId="4241D1CB">
      <w:pPr>
        <w:spacing w:line="480" w:lineRule="atLeast"/>
        <w:ind w:firstLine="560" w:firstLineChars="200"/>
        <w:rPr>
          <w:rFonts w:hint="default"/>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服务期：</w:t>
      </w:r>
      <w:r>
        <w:rPr>
          <w:rFonts w:hint="eastAsia" w:ascii="仿宋" w:hAnsi="仿宋" w:eastAsia="仿宋"/>
          <w:color w:val="000000"/>
          <w:sz w:val="28"/>
          <w:szCs w:val="28"/>
          <w:highlight w:val="none"/>
        </w:rPr>
        <w:t>自合同签订后1年（经采购人考核合格的，且在服务期内，未出现较大事故或较大经济损失的且双方协商一致可续签2次，每次1年）</w:t>
      </w:r>
    </w:p>
    <w:p w14:paraId="50905570">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1A7482A9">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最高投标费率：100%</w:t>
      </w:r>
    </w:p>
    <w:p w14:paraId="4C993DA6">
      <w:pPr>
        <w:spacing w:line="480" w:lineRule="atLeast"/>
        <w:ind w:firstLine="560" w:firstLineChars="200"/>
        <w:rPr>
          <w:rFonts w:hint="default"/>
          <w:highlight w:val="none"/>
          <w:lang w:val="en-US" w:eastAsia="zh-CN"/>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14:paraId="31CC5311">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1DD8C1A4">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14:paraId="4BAEB6BC">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2.营业范围需满足货物要求及技术要求；</w:t>
      </w:r>
    </w:p>
    <w:p w14:paraId="6BC80D99">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3.本项目不接受联合体参选。</w:t>
      </w:r>
    </w:p>
    <w:p w14:paraId="59C6C558">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063BBA7">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14:paraId="583E67C3">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4.2在安庆市交通控股集团有限公司处罚限制期限内的投标人或参选人；</w:t>
      </w:r>
    </w:p>
    <w:p w14:paraId="61C05CF1">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4.3前期参与安庆市交通控股集团有限公司组织的招标采购活动获得中标候选人资格而放弃中标资格不签订合同的投标人或参选人，在处罚期内的投标人或参选人不得参与本次比选活动。</w:t>
      </w:r>
    </w:p>
    <w:p w14:paraId="2F6173FB">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497D1D3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17</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（http://jc.zh0556.com/）获取比选文件。关于本次</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的相关疑问请于工作日提出，节假日期间不予回复。</w:t>
      </w:r>
    </w:p>
    <w:p w14:paraId="048DB8A3">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3801748">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参选人</w:t>
      </w:r>
      <w:r>
        <w:rPr>
          <w:rFonts w:hint="eastAsia" w:ascii="仿宋" w:hAnsi="仿宋" w:eastAsia="仿宋" w:cs="Times New Roman"/>
          <w:color w:val="000000" w:themeColor="text1"/>
          <w:sz w:val="28"/>
          <w:szCs w:val="28"/>
          <w:highlight w:val="none"/>
          <w14:textFill>
            <w14:solidFill>
              <w14:schemeClr w14:val="tx1"/>
            </w14:solidFill>
          </w14:textFill>
        </w:rPr>
        <w:t>公章在202</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5</w:t>
      </w:r>
      <w:r>
        <w:rPr>
          <w:rFonts w:hint="eastAsia" w:ascii="仿宋" w:hAnsi="仿宋" w:eastAsia="仿宋" w:cs="Times New Roman"/>
          <w:color w:val="000000" w:themeColor="text1"/>
          <w:sz w:val="28"/>
          <w:szCs w:val="28"/>
          <w:highlight w:val="none"/>
          <w14:textFill>
            <w14:solidFill>
              <w14:schemeClr w14:val="tx1"/>
            </w14:solidFill>
          </w14:textFill>
        </w:rPr>
        <w:t>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17</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838714476</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5461C1D6">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w:t>
      </w:r>
      <w:r>
        <w:rPr>
          <w:rFonts w:hint="eastAsia" w:ascii="仿宋" w:hAnsi="仿宋" w:eastAsia="仿宋"/>
          <w:color w:val="000000" w:themeColor="text1"/>
          <w:sz w:val="28"/>
          <w:szCs w:val="28"/>
          <w:highlight w:val="none"/>
          <w:lang w:val="en-US" w:eastAsia="zh-CN"/>
          <w14:textFill>
            <w14:solidFill>
              <w14:schemeClr w14:val="tx1"/>
            </w14:solidFill>
          </w14:textFill>
        </w:rPr>
        <w:t>838714476@</w:t>
      </w:r>
      <w:r>
        <w:rPr>
          <w:rFonts w:hint="eastAsia" w:ascii="仿宋" w:hAnsi="仿宋" w:eastAsia="仿宋"/>
          <w:color w:val="000000" w:themeColor="text1"/>
          <w:sz w:val="28"/>
          <w:szCs w:val="28"/>
          <w:highlight w:val="none"/>
          <w14:textFill>
            <w14:solidFill>
              <w14:schemeClr w14:val="tx1"/>
            </w14:solidFill>
          </w14:textFill>
        </w:rPr>
        <w:t>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2DF75942">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3D221B5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18</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09</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3154B92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5D113651">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614803AA">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77499501">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154E484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21E91CC2">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51C9E863">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805"/>
      <w:bookmarkStart w:id="9" w:name="_Toc28359018"/>
      <w:bookmarkStart w:id="10" w:name="_Toc35393636"/>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623D25B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bookmarkStart w:id="12" w:name="_Toc35393806"/>
      <w:bookmarkStart w:id="13" w:name="_Toc28359019"/>
      <w:bookmarkStart w:id="14" w:name="_Toc35393637"/>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6CB2B1F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称：安庆市皖圆市政园林工程有限公司</w:t>
      </w:r>
    </w:p>
    <w:p w14:paraId="4D17B53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址：安庆市大观区双岗路40号</w:t>
      </w:r>
    </w:p>
    <w:p w14:paraId="0F4FA8E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人：姚良明</w:t>
      </w:r>
    </w:p>
    <w:p w14:paraId="322B23B5">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联系方式：0556-5321073</w:t>
      </w:r>
    </w:p>
    <w:p w14:paraId="61C6938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371FDC7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1A667B16">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1740BED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人：谭女士</w:t>
      </w:r>
    </w:p>
    <w:p w14:paraId="35FC1F2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联系方式：0556-5579928</w:t>
      </w:r>
    </w:p>
    <w:p w14:paraId="4E8BA003">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7905C9A7">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30ABC4C1">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144983FA">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2873EC2D">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4DEF8E3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2025年度安庆市皖圆市政园林工程有限公司农药、除草剂采购项目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70A86F87">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424CA1EC">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2556D457">
      <w:pPr>
        <w:ind w:firstLine="640"/>
        <w:jc w:val="both"/>
        <w:rPr>
          <w:rFonts w:hint="eastAsia" w:ascii="仿宋" w:hAnsi="仿宋" w:eastAsia="仿宋" w:cs="仿宋"/>
          <w:b w:val="0"/>
          <w:bCs w:val="0"/>
          <w:color w:val="auto"/>
          <w:sz w:val="32"/>
          <w:szCs w:val="32"/>
          <w:highlight w:val="none"/>
          <w:u w:val="none"/>
          <w:lang w:val="en-US" w:eastAsia="zh-CN"/>
        </w:rPr>
      </w:pPr>
    </w:p>
    <w:p w14:paraId="2769B3EA">
      <w:pPr>
        <w:pStyle w:val="81"/>
        <w:rPr>
          <w:rFonts w:hint="eastAsia" w:ascii="仿宋" w:hAnsi="仿宋" w:eastAsia="仿宋" w:cs="仿宋"/>
          <w:b w:val="0"/>
          <w:bCs w:val="0"/>
          <w:color w:val="auto"/>
          <w:sz w:val="32"/>
          <w:szCs w:val="32"/>
          <w:highlight w:val="none"/>
          <w:u w:val="none"/>
          <w:lang w:val="en-US" w:eastAsia="zh-CN"/>
        </w:rPr>
      </w:pPr>
    </w:p>
    <w:p w14:paraId="095F78FE">
      <w:pPr>
        <w:pStyle w:val="81"/>
        <w:rPr>
          <w:rFonts w:hint="eastAsia" w:ascii="仿宋" w:hAnsi="仿宋" w:eastAsia="仿宋" w:cs="仿宋"/>
          <w:b w:val="0"/>
          <w:bCs w:val="0"/>
          <w:color w:val="auto"/>
          <w:sz w:val="32"/>
          <w:szCs w:val="32"/>
          <w:highlight w:val="none"/>
          <w:u w:val="none"/>
          <w:lang w:val="en-US" w:eastAsia="zh-CN"/>
        </w:rPr>
      </w:pPr>
    </w:p>
    <w:p w14:paraId="227E3084">
      <w:pPr>
        <w:pStyle w:val="81"/>
        <w:rPr>
          <w:rFonts w:hint="eastAsia" w:ascii="仿宋" w:hAnsi="仿宋" w:eastAsia="仿宋" w:cs="仿宋"/>
          <w:b w:val="0"/>
          <w:bCs w:val="0"/>
          <w:color w:val="auto"/>
          <w:sz w:val="32"/>
          <w:szCs w:val="32"/>
          <w:highlight w:val="none"/>
          <w:u w:val="none"/>
          <w:lang w:val="en-US" w:eastAsia="zh-CN"/>
        </w:rPr>
      </w:pPr>
    </w:p>
    <w:p w14:paraId="43192EAB">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7AE15AE7">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6F03F8C2">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62CE5E50">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11223"/>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640FC11E">
      <w:pPr>
        <w:pStyle w:val="4"/>
        <w:rPr>
          <w:rFonts w:hint="eastAsia" w:cs="Tahoma"/>
          <w:bCs/>
          <w:color w:val="000000" w:themeColor="text1"/>
          <w:kern w:val="0"/>
          <w:sz w:val="32"/>
          <w:szCs w:val="32"/>
          <w:highlight w:val="none"/>
          <w14:textFill>
            <w14:solidFill>
              <w14:schemeClr w14:val="tx1"/>
            </w14:solidFill>
          </w14:textFill>
        </w:rPr>
      </w:pPr>
      <w:bookmarkStart w:id="20" w:name="_Toc17862"/>
      <w:bookmarkStart w:id="21" w:name="_Toc439316871"/>
      <w:bookmarkStart w:id="22" w:name="_Toc54941330"/>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参选人须知前附表</w:t>
      </w:r>
      <w:bookmarkEnd w:id="20"/>
      <w:bookmarkEnd w:id="21"/>
      <w:bookmarkEnd w:id="22"/>
    </w:p>
    <w:p w14:paraId="3E4B76E3">
      <w:pPr>
        <w:pStyle w:val="2"/>
        <w:rPr>
          <w:highlight w:val="none"/>
        </w:rPr>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1B74D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D70B50B">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6AF0B18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7B4869A">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13015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713D5C57">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1AC9312">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3346E634">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cs="Times New Roman"/>
                <w:color w:val="auto"/>
                <w:kern w:val="2"/>
                <w:sz w:val="21"/>
                <w:highlight w:val="none"/>
                <w:lang w:val="en-US" w:eastAsia="zh-CN" w:bidi="ar-SA"/>
              </w:rPr>
              <w:t>2025年度安庆市皖圆市政园林工程有限公司农药、除草剂采购项目</w:t>
            </w:r>
          </w:p>
        </w:tc>
      </w:tr>
      <w:tr w14:paraId="7AACA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352CB56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1A67A095">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4E566240">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AQJK-CG-2025-027</w:t>
            </w:r>
          </w:p>
        </w:tc>
      </w:tr>
      <w:tr w14:paraId="4A0E5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7226076E">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FE2D1C7">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2434646">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安庆市皖圆市政园林工程有限公司</w:t>
            </w:r>
          </w:p>
        </w:tc>
      </w:tr>
      <w:tr w14:paraId="50DFB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19" w:type="dxa"/>
            <w:tcBorders>
              <w:top w:val="single" w:color="auto" w:sz="4" w:space="0"/>
              <w:bottom w:val="single" w:color="auto" w:sz="4" w:space="0"/>
              <w:right w:val="single" w:color="auto" w:sz="4" w:space="0"/>
            </w:tcBorders>
            <w:vAlign w:val="center"/>
          </w:tcPr>
          <w:p w14:paraId="6FF8BB62">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02C95102">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77662332">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2372C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33FC55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7893F8EF">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ADFA071">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5E328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49D721C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267F2E35">
            <w:pPr>
              <w:spacing w:line="4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szCs w:val="21"/>
                <w:highlight w:val="none"/>
              </w:rPr>
              <w:t>比选最高投标费率</w:t>
            </w:r>
          </w:p>
        </w:tc>
        <w:tc>
          <w:tcPr>
            <w:tcW w:w="6356" w:type="dxa"/>
            <w:tcBorders>
              <w:top w:val="single" w:color="auto" w:sz="4" w:space="0"/>
              <w:left w:val="single" w:color="auto" w:sz="4" w:space="0"/>
              <w:bottom w:val="single" w:color="auto" w:sz="4" w:space="0"/>
            </w:tcBorders>
            <w:vAlign w:val="center"/>
          </w:tcPr>
          <w:p w14:paraId="4FB37787">
            <w:pPr>
              <w:spacing w:line="420" w:lineRule="exact"/>
              <w:jc w:val="left"/>
              <w:rPr>
                <w:rFonts w:hint="default" w:eastAsia="宋体"/>
                <w:color w:val="000000" w:themeColor="text1"/>
                <w:szCs w:val="21"/>
                <w:highlight w:val="none"/>
                <w:lang w:val="en-US" w:eastAsia="zh-CN"/>
                <w14:textFill>
                  <w14:solidFill>
                    <w14:schemeClr w14:val="tx1"/>
                  </w14:solidFill>
                </w14:textFill>
              </w:rPr>
            </w:pPr>
            <w:r>
              <w:rPr>
                <w:rFonts w:hint="eastAsia"/>
                <w:szCs w:val="21"/>
                <w:highlight w:val="none"/>
              </w:rPr>
              <w:t>100%</w:t>
            </w:r>
          </w:p>
        </w:tc>
      </w:tr>
      <w:tr w14:paraId="2667B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14:paraId="27F7C00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4F53470F">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服务期</w:t>
            </w:r>
          </w:p>
        </w:tc>
        <w:tc>
          <w:tcPr>
            <w:tcW w:w="6356" w:type="dxa"/>
            <w:tcBorders>
              <w:top w:val="single" w:color="auto" w:sz="4" w:space="0"/>
              <w:left w:val="single" w:color="auto" w:sz="4" w:space="0"/>
              <w:bottom w:val="single" w:color="auto" w:sz="4" w:space="0"/>
            </w:tcBorders>
            <w:vAlign w:val="center"/>
          </w:tcPr>
          <w:p w14:paraId="1D3C4C63">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eastAsia="宋体"/>
                <w:highlight w:val="none"/>
                <w:lang w:val="en-US" w:eastAsia="zh-CN"/>
              </w:rPr>
              <w:t>自合同签订后1年（经采购人考核合格的，且在服务期内，未出现较大事故或较大经济损失的且双方协商一致可续签2次，每次1年）</w:t>
            </w:r>
          </w:p>
        </w:tc>
      </w:tr>
      <w:tr w14:paraId="0F1A4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B6E2E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68D6B3B3">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49BF0CBA">
            <w:pPr>
              <w:keepNext w:val="0"/>
              <w:keepLines w:val="0"/>
              <w:pageBreakBefore w:val="0"/>
              <w:kinsoku/>
              <w:wordWrap/>
              <w:overflowPunct/>
              <w:topLinePunct w:val="0"/>
              <w:bidi w:val="0"/>
              <w:spacing w:line="420" w:lineRule="exact"/>
              <w:textAlignment w:val="auto"/>
              <w:rPr>
                <w:rFonts w:hint="default"/>
                <w:highlight w:val="none"/>
                <w:lang w:val="en-US" w:eastAsia="zh-CN"/>
              </w:rPr>
            </w:pPr>
            <w:r>
              <w:rPr>
                <w:rFonts w:hint="eastAsia"/>
                <w:highlight w:val="none"/>
                <w:lang w:val="en-US" w:eastAsia="zh-CN"/>
              </w:rPr>
              <w:t>详见比选公告</w:t>
            </w:r>
          </w:p>
        </w:tc>
      </w:tr>
      <w:tr w14:paraId="7262D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B944FB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3670555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53C5FFBD">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25B6B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91EA499">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691581D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2620E31C">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2AB0C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641544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4130712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4C43BEFB">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90日历天（从参选文件递交截止时间算起）</w:t>
            </w:r>
          </w:p>
        </w:tc>
      </w:tr>
      <w:tr w14:paraId="4E49A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5CBB2B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4D293CA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57560A86">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389C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A3F52B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6507D20E">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767B158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396E559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2871C98F">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0CA8EA27">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587BC229">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28A6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DF32E5">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248596EE">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144C3348">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2C98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38C30DE">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4E702EB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5E086A27">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3BB6C230">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7381E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1899D03">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14:paraId="171993A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0C7DA9E3">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3E0F5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9673C3">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629CEEF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0CBE77CD">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b/>
                <w:bCs/>
                <w:color w:val="000000"/>
                <w:szCs w:val="21"/>
                <w:highlight w:val="none"/>
                <w:lang w:val="en-US" w:eastAsia="zh-CN"/>
              </w:rPr>
              <w:t>3000元。</w:t>
            </w:r>
          </w:p>
          <w:p w14:paraId="325A083B">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453EE275">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14:paraId="3DFFD5FD">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tc>
      </w:tr>
      <w:tr w14:paraId="58E39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529D34">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6E6DB3EB">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1D2584DA">
            <w:pPr>
              <w:keepNext w:val="0"/>
              <w:keepLines w:val="0"/>
              <w:pageBreakBefore w:val="0"/>
              <w:kinsoku/>
              <w:wordWrap/>
              <w:overflowPunct/>
              <w:topLinePunct w:val="0"/>
              <w:bidi w:val="0"/>
              <w:spacing w:line="42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5AA63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1323BD0">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top"/>
          </w:tcPr>
          <w:p w14:paraId="41FC774A">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0911CB63">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5E420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550F434">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206B1B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039F6BB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rPr>
              <w:t>按季度支付，采购人每季度初结清上季度机械租赁费</w:t>
            </w:r>
          </w:p>
        </w:tc>
      </w:tr>
      <w:tr w14:paraId="6DD48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7" w:hRule="atLeast"/>
          <w:jc w:val="center"/>
        </w:trPr>
        <w:tc>
          <w:tcPr>
            <w:tcW w:w="519" w:type="dxa"/>
            <w:tcBorders>
              <w:top w:val="single" w:color="auto" w:sz="4" w:space="0"/>
              <w:bottom w:val="single" w:color="auto" w:sz="4" w:space="0"/>
              <w:right w:val="single" w:color="auto" w:sz="4" w:space="0"/>
            </w:tcBorders>
            <w:vAlign w:val="center"/>
          </w:tcPr>
          <w:p w14:paraId="3917A59B">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16E2B87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2F32A62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136AB8E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693A57F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3、开具增值税普通发票。</w:t>
            </w:r>
          </w:p>
        </w:tc>
      </w:tr>
      <w:tr w14:paraId="247F0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42678E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76F131E5">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41141965">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46197682">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17096753">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安庆市皖圆市政园林工程有限公司，特此说明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2D3ED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5A5F9D4D">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24C6F4F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39434378">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3E7AB38C">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38A5B227">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1EBB6FC3">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7122DE61">
      <w:pPr>
        <w:jc w:val="center"/>
        <w:rPr>
          <w:rFonts w:ascii="宋体" w:hAnsi="宋体" w:cs="Tahoma"/>
          <w:b/>
          <w:bCs/>
          <w:kern w:val="0"/>
          <w:sz w:val="32"/>
          <w:szCs w:val="32"/>
          <w:highlight w:val="none"/>
          <w:lang w:val="zh-CN"/>
        </w:rPr>
      </w:pPr>
      <w:bookmarkStart w:id="24" w:name="_Toc10569"/>
      <w:bookmarkStart w:id="25" w:name="_Toc11149"/>
      <w:bookmarkStart w:id="26" w:name="_Toc54941340"/>
      <w:r>
        <w:rPr>
          <w:rFonts w:hint="eastAsia" w:ascii="宋体" w:hAnsi="宋体" w:cs="Tahoma"/>
          <w:b/>
          <w:bCs/>
          <w:kern w:val="0"/>
          <w:sz w:val="32"/>
          <w:szCs w:val="32"/>
          <w:highlight w:val="none"/>
          <w:lang w:val="zh-CN"/>
        </w:rPr>
        <w:t>第二节</w:t>
      </w:r>
      <w:r>
        <w:rPr>
          <w:rFonts w:ascii="宋体" w:hAnsi="宋体" w:cs="Tahoma"/>
          <w:b/>
          <w:bCs/>
          <w:kern w:val="0"/>
          <w:sz w:val="32"/>
          <w:szCs w:val="32"/>
          <w:highlight w:val="none"/>
          <w:lang w:val="zh-CN"/>
        </w:rPr>
        <w:t xml:space="preserve"> </w:t>
      </w:r>
      <w:r>
        <w:rPr>
          <w:rFonts w:hint="eastAsia" w:ascii="Arial" w:hAnsi="Arial" w:cs="Tahoma"/>
          <w:b/>
          <w:bCs/>
          <w:kern w:val="0"/>
          <w:sz w:val="32"/>
          <w:szCs w:val="32"/>
          <w:highlight w:val="none"/>
        </w:rPr>
        <w:t>参选人</w:t>
      </w:r>
      <w:r>
        <w:rPr>
          <w:rFonts w:hint="eastAsia" w:ascii="宋体" w:hAnsi="宋体" w:cs="Tahoma"/>
          <w:b/>
          <w:bCs/>
          <w:kern w:val="0"/>
          <w:sz w:val="32"/>
          <w:szCs w:val="32"/>
          <w:highlight w:val="none"/>
          <w:lang w:val="zh-CN"/>
        </w:rPr>
        <w:t>须知</w:t>
      </w:r>
    </w:p>
    <w:p w14:paraId="375E7950">
      <w:pPr>
        <w:keepNext/>
        <w:keepLines/>
        <w:autoSpaceDE w:val="0"/>
        <w:autoSpaceDN w:val="0"/>
        <w:adjustRightInd w:val="0"/>
        <w:spacing w:before="120" w:line="360" w:lineRule="auto"/>
        <w:jc w:val="center"/>
        <w:outlineLvl w:val="1"/>
        <w:rPr>
          <w:rFonts w:ascii="Arial" w:hAnsi="Arial"/>
          <w:b/>
          <w:kern w:val="0"/>
          <w:sz w:val="32"/>
          <w:highlight w:val="none"/>
        </w:rPr>
      </w:pPr>
      <w:r>
        <w:rPr>
          <w:rFonts w:hint="eastAsia" w:ascii="Arial" w:hAnsi="Arial"/>
          <w:b/>
          <w:kern w:val="0"/>
          <w:sz w:val="32"/>
          <w:highlight w:val="none"/>
        </w:rPr>
        <w:t>（一）总则</w:t>
      </w:r>
    </w:p>
    <w:p w14:paraId="19A060D9">
      <w:pPr>
        <w:spacing w:line="500" w:lineRule="exact"/>
        <w:ind w:firstLine="422" w:firstLineChars="200"/>
        <w:rPr>
          <w:rFonts w:ascii="宋体" w:hAnsi="宋体"/>
          <w:b/>
          <w:szCs w:val="21"/>
          <w:highlight w:val="none"/>
        </w:rPr>
      </w:pPr>
      <w:r>
        <w:rPr>
          <w:rFonts w:hint="eastAsia" w:ascii="宋体" w:hAnsi="宋体"/>
          <w:b/>
          <w:szCs w:val="21"/>
          <w:highlight w:val="none"/>
        </w:rPr>
        <w:t>1、定义</w:t>
      </w:r>
    </w:p>
    <w:p w14:paraId="0AB48551">
      <w:pPr>
        <w:spacing w:line="500" w:lineRule="exact"/>
        <w:ind w:firstLine="420" w:firstLineChars="200"/>
        <w:rPr>
          <w:rFonts w:ascii="宋体" w:hAnsi="宋体"/>
          <w:szCs w:val="21"/>
          <w:highlight w:val="none"/>
        </w:rPr>
      </w:pPr>
      <w:r>
        <w:rPr>
          <w:rFonts w:hint="eastAsia" w:ascii="宋体" w:hAnsi="宋体"/>
          <w:szCs w:val="21"/>
          <w:highlight w:val="none"/>
        </w:rPr>
        <w:t>1.1、采购单位是指采购人和采购管理机构。</w:t>
      </w:r>
    </w:p>
    <w:p w14:paraId="1DFF343C">
      <w:pPr>
        <w:spacing w:line="500" w:lineRule="exact"/>
        <w:ind w:firstLine="420" w:firstLineChars="200"/>
        <w:rPr>
          <w:rFonts w:ascii="宋体" w:hAnsi="宋体"/>
          <w:szCs w:val="21"/>
          <w:highlight w:val="none"/>
        </w:rPr>
      </w:pPr>
      <w:r>
        <w:rPr>
          <w:rFonts w:hint="eastAsia" w:ascii="宋体" w:hAnsi="宋体"/>
          <w:szCs w:val="21"/>
          <w:highlight w:val="none"/>
        </w:rPr>
        <w:t>1.2、参选人是指对“参选人须知前附表”序号2所指的项目表现出兴趣，按照规定的程序，从采购单位获取了比选文件，并实际参与了该项目参选活动的供应商。</w:t>
      </w:r>
    </w:p>
    <w:p w14:paraId="4A5249AE">
      <w:pPr>
        <w:spacing w:line="500" w:lineRule="exact"/>
        <w:ind w:firstLine="422" w:firstLineChars="200"/>
        <w:rPr>
          <w:rFonts w:ascii="宋体" w:hAnsi="宋体"/>
          <w:b/>
          <w:szCs w:val="21"/>
          <w:highlight w:val="none"/>
        </w:rPr>
      </w:pPr>
      <w:r>
        <w:rPr>
          <w:rFonts w:hint="eastAsia" w:ascii="宋体" w:hAnsi="宋体"/>
          <w:b/>
          <w:szCs w:val="21"/>
          <w:highlight w:val="none"/>
        </w:rPr>
        <w:t>2、参选人资格要求</w:t>
      </w:r>
    </w:p>
    <w:p w14:paraId="59EE72ED">
      <w:pPr>
        <w:spacing w:line="500" w:lineRule="exact"/>
        <w:ind w:firstLine="420" w:firstLineChars="200"/>
        <w:rPr>
          <w:rFonts w:ascii="宋体" w:hAnsi="宋体"/>
          <w:szCs w:val="21"/>
          <w:highlight w:val="none"/>
        </w:rPr>
      </w:pPr>
      <w:r>
        <w:rPr>
          <w:rFonts w:hint="eastAsia" w:ascii="宋体" w:hAnsi="宋体"/>
          <w:szCs w:val="21"/>
          <w:highlight w:val="none"/>
        </w:rPr>
        <w:t>2.1、参与本项目的参选人必须满足的要求：详见参选人须知前附表。</w:t>
      </w:r>
    </w:p>
    <w:p w14:paraId="5A8A0534">
      <w:pPr>
        <w:spacing w:line="500" w:lineRule="exact"/>
        <w:ind w:firstLine="420" w:firstLineChars="200"/>
        <w:rPr>
          <w:rFonts w:ascii="宋体" w:hAnsi="宋体"/>
          <w:szCs w:val="21"/>
          <w:highlight w:val="none"/>
        </w:rPr>
      </w:pPr>
      <w:r>
        <w:rPr>
          <w:rFonts w:hint="eastAsia" w:ascii="宋体" w:hAnsi="宋体"/>
          <w:szCs w:val="21"/>
          <w:highlight w:val="none"/>
        </w:rPr>
        <w:t>2.2、参选人之间如果存在下列情形之一的，不得同时参加同一包别或者不分包别的同一项目投标：</w:t>
      </w:r>
    </w:p>
    <w:p w14:paraId="046EB277">
      <w:pPr>
        <w:spacing w:line="500" w:lineRule="exact"/>
        <w:ind w:firstLine="420" w:firstLineChars="200"/>
        <w:rPr>
          <w:rFonts w:ascii="宋体" w:hAnsi="宋体"/>
          <w:szCs w:val="21"/>
          <w:highlight w:val="none"/>
        </w:rPr>
      </w:pPr>
      <w:r>
        <w:rPr>
          <w:rFonts w:hint="eastAsia" w:ascii="宋体" w:hAnsi="宋体"/>
          <w:szCs w:val="21"/>
          <w:highlight w:val="none"/>
        </w:rPr>
        <w:t>（1）法定代表人为同一个人的两个及两个以上法人；</w:t>
      </w:r>
    </w:p>
    <w:p w14:paraId="5F3E99AF">
      <w:pPr>
        <w:spacing w:line="500" w:lineRule="exact"/>
        <w:ind w:firstLine="420" w:firstLineChars="200"/>
        <w:rPr>
          <w:rFonts w:ascii="宋体" w:hAnsi="宋体"/>
          <w:szCs w:val="21"/>
          <w:highlight w:val="none"/>
        </w:rPr>
      </w:pPr>
      <w:r>
        <w:rPr>
          <w:rFonts w:hint="eastAsia" w:ascii="宋体" w:hAnsi="宋体"/>
          <w:szCs w:val="21"/>
          <w:highlight w:val="none"/>
        </w:rPr>
        <w:t>（2）母公司、全资子公司及其控股公司；</w:t>
      </w:r>
    </w:p>
    <w:p w14:paraId="649A9C1C">
      <w:pPr>
        <w:spacing w:line="500" w:lineRule="exact"/>
        <w:ind w:firstLine="420" w:firstLineChars="200"/>
        <w:rPr>
          <w:rFonts w:ascii="宋体" w:hAnsi="宋体"/>
          <w:szCs w:val="21"/>
          <w:highlight w:val="none"/>
        </w:rPr>
      </w:pPr>
      <w:r>
        <w:rPr>
          <w:rFonts w:hint="eastAsia" w:ascii="宋体" w:hAnsi="宋体"/>
          <w:szCs w:val="21"/>
          <w:highlight w:val="none"/>
        </w:rPr>
        <w:t>（3）法律和行政法规规定的其他情形。</w:t>
      </w:r>
    </w:p>
    <w:p w14:paraId="7D5EF7E2">
      <w:pPr>
        <w:spacing w:line="500" w:lineRule="exact"/>
        <w:ind w:firstLine="420" w:firstLineChars="200"/>
        <w:rPr>
          <w:rFonts w:ascii="宋体" w:hAnsi="宋体"/>
          <w:szCs w:val="21"/>
          <w:highlight w:val="none"/>
        </w:rPr>
      </w:pPr>
      <w:r>
        <w:rPr>
          <w:rFonts w:hint="eastAsia" w:ascii="宋体" w:hAnsi="宋体"/>
          <w:szCs w:val="21"/>
          <w:highlight w:val="none"/>
        </w:rPr>
        <w:t>2.3、参选人必须确保自己信息真实、准确，否则，参选人因此蒙受损失，采购单位概不负责。</w:t>
      </w:r>
    </w:p>
    <w:p w14:paraId="01556756">
      <w:pPr>
        <w:adjustRightInd w:val="0"/>
        <w:spacing w:line="500" w:lineRule="exact"/>
        <w:ind w:firstLine="413" w:firstLineChars="196"/>
        <w:rPr>
          <w:rFonts w:ascii="宋体" w:hAnsi="宋体"/>
          <w:b/>
          <w:szCs w:val="21"/>
          <w:highlight w:val="none"/>
        </w:rPr>
      </w:pPr>
      <w:r>
        <w:rPr>
          <w:rFonts w:hint="eastAsia" w:ascii="宋体" w:hAnsi="宋体"/>
          <w:b/>
          <w:szCs w:val="21"/>
          <w:highlight w:val="none"/>
        </w:rPr>
        <w:t>3、联合体投标</w:t>
      </w:r>
    </w:p>
    <w:p w14:paraId="670E440A">
      <w:pPr>
        <w:spacing w:line="500" w:lineRule="exact"/>
        <w:rPr>
          <w:rFonts w:ascii="宋体" w:hAnsi="宋体"/>
          <w:szCs w:val="21"/>
          <w:highlight w:val="none"/>
        </w:rPr>
      </w:pPr>
      <w:r>
        <w:rPr>
          <w:rFonts w:hint="eastAsia" w:ascii="宋体" w:hAnsi="宋体"/>
          <w:szCs w:val="21"/>
          <w:highlight w:val="none"/>
        </w:rPr>
        <w:t xml:space="preserve">    本项目不接受联合体</w:t>
      </w:r>
    </w:p>
    <w:p w14:paraId="05FF3B8B">
      <w:pPr>
        <w:spacing w:line="500" w:lineRule="exact"/>
        <w:ind w:left="-2" w:firstLine="422"/>
        <w:rPr>
          <w:rFonts w:hint="eastAsia" w:ascii="宋体" w:hAnsi="宋体"/>
          <w:szCs w:val="21"/>
          <w:highlight w:val="none"/>
        </w:rPr>
      </w:pPr>
      <w:r>
        <w:rPr>
          <w:rFonts w:hint="eastAsia"/>
          <w:bCs/>
          <w:szCs w:val="24"/>
          <w:highlight w:val="none"/>
        </w:rPr>
        <w:t>4、比选费用：</w:t>
      </w:r>
      <w:r>
        <w:rPr>
          <w:rFonts w:hint="eastAsia" w:ascii="宋体" w:hAnsi="宋体"/>
          <w:bCs/>
          <w:szCs w:val="21"/>
          <w:highlight w:val="none"/>
        </w:rPr>
        <w:t>参选人必须自行承担参加比选的所有费用。</w:t>
      </w:r>
      <w:r>
        <w:rPr>
          <w:rFonts w:hint="eastAsia" w:ascii="宋体" w:hAnsi="宋体"/>
          <w:szCs w:val="21"/>
          <w:highlight w:val="none"/>
        </w:rPr>
        <w:t>不论中标与否，采购单位在任何情况下均无义务和责任承担这些费用。</w:t>
      </w:r>
    </w:p>
    <w:p w14:paraId="26AA1206">
      <w:pPr>
        <w:widowControl/>
        <w:spacing w:line="500" w:lineRule="exact"/>
        <w:ind w:left="-2" w:firstLine="422"/>
        <w:jc w:val="left"/>
        <w:rPr>
          <w:rFonts w:hint="eastAsia"/>
          <w:szCs w:val="24"/>
          <w:highlight w:val="none"/>
        </w:rPr>
      </w:pPr>
      <w:r>
        <w:rPr>
          <w:rFonts w:hint="eastAsia" w:ascii="宋体" w:hAnsi="宋体"/>
          <w:b/>
          <w:bCs/>
          <w:szCs w:val="21"/>
          <w:highlight w:val="none"/>
        </w:rPr>
        <w:t>5、被列入安庆市交通控股集团有限公司黑名单管理系统或在安庆市交通控股集团有限公司处罚限制期限内的投标人不得参与本次投标活动。</w:t>
      </w:r>
      <w:bookmarkStart w:id="27" w:name="_Toc4481593"/>
      <w:bookmarkStart w:id="28" w:name="_Toc479622044"/>
      <w:bookmarkStart w:id="29" w:name="_Toc8536"/>
    </w:p>
    <w:p w14:paraId="4BD8B5E1">
      <w:pPr>
        <w:keepNext/>
        <w:keepLines/>
        <w:autoSpaceDE w:val="0"/>
        <w:autoSpaceDN w:val="0"/>
        <w:adjustRightInd w:val="0"/>
        <w:spacing w:before="120" w:line="360" w:lineRule="auto"/>
        <w:jc w:val="center"/>
        <w:outlineLvl w:val="1"/>
        <w:rPr>
          <w:rFonts w:hint="eastAsia" w:ascii="Arial" w:hAnsi="Arial"/>
          <w:b/>
          <w:kern w:val="0"/>
          <w:sz w:val="36"/>
          <w:szCs w:val="36"/>
          <w:highlight w:val="none"/>
        </w:rPr>
      </w:pPr>
      <w:r>
        <w:rPr>
          <w:rFonts w:hint="eastAsia" w:ascii="Arial" w:hAnsi="Arial"/>
          <w:b/>
          <w:kern w:val="0"/>
          <w:sz w:val="32"/>
          <w:highlight w:val="none"/>
        </w:rPr>
        <w:t>（二）</w:t>
      </w:r>
      <w:bookmarkEnd w:id="27"/>
      <w:bookmarkEnd w:id="28"/>
      <w:bookmarkEnd w:id="29"/>
      <w:r>
        <w:rPr>
          <w:rFonts w:hint="eastAsia" w:ascii="Arial" w:hAnsi="Arial"/>
          <w:b/>
          <w:kern w:val="0"/>
          <w:sz w:val="32"/>
          <w:highlight w:val="none"/>
        </w:rPr>
        <w:t>比选文件</w:t>
      </w:r>
    </w:p>
    <w:p w14:paraId="47276F28">
      <w:pPr>
        <w:spacing w:line="500" w:lineRule="exact"/>
        <w:ind w:firstLine="422" w:firstLineChars="200"/>
        <w:rPr>
          <w:rFonts w:ascii="宋体" w:hAnsi="宋体"/>
          <w:b/>
          <w:szCs w:val="21"/>
          <w:highlight w:val="none"/>
        </w:rPr>
      </w:pPr>
      <w:r>
        <w:rPr>
          <w:rFonts w:hint="eastAsia" w:ascii="宋体" w:hAnsi="宋体"/>
          <w:b/>
          <w:szCs w:val="21"/>
          <w:highlight w:val="none"/>
        </w:rPr>
        <w:t>6、比选文件的构成</w:t>
      </w:r>
    </w:p>
    <w:p w14:paraId="307C609C">
      <w:pPr>
        <w:spacing w:line="500" w:lineRule="exact"/>
        <w:ind w:firstLine="420" w:firstLineChars="200"/>
        <w:rPr>
          <w:rFonts w:ascii="宋体" w:hAnsi="宋体"/>
          <w:szCs w:val="21"/>
          <w:highlight w:val="none"/>
        </w:rPr>
      </w:pPr>
      <w:r>
        <w:rPr>
          <w:rFonts w:hint="eastAsia" w:ascii="宋体" w:hAnsi="宋体"/>
          <w:szCs w:val="21"/>
          <w:highlight w:val="none"/>
        </w:rPr>
        <w:t>6.1、比选文件包括：</w:t>
      </w:r>
    </w:p>
    <w:p w14:paraId="4EBEE255">
      <w:pPr>
        <w:spacing w:line="500" w:lineRule="exact"/>
        <w:ind w:firstLine="420" w:firstLineChars="200"/>
        <w:rPr>
          <w:rFonts w:ascii="宋体" w:hAnsi="宋体"/>
          <w:szCs w:val="21"/>
          <w:highlight w:val="none"/>
        </w:rPr>
      </w:pPr>
      <w:r>
        <w:rPr>
          <w:rFonts w:hint="eastAsia" w:ascii="宋体" w:hAnsi="宋体"/>
          <w:szCs w:val="21"/>
          <w:highlight w:val="none"/>
        </w:rPr>
        <w:t>（1）第一章  比选公告；</w:t>
      </w:r>
    </w:p>
    <w:p w14:paraId="2D1A1530">
      <w:pPr>
        <w:spacing w:line="500" w:lineRule="exact"/>
        <w:ind w:firstLine="420" w:firstLineChars="200"/>
        <w:rPr>
          <w:rFonts w:ascii="宋体" w:hAnsi="宋体"/>
          <w:szCs w:val="21"/>
          <w:highlight w:val="none"/>
        </w:rPr>
      </w:pPr>
      <w:r>
        <w:rPr>
          <w:rFonts w:hint="eastAsia" w:ascii="宋体" w:hAnsi="宋体"/>
          <w:szCs w:val="21"/>
          <w:highlight w:val="none"/>
        </w:rPr>
        <w:t>（2）第二章  参选人须知；</w:t>
      </w:r>
    </w:p>
    <w:p w14:paraId="2C958ECA">
      <w:pPr>
        <w:spacing w:line="500" w:lineRule="exact"/>
        <w:ind w:firstLine="420" w:firstLineChars="200"/>
        <w:rPr>
          <w:rFonts w:ascii="宋体" w:hAnsi="宋体"/>
          <w:szCs w:val="21"/>
          <w:highlight w:val="none"/>
        </w:rPr>
      </w:pPr>
      <w:r>
        <w:rPr>
          <w:rFonts w:hint="eastAsia" w:ascii="宋体" w:hAnsi="宋体"/>
          <w:szCs w:val="21"/>
          <w:highlight w:val="none"/>
        </w:rPr>
        <w:t xml:space="preserve">（3）第三章  </w:t>
      </w:r>
      <w:r>
        <w:rPr>
          <w:rFonts w:hint="eastAsia" w:ascii="宋体" w:hAnsi="宋体"/>
          <w:szCs w:val="21"/>
          <w:highlight w:val="none"/>
          <w:lang w:eastAsia="zh-CN"/>
        </w:rPr>
        <w:t>货物</w:t>
      </w:r>
      <w:r>
        <w:rPr>
          <w:rFonts w:hint="eastAsia" w:ascii="宋体" w:hAnsi="宋体"/>
          <w:szCs w:val="21"/>
          <w:highlight w:val="none"/>
        </w:rPr>
        <w:t>需求及技术要求；</w:t>
      </w:r>
    </w:p>
    <w:p w14:paraId="4A609CF3">
      <w:pPr>
        <w:spacing w:line="500" w:lineRule="exact"/>
        <w:ind w:firstLine="420" w:firstLineChars="200"/>
        <w:rPr>
          <w:rFonts w:ascii="宋体" w:hAnsi="宋体"/>
          <w:szCs w:val="21"/>
          <w:highlight w:val="none"/>
        </w:rPr>
      </w:pPr>
      <w:r>
        <w:rPr>
          <w:rFonts w:hint="eastAsia" w:ascii="宋体" w:hAnsi="宋体"/>
          <w:szCs w:val="21"/>
          <w:highlight w:val="none"/>
        </w:rPr>
        <w:t>（4）第四章</w:t>
      </w:r>
      <w:r>
        <w:rPr>
          <w:rFonts w:ascii="宋体" w:hAnsi="宋体"/>
          <w:szCs w:val="21"/>
          <w:highlight w:val="none"/>
        </w:rPr>
        <w:t xml:space="preserve">  </w:t>
      </w:r>
      <w:r>
        <w:rPr>
          <w:rFonts w:hint="eastAsia" w:ascii="宋体" w:hAnsi="宋体"/>
          <w:szCs w:val="21"/>
          <w:highlight w:val="none"/>
        </w:rPr>
        <w:t>合同主要条款；</w:t>
      </w:r>
    </w:p>
    <w:p w14:paraId="4D69A49C">
      <w:pPr>
        <w:spacing w:line="500" w:lineRule="exact"/>
        <w:ind w:firstLine="420" w:firstLineChars="200"/>
        <w:rPr>
          <w:rFonts w:ascii="宋体" w:hAnsi="宋体"/>
          <w:szCs w:val="21"/>
          <w:highlight w:val="none"/>
        </w:rPr>
      </w:pPr>
      <w:r>
        <w:rPr>
          <w:rFonts w:hint="eastAsia" w:ascii="宋体" w:hAnsi="宋体"/>
          <w:szCs w:val="21"/>
          <w:highlight w:val="none"/>
        </w:rPr>
        <w:t>（5）第五章  参选文件格式。</w:t>
      </w:r>
    </w:p>
    <w:p w14:paraId="7872B420">
      <w:pPr>
        <w:spacing w:line="500" w:lineRule="exact"/>
        <w:rPr>
          <w:rFonts w:ascii="宋体" w:hAnsi="宋体"/>
          <w:szCs w:val="21"/>
          <w:highlight w:val="none"/>
        </w:rPr>
      </w:pPr>
      <w:r>
        <w:rPr>
          <w:rFonts w:hint="eastAsia" w:ascii="宋体" w:hAnsi="宋体"/>
          <w:szCs w:val="21"/>
          <w:highlight w:val="none"/>
        </w:rPr>
        <w:t xml:space="preserve">    6.2、参选人应认真阅读和充分理解比选文件中所有的内容。如果参选人没有满足比选文件的有关要求，其风险由参选人自行承担。</w:t>
      </w:r>
    </w:p>
    <w:p w14:paraId="557C0174">
      <w:pPr>
        <w:spacing w:line="500" w:lineRule="exact"/>
        <w:rPr>
          <w:rFonts w:ascii="宋体" w:hAnsi="宋体"/>
          <w:szCs w:val="21"/>
          <w:highlight w:val="none"/>
        </w:rPr>
      </w:pPr>
      <w:r>
        <w:rPr>
          <w:rFonts w:hint="eastAsia" w:ascii="宋体" w:hAnsi="宋体"/>
          <w:szCs w:val="21"/>
          <w:highlight w:val="none"/>
        </w:rPr>
        <w:t xml:space="preserve">    6.3、参选人获取比选文件后，应仔细阅读比选文件的所有内容，如有残缺、文本不清晰、表述不一致等问题应在获得比选文件3日内向采购单位提出，否则，由此引起的一切损失和后果由参选人自行承担。参选人同时应认真审阅比选文件中所有的事项、格式、条款和规 范要求等，若参选人的参选文件没有按比选文件要求提交全部资料及自己理解产生的误差，其风险由参选人自行承担，并根据有关条款规定，该投标有可能被拒绝。</w:t>
      </w:r>
    </w:p>
    <w:p w14:paraId="38631C69">
      <w:pPr>
        <w:spacing w:line="500" w:lineRule="exact"/>
        <w:ind w:firstLine="422" w:firstLineChars="200"/>
        <w:rPr>
          <w:rFonts w:ascii="宋体" w:hAnsi="宋体"/>
          <w:b/>
          <w:szCs w:val="21"/>
          <w:highlight w:val="none"/>
        </w:rPr>
      </w:pPr>
      <w:r>
        <w:rPr>
          <w:rFonts w:hint="eastAsia" w:ascii="宋体" w:hAnsi="宋体"/>
          <w:b/>
          <w:szCs w:val="21"/>
          <w:highlight w:val="none"/>
        </w:rPr>
        <w:t>7、比选文件的澄清</w:t>
      </w:r>
    </w:p>
    <w:p w14:paraId="180402EA">
      <w:pPr>
        <w:spacing w:line="500" w:lineRule="exact"/>
        <w:rPr>
          <w:rFonts w:ascii="宋体" w:hAnsi="宋体"/>
          <w:szCs w:val="21"/>
          <w:highlight w:val="none"/>
        </w:rPr>
      </w:pPr>
      <w:r>
        <w:rPr>
          <w:rFonts w:hint="eastAsia" w:ascii="宋体" w:hAnsi="宋体"/>
          <w:szCs w:val="21"/>
          <w:highlight w:val="none"/>
        </w:rPr>
        <w:t xml:space="preserve">    7.1、参选人可以要求采购单位对比选文件中的有关问题进行答疑或澄清。</w:t>
      </w:r>
    </w:p>
    <w:p w14:paraId="63A503D0">
      <w:pPr>
        <w:spacing w:line="500" w:lineRule="exact"/>
        <w:rPr>
          <w:rFonts w:ascii="宋体" w:hAnsi="宋体"/>
          <w:szCs w:val="21"/>
          <w:highlight w:val="none"/>
        </w:rPr>
      </w:pPr>
      <w:r>
        <w:rPr>
          <w:rFonts w:hint="eastAsia" w:ascii="宋体" w:hAnsi="宋体"/>
          <w:szCs w:val="21"/>
          <w:highlight w:val="none"/>
        </w:rPr>
        <w:t xml:space="preserve">    7.2、参选人对比选文件如有异议，应在参选截止日期前向采购单位提出。</w:t>
      </w:r>
    </w:p>
    <w:p w14:paraId="11B6299D">
      <w:pPr>
        <w:spacing w:line="500" w:lineRule="exact"/>
        <w:rPr>
          <w:rFonts w:ascii="宋体" w:hAnsi="宋体"/>
          <w:szCs w:val="21"/>
          <w:highlight w:val="none"/>
        </w:rPr>
      </w:pPr>
      <w:r>
        <w:rPr>
          <w:rFonts w:hint="eastAsia" w:ascii="宋体" w:hAnsi="宋体"/>
          <w:szCs w:val="21"/>
          <w:highlight w:val="none"/>
        </w:rPr>
        <w:t xml:space="preserve">    7.3、如果参选人未在规定的时间内对比选文件有关条款提出异议，则视为充分理解比选文件所有内容。一旦提交参选文件，则认为该参选人接受比选文件的所有条款。</w:t>
      </w:r>
    </w:p>
    <w:p w14:paraId="62957E4A">
      <w:pPr>
        <w:spacing w:line="500" w:lineRule="exact"/>
        <w:rPr>
          <w:rFonts w:ascii="宋体" w:hAnsi="宋体"/>
          <w:szCs w:val="21"/>
          <w:highlight w:val="none"/>
        </w:rPr>
      </w:pPr>
      <w:r>
        <w:rPr>
          <w:rFonts w:hint="eastAsia" w:ascii="宋体" w:hAnsi="宋体"/>
          <w:szCs w:val="21"/>
          <w:highlight w:val="none"/>
        </w:rPr>
        <w:t xml:space="preserve">    7.4、采购单位对在规定时间收到的、且需要做出澄清的问题，将以8款所述方式进行答复，但不说明问题的来源。</w:t>
      </w:r>
    </w:p>
    <w:p w14:paraId="59E9A283">
      <w:pPr>
        <w:spacing w:line="500" w:lineRule="exact"/>
        <w:ind w:firstLine="422" w:firstLineChars="200"/>
        <w:rPr>
          <w:rFonts w:ascii="宋体" w:hAnsi="宋体"/>
          <w:b/>
          <w:szCs w:val="21"/>
          <w:highlight w:val="none"/>
        </w:rPr>
      </w:pPr>
      <w:r>
        <w:rPr>
          <w:rFonts w:hint="eastAsia" w:ascii="宋体" w:hAnsi="宋体"/>
          <w:b/>
          <w:szCs w:val="21"/>
          <w:highlight w:val="none"/>
        </w:rPr>
        <w:t>8、比选文件的修改</w:t>
      </w:r>
    </w:p>
    <w:p w14:paraId="0D2B087D">
      <w:pPr>
        <w:spacing w:line="500" w:lineRule="exact"/>
        <w:rPr>
          <w:rFonts w:ascii="宋体" w:hAnsi="宋体"/>
          <w:szCs w:val="21"/>
          <w:highlight w:val="none"/>
        </w:rPr>
      </w:pPr>
      <w:r>
        <w:rPr>
          <w:rFonts w:hint="eastAsia" w:ascii="宋体" w:hAnsi="宋体"/>
          <w:szCs w:val="21"/>
          <w:highlight w:val="none"/>
        </w:rPr>
        <w:t xml:space="preserve">    8.1、采购单位可以对比选文件进行修改。</w:t>
      </w:r>
    </w:p>
    <w:p w14:paraId="73A65FBA">
      <w:pPr>
        <w:spacing w:line="500" w:lineRule="exact"/>
        <w:ind w:firstLine="422" w:firstLineChars="200"/>
        <w:rPr>
          <w:rFonts w:ascii="宋体" w:hAnsi="宋体"/>
          <w:b/>
          <w:bCs/>
          <w:szCs w:val="21"/>
          <w:highlight w:val="none"/>
        </w:rPr>
      </w:pPr>
      <w:r>
        <w:rPr>
          <w:rFonts w:hint="eastAsia" w:ascii="宋体" w:hAnsi="宋体"/>
          <w:b/>
          <w:bCs/>
          <w:szCs w:val="21"/>
          <w:highlight w:val="none"/>
        </w:rPr>
        <w:t>8.2、采购单位对参选人异议的答复和对比选文件的</w:t>
      </w:r>
      <w:r>
        <w:rPr>
          <w:rFonts w:ascii="宋体" w:hAnsi="宋体"/>
          <w:b/>
          <w:bCs/>
          <w:szCs w:val="21"/>
          <w:highlight w:val="none"/>
        </w:rPr>
        <w:t>澄</w:t>
      </w:r>
      <w:r>
        <w:rPr>
          <w:rFonts w:hint="eastAsia" w:ascii="宋体" w:hAnsi="宋体"/>
          <w:b/>
          <w:bCs/>
          <w:szCs w:val="21"/>
          <w:highlight w:val="none"/>
        </w:rPr>
        <w:t>清、修改、补充说明等内容均通过安庆市交通控股集团有限公司集采平台（http：//jc.zh0556.com/）招标采购栏目发布，该修改内容作为比选文件的组成部分，具有约束作用。</w:t>
      </w:r>
    </w:p>
    <w:p w14:paraId="316FC405">
      <w:pPr>
        <w:spacing w:line="360" w:lineRule="auto"/>
        <w:rPr>
          <w:rFonts w:ascii="宋体" w:hAnsi="宋体"/>
          <w:szCs w:val="21"/>
          <w:highlight w:val="none"/>
        </w:rPr>
      </w:pPr>
      <w:r>
        <w:rPr>
          <w:rFonts w:hint="eastAsia" w:ascii="宋体" w:hAnsi="宋体"/>
          <w:szCs w:val="21"/>
          <w:highlight w:val="none"/>
        </w:rPr>
        <w:t xml:space="preserve">    8.3、</w:t>
      </w:r>
      <w:bookmarkStart w:id="30" w:name="_Toc9821"/>
      <w:r>
        <w:rPr>
          <w:rFonts w:hint="eastAsia" w:ascii="宋体" w:hAnsi="宋体"/>
          <w:szCs w:val="21"/>
          <w:highlight w:val="none"/>
        </w:rPr>
        <w:t>当比选文件与对比选文件的澄清、修改、补充等在同一内容的表述上不一致时，以最后发出的为准。</w:t>
      </w:r>
    </w:p>
    <w:p w14:paraId="7F041F30">
      <w:pPr>
        <w:spacing w:line="360" w:lineRule="auto"/>
        <w:rPr>
          <w:rFonts w:ascii="宋体" w:hAnsi="宋体"/>
          <w:szCs w:val="21"/>
          <w:highlight w:val="none"/>
        </w:rPr>
      </w:pPr>
      <w:r>
        <w:rPr>
          <w:rFonts w:hint="eastAsia" w:ascii="宋体" w:hAnsi="宋体"/>
          <w:szCs w:val="21"/>
          <w:highlight w:val="none"/>
        </w:rPr>
        <w:t xml:space="preserve">    8.4、为使参选人有充分时间对比选文件的澄清、修改、补充部分进行研究，或是由于其他原因，采购单位可以决定顺延参选截止时间，具体时间通过</w:t>
      </w:r>
      <w:r>
        <w:rPr>
          <w:rFonts w:hint="eastAsia" w:ascii="宋体" w:hAnsi="宋体" w:cs="宋体"/>
          <w:szCs w:val="21"/>
          <w:highlight w:val="none"/>
        </w:rPr>
        <w:t>安庆市交通控股集团有限公司集采平台网站发布</w:t>
      </w:r>
      <w:r>
        <w:rPr>
          <w:rFonts w:hint="eastAsia" w:ascii="宋体" w:hAnsi="宋体"/>
          <w:szCs w:val="21"/>
          <w:highlight w:val="none"/>
        </w:rPr>
        <w:t>。</w:t>
      </w:r>
    </w:p>
    <w:bookmarkEnd w:id="30"/>
    <w:p w14:paraId="1AF08FF6">
      <w:pPr>
        <w:spacing w:line="500" w:lineRule="exact"/>
        <w:ind w:firstLine="422" w:firstLineChars="200"/>
        <w:rPr>
          <w:rFonts w:ascii="宋体" w:hAnsi="宋体"/>
          <w:b/>
          <w:szCs w:val="21"/>
          <w:highlight w:val="none"/>
        </w:rPr>
      </w:pPr>
      <w:r>
        <w:rPr>
          <w:rFonts w:hint="eastAsia" w:ascii="宋体" w:hAnsi="宋体"/>
          <w:b/>
          <w:szCs w:val="21"/>
          <w:highlight w:val="none"/>
        </w:rPr>
        <w:t>9、参选文件的构成</w:t>
      </w:r>
    </w:p>
    <w:p w14:paraId="26218A9D">
      <w:pPr>
        <w:spacing w:line="500" w:lineRule="exact"/>
        <w:ind w:firstLine="420" w:firstLineChars="200"/>
        <w:rPr>
          <w:rFonts w:ascii="宋体" w:hAnsi="宋体"/>
          <w:szCs w:val="21"/>
          <w:highlight w:val="none"/>
        </w:rPr>
      </w:pPr>
      <w:r>
        <w:rPr>
          <w:rFonts w:hint="eastAsia" w:ascii="宋体" w:hAnsi="宋体"/>
          <w:szCs w:val="21"/>
          <w:highlight w:val="none"/>
        </w:rPr>
        <w:t>9.1、参选文件应该按照“参选文件格式”规定的内容和顺序进行编写。</w:t>
      </w:r>
    </w:p>
    <w:p w14:paraId="70DCFA98">
      <w:pPr>
        <w:spacing w:line="500" w:lineRule="exact"/>
        <w:ind w:firstLine="420" w:firstLineChars="200"/>
        <w:rPr>
          <w:rFonts w:ascii="宋体" w:hAnsi="宋体"/>
          <w:szCs w:val="21"/>
          <w:highlight w:val="none"/>
        </w:rPr>
      </w:pPr>
      <w:r>
        <w:rPr>
          <w:rFonts w:hint="eastAsia" w:ascii="宋体" w:hAnsi="宋体"/>
          <w:szCs w:val="21"/>
          <w:highlight w:val="none"/>
        </w:rPr>
        <w:t>9.2、参选人应提交“参选人须知前附表”中规定的参选文件。</w:t>
      </w:r>
    </w:p>
    <w:p w14:paraId="5ED551D3">
      <w:pPr>
        <w:spacing w:line="500" w:lineRule="exact"/>
        <w:ind w:firstLine="420" w:firstLineChars="200"/>
        <w:rPr>
          <w:rFonts w:ascii="宋体" w:hAnsi="宋体"/>
          <w:szCs w:val="21"/>
          <w:highlight w:val="none"/>
        </w:rPr>
      </w:pPr>
      <w:r>
        <w:rPr>
          <w:rFonts w:hint="eastAsia" w:ascii="宋体" w:hAnsi="宋体"/>
          <w:szCs w:val="21"/>
          <w:highlight w:val="none"/>
        </w:rPr>
        <w:t>9.3、参选人必须对其参选文件的真实性与准确性负责。参选人一旦成交，其参选文件将作为合同的重要组成部分。</w:t>
      </w:r>
    </w:p>
    <w:p w14:paraId="6CB1102B">
      <w:pPr>
        <w:spacing w:line="500" w:lineRule="exact"/>
        <w:ind w:firstLine="420" w:firstLineChars="200"/>
        <w:rPr>
          <w:rFonts w:ascii="宋体" w:hAnsi="宋体"/>
          <w:szCs w:val="21"/>
          <w:highlight w:val="none"/>
        </w:rPr>
      </w:pPr>
      <w:r>
        <w:rPr>
          <w:rFonts w:hint="eastAsia" w:ascii="宋体" w:hAnsi="宋体"/>
          <w:szCs w:val="21"/>
          <w:highlight w:val="none"/>
        </w:rPr>
        <w:t>9.4、参选人提供的</w:t>
      </w:r>
      <w:r>
        <w:rPr>
          <w:rFonts w:hint="eastAsia" w:ascii="宋体" w:hAnsi="宋体"/>
          <w:szCs w:val="21"/>
          <w:highlight w:val="none"/>
          <w:lang w:eastAsia="zh-CN"/>
        </w:rPr>
        <w:t>货物</w:t>
      </w:r>
      <w:r>
        <w:rPr>
          <w:rFonts w:hint="eastAsia" w:ascii="宋体" w:hAnsi="宋体"/>
          <w:szCs w:val="21"/>
          <w:highlight w:val="none"/>
        </w:rPr>
        <w:t>能满足比选文件约定的实质性要求。否则，其参选文件在评标时有可能被认为是对比选文件未做出实质性的响应，而被评标委员会终止对其作进一步的评审。</w:t>
      </w:r>
    </w:p>
    <w:p w14:paraId="13173A91">
      <w:pPr>
        <w:spacing w:line="500" w:lineRule="exact"/>
        <w:ind w:firstLine="422" w:firstLineChars="200"/>
        <w:rPr>
          <w:rFonts w:hint="eastAsia" w:ascii="宋体" w:hAnsi="宋体"/>
          <w:b/>
          <w:szCs w:val="21"/>
          <w:highlight w:val="none"/>
        </w:rPr>
      </w:pPr>
      <w:r>
        <w:rPr>
          <w:rFonts w:hint="eastAsia" w:ascii="宋体" w:hAnsi="宋体"/>
          <w:b/>
          <w:szCs w:val="21"/>
          <w:highlight w:val="none"/>
        </w:rPr>
        <w:t>10、投标费率</w:t>
      </w:r>
    </w:p>
    <w:p w14:paraId="5EE44086">
      <w:pPr>
        <w:spacing w:line="500" w:lineRule="exact"/>
        <w:ind w:firstLine="420" w:firstLineChars="200"/>
        <w:rPr>
          <w:rFonts w:ascii="宋体" w:hAnsi="宋体"/>
          <w:szCs w:val="21"/>
          <w:highlight w:val="none"/>
        </w:rPr>
      </w:pPr>
      <w:r>
        <w:rPr>
          <w:rFonts w:hint="eastAsia" w:ascii="宋体" w:hAnsi="宋体"/>
          <w:szCs w:val="21"/>
          <w:highlight w:val="none"/>
        </w:rPr>
        <w:t>10.1、参选文件的投标费率表上应清楚地标明参选人项目名称、投标费率等内容。</w:t>
      </w:r>
    </w:p>
    <w:p w14:paraId="6D7E5568">
      <w:pPr>
        <w:spacing w:line="500" w:lineRule="exact"/>
        <w:ind w:firstLine="420" w:firstLineChars="200"/>
        <w:rPr>
          <w:rFonts w:ascii="宋体" w:hAnsi="宋体"/>
          <w:szCs w:val="21"/>
          <w:highlight w:val="none"/>
        </w:rPr>
      </w:pPr>
      <w:r>
        <w:rPr>
          <w:rFonts w:hint="eastAsia" w:ascii="宋体" w:hAnsi="宋体"/>
          <w:szCs w:val="21"/>
          <w:highlight w:val="none"/>
        </w:rPr>
        <w:t>10.2、除非特别要求，每个项目（或每个包）只允许有一个方案、一个投标费率。多方案、多投标费率的参选文件将视为无效参选文件。</w:t>
      </w:r>
    </w:p>
    <w:p w14:paraId="46828F4D">
      <w:pPr>
        <w:spacing w:line="500" w:lineRule="exact"/>
        <w:ind w:firstLine="420" w:firstLineChars="200"/>
        <w:rPr>
          <w:rFonts w:ascii="宋体" w:hAnsi="宋体"/>
          <w:szCs w:val="21"/>
          <w:highlight w:val="none"/>
        </w:rPr>
      </w:pPr>
      <w:r>
        <w:rPr>
          <w:rFonts w:hint="eastAsia" w:ascii="宋体" w:hAnsi="宋体"/>
          <w:szCs w:val="21"/>
          <w:highlight w:val="none"/>
        </w:rPr>
        <w:t>10.4、投标费率高于比选最高投标费率为无效报价。</w:t>
      </w:r>
    </w:p>
    <w:p w14:paraId="5DD04FCA">
      <w:pPr>
        <w:spacing w:line="360" w:lineRule="auto"/>
        <w:ind w:firstLine="420" w:firstLineChars="200"/>
        <w:rPr>
          <w:rFonts w:ascii="宋体" w:hAnsi="宋体"/>
          <w:szCs w:val="21"/>
          <w:highlight w:val="none"/>
        </w:rPr>
      </w:pPr>
      <w:r>
        <w:rPr>
          <w:rFonts w:hint="eastAsia" w:ascii="宋体" w:hAnsi="宋体"/>
          <w:szCs w:val="21"/>
          <w:highlight w:val="none"/>
        </w:rPr>
        <w:t>10.5、若</w:t>
      </w:r>
      <w:r>
        <w:rPr>
          <w:rFonts w:hint="eastAsia"/>
          <w:szCs w:val="24"/>
          <w:highlight w:val="none"/>
        </w:rPr>
        <w:t>参选投标函中报价的大写费率和小写费率不一致的</w:t>
      </w:r>
      <w:r>
        <w:rPr>
          <w:rFonts w:hint="eastAsia" w:ascii="宋体" w:hAnsi="宋体"/>
          <w:szCs w:val="21"/>
          <w:highlight w:val="none"/>
        </w:rPr>
        <w:t>，以大写费率为准；</w:t>
      </w:r>
    </w:p>
    <w:p w14:paraId="50E077A7">
      <w:pPr>
        <w:spacing w:line="360" w:lineRule="auto"/>
        <w:ind w:firstLine="420" w:firstLineChars="200"/>
        <w:rPr>
          <w:rFonts w:hint="eastAsia" w:ascii="宋体" w:hAnsi="宋体"/>
          <w:szCs w:val="21"/>
          <w:highlight w:val="none"/>
        </w:rPr>
      </w:pPr>
      <w:r>
        <w:rPr>
          <w:rFonts w:hint="eastAsia" w:ascii="宋体" w:hAnsi="宋体"/>
          <w:szCs w:val="21"/>
          <w:highlight w:val="none"/>
        </w:rPr>
        <w:t>10.6、若参选投标函、投标费率表中费率两者不一致的，视为无效投标；</w:t>
      </w:r>
    </w:p>
    <w:p w14:paraId="5CB42D14">
      <w:pPr>
        <w:spacing w:line="360" w:lineRule="auto"/>
        <w:ind w:firstLine="420" w:firstLineChars="200"/>
        <w:rPr>
          <w:rFonts w:ascii="宋体" w:hAnsi="宋体"/>
          <w:szCs w:val="21"/>
          <w:highlight w:val="none"/>
        </w:rPr>
      </w:pPr>
      <w:r>
        <w:rPr>
          <w:rFonts w:hint="eastAsia" w:ascii="宋体" w:hAnsi="宋体"/>
          <w:szCs w:val="21"/>
          <w:highlight w:val="none"/>
        </w:rPr>
        <w:t>10.7、参选投标函中费率与参选文件中相应内容不一致的，以参选投标函中费率为准。</w:t>
      </w:r>
    </w:p>
    <w:p w14:paraId="1BF68552">
      <w:pPr>
        <w:spacing w:line="500" w:lineRule="exact"/>
        <w:ind w:firstLine="422" w:firstLineChars="200"/>
        <w:rPr>
          <w:rFonts w:ascii="宋体" w:hAnsi="宋体"/>
          <w:szCs w:val="21"/>
          <w:highlight w:val="none"/>
        </w:rPr>
      </w:pPr>
      <w:r>
        <w:rPr>
          <w:rFonts w:hint="eastAsia" w:ascii="宋体" w:hAnsi="宋体"/>
          <w:b/>
          <w:szCs w:val="21"/>
          <w:highlight w:val="none"/>
        </w:rPr>
        <w:t>11、投标货币：</w:t>
      </w:r>
      <w:r>
        <w:rPr>
          <w:rFonts w:hint="eastAsia" w:ascii="宋体" w:hAnsi="宋体"/>
          <w:szCs w:val="21"/>
          <w:highlight w:val="none"/>
        </w:rPr>
        <w:t>人民币。</w:t>
      </w:r>
    </w:p>
    <w:p w14:paraId="7301745E">
      <w:pPr>
        <w:spacing w:line="500" w:lineRule="exact"/>
        <w:ind w:firstLine="422" w:firstLineChars="200"/>
        <w:rPr>
          <w:rFonts w:ascii="宋体" w:hAnsi="宋体"/>
          <w:b/>
          <w:szCs w:val="21"/>
          <w:highlight w:val="none"/>
        </w:rPr>
      </w:pPr>
      <w:r>
        <w:rPr>
          <w:rFonts w:hint="eastAsia" w:ascii="宋体" w:hAnsi="宋体"/>
          <w:b/>
          <w:szCs w:val="21"/>
          <w:highlight w:val="none"/>
        </w:rPr>
        <w:t>12、参选保证金：本项目不收取</w:t>
      </w:r>
    </w:p>
    <w:p w14:paraId="5964E34D">
      <w:pPr>
        <w:spacing w:line="500" w:lineRule="exact"/>
        <w:ind w:firstLine="422" w:firstLineChars="200"/>
        <w:rPr>
          <w:rFonts w:ascii="宋体" w:hAnsi="宋体"/>
          <w:b/>
          <w:szCs w:val="21"/>
          <w:highlight w:val="none"/>
        </w:rPr>
      </w:pPr>
      <w:r>
        <w:rPr>
          <w:rFonts w:hint="eastAsia" w:ascii="宋体" w:hAnsi="宋体"/>
          <w:b/>
          <w:szCs w:val="21"/>
          <w:highlight w:val="none"/>
        </w:rPr>
        <w:t>13、参选有效期</w:t>
      </w:r>
    </w:p>
    <w:p w14:paraId="3487AA31">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13.1、参选有效期见“参选人须知前附表”的规定。</w:t>
      </w:r>
    </w:p>
    <w:p w14:paraId="4B80F217">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13.2、在参选有效期内，参选人不得要求撤销或修改其参选文件。</w:t>
      </w:r>
    </w:p>
    <w:p w14:paraId="37B9285E">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13.3、参选有效期从参选截止之日算起。</w:t>
      </w:r>
    </w:p>
    <w:p w14:paraId="22CA4529">
      <w:pPr>
        <w:spacing w:line="500" w:lineRule="exact"/>
        <w:ind w:firstLine="420" w:firstLineChars="200"/>
        <w:rPr>
          <w:rFonts w:ascii="宋体" w:hAnsi="宋体"/>
          <w:szCs w:val="21"/>
          <w:highlight w:val="none"/>
        </w:rPr>
      </w:pPr>
      <w:r>
        <w:rPr>
          <w:rFonts w:hint="eastAsia" w:ascii="宋体" w:hAnsi="宋体"/>
          <w:szCs w:val="21"/>
          <w:highlight w:val="none"/>
        </w:rPr>
        <w:t>13.4、在特殊情况下，采购单位可于原参选有效期满之前，向成交候选人提出延长参选有效期的要求。成交候选人可以拒绝采购单位的这种要求，但是对拒绝延长参选有效期的成交候选人，采购单位有权利拒绝其参选文件。同意延长参选有效期的成交候选人既不能要求也不允许修改比选文件和其参选文件所有内容。提出参选有效期的延长要求和成交候选人对该要求的答复均采用书面形式。</w:t>
      </w:r>
    </w:p>
    <w:p w14:paraId="347C0A21">
      <w:pPr>
        <w:spacing w:line="500" w:lineRule="exact"/>
        <w:ind w:firstLine="422" w:firstLineChars="200"/>
        <w:rPr>
          <w:rFonts w:ascii="宋体" w:hAnsi="宋体"/>
          <w:b/>
          <w:kern w:val="0"/>
          <w:szCs w:val="21"/>
          <w:highlight w:val="none"/>
        </w:rPr>
      </w:pPr>
      <w:r>
        <w:rPr>
          <w:rFonts w:hint="eastAsia" w:ascii="宋体" w:hAnsi="宋体"/>
          <w:b/>
          <w:kern w:val="0"/>
          <w:szCs w:val="21"/>
          <w:highlight w:val="none"/>
        </w:rPr>
        <w:t>14、参选文件的签署</w:t>
      </w:r>
    </w:p>
    <w:p w14:paraId="496C3046">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14.1 参选人应按“参选人须知前附表”约定的份数和比选文件约定的格式，编制并提交参选文件。</w:t>
      </w:r>
    </w:p>
    <w:p w14:paraId="4B742D39">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14.2 参选文件应由参选人的法定代表人或个体工商户经营者或授权委托人签署，并加盖单位公章。</w:t>
      </w:r>
    </w:p>
    <w:p w14:paraId="7641023E">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14.3 参选文件不得行间插字、涂改或增删。如有修改错漏处，必须由参选人的法定代表人或个体工商户经营者或授权委托人签字，并加盖单位公章。</w:t>
      </w:r>
    </w:p>
    <w:p w14:paraId="51732566">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14.4 参选文件的正本和副本均需打印，字迹应清晰易于辩认、不褪色（报价可采用不褪色的墨水笔书写），正本和副本如有不一致之处，以正本为准。参选文件因字迹潦草、表达不清或文本不清晰所引起的一切后果均由参选人负责。</w:t>
      </w:r>
    </w:p>
    <w:p w14:paraId="24896229">
      <w:pPr>
        <w:widowControl/>
        <w:spacing w:line="500" w:lineRule="exact"/>
        <w:ind w:firstLine="420" w:firstLineChars="200"/>
        <w:jc w:val="left"/>
        <w:rPr>
          <w:rFonts w:hint="eastAsia"/>
          <w:szCs w:val="24"/>
          <w:highlight w:val="none"/>
        </w:rPr>
      </w:pPr>
      <w:r>
        <w:rPr>
          <w:rFonts w:hint="eastAsia" w:ascii="宋体" w:hAnsi="宋体"/>
          <w:szCs w:val="21"/>
          <w:highlight w:val="none"/>
        </w:rPr>
        <w:t>14.5 参选文件封面、投标函、投标费率表、</w:t>
      </w:r>
      <w:r>
        <w:rPr>
          <w:rFonts w:hint="eastAsia" w:ascii="宋体" w:hAnsi="宋体"/>
          <w:szCs w:val="21"/>
          <w:highlight w:val="none"/>
          <w:lang w:eastAsia="zh-CN"/>
        </w:rPr>
        <w:t>货物</w:t>
      </w:r>
      <w:r>
        <w:rPr>
          <w:rFonts w:hint="eastAsia" w:ascii="宋体" w:hAnsi="宋体"/>
          <w:szCs w:val="21"/>
          <w:highlight w:val="none"/>
        </w:rPr>
        <w:t>内容及质量要求响应表均应加盖参选人公章并经法定代表人或个体工商户经营者或授权委托人签字或加盖印章。参选文件封面、投标函、投标费率表、</w:t>
      </w:r>
      <w:r>
        <w:rPr>
          <w:rFonts w:hint="eastAsia" w:ascii="宋体" w:hAnsi="宋体"/>
          <w:szCs w:val="21"/>
          <w:highlight w:val="none"/>
          <w:lang w:eastAsia="zh-CN"/>
        </w:rPr>
        <w:t>货物</w:t>
      </w:r>
      <w:r>
        <w:rPr>
          <w:rFonts w:hint="eastAsia" w:ascii="宋体" w:hAnsi="宋体"/>
          <w:szCs w:val="21"/>
          <w:highlight w:val="none"/>
        </w:rPr>
        <w:t>内容及质量要求响应表不符合比选文件要求的，视为无效标。由授权委托人签字或盖章的在参选文件中须同时提交授权书。</w:t>
      </w:r>
      <w:bookmarkStart w:id="31" w:name="_Toc12503"/>
      <w:bookmarkStart w:id="32" w:name="_Toc479622046"/>
      <w:bookmarkStart w:id="33" w:name="_Toc4481594"/>
      <w:bookmarkStart w:id="34" w:name="_Toc25319"/>
    </w:p>
    <w:p w14:paraId="2591D0D4">
      <w:pPr>
        <w:keepNext/>
        <w:keepLines/>
        <w:autoSpaceDE w:val="0"/>
        <w:autoSpaceDN w:val="0"/>
        <w:adjustRightInd w:val="0"/>
        <w:spacing w:before="120" w:line="360" w:lineRule="auto"/>
        <w:jc w:val="center"/>
        <w:outlineLvl w:val="1"/>
        <w:rPr>
          <w:rFonts w:ascii="Arial" w:hAnsi="Arial"/>
          <w:b/>
          <w:kern w:val="0"/>
          <w:sz w:val="32"/>
          <w:highlight w:val="none"/>
        </w:rPr>
      </w:pPr>
      <w:r>
        <w:rPr>
          <w:rFonts w:hint="eastAsia" w:ascii="Arial" w:hAnsi="Arial"/>
          <w:b/>
          <w:kern w:val="0"/>
          <w:sz w:val="32"/>
          <w:highlight w:val="none"/>
        </w:rPr>
        <w:t>（三）参选文件的提交</w:t>
      </w:r>
      <w:bookmarkEnd w:id="31"/>
      <w:bookmarkEnd w:id="32"/>
      <w:bookmarkEnd w:id="33"/>
      <w:bookmarkEnd w:id="34"/>
    </w:p>
    <w:p w14:paraId="402DEDE9">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15、参选文件的装订、密封和标记</w:t>
      </w:r>
    </w:p>
    <w:p w14:paraId="2D2CA7C6">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15.1 参选文件正本和副本均需胶装成册并标明页码，不得采用活页或容易拆解的装订形式。</w:t>
      </w:r>
    </w:p>
    <w:p w14:paraId="2F83DB6C">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15.2 参选人应将参选文件的正本和副本同时装于一个袋内。包装密封，并于密封袋上加盖单位公章。</w:t>
      </w:r>
    </w:p>
    <w:p w14:paraId="3DBC8D43">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15.3 密封袋上须写明：项目名称、参选人名称、项目编号。</w:t>
      </w:r>
    </w:p>
    <w:p w14:paraId="47699C2E">
      <w:pPr>
        <w:spacing w:line="360" w:lineRule="auto"/>
        <w:ind w:firstLine="420" w:firstLineChars="200"/>
        <w:rPr>
          <w:rFonts w:hint="eastAsia" w:ascii="宋体" w:hAnsi="宋体"/>
          <w:szCs w:val="21"/>
          <w:highlight w:val="none"/>
        </w:rPr>
      </w:pPr>
      <w:r>
        <w:rPr>
          <w:rFonts w:hint="eastAsia" w:ascii="宋体" w:hAnsi="宋体"/>
          <w:szCs w:val="21"/>
          <w:highlight w:val="none"/>
        </w:rPr>
        <w:t>15.4 未按参选人须知要求装订、密封和标记的参选文件，将被视为无效投标。</w:t>
      </w:r>
    </w:p>
    <w:p w14:paraId="5F376D30">
      <w:pPr>
        <w:spacing w:line="360" w:lineRule="auto"/>
        <w:ind w:firstLine="422" w:firstLineChars="200"/>
        <w:rPr>
          <w:rFonts w:hint="eastAsia" w:ascii="宋体" w:hAnsi="宋体"/>
          <w:b/>
          <w:bCs/>
          <w:szCs w:val="21"/>
          <w:highlight w:val="none"/>
        </w:rPr>
      </w:pPr>
      <w:r>
        <w:rPr>
          <w:rFonts w:hint="eastAsia" w:ascii="宋体" w:hAnsi="宋体"/>
          <w:b/>
          <w:bCs/>
          <w:szCs w:val="21"/>
          <w:highlight w:val="none"/>
        </w:rPr>
        <w:t>15.5 查验证件</w:t>
      </w:r>
    </w:p>
    <w:p w14:paraId="473E9D50">
      <w:pPr>
        <w:spacing w:line="360" w:lineRule="auto"/>
        <w:ind w:firstLine="422" w:firstLineChars="200"/>
        <w:rPr>
          <w:rFonts w:hint="eastAsia" w:ascii="宋体" w:hAnsi="宋体"/>
          <w:b/>
          <w:bCs/>
          <w:szCs w:val="21"/>
          <w:highlight w:val="none"/>
        </w:rPr>
      </w:pPr>
      <w:r>
        <w:rPr>
          <w:rFonts w:hint="eastAsia" w:ascii="宋体" w:hAnsi="宋体"/>
          <w:b/>
          <w:bCs/>
          <w:szCs w:val="21"/>
          <w:highlight w:val="none"/>
        </w:rPr>
        <w:t>采购人审查参选人以下证件，若证件不全或不符合要求，则查验不合格。</w:t>
      </w:r>
    </w:p>
    <w:p w14:paraId="29EAC798">
      <w:pPr>
        <w:spacing w:line="360" w:lineRule="auto"/>
        <w:ind w:firstLine="422" w:firstLineChars="200"/>
        <w:rPr>
          <w:rFonts w:hint="eastAsia" w:ascii="宋体" w:hAnsi="宋体"/>
          <w:szCs w:val="21"/>
          <w:highlight w:val="none"/>
        </w:rPr>
      </w:pPr>
      <w:r>
        <w:rPr>
          <w:rFonts w:hint="eastAsia" w:ascii="宋体" w:hAnsi="宋体"/>
          <w:b/>
          <w:bCs/>
          <w:szCs w:val="21"/>
          <w:highlight w:val="none"/>
        </w:rPr>
        <w:t>法定代表人或个体工商户经营者应出示有效二代居民身份证、授权委托人应出示授权书；（授权书格式见附件）</w:t>
      </w:r>
      <w:r>
        <w:rPr>
          <w:rFonts w:hint="eastAsia" w:ascii="宋体" w:hAnsi="宋体"/>
          <w:szCs w:val="21"/>
          <w:highlight w:val="none"/>
        </w:rPr>
        <w:t>。</w:t>
      </w:r>
    </w:p>
    <w:p w14:paraId="6192E437">
      <w:pPr>
        <w:spacing w:line="500" w:lineRule="exact"/>
        <w:ind w:firstLine="422" w:firstLineChars="200"/>
        <w:rPr>
          <w:rFonts w:ascii="宋体" w:hAnsi="宋体"/>
          <w:b/>
          <w:szCs w:val="21"/>
          <w:highlight w:val="none"/>
        </w:rPr>
      </w:pPr>
      <w:r>
        <w:rPr>
          <w:rFonts w:hint="eastAsia" w:ascii="宋体" w:hAnsi="宋体"/>
          <w:b/>
          <w:szCs w:val="21"/>
          <w:highlight w:val="none"/>
        </w:rPr>
        <w:t>16、参选截止时间</w:t>
      </w:r>
    </w:p>
    <w:p w14:paraId="1B10992C">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16.1 参选人应在参选人须知前附表中约定的参选截止时间前将参选文件提交至指定地点。逾期送达的或者未按要求送达指定地点的参选文件，采购单位不予受理。</w:t>
      </w:r>
    </w:p>
    <w:p w14:paraId="66DAE7BF">
      <w:pPr>
        <w:widowControl/>
        <w:spacing w:line="500" w:lineRule="exact"/>
        <w:ind w:firstLine="420" w:firstLineChars="200"/>
        <w:jc w:val="left"/>
        <w:rPr>
          <w:rFonts w:hint="eastAsia" w:ascii="宋体" w:hAnsi="宋体"/>
          <w:b/>
          <w:szCs w:val="21"/>
          <w:highlight w:val="none"/>
        </w:rPr>
      </w:pPr>
      <w:r>
        <w:rPr>
          <w:rFonts w:hint="eastAsia" w:ascii="宋体" w:hAnsi="宋体"/>
          <w:szCs w:val="21"/>
          <w:highlight w:val="none"/>
        </w:rPr>
        <w:t>16.2 采购人有权按本须知的约定，通过修改比选文件相关条款以延长参选截止时间。在此情况下，采购人和参选人受参选截止时间制约的所有权利和义务均应延长至新的参选截止时间。</w:t>
      </w:r>
    </w:p>
    <w:p w14:paraId="0CB70613">
      <w:pPr>
        <w:widowControl/>
        <w:spacing w:line="500" w:lineRule="exact"/>
        <w:ind w:firstLine="422" w:firstLineChars="200"/>
        <w:jc w:val="left"/>
        <w:rPr>
          <w:rFonts w:ascii="宋体" w:hAnsi="宋体"/>
          <w:b/>
          <w:szCs w:val="21"/>
          <w:highlight w:val="none"/>
        </w:rPr>
      </w:pPr>
      <w:r>
        <w:rPr>
          <w:rFonts w:hint="eastAsia" w:ascii="宋体" w:hAnsi="宋体"/>
          <w:b/>
          <w:szCs w:val="21"/>
          <w:highlight w:val="none"/>
        </w:rPr>
        <w:t>17、参选文件的修改与撤回</w:t>
      </w:r>
    </w:p>
    <w:p w14:paraId="43C11CEE">
      <w:pPr>
        <w:widowControl/>
        <w:spacing w:line="500" w:lineRule="exact"/>
        <w:ind w:firstLine="420" w:firstLineChars="200"/>
        <w:jc w:val="left"/>
        <w:rPr>
          <w:rFonts w:hint="eastAsia" w:ascii="宋体" w:hAnsi="宋体"/>
          <w:szCs w:val="21"/>
          <w:highlight w:val="none"/>
        </w:rPr>
      </w:pPr>
      <w:bookmarkStart w:id="35" w:name="_Toc479622047"/>
      <w:bookmarkStart w:id="36" w:name="_Toc23598"/>
      <w:r>
        <w:rPr>
          <w:rFonts w:hint="eastAsia" w:ascii="宋体" w:hAnsi="宋体"/>
          <w:szCs w:val="21"/>
          <w:highlight w:val="none"/>
        </w:rPr>
        <w:t>17.1 参选人提交参选文件以后，在约定的参选截止时间之前，可以以书面形式补充修改或撤回已提交的参选文件，并以书面形式通知采购人。补充、修改的内容为参选文件的组成部分。</w:t>
      </w:r>
    </w:p>
    <w:p w14:paraId="2DFA7F41">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17.2 参选人对参选文件的修改通知应按参选人须知规定编制、密封、标记和提交，并在参选文件密封袋上清楚标明“补充、修改”字样。</w:t>
      </w:r>
    </w:p>
    <w:p w14:paraId="78B268F9">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17.3 参选人提交参选文件以后，在约定的参选截止时间之前撤回参选文件，法定代表人或个体工商户经营者应出示有效二代居民身份证、授权委托人应出示授权书。</w:t>
      </w:r>
    </w:p>
    <w:p w14:paraId="1899F875">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17.4 在参选截止时间之后，参选人不得对其参选文件做任何修改。</w:t>
      </w:r>
    </w:p>
    <w:p w14:paraId="3BEA211E">
      <w:pPr>
        <w:widowControl/>
        <w:spacing w:line="500" w:lineRule="exact"/>
        <w:ind w:firstLine="420" w:firstLineChars="200"/>
        <w:jc w:val="left"/>
        <w:rPr>
          <w:rFonts w:hint="eastAsia"/>
          <w:szCs w:val="24"/>
          <w:highlight w:val="none"/>
        </w:rPr>
      </w:pPr>
      <w:r>
        <w:rPr>
          <w:rFonts w:hint="eastAsia" w:ascii="宋体" w:hAnsi="宋体"/>
          <w:szCs w:val="21"/>
          <w:highlight w:val="none"/>
        </w:rPr>
        <w:t>18、 在规定的参选有效期内，参选人不得撤回其参选文件。</w:t>
      </w:r>
      <w:bookmarkStart w:id="37" w:name="_Toc4481595"/>
    </w:p>
    <w:p w14:paraId="56E7FE37">
      <w:pPr>
        <w:keepNext/>
        <w:keepLines/>
        <w:autoSpaceDE w:val="0"/>
        <w:autoSpaceDN w:val="0"/>
        <w:adjustRightInd w:val="0"/>
        <w:spacing w:before="120" w:line="360" w:lineRule="auto"/>
        <w:jc w:val="center"/>
        <w:outlineLvl w:val="1"/>
        <w:rPr>
          <w:rFonts w:ascii="Arial" w:hAnsi="Arial"/>
          <w:b/>
          <w:kern w:val="0"/>
          <w:sz w:val="32"/>
          <w:highlight w:val="none"/>
        </w:rPr>
      </w:pPr>
      <w:r>
        <w:rPr>
          <w:rFonts w:hint="eastAsia" w:ascii="Arial" w:hAnsi="Arial"/>
          <w:b/>
          <w:kern w:val="0"/>
          <w:sz w:val="32"/>
          <w:highlight w:val="none"/>
        </w:rPr>
        <w:t>（四）开标</w:t>
      </w:r>
      <w:bookmarkEnd w:id="35"/>
      <w:bookmarkEnd w:id="36"/>
      <w:bookmarkEnd w:id="37"/>
    </w:p>
    <w:p w14:paraId="790AAFAA">
      <w:pPr>
        <w:widowControl/>
        <w:spacing w:line="500" w:lineRule="exact"/>
        <w:ind w:firstLine="422" w:firstLineChars="200"/>
        <w:jc w:val="left"/>
        <w:rPr>
          <w:rFonts w:ascii="宋体" w:hAnsi="宋体"/>
          <w:szCs w:val="21"/>
          <w:highlight w:val="none"/>
        </w:rPr>
      </w:pPr>
      <w:r>
        <w:rPr>
          <w:rFonts w:hint="eastAsia" w:ascii="宋体" w:hAnsi="宋体"/>
          <w:b/>
          <w:bCs/>
          <w:szCs w:val="21"/>
          <w:highlight w:val="none"/>
        </w:rPr>
        <w:t>19、开标时间和地点：</w:t>
      </w:r>
      <w:r>
        <w:rPr>
          <w:rFonts w:hint="eastAsia" w:ascii="宋体" w:hAnsi="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65C829F5">
      <w:pPr>
        <w:widowControl/>
        <w:spacing w:line="500" w:lineRule="exact"/>
        <w:ind w:firstLine="422" w:firstLineChars="200"/>
        <w:jc w:val="left"/>
        <w:rPr>
          <w:rFonts w:ascii="宋体" w:hAnsi="宋体"/>
          <w:szCs w:val="21"/>
          <w:highlight w:val="none"/>
        </w:rPr>
      </w:pPr>
      <w:r>
        <w:rPr>
          <w:rFonts w:hint="eastAsia" w:ascii="宋体" w:hAnsi="宋体"/>
          <w:b/>
          <w:bCs/>
          <w:szCs w:val="21"/>
          <w:highlight w:val="none"/>
        </w:rPr>
        <w:t>20、开标程序</w:t>
      </w:r>
    </w:p>
    <w:p w14:paraId="6336554B">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20.1 开标由采购单位代表主持，主持人按下列程序进行：</w:t>
      </w:r>
    </w:p>
    <w:p w14:paraId="7FF36D41">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20.1.1 宣布项目名称、介绍参会人员；</w:t>
      </w:r>
    </w:p>
    <w:p w14:paraId="3A0CA30F">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20.1.2 宣布开标纪律；</w:t>
      </w:r>
    </w:p>
    <w:p w14:paraId="1B6546AB">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20.1.3 由</w:t>
      </w:r>
      <w:r>
        <w:rPr>
          <w:rFonts w:hint="eastAsia" w:ascii="宋体" w:hAnsi="宋体"/>
          <w:szCs w:val="21"/>
          <w:highlight w:val="none"/>
        </w:rPr>
        <w:t>采购人</w:t>
      </w:r>
      <w:r>
        <w:rPr>
          <w:rFonts w:hint="eastAsia" w:ascii="宋体" w:hAnsi="宋体" w:cs="宋体"/>
          <w:szCs w:val="21"/>
          <w:highlight w:val="none"/>
          <w:lang w:bidi="ar"/>
        </w:rPr>
        <w:t>代表和监督人员查验参选人相关证件资料并宣布查验结果；</w:t>
      </w:r>
    </w:p>
    <w:p w14:paraId="4D7C68B4">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20.1.4 由</w:t>
      </w:r>
      <w:r>
        <w:rPr>
          <w:rFonts w:hint="eastAsia" w:ascii="宋体" w:hAnsi="宋体" w:cs="宋体"/>
          <w:szCs w:val="21"/>
          <w:highlight w:val="none"/>
        </w:rPr>
        <w:t>参与现场开标的</w:t>
      </w:r>
      <w:r>
        <w:rPr>
          <w:rFonts w:hint="eastAsia" w:ascii="宋体" w:hAnsi="宋体" w:cs="宋体"/>
          <w:szCs w:val="21"/>
          <w:highlight w:val="none"/>
          <w:lang w:bidi="ar"/>
        </w:rPr>
        <w:t xml:space="preserve">各参选人互相检查参选文件的密封情况，并确认参选人是否存在异议； </w:t>
      </w:r>
    </w:p>
    <w:p w14:paraId="4F6CE79A">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20.1.5 依次当众开标，公布参选人名称、报价及参选报价函其他内容，并记录在案；</w:t>
      </w:r>
    </w:p>
    <w:p w14:paraId="60556206">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 xml:space="preserve">20.1.6 </w:t>
      </w:r>
      <w:r>
        <w:rPr>
          <w:rFonts w:hint="eastAsia" w:ascii="宋体" w:hAnsi="宋体"/>
          <w:szCs w:val="21"/>
          <w:highlight w:val="none"/>
        </w:rPr>
        <w:t>采购人</w:t>
      </w:r>
      <w:r>
        <w:rPr>
          <w:rFonts w:hint="eastAsia" w:ascii="宋体" w:hAnsi="宋体" w:cs="宋体"/>
          <w:szCs w:val="21"/>
          <w:highlight w:val="none"/>
          <w:lang w:bidi="ar"/>
        </w:rPr>
        <w:t>代表、监督人员、记录人等有关人员在开标记录表上签字确认；</w:t>
      </w:r>
    </w:p>
    <w:p w14:paraId="7E9C5E9C">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20.1.7 进入评审阶段；</w:t>
      </w:r>
    </w:p>
    <w:p w14:paraId="1623B832">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20.1.8 宣布评审结果。</w:t>
      </w:r>
    </w:p>
    <w:p w14:paraId="6460B228">
      <w:pPr>
        <w:spacing w:line="360" w:lineRule="auto"/>
        <w:ind w:firstLine="420" w:firstLineChars="200"/>
        <w:rPr>
          <w:rFonts w:hint="eastAsia" w:ascii="宋体" w:hAnsi="宋体"/>
          <w:szCs w:val="21"/>
          <w:highlight w:val="none"/>
        </w:rPr>
      </w:pPr>
      <w:r>
        <w:rPr>
          <w:rFonts w:hint="eastAsia" w:ascii="宋体" w:hAnsi="宋体"/>
          <w:szCs w:val="21"/>
          <w:highlight w:val="none"/>
        </w:rPr>
        <w:t>20.2参选人必须对其参选文件中所有资料的真实性负责。若发现参选人有弄虚作假行为的，参选无效，由相关管理部门按照比选文件相应条款对其做相应处罚。</w:t>
      </w:r>
    </w:p>
    <w:p w14:paraId="4E9C51F4">
      <w:pPr>
        <w:widowControl/>
        <w:spacing w:line="500" w:lineRule="exact"/>
        <w:ind w:firstLine="422" w:firstLineChars="200"/>
        <w:jc w:val="left"/>
        <w:rPr>
          <w:rFonts w:ascii="宋体" w:hAnsi="宋体"/>
          <w:szCs w:val="21"/>
          <w:highlight w:val="none"/>
        </w:rPr>
      </w:pPr>
      <w:r>
        <w:rPr>
          <w:rFonts w:hint="eastAsia" w:ascii="宋体" w:hAnsi="宋体"/>
          <w:b/>
          <w:bCs/>
          <w:szCs w:val="21"/>
          <w:highlight w:val="none"/>
        </w:rPr>
        <w:t>21、参选文件的有效性</w:t>
      </w:r>
    </w:p>
    <w:p w14:paraId="70042950">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 xml:space="preserve">21.1 参选文件有下列情形之一的，将不予受理： </w:t>
      </w:r>
    </w:p>
    <w:p w14:paraId="717F2EB0">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 xml:space="preserve">（1）逾期送达的或者未送达至指定地点的； </w:t>
      </w:r>
    </w:p>
    <w:p w14:paraId="22C9AA0C">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（2）未按比选文件要求包装、密封的。</w:t>
      </w:r>
    </w:p>
    <w:p w14:paraId="5AB29BE0">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（3）参选人未按要求参加开标会、未按要求出示材料供现场查验或经查验不合格的、参选文件份数少于比选文件要求；</w:t>
      </w:r>
    </w:p>
    <w:p w14:paraId="4E1FA435">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2、开标过程中发现有下列情况的，由评标委员会评审后，认定为参选无效：</w:t>
      </w:r>
    </w:p>
    <w:p w14:paraId="0A096E90">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21.2.1、未按约定格式提供、填写参选文件封面、投标函、投标费率表、</w:t>
      </w:r>
      <w:r>
        <w:rPr>
          <w:rFonts w:hint="eastAsia" w:ascii="宋体" w:hAnsi="宋体"/>
          <w:szCs w:val="21"/>
          <w:highlight w:val="none"/>
          <w:lang w:eastAsia="zh-CN"/>
        </w:rPr>
        <w:t>货物</w:t>
      </w:r>
      <w:r>
        <w:rPr>
          <w:rFonts w:hint="eastAsia" w:ascii="宋体" w:hAnsi="宋体"/>
          <w:szCs w:val="21"/>
          <w:highlight w:val="none"/>
        </w:rPr>
        <w:t>内容及质量要求响应表或参选文件封面、投标函、投标费率表、</w:t>
      </w:r>
      <w:r>
        <w:rPr>
          <w:rFonts w:hint="eastAsia" w:ascii="宋体" w:hAnsi="宋体"/>
          <w:szCs w:val="21"/>
          <w:highlight w:val="none"/>
          <w:lang w:eastAsia="zh-CN"/>
        </w:rPr>
        <w:t>货物</w:t>
      </w:r>
      <w:r>
        <w:rPr>
          <w:rFonts w:hint="eastAsia" w:ascii="宋体" w:hAnsi="宋体"/>
          <w:szCs w:val="21"/>
          <w:highlight w:val="none"/>
        </w:rPr>
        <w:t>内容及质量要求响应表未加盖参选人公章并经法定代表人或个体工商户经营者或授权委托人签字或加盖印章；</w:t>
      </w:r>
    </w:p>
    <w:p w14:paraId="4CF07685">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21.2.2、参选人投标费率高于比选最高投标费率；</w:t>
      </w:r>
    </w:p>
    <w:p w14:paraId="2D833E61">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21.2.3、法律、法规及比选文件规定的其它情形。</w:t>
      </w:r>
    </w:p>
    <w:p w14:paraId="5A89EAA8">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22、参选人存在下列情形之一，经评标委员会评审后，为参选无效：</w:t>
      </w:r>
    </w:p>
    <w:p w14:paraId="4BA02796">
      <w:pPr>
        <w:widowControl/>
        <w:spacing w:line="500" w:lineRule="exact"/>
        <w:jc w:val="left"/>
        <w:rPr>
          <w:rFonts w:ascii="宋体" w:hAnsi="宋体"/>
          <w:szCs w:val="21"/>
          <w:highlight w:val="none"/>
        </w:rPr>
      </w:pPr>
      <w:r>
        <w:rPr>
          <w:rFonts w:hint="eastAsia" w:ascii="宋体" w:hAnsi="宋体"/>
          <w:szCs w:val="21"/>
          <w:highlight w:val="none"/>
        </w:rPr>
        <w:t xml:space="preserve">    (1)</w:t>
      </w:r>
      <w:r>
        <w:rPr>
          <w:rFonts w:hAnsi="宋体"/>
          <w:szCs w:val="21"/>
          <w:highlight w:val="none"/>
        </w:rPr>
        <w:t>被责令停业</w:t>
      </w:r>
      <w:r>
        <w:rPr>
          <w:rFonts w:hint="eastAsia" w:hAnsi="宋体"/>
          <w:szCs w:val="21"/>
          <w:highlight w:val="none"/>
        </w:rPr>
        <w:t>且处于有效期内</w:t>
      </w:r>
      <w:r>
        <w:rPr>
          <w:rFonts w:hAnsi="宋体"/>
          <w:szCs w:val="21"/>
          <w:highlight w:val="none"/>
        </w:rPr>
        <w:t>的</w:t>
      </w:r>
      <w:r>
        <w:rPr>
          <w:rFonts w:hint="eastAsia" w:ascii="宋体" w:hAnsi="宋体"/>
          <w:szCs w:val="21"/>
          <w:highlight w:val="none"/>
        </w:rPr>
        <w:t>；</w:t>
      </w:r>
    </w:p>
    <w:p w14:paraId="22D75CF0">
      <w:pPr>
        <w:widowControl/>
        <w:spacing w:line="500" w:lineRule="exact"/>
        <w:jc w:val="left"/>
        <w:rPr>
          <w:rFonts w:ascii="宋体" w:hAnsi="宋体"/>
          <w:szCs w:val="21"/>
          <w:highlight w:val="none"/>
        </w:rPr>
      </w:pPr>
      <w:r>
        <w:rPr>
          <w:rFonts w:hint="eastAsia" w:ascii="宋体" w:hAnsi="宋体"/>
          <w:szCs w:val="21"/>
          <w:highlight w:val="none"/>
        </w:rPr>
        <w:t xml:space="preserve">    (2)被安庆市行政区域内公共资源交易监管部门限制参选资格且处于有效期内；</w:t>
      </w:r>
    </w:p>
    <w:p w14:paraId="74249A56">
      <w:pPr>
        <w:widowControl/>
        <w:spacing w:line="500" w:lineRule="exact"/>
        <w:jc w:val="left"/>
        <w:rPr>
          <w:rFonts w:ascii="宋体" w:hAnsi="宋体"/>
          <w:szCs w:val="21"/>
          <w:highlight w:val="none"/>
        </w:rPr>
      </w:pPr>
      <w:r>
        <w:rPr>
          <w:rFonts w:hint="eastAsia" w:ascii="宋体" w:hAnsi="宋体"/>
          <w:szCs w:val="21"/>
          <w:highlight w:val="none"/>
        </w:rPr>
        <w:t xml:space="preserve">    (3)财产被接管或冻结可能影响本项目正常实施的；</w:t>
      </w:r>
    </w:p>
    <w:p w14:paraId="63797D38">
      <w:pPr>
        <w:widowControl/>
        <w:numPr>
          <w:ilvl w:val="0"/>
          <w:numId w:val="6"/>
        </w:numPr>
        <w:spacing w:line="500" w:lineRule="exact"/>
        <w:ind w:firstLine="420" w:firstLineChars="200"/>
        <w:jc w:val="left"/>
        <w:rPr>
          <w:rFonts w:hint="eastAsia"/>
          <w:szCs w:val="24"/>
          <w:highlight w:val="none"/>
        </w:rPr>
      </w:pPr>
      <w:r>
        <w:rPr>
          <w:rFonts w:hint="eastAsia" w:ascii="宋体" w:hAnsi="宋体"/>
          <w:szCs w:val="21"/>
          <w:highlight w:val="none"/>
        </w:rPr>
        <w:t>法律、法规规定及比选文件约定的其他情形。</w:t>
      </w:r>
    </w:p>
    <w:p w14:paraId="5A778ABC">
      <w:pPr>
        <w:keepNext/>
        <w:keepLines/>
        <w:autoSpaceDE w:val="0"/>
        <w:autoSpaceDN w:val="0"/>
        <w:adjustRightInd w:val="0"/>
        <w:spacing w:before="120" w:line="360" w:lineRule="auto"/>
        <w:jc w:val="center"/>
        <w:outlineLvl w:val="1"/>
        <w:rPr>
          <w:rFonts w:ascii="Arial" w:hAnsi="Arial"/>
          <w:b/>
          <w:kern w:val="0"/>
          <w:sz w:val="32"/>
          <w:highlight w:val="none"/>
        </w:rPr>
      </w:pPr>
      <w:r>
        <w:rPr>
          <w:rFonts w:hint="eastAsia" w:ascii="Arial" w:hAnsi="Arial"/>
          <w:b/>
          <w:kern w:val="0"/>
          <w:sz w:val="32"/>
          <w:highlight w:val="none"/>
        </w:rPr>
        <w:t>（五）评标</w:t>
      </w:r>
    </w:p>
    <w:p w14:paraId="37A66222">
      <w:pPr>
        <w:widowControl/>
        <w:spacing w:line="500" w:lineRule="exact"/>
        <w:jc w:val="left"/>
        <w:rPr>
          <w:rFonts w:ascii="宋体" w:hAnsi="宋体"/>
          <w:szCs w:val="21"/>
          <w:highlight w:val="none"/>
        </w:rPr>
      </w:pPr>
      <w:r>
        <w:rPr>
          <w:rFonts w:hint="eastAsia" w:ascii="宋体" w:hAnsi="宋体"/>
          <w:b/>
          <w:bCs/>
          <w:szCs w:val="21"/>
          <w:highlight w:val="none"/>
        </w:rPr>
        <w:t xml:space="preserve">    23、评选委员会</w:t>
      </w:r>
      <w:r>
        <w:rPr>
          <w:rFonts w:hint="eastAsia" w:ascii="宋体" w:hAnsi="宋体"/>
          <w:szCs w:val="21"/>
          <w:highlight w:val="none"/>
        </w:rPr>
        <w:t>（以下简称“评委会”）：评委会依法组建。采购人代表不得担任评委会组长。评标由评委会进行，评委应坚持公正、公平、诚实守信、实事求是、独立评标的原则。</w:t>
      </w:r>
    </w:p>
    <w:p w14:paraId="7E0E3B91">
      <w:pPr>
        <w:spacing w:line="360" w:lineRule="auto"/>
        <w:ind w:firstLine="422" w:firstLineChars="200"/>
        <w:rPr>
          <w:rFonts w:ascii="宋体" w:hAnsi="宋体"/>
          <w:b/>
          <w:szCs w:val="21"/>
          <w:highlight w:val="none"/>
        </w:rPr>
      </w:pPr>
      <w:r>
        <w:rPr>
          <w:rFonts w:hint="eastAsia" w:ascii="宋体" w:hAnsi="宋体"/>
          <w:b/>
          <w:szCs w:val="21"/>
          <w:highlight w:val="none"/>
        </w:rPr>
        <w:t>24、评标方法：</w:t>
      </w:r>
      <w:r>
        <w:rPr>
          <w:rFonts w:hint="eastAsia" w:ascii="宋体" w:hAnsi="宋体" w:cs="宋体"/>
          <w:szCs w:val="21"/>
          <w:highlight w:val="none"/>
        </w:rPr>
        <w:t>采用最低投标价法。</w:t>
      </w:r>
    </w:p>
    <w:p w14:paraId="6C38338F">
      <w:pPr>
        <w:spacing w:line="360" w:lineRule="auto"/>
        <w:ind w:firstLine="422" w:firstLineChars="200"/>
        <w:jc w:val="left"/>
        <w:rPr>
          <w:rFonts w:ascii="宋体" w:hAnsi="宋体" w:cs="宋体"/>
          <w:b/>
          <w:szCs w:val="21"/>
          <w:highlight w:val="none"/>
        </w:rPr>
      </w:pPr>
      <w:r>
        <w:rPr>
          <w:rFonts w:hint="eastAsia" w:ascii="宋体" w:hAnsi="宋体"/>
          <w:b/>
          <w:bCs/>
          <w:szCs w:val="21"/>
          <w:highlight w:val="none"/>
        </w:rPr>
        <w:t>25、评标程序</w:t>
      </w:r>
      <w:r>
        <w:rPr>
          <w:rFonts w:hint="eastAsia" w:ascii="宋体" w:hAnsi="宋体"/>
          <w:szCs w:val="21"/>
          <w:highlight w:val="none"/>
        </w:rPr>
        <w:t>：评标包括参选文件符合性审查、报价评审、澄清有关问题、失信核查和确定成交候选人排序。如有任一项未通过的则不进入下一项评审。首先对参选文件进行符合性审查，只有通过参选文件符合性审查的参选人才能进入比选。</w:t>
      </w:r>
    </w:p>
    <w:p w14:paraId="0F526DFA">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25.1、参选文件符合性审查，包括但不限于以下内容：</w:t>
      </w:r>
    </w:p>
    <w:p w14:paraId="45D07317">
      <w:pPr>
        <w:spacing w:line="500" w:lineRule="exact"/>
        <w:ind w:firstLine="420" w:firstLineChars="200"/>
        <w:rPr>
          <w:rFonts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1）参选人资格是否符合比选文件要求；</w:t>
      </w:r>
    </w:p>
    <w:p w14:paraId="1313D53F">
      <w:pPr>
        <w:spacing w:line="500" w:lineRule="exact"/>
        <w:ind w:firstLine="420" w:firstLineChars="200"/>
        <w:rPr>
          <w:rFonts w:ascii="宋体" w:hAnsi="宋体" w:cs="宋体"/>
          <w:szCs w:val="21"/>
          <w:highlight w:val="none"/>
        </w:rPr>
      </w:pPr>
      <w:r>
        <w:rPr>
          <w:rFonts w:hint="eastAsia" w:ascii="宋体" w:hAnsi="宋体" w:cs="宋体"/>
          <w:szCs w:val="21"/>
          <w:highlight w:val="none"/>
        </w:rPr>
        <w:t>（2）参选文件是否按比选文件的要求进行编制、盖章和标记；</w:t>
      </w:r>
    </w:p>
    <w:p w14:paraId="707D3521">
      <w:pPr>
        <w:spacing w:line="500" w:lineRule="exact"/>
        <w:ind w:firstLine="420" w:firstLineChars="200"/>
        <w:rPr>
          <w:rFonts w:ascii="宋体" w:hAnsi="宋体" w:cs="宋体"/>
          <w:szCs w:val="21"/>
          <w:highlight w:val="none"/>
        </w:rPr>
      </w:pPr>
      <w:r>
        <w:rPr>
          <w:rFonts w:hint="eastAsia" w:ascii="宋体" w:hAnsi="宋体" w:cs="宋体"/>
          <w:szCs w:val="21"/>
          <w:highlight w:val="none"/>
        </w:rPr>
        <w:t>（3）比选文件要求提交的各种资格证明文件是否真实、完整、合法、有效；</w:t>
      </w:r>
    </w:p>
    <w:p w14:paraId="05E5727C">
      <w:pPr>
        <w:spacing w:line="500" w:lineRule="exact"/>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货物</w:t>
      </w:r>
      <w:r>
        <w:rPr>
          <w:rFonts w:hint="eastAsia" w:ascii="宋体" w:hAnsi="宋体" w:cs="宋体"/>
          <w:szCs w:val="21"/>
          <w:highlight w:val="none"/>
        </w:rPr>
        <w:t>内容及质量是否完全响应或优于比选文件要求；</w:t>
      </w:r>
    </w:p>
    <w:p w14:paraId="6B307697">
      <w:pPr>
        <w:spacing w:line="500" w:lineRule="exact"/>
        <w:ind w:firstLine="420" w:firstLineChars="200"/>
        <w:rPr>
          <w:rFonts w:ascii="宋体" w:hAnsi="宋体" w:cs="宋体"/>
          <w:szCs w:val="21"/>
          <w:highlight w:val="none"/>
        </w:rPr>
      </w:pPr>
      <w:r>
        <w:rPr>
          <w:rFonts w:hint="eastAsia" w:ascii="宋体" w:hAnsi="宋体" w:cs="宋体"/>
          <w:szCs w:val="21"/>
          <w:highlight w:val="none"/>
        </w:rPr>
        <w:t>（5）参选文件对法律、法规和比选文件其他明确要求的符合性；</w:t>
      </w:r>
    </w:p>
    <w:p w14:paraId="31716E78">
      <w:pPr>
        <w:spacing w:line="500" w:lineRule="exact"/>
        <w:ind w:firstLine="420" w:firstLineChars="200"/>
        <w:rPr>
          <w:rFonts w:ascii="宋体" w:hAnsi="宋体" w:cs="宋体"/>
          <w:szCs w:val="21"/>
          <w:highlight w:val="none"/>
        </w:rPr>
      </w:pPr>
      <w:r>
        <w:rPr>
          <w:rFonts w:hint="eastAsia" w:ascii="宋体" w:hAnsi="宋体" w:cs="宋体"/>
          <w:szCs w:val="21"/>
          <w:highlight w:val="none"/>
        </w:rPr>
        <w:t>（6）参选文件是否附有采购人不能接受的条件；</w:t>
      </w:r>
    </w:p>
    <w:p w14:paraId="0AA5AB49">
      <w:pPr>
        <w:spacing w:line="500" w:lineRule="exact"/>
        <w:ind w:firstLine="420" w:firstLineChars="200"/>
        <w:rPr>
          <w:rFonts w:ascii="宋体" w:hAnsi="宋体" w:cs="宋体"/>
          <w:szCs w:val="21"/>
          <w:highlight w:val="none"/>
        </w:rPr>
      </w:pPr>
      <w:r>
        <w:rPr>
          <w:rFonts w:hint="eastAsia" w:ascii="宋体" w:hAnsi="宋体" w:cs="宋体"/>
          <w:szCs w:val="21"/>
          <w:highlight w:val="none"/>
        </w:rPr>
        <w:t>（7）参选文件是否存在比选文件中</w:t>
      </w:r>
      <w:r>
        <w:rPr>
          <w:rFonts w:hint="eastAsia" w:ascii="宋体" w:hAnsi="宋体" w:cs="宋体"/>
          <w:kern w:val="0"/>
          <w:szCs w:val="21"/>
          <w:highlight w:val="none"/>
        </w:rPr>
        <w:t>约定</w:t>
      </w:r>
      <w:r>
        <w:rPr>
          <w:rFonts w:hint="eastAsia" w:ascii="宋体" w:hAnsi="宋体" w:cs="宋体"/>
          <w:szCs w:val="21"/>
          <w:highlight w:val="none"/>
        </w:rPr>
        <w:t>的无效参选文件的其他情形；</w:t>
      </w:r>
    </w:p>
    <w:p w14:paraId="5DC4BAEB">
      <w:pPr>
        <w:spacing w:line="500" w:lineRule="exact"/>
        <w:ind w:firstLine="420" w:firstLineChars="200"/>
        <w:rPr>
          <w:rFonts w:ascii="宋体" w:hAnsi="宋体" w:cs="宋体"/>
          <w:szCs w:val="21"/>
          <w:highlight w:val="none"/>
        </w:rPr>
      </w:pPr>
      <w:r>
        <w:rPr>
          <w:rFonts w:hint="eastAsia" w:ascii="宋体" w:hAnsi="宋体" w:cs="宋体"/>
          <w:szCs w:val="21"/>
          <w:highlight w:val="none"/>
        </w:rPr>
        <w:t>（8）参选文件是否符合比选文件的要求。</w:t>
      </w:r>
    </w:p>
    <w:p w14:paraId="421AA87F">
      <w:pPr>
        <w:widowControl/>
        <w:spacing w:line="500" w:lineRule="exact"/>
        <w:ind w:firstLine="405"/>
        <w:jc w:val="left"/>
        <w:rPr>
          <w:rFonts w:ascii="宋体" w:hAnsi="宋体"/>
          <w:szCs w:val="21"/>
          <w:highlight w:val="none"/>
        </w:rPr>
      </w:pPr>
      <w:r>
        <w:rPr>
          <w:rFonts w:hint="eastAsia" w:ascii="宋体" w:hAnsi="宋体"/>
          <w:szCs w:val="21"/>
          <w:highlight w:val="none"/>
        </w:rPr>
        <w:t>25.2、参选人须按比选文件资格要求提供复印件或影印件或扫描件，并加盖参选人公章，否则参选无效。</w:t>
      </w:r>
    </w:p>
    <w:p w14:paraId="13121451">
      <w:pPr>
        <w:widowControl/>
        <w:spacing w:line="500" w:lineRule="exact"/>
        <w:ind w:firstLine="405"/>
        <w:jc w:val="left"/>
        <w:rPr>
          <w:rFonts w:ascii="宋体" w:hAnsi="宋体"/>
          <w:szCs w:val="21"/>
          <w:highlight w:val="none"/>
        </w:rPr>
      </w:pPr>
      <w:r>
        <w:rPr>
          <w:rFonts w:hint="eastAsia" w:ascii="宋体" w:hAnsi="宋体"/>
          <w:szCs w:val="21"/>
          <w:highlight w:val="none"/>
        </w:rPr>
        <w:t>25.3、报价评审：</w:t>
      </w:r>
      <w:r>
        <w:rPr>
          <w:rFonts w:hint="eastAsia" w:ascii="宋体" w:hAnsi="宋体"/>
          <w:b/>
          <w:bCs/>
          <w:szCs w:val="21"/>
          <w:highlight w:val="none"/>
        </w:rPr>
        <w:t>参选人投标费率不得高于比选最高投标费率、</w:t>
      </w:r>
      <w:r>
        <w:rPr>
          <w:rFonts w:hint="eastAsia" w:ascii="宋体" w:hAnsi="宋体"/>
          <w:szCs w:val="21"/>
          <w:highlight w:val="none"/>
        </w:rPr>
        <w:t>否则为无效参选，即报价评审不通过。</w:t>
      </w:r>
    </w:p>
    <w:p w14:paraId="59FF16B5">
      <w:pPr>
        <w:widowControl/>
        <w:spacing w:line="480" w:lineRule="exact"/>
        <w:jc w:val="left"/>
        <w:rPr>
          <w:rFonts w:ascii="宋体" w:hAnsi="宋体"/>
          <w:szCs w:val="21"/>
          <w:highlight w:val="none"/>
        </w:rPr>
      </w:pPr>
      <w:r>
        <w:rPr>
          <w:rFonts w:hint="eastAsia" w:ascii="宋体" w:hAnsi="宋体"/>
          <w:szCs w:val="21"/>
          <w:highlight w:val="none"/>
        </w:rPr>
        <w:t xml:space="preserve">    25.4、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52202CA8">
      <w:pPr>
        <w:widowControl/>
        <w:spacing w:line="500" w:lineRule="exact"/>
        <w:ind w:firstLine="420"/>
        <w:jc w:val="left"/>
        <w:rPr>
          <w:rFonts w:ascii="宋体" w:hAnsi="宋体"/>
          <w:szCs w:val="21"/>
          <w:highlight w:val="none"/>
        </w:rPr>
      </w:pPr>
      <w:r>
        <w:rPr>
          <w:rFonts w:hint="eastAsia" w:ascii="宋体" w:hAnsi="宋体"/>
          <w:szCs w:val="21"/>
          <w:highlight w:val="none"/>
        </w:rPr>
        <w:t>25.5、失信核查</w:t>
      </w:r>
    </w:p>
    <w:p w14:paraId="3625BE61">
      <w:pPr>
        <w:widowControl/>
        <w:spacing w:line="500" w:lineRule="exact"/>
        <w:ind w:firstLine="420"/>
        <w:jc w:val="left"/>
        <w:rPr>
          <w:rFonts w:ascii="宋体" w:hAnsi="宋体"/>
          <w:szCs w:val="21"/>
          <w:highlight w:val="none"/>
        </w:rPr>
      </w:pPr>
      <w:r>
        <w:rPr>
          <w:rFonts w:hint="eastAsia" w:ascii="宋体" w:hAnsi="宋体"/>
          <w:szCs w:val="21"/>
          <w:highlight w:val="none"/>
        </w:rPr>
        <w:t>评标委员会对推荐为成交候选人的参选人是否被列入“信用中国、中国政府采购网”政府采购严重违法失信名单进行网上核查（网址：</w:t>
      </w:r>
      <w:r>
        <w:rPr>
          <w:szCs w:val="24"/>
          <w:highlight w:val="none"/>
        </w:rPr>
        <w:fldChar w:fldCharType="begin"/>
      </w:r>
      <w:r>
        <w:rPr>
          <w:szCs w:val="24"/>
          <w:highlight w:val="none"/>
        </w:rPr>
        <w:instrText xml:space="preserve"> HYPERLINK "http://www.creditchina.gov.cn/" </w:instrText>
      </w:r>
      <w:r>
        <w:rPr>
          <w:szCs w:val="24"/>
          <w:highlight w:val="none"/>
        </w:rPr>
        <w:fldChar w:fldCharType="separate"/>
      </w:r>
      <w:r>
        <w:rPr>
          <w:rStyle w:val="74"/>
          <w:rFonts w:hint="eastAsia" w:ascii="宋体" w:hAnsi="宋体"/>
          <w:color w:val="auto"/>
          <w:szCs w:val="21"/>
          <w:highlight w:val="none"/>
        </w:rPr>
        <w:t>http://www.creditchina.gov.cn/</w:t>
      </w:r>
      <w:r>
        <w:rPr>
          <w:rStyle w:val="74"/>
          <w:rFonts w:hint="eastAsia" w:ascii="宋体" w:hAnsi="宋体"/>
          <w:color w:val="auto"/>
          <w:szCs w:val="21"/>
          <w:highlight w:val="none"/>
        </w:rPr>
        <w:fldChar w:fldCharType="end"/>
      </w:r>
      <w:r>
        <w:rPr>
          <w:rFonts w:hint="eastAsia" w:ascii="宋体" w:hAnsi="宋体"/>
          <w:szCs w:val="21"/>
          <w:highlight w:val="none"/>
        </w:rPr>
        <w:t>、</w:t>
      </w:r>
      <w:r>
        <w:rPr>
          <w:szCs w:val="24"/>
          <w:highlight w:val="none"/>
        </w:rPr>
        <w:fldChar w:fldCharType="begin"/>
      </w:r>
      <w:r>
        <w:rPr>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szCs w:val="24"/>
          <w:highlight w:val="none"/>
        </w:rPr>
        <w:fldChar w:fldCharType="separate"/>
      </w:r>
      <w:r>
        <w:rPr>
          <w:rStyle w:val="74"/>
          <w:rFonts w:hint="eastAsia" w:ascii="宋体"/>
          <w:color w:val="auto"/>
          <w:szCs w:val="21"/>
          <w:highlight w:val="none"/>
        </w:rPr>
        <w:t>http://www.ccgp.gov.cn/），</w:t>
      </w:r>
      <w:r>
        <w:rPr>
          <w:rStyle w:val="74"/>
          <w:rFonts w:hint="eastAsia" w:ascii="宋体"/>
          <w:color w:val="auto"/>
          <w:szCs w:val="21"/>
          <w:highlight w:val="none"/>
          <w:u w:val="none"/>
        </w:rPr>
        <w:t>若核查存在</w:t>
      </w:r>
      <w:r>
        <w:rPr>
          <w:rStyle w:val="74"/>
          <w:rFonts w:hint="eastAsia" w:ascii="宋体" w:hAnsi="宋体"/>
          <w:color w:val="auto"/>
          <w:szCs w:val="21"/>
          <w:highlight w:val="none"/>
          <w:u w:val="none"/>
        </w:rPr>
        <w:t>政府采购严重违法</w:t>
      </w:r>
      <w:r>
        <w:rPr>
          <w:rStyle w:val="74"/>
          <w:rFonts w:hint="eastAsia" w:ascii="宋体"/>
          <w:color w:val="auto"/>
          <w:szCs w:val="21"/>
          <w:highlight w:val="none"/>
          <w:u w:val="none"/>
        </w:rPr>
        <w:t>失信名单记录的参选人，评标委员会不得将其推荐为成交候选人，依序递补，并再次对递补的参选人进行核查。</w:t>
      </w:r>
      <w:r>
        <w:rPr>
          <w:rStyle w:val="74"/>
          <w:rFonts w:hint="eastAsia" w:ascii="宋体"/>
          <w:color w:val="auto"/>
          <w:szCs w:val="21"/>
          <w:highlight w:val="none"/>
          <w:u w:val="none"/>
        </w:rPr>
        <w:fldChar w:fldCharType="end"/>
      </w:r>
    </w:p>
    <w:p w14:paraId="7294D575">
      <w:pPr>
        <w:widowControl/>
        <w:spacing w:line="500" w:lineRule="exact"/>
        <w:jc w:val="left"/>
        <w:rPr>
          <w:rFonts w:ascii="宋体" w:hAnsi="宋体"/>
          <w:szCs w:val="21"/>
          <w:highlight w:val="none"/>
        </w:rPr>
      </w:pPr>
      <w:r>
        <w:rPr>
          <w:rFonts w:hint="eastAsia" w:ascii="宋体" w:hAnsi="宋体"/>
          <w:szCs w:val="21"/>
          <w:highlight w:val="none"/>
        </w:rPr>
        <w:t xml:space="preserve">    25.6、</w:t>
      </w:r>
      <w:r>
        <w:rPr>
          <w:rFonts w:hint="eastAsia" w:ascii="宋体" w:hAnsi="宋体" w:cs="宋体"/>
          <w:szCs w:val="21"/>
          <w:highlight w:val="none"/>
        </w:rPr>
        <w:t>确定成交候选人排序：评委会对参选文件通过上述评审的参选人，根据投标费率由低至高的顺序排列。投标费率最低的为第一成交候选人，次低的为第二成交候选人，第三低的为第三成交候选人。若出现两家或两家以上评审价最低且相等时，则由采购人采取现场随机抽取的方式确定成交候选人排序。</w:t>
      </w:r>
    </w:p>
    <w:p w14:paraId="102CE221">
      <w:pPr>
        <w:widowControl/>
        <w:spacing w:line="500" w:lineRule="exact"/>
        <w:jc w:val="left"/>
        <w:rPr>
          <w:rFonts w:ascii="宋体" w:hAnsi="宋体"/>
          <w:b/>
          <w:bCs/>
          <w:szCs w:val="21"/>
          <w:highlight w:val="none"/>
        </w:rPr>
      </w:pPr>
      <w:r>
        <w:rPr>
          <w:rFonts w:hint="eastAsia" w:ascii="宋体" w:hAnsi="宋体"/>
          <w:szCs w:val="21"/>
          <w:highlight w:val="none"/>
        </w:rPr>
        <w:t xml:space="preserve">    </w:t>
      </w:r>
      <w:r>
        <w:rPr>
          <w:rFonts w:hint="eastAsia" w:ascii="宋体" w:hAnsi="宋体"/>
          <w:b/>
          <w:bCs/>
          <w:szCs w:val="21"/>
          <w:highlight w:val="none"/>
        </w:rPr>
        <w:t>26、开标评标异常情况处理</w:t>
      </w:r>
    </w:p>
    <w:p w14:paraId="2FBC7E06">
      <w:pPr>
        <w:widowControl/>
        <w:spacing w:line="500" w:lineRule="exact"/>
        <w:jc w:val="left"/>
        <w:rPr>
          <w:rFonts w:ascii="宋体" w:hAnsi="宋体"/>
          <w:szCs w:val="21"/>
          <w:highlight w:val="none"/>
        </w:rPr>
      </w:pPr>
      <w:r>
        <w:rPr>
          <w:rFonts w:hint="eastAsia" w:ascii="宋体" w:hAnsi="宋体"/>
          <w:szCs w:val="21"/>
          <w:highlight w:val="none"/>
        </w:rPr>
        <w:t xml:space="preserve">    26.1、在招标采购中，出现下列情况之一的，应予废标，采购单位重新组织采购：</w:t>
      </w:r>
    </w:p>
    <w:p w14:paraId="58190B32">
      <w:pPr>
        <w:widowControl/>
        <w:spacing w:line="500" w:lineRule="exact"/>
        <w:jc w:val="left"/>
        <w:rPr>
          <w:rFonts w:ascii="宋体" w:hAnsi="宋体"/>
          <w:szCs w:val="21"/>
          <w:highlight w:val="none"/>
        </w:rPr>
      </w:pPr>
      <w:r>
        <w:rPr>
          <w:rFonts w:hint="eastAsia" w:ascii="宋体" w:hAnsi="宋体"/>
          <w:szCs w:val="21"/>
          <w:highlight w:val="none"/>
        </w:rPr>
        <w:t xml:space="preserve">    (1) 提交参选文件的参选人不足3家的；</w:t>
      </w:r>
    </w:p>
    <w:p w14:paraId="4A410D0C">
      <w:pPr>
        <w:widowControl/>
        <w:spacing w:line="500" w:lineRule="exact"/>
        <w:jc w:val="left"/>
        <w:rPr>
          <w:rFonts w:ascii="宋体" w:hAnsi="宋体"/>
          <w:szCs w:val="21"/>
          <w:highlight w:val="none"/>
        </w:rPr>
      </w:pPr>
      <w:r>
        <w:rPr>
          <w:rFonts w:hint="eastAsia" w:ascii="宋体" w:hAnsi="宋体"/>
          <w:szCs w:val="21"/>
          <w:highlight w:val="none"/>
        </w:rPr>
        <w:t xml:space="preserve">    (2)</w:t>
      </w:r>
      <w:r>
        <w:rPr>
          <w:rFonts w:hint="eastAsia" w:ascii="宋体" w:hAnsi="宋体"/>
          <w:szCs w:val="21"/>
          <w:highlight w:val="none"/>
        </w:rPr>
        <w:tab/>
      </w:r>
      <w:r>
        <w:rPr>
          <w:rFonts w:hint="eastAsia" w:ascii="宋体" w:hAnsi="宋体"/>
          <w:szCs w:val="21"/>
          <w:highlight w:val="none"/>
        </w:rPr>
        <w:t>出现影响采购公正的违法、违规行为的；</w:t>
      </w:r>
    </w:p>
    <w:p w14:paraId="7200C6A5">
      <w:pPr>
        <w:widowControl/>
        <w:spacing w:line="500" w:lineRule="exact"/>
        <w:jc w:val="left"/>
        <w:rPr>
          <w:rFonts w:ascii="宋体" w:hAnsi="宋体"/>
          <w:szCs w:val="21"/>
          <w:highlight w:val="none"/>
        </w:rPr>
      </w:pPr>
      <w:r>
        <w:rPr>
          <w:rFonts w:hint="eastAsia" w:ascii="宋体" w:hAnsi="宋体"/>
          <w:szCs w:val="21"/>
          <w:highlight w:val="none"/>
        </w:rPr>
        <w:t xml:space="preserve">    (3)</w:t>
      </w:r>
      <w:r>
        <w:rPr>
          <w:rFonts w:hint="eastAsia" w:ascii="宋体" w:hAnsi="宋体"/>
          <w:szCs w:val="21"/>
          <w:highlight w:val="none"/>
        </w:rPr>
        <w:tab/>
      </w:r>
      <w:r>
        <w:rPr>
          <w:rFonts w:hint="eastAsia" w:ascii="宋体" w:hAnsi="宋体"/>
          <w:szCs w:val="21"/>
          <w:highlight w:val="none"/>
        </w:rPr>
        <w:t>参选人的投标费率均高于比选最高投标费率；</w:t>
      </w:r>
    </w:p>
    <w:p w14:paraId="004475E9">
      <w:pPr>
        <w:widowControl/>
        <w:spacing w:line="500" w:lineRule="exact"/>
        <w:ind w:firstLine="405"/>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rPr>
        <w:tab/>
      </w:r>
      <w:r>
        <w:rPr>
          <w:rFonts w:hint="eastAsia" w:ascii="宋体" w:hAnsi="宋体"/>
          <w:szCs w:val="21"/>
          <w:highlight w:val="none"/>
        </w:rPr>
        <w:t>因重大变故，采购任务取消的。</w:t>
      </w:r>
    </w:p>
    <w:p w14:paraId="3D28F827">
      <w:pPr>
        <w:widowControl/>
        <w:spacing w:line="500" w:lineRule="exact"/>
        <w:ind w:firstLine="405"/>
        <w:jc w:val="left"/>
        <w:rPr>
          <w:rFonts w:ascii="宋体" w:hAnsi="宋体"/>
          <w:szCs w:val="21"/>
          <w:highlight w:val="none"/>
        </w:rPr>
      </w:pPr>
      <w:r>
        <w:rPr>
          <w:rFonts w:hint="eastAsia" w:ascii="宋体" w:hAnsi="宋体"/>
          <w:b/>
          <w:szCs w:val="21"/>
          <w:highlight w:val="none"/>
        </w:rPr>
        <w:t>27、评标过程的保密性</w:t>
      </w:r>
    </w:p>
    <w:p w14:paraId="15CFC545">
      <w:pPr>
        <w:widowControl/>
        <w:spacing w:line="500" w:lineRule="exact"/>
        <w:jc w:val="left"/>
        <w:rPr>
          <w:rFonts w:ascii="宋体" w:hAnsi="宋体"/>
          <w:szCs w:val="21"/>
          <w:highlight w:val="none"/>
        </w:rPr>
      </w:pPr>
      <w:r>
        <w:rPr>
          <w:rFonts w:hint="eastAsia" w:ascii="宋体" w:hAnsi="宋体"/>
          <w:szCs w:val="21"/>
          <w:highlight w:val="none"/>
        </w:rPr>
        <w:t xml:space="preserve">    27.1、开标后，直到授予成交人合同止，凡是与参选文件审查、澄清、评价、比较以及授标建议等评审方面的情况，均不得向参选人或其他无关的人员透露。</w:t>
      </w:r>
    </w:p>
    <w:p w14:paraId="7D5F0E97">
      <w:pPr>
        <w:widowControl/>
        <w:spacing w:line="500" w:lineRule="exact"/>
        <w:jc w:val="left"/>
        <w:rPr>
          <w:rFonts w:ascii="宋体" w:hAnsi="宋体"/>
          <w:szCs w:val="21"/>
          <w:highlight w:val="none"/>
        </w:rPr>
      </w:pPr>
      <w:r>
        <w:rPr>
          <w:rFonts w:hint="eastAsia" w:ascii="宋体" w:hAnsi="宋体"/>
          <w:szCs w:val="21"/>
          <w:highlight w:val="none"/>
        </w:rPr>
        <w:t xml:space="preserve">    27.2、在评标过程中，参选人如向评委会成员施加任何影响，都将会导致其参选文件被拒绝。   </w:t>
      </w:r>
    </w:p>
    <w:p w14:paraId="7633A6A6">
      <w:pPr>
        <w:widowControl/>
        <w:spacing w:line="500" w:lineRule="exact"/>
        <w:jc w:val="left"/>
        <w:rPr>
          <w:rFonts w:ascii="宋体" w:hAnsi="宋体"/>
          <w:szCs w:val="21"/>
          <w:highlight w:val="none"/>
        </w:rPr>
      </w:pPr>
      <w:r>
        <w:rPr>
          <w:rFonts w:hint="eastAsia" w:ascii="宋体" w:hAnsi="宋体"/>
          <w:szCs w:val="21"/>
          <w:highlight w:val="none"/>
        </w:rPr>
        <w:t xml:space="preserve">    27.3、成交人确定后，采购单位不对未成交人就评标过程以及未能成交原因做出任何解释。参选人不得向评委会组成人员或其他有关人员询问评标过程的情况和要求提供材料。</w:t>
      </w:r>
    </w:p>
    <w:p w14:paraId="1905B63D">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27.4、成交通知书</w:t>
      </w:r>
    </w:p>
    <w:p w14:paraId="06CF207C">
      <w:pPr>
        <w:widowControl/>
        <w:spacing w:line="360" w:lineRule="auto"/>
        <w:ind w:firstLine="420" w:firstLineChars="200"/>
        <w:rPr>
          <w:rFonts w:ascii="宋体" w:hAnsi="宋体" w:cs="宋体"/>
          <w:kern w:val="0"/>
          <w:sz w:val="24"/>
          <w:szCs w:val="24"/>
          <w:highlight w:val="none"/>
        </w:rPr>
      </w:pPr>
      <w:r>
        <w:rPr>
          <w:rFonts w:hint="eastAsia" w:ascii="宋体" w:hAnsi="宋体" w:cs="宋体"/>
          <w:highlight w:val="none"/>
        </w:rPr>
        <w:t>成交候选人确定后，采购单位将在安庆市交通控股集团有限公司集采平台（http：//jc.zh0556.com/）上公示，参选人如有异议，必须在公示期内向有关机构提出。</w:t>
      </w:r>
    </w:p>
    <w:p w14:paraId="22187EDF">
      <w:pPr>
        <w:spacing w:line="360" w:lineRule="auto"/>
        <w:ind w:firstLine="420" w:firstLineChars="200"/>
        <w:rPr>
          <w:rFonts w:hint="eastAsia" w:ascii="宋体" w:hAnsi="宋体"/>
          <w:bCs/>
          <w:szCs w:val="21"/>
          <w:highlight w:val="none"/>
        </w:rPr>
      </w:pPr>
      <w:r>
        <w:rPr>
          <w:rFonts w:hAnsi="宋体" w:cs="宋体"/>
          <w:szCs w:val="24"/>
          <w:highlight w:val="none"/>
        </w:rPr>
        <w:t>公示期满无异议，且未发现</w:t>
      </w:r>
      <w:r>
        <w:rPr>
          <w:rFonts w:hint="eastAsia" w:hAnsi="宋体" w:cs="宋体"/>
          <w:szCs w:val="24"/>
          <w:highlight w:val="none"/>
        </w:rPr>
        <w:t>成交</w:t>
      </w:r>
      <w:r>
        <w:rPr>
          <w:rFonts w:hAnsi="宋体" w:cs="宋体"/>
          <w:szCs w:val="24"/>
          <w:highlight w:val="none"/>
        </w:rPr>
        <w:t>人在</w:t>
      </w:r>
      <w:r>
        <w:rPr>
          <w:rFonts w:hint="eastAsia" w:hAnsi="宋体" w:cs="宋体"/>
          <w:szCs w:val="24"/>
          <w:highlight w:val="none"/>
        </w:rPr>
        <w:t>比选</w:t>
      </w:r>
      <w:r>
        <w:rPr>
          <w:rFonts w:hAnsi="宋体" w:cs="宋体"/>
          <w:szCs w:val="24"/>
          <w:highlight w:val="none"/>
        </w:rPr>
        <w:t>活动中有违法行为的，</w:t>
      </w:r>
      <w:r>
        <w:rPr>
          <w:rFonts w:hint="eastAsia" w:hAnsi="宋体" w:cs="宋体"/>
          <w:szCs w:val="24"/>
          <w:highlight w:val="none"/>
        </w:rPr>
        <w:t>采购人</w:t>
      </w:r>
      <w:r>
        <w:rPr>
          <w:rFonts w:hAnsi="宋体" w:cs="宋体"/>
          <w:szCs w:val="24"/>
          <w:highlight w:val="none"/>
        </w:rPr>
        <w:t>将向</w:t>
      </w:r>
      <w:r>
        <w:rPr>
          <w:rFonts w:hint="eastAsia" w:hAnsi="宋体" w:cs="宋体"/>
          <w:szCs w:val="24"/>
          <w:highlight w:val="none"/>
        </w:rPr>
        <w:t>成交</w:t>
      </w:r>
      <w:r>
        <w:rPr>
          <w:rFonts w:hAnsi="宋体" w:cs="宋体"/>
          <w:szCs w:val="24"/>
          <w:highlight w:val="none"/>
        </w:rPr>
        <w:t>人发出</w:t>
      </w:r>
      <w:r>
        <w:rPr>
          <w:rFonts w:hint="eastAsia" w:hAnsi="宋体" w:cs="宋体"/>
          <w:szCs w:val="24"/>
          <w:highlight w:val="none"/>
        </w:rPr>
        <w:t>成交</w:t>
      </w:r>
      <w:r>
        <w:rPr>
          <w:rFonts w:hAnsi="宋体" w:cs="宋体"/>
          <w:szCs w:val="24"/>
          <w:highlight w:val="none"/>
        </w:rPr>
        <w:t>通知书。</w:t>
      </w:r>
    </w:p>
    <w:p w14:paraId="577343FC">
      <w:pPr>
        <w:keepNext/>
        <w:keepLines/>
        <w:autoSpaceDE w:val="0"/>
        <w:autoSpaceDN w:val="0"/>
        <w:adjustRightInd w:val="0"/>
        <w:spacing w:before="120" w:line="360" w:lineRule="auto"/>
        <w:jc w:val="center"/>
        <w:outlineLvl w:val="1"/>
        <w:rPr>
          <w:rFonts w:ascii="宋体" w:hAnsi="宋体"/>
          <w:bCs/>
          <w:kern w:val="0"/>
          <w:sz w:val="32"/>
          <w:szCs w:val="21"/>
          <w:highlight w:val="none"/>
        </w:rPr>
      </w:pPr>
      <w:r>
        <w:rPr>
          <w:rFonts w:hint="eastAsia" w:ascii="宋体" w:hAnsi="宋体"/>
          <w:b/>
          <w:kern w:val="0"/>
          <w:sz w:val="32"/>
          <w:szCs w:val="21"/>
          <w:highlight w:val="none"/>
        </w:rPr>
        <w:t>（六）合同</w:t>
      </w:r>
      <w:r>
        <w:rPr>
          <w:rFonts w:hint="eastAsia" w:ascii="宋体" w:hAnsi="宋体"/>
          <w:b/>
          <w:bCs/>
          <w:kern w:val="0"/>
          <w:sz w:val="32"/>
          <w:szCs w:val="21"/>
          <w:highlight w:val="none"/>
        </w:rPr>
        <w:t>授予</w:t>
      </w:r>
    </w:p>
    <w:p w14:paraId="387E0564">
      <w:pPr>
        <w:widowControl/>
        <w:spacing w:line="500" w:lineRule="exact"/>
        <w:jc w:val="left"/>
        <w:rPr>
          <w:rFonts w:ascii="宋体" w:hAnsi="宋体"/>
          <w:szCs w:val="21"/>
          <w:highlight w:val="none"/>
        </w:rPr>
      </w:pPr>
      <w:r>
        <w:rPr>
          <w:rFonts w:hint="eastAsia" w:ascii="宋体" w:hAnsi="宋体"/>
          <w:szCs w:val="21"/>
          <w:highlight w:val="none"/>
        </w:rPr>
        <w:t xml:space="preserve">    28.签订合同</w:t>
      </w:r>
    </w:p>
    <w:p w14:paraId="4CEBF9F7">
      <w:pPr>
        <w:widowControl/>
        <w:spacing w:line="500" w:lineRule="exact"/>
        <w:jc w:val="left"/>
        <w:rPr>
          <w:rFonts w:ascii="宋体" w:hAnsi="宋体"/>
          <w:szCs w:val="21"/>
          <w:highlight w:val="none"/>
        </w:rPr>
      </w:pPr>
      <w:r>
        <w:rPr>
          <w:rFonts w:hint="eastAsia" w:ascii="宋体" w:hAnsi="宋体"/>
          <w:szCs w:val="21"/>
          <w:highlight w:val="none"/>
        </w:rPr>
        <w:t xml:space="preserve">    28.1.1、成交人的中标价即为合同价款。</w:t>
      </w:r>
    </w:p>
    <w:p w14:paraId="41CA59FA">
      <w:pPr>
        <w:widowControl/>
        <w:spacing w:line="500" w:lineRule="exact"/>
        <w:jc w:val="left"/>
        <w:rPr>
          <w:rFonts w:hint="eastAsia" w:ascii="宋体" w:hAnsi="宋体"/>
          <w:szCs w:val="21"/>
          <w:highlight w:val="none"/>
        </w:rPr>
      </w:pPr>
      <w:r>
        <w:rPr>
          <w:rFonts w:hint="eastAsia" w:ascii="宋体" w:hAnsi="宋体"/>
          <w:szCs w:val="21"/>
          <w:highlight w:val="none"/>
        </w:rPr>
        <w:t xml:space="preserve">    28.1.2、成交人应在成交通知书发出之日起30日内，根据比选文件和成交人的参选文件签订书面合同。成交人无正当理由拒签合同,在签订合同时向采购人提出附加条件,或不按照采购文件要求提交履约保证金的，采购人有权取消其成交资格。</w:t>
      </w:r>
    </w:p>
    <w:p w14:paraId="18E4F7DB">
      <w:pPr>
        <w:widowControl/>
        <w:spacing w:line="500" w:lineRule="exact"/>
        <w:jc w:val="left"/>
        <w:rPr>
          <w:rFonts w:hint="eastAsia" w:ascii="宋体" w:hAnsi="宋体"/>
          <w:szCs w:val="21"/>
          <w:highlight w:val="none"/>
        </w:rPr>
      </w:pPr>
      <w:r>
        <w:rPr>
          <w:rFonts w:hint="eastAsia" w:ascii="宋体" w:hAnsi="宋体"/>
          <w:szCs w:val="21"/>
          <w:highlight w:val="none"/>
        </w:rPr>
        <w:t xml:space="preserve">    28.1.3、成交人（成交候选人）被取消成交资格的，采购人可以按照评标委员会提出的成交候选人名单排序依次确定其他成交候选人为成交人，或重新组织采购。</w:t>
      </w:r>
    </w:p>
    <w:p w14:paraId="31CB86C6">
      <w:pPr>
        <w:widowControl/>
        <w:spacing w:line="500" w:lineRule="exact"/>
        <w:jc w:val="left"/>
        <w:rPr>
          <w:rFonts w:hint="eastAsia" w:ascii="宋体" w:hAnsi="宋体"/>
          <w:b/>
          <w:bCs/>
          <w:szCs w:val="21"/>
          <w:highlight w:val="none"/>
        </w:rPr>
      </w:pPr>
      <w:r>
        <w:rPr>
          <w:rFonts w:hint="eastAsia" w:ascii="宋体" w:hAnsi="宋体"/>
          <w:b/>
          <w:bCs/>
          <w:szCs w:val="21"/>
          <w:highlight w:val="none"/>
        </w:rPr>
        <w:t>29、履约保证金</w:t>
      </w:r>
    </w:p>
    <w:p w14:paraId="20A03126">
      <w:pPr>
        <w:widowControl/>
        <w:spacing w:line="500" w:lineRule="exact"/>
        <w:ind w:firstLine="420"/>
        <w:jc w:val="left"/>
        <w:rPr>
          <w:rFonts w:hint="eastAsia" w:ascii="宋体" w:hAnsi="宋体"/>
          <w:szCs w:val="21"/>
          <w:highlight w:val="none"/>
        </w:rPr>
      </w:pPr>
      <w:r>
        <w:rPr>
          <w:rFonts w:hint="eastAsia" w:ascii="宋体" w:hAnsi="宋体"/>
          <w:szCs w:val="21"/>
          <w:highlight w:val="none"/>
        </w:rPr>
        <w:t>29.1、成交人在签订合同前必须按比选文件的规定，及时、足额向采购人提交履约保证金。</w:t>
      </w:r>
    </w:p>
    <w:p w14:paraId="2C76B94C">
      <w:pPr>
        <w:widowControl/>
        <w:spacing w:line="500" w:lineRule="exact"/>
        <w:ind w:firstLine="420"/>
        <w:jc w:val="left"/>
        <w:rPr>
          <w:rFonts w:hint="eastAsia" w:ascii="宋体" w:hAnsi="宋体"/>
          <w:szCs w:val="21"/>
          <w:highlight w:val="none"/>
        </w:rPr>
      </w:pPr>
      <w:r>
        <w:rPr>
          <w:rFonts w:hint="eastAsia" w:ascii="宋体" w:hAnsi="宋体"/>
          <w:szCs w:val="21"/>
          <w:highlight w:val="none"/>
        </w:rPr>
        <w:t>29.2、若成交人不能按参选人须知前附表执行，采购人可在无须征得成交人同意的情况下，不与其签订合同，并不予退还参选保证金。给采购单位造成的损失超过参选保证金数额的，还应当对超过部分予以赔偿。</w:t>
      </w:r>
    </w:p>
    <w:p w14:paraId="4A290FF2">
      <w:pPr>
        <w:widowControl/>
        <w:ind w:firstLine="420" w:firstLineChars="200"/>
        <w:jc w:val="left"/>
        <w:rPr>
          <w:rFonts w:hint="eastAsia" w:ascii="宋体" w:hAnsi="宋体"/>
          <w:szCs w:val="21"/>
          <w:highlight w:val="none"/>
        </w:rPr>
      </w:pPr>
      <w:r>
        <w:rPr>
          <w:rFonts w:hint="eastAsia" w:ascii="宋体" w:hAnsi="宋体"/>
          <w:szCs w:val="21"/>
          <w:highlight w:val="none"/>
        </w:rPr>
        <w:t>29.3、履约保证金按合同条款约定退还。</w:t>
      </w:r>
    </w:p>
    <w:p w14:paraId="4C9A6F97">
      <w:pPr>
        <w:pStyle w:val="3"/>
        <w:numPr>
          <w:ilvl w:val="0"/>
          <w:numId w:val="0"/>
        </w:numPr>
        <w:spacing w:before="62" w:beforeLines="20" w:after="62" w:afterLines="20" w:line="480" w:lineRule="exact"/>
        <w:ind w:firstLine="0" w:firstLineChars="0"/>
        <w:jc w:val="center"/>
        <w:rPr>
          <w:rFonts w:hint="eastAsia" w:ascii="Arial" w:hAnsi="Arial"/>
          <w:color w:val="000000" w:themeColor="text1"/>
          <w:kern w:val="2"/>
          <w:sz w:val="32"/>
          <w:szCs w:val="32"/>
          <w:highlight w:val="none"/>
          <w:lang w:val="zh-CN"/>
          <w14:textFill>
            <w14:solidFill>
              <w14:schemeClr w14:val="tx1"/>
            </w14:solidFill>
          </w14:textFill>
        </w:rPr>
      </w:pPr>
      <w:r>
        <w:rPr>
          <w:highlight w:val="none"/>
        </w:rPr>
        <w:br w:type="page"/>
      </w:r>
      <w:r>
        <w:rPr>
          <w:rFonts w:hint="eastAsia" w:ascii="宋体" w:hAnsi="宋体" w:eastAsia="黑体" w:cs="宋体"/>
          <w:b/>
          <w:color w:val="000000" w:themeColor="text1"/>
          <w:kern w:val="44"/>
          <w:sz w:val="32"/>
          <w:szCs w:val="32"/>
          <w:highlight w:val="none"/>
          <w:lang w:val="en-US" w:eastAsia="zh-CN" w:bidi="ar-SA"/>
          <w14:textFill>
            <w14:solidFill>
              <w14:schemeClr w14:val="tx1"/>
            </w14:solidFill>
          </w14:textFill>
        </w:rPr>
        <w:t>第三章</w:t>
      </w: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货物需求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6A934A9B">
      <w:pPr>
        <w:numPr>
          <w:ilvl w:val="0"/>
          <w:numId w:val="0"/>
        </w:numPr>
        <w:tabs>
          <w:tab w:val="left" w:pos="3640"/>
        </w:tabs>
        <w:autoSpaceDE w:val="0"/>
        <w:autoSpaceDN w:val="0"/>
        <w:spacing w:line="24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一、项目需求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清单</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bl>
      <w:tblPr>
        <w:tblStyle w:val="62"/>
        <w:tblpPr w:leftFromText="180" w:rightFromText="180" w:vertAnchor="text" w:horzAnchor="page" w:tblpX="780" w:tblpY="619"/>
        <w:tblOverlap w:val="never"/>
        <w:tblW w:w="10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385"/>
        <w:gridCol w:w="2100"/>
        <w:gridCol w:w="690"/>
        <w:gridCol w:w="1266"/>
        <w:gridCol w:w="1215"/>
        <w:gridCol w:w="1169"/>
      </w:tblGrid>
      <w:tr w14:paraId="5C03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90" w:type="dxa"/>
            <w:vAlign w:val="center"/>
          </w:tcPr>
          <w:p w14:paraId="358394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1"/>
                <w:szCs w:val="21"/>
                <w:highlight w:val="none"/>
                <w:vertAlign w:val="baseline"/>
                <w:lang w:eastAsia="zh-CN"/>
              </w:rPr>
            </w:pPr>
            <w:r>
              <w:rPr>
                <w:rFonts w:hint="eastAsia"/>
                <w:b/>
                <w:bCs/>
                <w:sz w:val="21"/>
                <w:szCs w:val="21"/>
                <w:highlight w:val="none"/>
                <w:vertAlign w:val="baseline"/>
                <w:lang w:eastAsia="zh-CN"/>
              </w:rPr>
              <w:t>商品名称</w:t>
            </w:r>
          </w:p>
        </w:tc>
        <w:tc>
          <w:tcPr>
            <w:tcW w:w="2385" w:type="dxa"/>
            <w:vAlign w:val="center"/>
          </w:tcPr>
          <w:p w14:paraId="24A7D3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1"/>
                <w:szCs w:val="21"/>
                <w:highlight w:val="none"/>
                <w:vertAlign w:val="baseline"/>
                <w:lang w:eastAsia="zh-CN"/>
              </w:rPr>
            </w:pPr>
            <w:r>
              <w:rPr>
                <w:rFonts w:hint="eastAsia"/>
                <w:b/>
                <w:bCs/>
                <w:sz w:val="21"/>
                <w:szCs w:val="21"/>
                <w:highlight w:val="none"/>
                <w:vertAlign w:val="baseline"/>
                <w:lang w:eastAsia="zh-CN"/>
              </w:rPr>
              <w:t>成分含量剂型</w:t>
            </w:r>
          </w:p>
        </w:tc>
        <w:tc>
          <w:tcPr>
            <w:tcW w:w="2100" w:type="dxa"/>
            <w:vAlign w:val="center"/>
          </w:tcPr>
          <w:p w14:paraId="68A427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1"/>
                <w:szCs w:val="21"/>
                <w:highlight w:val="none"/>
                <w:vertAlign w:val="baseline"/>
                <w:lang w:eastAsia="zh-CN"/>
              </w:rPr>
            </w:pPr>
            <w:r>
              <w:rPr>
                <w:rFonts w:hint="eastAsia"/>
                <w:b/>
                <w:bCs/>
                <w:sz w:val="21"/>
                <w:szCs w:val="21"/>
                <w:highlight w:val="none"/>
                <w:vertAlign w:val="baseline"/>
                <w:lang w:eastAsia="zh-CN"/>
              </w:rPr>
              <w:t>规</w:t>
            </w:r>
            <w:r>
              <w:rPr>
                <w:rFonts w:hint="eastAsia"/>
                <w:b/>
                <w:bCs/>
                <w:sz w:val="21"/>
                <w:szCs w:val="21"/>
                <w:highlight w:val="none"/>
                <w:vertAlign w:val="baseline"/>
                <w:lang w:val="en-US" w:eastAsia="zh-CN"/>
              </w:rPr>
              <w:t xml:space="preserve">  </w:t>
            </w:r>
            <w:r>
              <w:rPr>
                <w:rFonts w:hint="eastAsia"/>
                <w:b/>
                <w:bCs/>
                <w:sz w:val="21"/>
                <w:szCs w:val="21"/>
                <w:highlight w:val="none"/>
                <w:vertAlign w:val="baseline"/>
                <w:lang w:eastAsia="zh-CN"/>
              </w:rPr>
              <w:t>格</w:t>
            </w:r>
          </w:p>
        </w:tc>
        <w:tc>
          <w:tcPr>
            <w:tcW w:w="690" w:type="dxa"/>
            <w:vAlign w:val="center"/>
          </w:tcPr>
          <w:p w14:paraId="250DBF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1"/>
                <w:szCs w:val="21"/>
                <w:highlight w:val="none"/>
                <w:vertAlign w:val="baseline"/>
                <w:lang w:eastAsia="zh-CN"/>
              </w:rPr>
            </w:pPr>
            <w:r>
              <w:rPr>
                <w:rFonts w:hint="eastAsia"/>
                <w:b/>
                <w:bCs/>
                <w:sz w:val="21"/>
                <w:szCs w:val="21"/>
                <w:highlight w:val="none"/>
                <w:vertAlign w:val="baseline"/>
                <w:lang w:eastAsia="zh-CN"/>
              </w:rPr>
              <w:t>单位</w:t>
            </w:r>
          </w:p>
        </w:tc>
        <w:tc>
          <w:tcPr>
            <w:tcW w:w="1266" w:type="dxa"/>
            <w:vAlign w:val="center"/>
          </w:tcPr>
          <w:p w14:paraId="2AECCE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b/>
                <w:bCs/>
                <w:sz w:val="21"/>
                <w:szCs w:val="21"/>
                <w:highlight w:val="none"/>
                <w:vertAlign w:val="baseline"/>
                <w:lang w:val="en-US" w:eastAsia="zh-CN"/>
              </w:rPr>
            </w:pPr>
            <w:r>
              <w:rPr>
                <w:rFonts w:hint="eastAsia"/>
                <w:b/>
                <w:bCs/>
                <w:sz w:val="21"/>
                <w:szCs w:val="21"/>
                <w:highlight w:val="none"/>
                <w:vertAlign w:val="baseline"/>
                <w:lang w:val="en-US" w:eastAsia="zh-CN"/>
              </w:rPr>
              <w:t>最高限价（元）</w:t>
            </w:r>
          </w:p>
        </w:tc>
        <w:tc>
          <w:tcPr>
            <w:tcW w:w="1215" w:type="dxa"/>
            <w:vAlign w:val="center"/>
          </w:tcPr>
          <w:p w14:paraId="0E135B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1"/>
                <w:szCs w:val="21"/>
                <w:highlight w:val="none"/>
                <w:vertAlign w:val="baseline"/>
                <w:lang w:val="en-US" w:eastAsia="zh-CN"/>
              </w:rPr>
            </w:pPr>
            <w:r>
              <w:rPr>
                <w:rFonts w:hint="eastAsia"/>
                <w:b/>
                <w:bCs/>
                <w:sz w:val="21"/>
                <w:szCs w:val="21"/>
                <w:highlight w:val="none"/>
                <w:vertAlign w:val="baseline"/>
                <w:lang w:val="en-US" w:eastAsia="zh-CN"/>
              </w:rPr>
              <w:t>质量</w:t>
            </w:r>
          </w:p>
          <w:p w14:paraId="404041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b/>
                <w:bCs/>
                <w:sz w:val="21"/>
                <w:szCs w:val="21"/>
                <w:highlight w:val="none"/>
                <w:vertAlign w:val="baseline"/>
                <w:lang w:val="en-US" w:eastAsia="zh-CN"/>
              </w:rPr>
            </w:pPr>
            <w:r>
              <w:rPr>
                <w:rFonts w:hint="eastAsia"/>
                <w:b/>
                <w:bCs/>
                <w:sz w:val="21"/>
                <w:szCs w:val="21"/>
                <w:highlight w:val="none"/>
                <w:vertAlign w:val="baseline"/>
                <w:lang w:val="en-US" w:eastAsia="zh-CN"/>
              </w:rPr>
              <w:t>标准</w:t>
            </w:r>
          </w:p>
        </w:tc>
        <w:tc>
          <w:tcPr>
            <w:tcW w:w="1169" w:type="dxa"/>
            <w:vAlign w:val="center"/>
          </w:tcPr>
          <w:p w14:paraId="243320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1"/>
                <w:szCs w:val="21"/>
                <w:highlight w:val="none"/>
                <w:vertAlign w:val="baseline"/>
                <w:lang w:eastAsia="zh-CN"/>
              </w:rPr>
            </w:pPr>
            <w:r>
              <w:rPr>
                <w:rFonts w:hint="eastAsia"/>
                <w:b/>
                <w:bCs/>
                <w:sz w:val="21"/>
                <w:szCs w:val="21"/>
                <w:highlight w:val="none"/>
                <w:vertAlign w:val="baseline"/>
                <w:lang w:eastAsia="zh-CN"/>
              </w:rPr>
              <w:t>备</w:t>
            </w:r>
            <w:r>
              <w:rPr>
                <w:rFonts w:hint="eastAsia"/>
                <w:b/>
                <w:bCs/>
                <w:sz w:val="21"/>
                <w:szCs w:val="21"/>
                <w:highlight w:val="none"/>
                <w:vertAlign w:val="baseline"/>
                <w:lang w:val="en-US" w:eastAsia="zh-CN"/>
              </w:rPr>
              <w:t xml:space="preserve"> </w:t>
            </w:r>
            <w:r>
              <w:rPr>
                <w:rFonts w:hint="eastAsia"/>
                <w:b/>
                <w:bCs/>
                <w:sz w:val="21"/>
                <w:szCs w:val="21"/>
                <w:highlight w:val="none"/>
                <w:vertAlign w:val="baseline"/>
                <w:lang w:eastAsia="zh-CN"/>
              </w:rPr>
              <w:t>注</w:t>
            </w:r>
          </w:p>
        </w:tc>
      </w:tr>
      <w:tr w14:paraId="3A2D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90" w:type="dxa"/>
            <w:vAlign w:val="center"/>
          </w:tcPr>
          <w:p w14:paraId="05AB3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乙氧氟草醚</w:t>
            </w:r>
          </w:p>
        </w:tc>
        <w:tc>
          <w:tcPr>
            <w:tcW w:w="2385" w:type="dxa"/>
            <w:vAlign w:val="center"/>
          </w:tcPr>
          <w:p w14:paraId="24F301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240克/升，乳油</w:t>
            </w:r>
          </w:p>
        </w:tc>
        <w:tc>
          <w:tcPr>
            <w:tcW w:w="2100" w:type="dxa"/>
            <w:vAlign w:val="center"/>
          </w:tcPr>
          <w:p w14:paraId="1B239B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100ml/瓶*50瓶</w:t>
            </w:r>
          </w:p>
        </w:tc>
        <w:tc>
          <w:tcPr>
            <w:tcW w:w="690" w:type="dxa"/>
            <w:vAlign w:val="center"/>
          </w:tcPr>
          <w:p w14:paraId="09C75A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sz w:val="21"/>
                <w:szCs w:val="21"/>
                <w:highlight w:val="none"/>
                <w:vertAlign w:val="baseline"/>
                <w:lang w:val="en-US" w:eastAsia="zh-CN"/>
              </w:rPr>
            </w:pPr>
            <w:r>
              <w:rPr>
                <w:rFonts w:hint="eastAsia"/>
                <w:sz w:val="21"/>
                <w:szCs w:val="21"/>
                <w:highlight w:val="none"/>
                <w:vertAlign w:val="baseline"/>
                <w:lang w:val="en-US" w:eastAsia="zh-CN"/>
              </w:rPr>
              <w:t>件</w:t>
            </w:r>
          </w:p>
        </w:tc>
        <w:tc>
          <w:tcPr>
            <w:tcW w:w="1266" w:type="dxa"/>
            <w:vAlign w:val="center"/>
          </w:tcPr>
          <w:p w14:paraId="2739EF12">
            <w:pPr>
              <w:spacing w:line="40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 w:val="21"/>
                <w:szCs w:val="21"/>
                <w:highlight w:val="none"/>
              </w:rPr>
              <w:t>625</w:t>
            </w:r>
          </w:p>
        </w:tc>
        <w:tc>
          <w:tcPr>
            <w:tcW w:w="1215" w:type="dxa"/>
            <w:vAlign w:val="center"/>
          </w:tcPr>
          <w:p w14:paraId="53079C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三证齐全</w:t>
            </w:r>
          </w:p>
        </w:tc>
        <w:tc>
          <w:tcPr>
            <w:tcW w:w="1169" w:type="dxa"/>
            <w:vAlign w:val="center"/>
          </w:tcPr>
          <w:p w14:paraId="221E98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p>
        </w:tc>
      </w:tr>
      <w:tr w14:paraId="7B10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90" w:type="dxa"/>
            <w:vAlign w:val="center"/>
          </w:tcPr>
          <w:p w14:paraId="29DB76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二甲戊灵</w:t>
            </w:r>
          </w:p>
        </w:tc>
        <w:tc>
          <w:tcPr>
            <w:tcW w:w="2385" w:type="dxa"/>
            <w:vAlign w:val="center"/>
          </w:tcPr>
          <w:p w14:paraId="5EB0EE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330克/升，乳油</w:t>
            </w:r>
          </w:p>
        </w:tc>
        <w:tc>
          <w:tcPr>
            <w:tcW w:w="2100" w:type="dxa"/>
            <w:vAlign w:val="center"/>
          </w:tcPr>
          <w:p w14:paraId="6F84AD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200ml/瓶*50瓶</w:t>
            </w:r>
          </w:p>
        </w:tc>
        <w:tc>
          <w:tcPr>
            <w:tcW w:w="690" w:type="dxa"/>
            <w:vAlign w:val="center"/>
          </w:tcPr>
          <w:p w14:paraId="45E984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7F02FA13">
            <w:pPr>
              <w:spacing w:line="40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 w:val="21"/>
                <w:szCs w:val="21"/>
                <w:highlight w:val="none"/>
              </w:rPr>
              <w:t>700</w:t>
            </w:r>
          </w:p>
        </w:tc>
        <w:tc>
          <w:tcPr>
            <w:tcW w:w="1215" w:type="dxa"/>
            <w:vAlign w:val="center"/>
          </w:tcPr>
          <w:p w14:paraId="5D7815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4B2965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p>
        </w:tc>
      </w:tr>
      <w:tr w14:paraId="121B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90" w:type="dxa"/>
            <w:vAlign w:val="center"/>
          </w:tcPr>
          <w:p w14:paraId="5CA879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异丙甲草胺</w:t>
            </w:r>
          </w:p>
        </w:tc>
        <w:tc>
          <w:tcPr>
            <w:tcW w:w="2385" w:type="dxa"/>
            <w:vAlign w:val="center"/>
          </w:tcPr>
          <w:p w14:paraId="7FDB2A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960克/升，乳油</w:t>
            </w:r>
          </w:p>
        </w:tc>
        <w:tc>
          <w:tcPr>
            <w:tcW w:w="2100" w:type="dxa"/>
            <w:vAlign w:val="center"/>
          </w:tcPr>
          <w:p w14:paraId="11C031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100ml/瓶*50瓶</w:t>
            </w:r>
          </w:p>
        </w:tc>
        <w:tc>
          <w:tcPr>
            <w:tcW w:w="690" w:type="dxa"/>
            <w:vAlign w:val="center"/>
          </w:tcPr>
          <w:p w14:paraId="2D40BB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287C4057">
            <w:pPr>
              <w:spacing w:line="40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 w:val="21"/>
                <w:szCs w:val="21"/>
                <w:highlight w:val="none"/>
              </w:rPr>
              <w:t>550</w:t>
            </w:r>
          </w:p>
        </w:tc>
        <w:tc>
          <w:tcPr>
            <w:tcW w:w="1215" w:type="dxa"/>
            <w:vAlign w:val="center"/>
          </w:tcPr>
          <w:p w14:paraId="4FDF82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25059F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p>
        </w:tc>
      </w:tr>
      <w:tr w14:paraId="4425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90" w:type="dxa"/>
            <w:vMerge w:val="restart"/>
            <w:vAlign w:val="center"/>
          </w:tcPr>
          <w:p w14:paraId="1131EA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1"/>
                <w:szCs w:val="21"/>
                <w:highlight w:val="none"/>
                <w:vertAlign w:val="baseline"/>
                <w:lang w:eastAsia="zh-CN"/>
              </w:rPr>
            </w:pPr>
            <w:r>
              <w:rPr>
                <w:rFonts w:hint="eastAsia"/>
                <w:sz w:val="21"/>
                <w:szCs w:val="21"/>
                <w:highlight w:val="none"/>
                <w:vertAlign w:val="baseline"/>
                <w:lang w:eastAsia="zh-CN"/>
              </w:rPr>
              <w:t>草甘膦异丙胺盐</w:t>
            </w:r>
          </w:p>
        </w:tc>
        <w:tc>
          <w:tcPr>
            <w:tcW w:w="2385" w:type="dxa"/>
            <w:vAlign w:val="center"/>
          </w:tcPr>
          <w:p w14:paraId="64A0DE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41%，水剂</w:t>
            </w:r>
          </w:p>
        </w:tc>
        <w:tc>
          <w:tcPr>
            <w:tcW w:w="2100" w:type="dxa"/>
            <w:vAlign w:val="center"/>
          </w:tcPr>
          <w:p w14:paraId="0725E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20KG/桶</w:t>
            </w:r>
          </w:p>
        </w:tc>
        <w:tc>
          <w:tcPr>
            <w:tcW w:w="690" w:type="dxa"/>
            <w:vAlign w:val="center"/>
          </w:tcPr>
          <w:p w14:paraId="3D80E6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桶</w:t>
            </w:r>
          </w:p>
        </w:tc>
        <w:tc>
          <w:tcPr>
            <w:tcW w:w="1266" w:type="dxa"/>
            <w:vAlign w:val="center"/>
          </w:tcPr>
          <w:p w14:paraId="6E28F69B">
            <w:pPr>
              <w:spacing w:line="40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 w:val="21"/>
                <w:szCs w:val="21"/>
                <w:highlight w:val="none"/>
              </w:rPr>
              <w:t>550</w:t>
            </w:r>
          </w:p>
        </w:tc>
        <w:tc>
          <w:tcPr>
            <w:tcW w:w="1215" w:type="dxa"/>
            <w:vAlign w:val="center"/>
          </w:tcPr>
          <w:p w14:paraId="4EFB5F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509E29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p>
        </w:tc>
      </w:tr>
      <w:tr w14:paraId="2165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1690" w:type="dxa"/>
            <w:vMerge w:val="continue"/>
            <w:vAlign w:val="center"/>
          </w:tcPr>
          <w:p w14:paraId="6E5846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p>
        </w:tc>
        <w:tc>
          <w:tcPr>
            <w:tcW w:w="2385" w:type="dxa"/>
            <w:vAlign w:val="center"/>
          </w:tcPr>
          <w:p w14:paraId="0FD7A9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33</w:t>
            </w:r>
            <w:r>
              <w:rPr>
                <w:rFonts w:hint="eastAsia"/>
                <w:sz w:val="21"/>
                <w:szCs w:val="21"/>
                <w:highlight w:val="none"/>
                <w:vertAlign w:val="baseline"/>
                <w:lang w:eastAsia="zh-CN"/>
              </w:rPr>
              <w:t>%，水剂</w:t>
            </w:r>
          </w:p>
        </w:tc>
        <w:tc>
          <w:tcPr>
            <w:tcW w:w="2100" w:type="dxa"/>
            <w:vAlign w:val="center"/>
          </w:tcPr>
          <w:p w14:paraId="42390E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20KG/桶</w:t>
            </w:r>
          </w:p>
        </w:tc>
        <w:tc>
          <w:tcPr>
            <w:tcW w:w="690" w:type="dxa"/>
            <w:vAlign w:val="center"/>
          </w:tcPr>
          <w:p w14:paraId="63282E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桶</w:t>
            </w:r>
          </w:p>
        </w:tc>
        <w:tc>
          <w:tcPr>
            <w:tcW w:w="1266" w:type="dxa"/>
            <w:vAlign w:val="center"/>
          </w:tcPr>
          <w:p w14:paraId="7C68B9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450</w:t>
            </w:r>
          </w:p>
        </w:tc>
        <w:tc>
          <w:tcPr>
            <w:tcW w:w="1215" w:type="dxa"/>
            <w:vAlign w:val="center"/>
          </w:tcPr>
          <w:p w14:paraId="4889C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348706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p>
        </w:tc>
      </w:tr>
      <w:tr w14:paraId="090D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90" w:type="dxa"/>
            <w:vAlign w:val="center"/>
          </w:tcPr>
          <w:p w14:paraId="1CD0E4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eastAsia="zh-CN"/>
              </w:rPr>
              <w:t>麦冬佳</w:t>
            </w:r>
          </w:p>
        </w:tc>
        <w:tc>
          <w:tcPr>
            <w:tcW w:w="2385" w:type="dxa"/>
            <w:vAlign w:val="center"/>
          </w:tcPr>
          <w:p w14:paraId="501A48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10.8%高效氟吡甲禾灵，68%草甘磷可溶性粒剂，10%吡嘧磺隆可湿性粉剂</w:t>
            </w:r>
          </w:p>
        </w:tc>
        <w:tc>
          <w:tcPr>
            <w:tcW w:w="2100" w:type="dxa"/>
            <w:vAlign w:val="center"/>
          </w:tcPr>
          <w:p w14:paraId="3CB081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（30+30+10）*40套</w:t>
            </w:r>
          </w:p>
        </w:tc>
        <w:tc>
          <w:tcPr>
            <w:tcW w:w="690" w:type="dxa"/>
            <w:vAlign w:val="center"/>
          </w:tcPr>
          <w:p w14:paraId="2E843A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eastAsia="zh-CN"/>
              </w:rPr>
              <w:t>件</w:t>
            </w:r>
          </w:p>
        </w:tc>
        <w:tc>
          <w:tcPr>
            <w:tcW w:w="1266" w:type="dxa"/>
            <w:vAlign w:val="center"/>
          </w:tcPr>
          <w:p w14:paraId="76CFBC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1200</w:t>
            </w:r>
          </w:p>
        </w:tc>
        <w:tc>
          <w:tcPr>
            <w:tcW w:w="1215" w:type="dxa"/>
            <w:vAlign w:val="center"/>
          </w:tcPr>
          <w:p w14:paraId="69B2BB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2A5290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sz w:val="21"/>
                <w:szCs w:val="21"/>
                <w:highlight w:val="none"/>
                <w:vertAlign w:val="baseline"/>
                <w:lang w:val="en-US" w:eastAsia="zh-CN"/>
              </w:rPr>
            </w:pPr>
            <w:r>
              <w:rPr>
                <w:rFonts w:hint="eastAsia"/>
                <w:sz w:val="21"/>
                <w:szCs w:val="21"/>
                <w:highlight w:val="none"/>
                <w:vertAlign w:val="baseline"/>
                <w:lang w:val="en-US" w:eastAsia="zh-CN"/>
              </w:rPr>
              <w:t>标注每套喷洒面积</w:t>
            </w:r>
          </w:p>
        </w:tc>
      </w:tr>
      <w:tr w14:paraId="073C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90" w:type="dxa"/>
            <w:vAlign w:val="center"/>
          </w:tcPr>
          <w:p w14:paraId="7845BB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val="en-US" w:eastAsia="zh-CN"/>
              </w:rPr>
            </w:pPr>
            <w:r>
              <w:rPr>
                <w:rFonts w:hint="eastAsia"/>
                <w:sz w:val="21"/>
                <w:szCs w:val="21"/>
                <w:highlight w:val="none"/>
                <w:vertAlign w:val="baseline"/>
                <w:lang w:eastAsia="zh-CN"/>
              </w:rPr>
              <w:t>麦亿佳</w:t>
            </w:r>
          </w:p>
        </w:tc>
        <w:tc>
          <w:tcPr>
            <w:tcW w:w="2385" w:type="dxa"/>
            <w:vAlign w:val="center"/>
          </w:tcPr>
          <w:p w14:paraId="424788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val="en-US" w:eastAsia="zh-CN"/>
              </w:rPr>
            </w:pPr>
            <w:r>
              <w:rPr>
                <w:rFonts w:hint="eastAsia"/>
                <w:sz w:val="21"/>
                <w:szCs w:val="21"/>
                <w:highlight w:val="none"/>
                <w:vertAlign w:val="baseline"/>
                <w:lang w:eastAsia="zh-CN"/>
              </w:rPr>
              <w:t>28.8%氯氟吡氧乙酸异辛酯乳油+240g/L烯草酮乳油+108g/L高效氟吡甲禾灵乳油+30%二氯吡啶酸水剂</w:t>
            </w:r>
          </w:p>
        </w:tc>
        <w:tc>
          <w:tcPr>
            <w:tcW w:w="2100" w:type="dxa"/>
            <w:vAlign w:val="center"/>
          </w:tcPr>
          <w:p w14:paraId="2FD4DD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val="en-US" w:eastAsia="zh-CN"/>
              </w:rPr>
            </w:pPr>
            <w:r>
              <w:rPr>
                <w:rFonts w:hint="eastAsia"/>
                <w:sz w:val="21"/>
                <w:szCs w:val="21"/>
                <w:highlight w:val="none"/>
                <w:vertAlign w:val="baseline"/>
                <w:lang w:eastAsia="zh-CN"/>
              </w:rPr>
              <w:t>（20g+20g+30ml+30g）/袋x50袋/箱</w:t>
            </w:r>
          </w:p>
        </w:tc>
        <w:tc>
          <w:tcPr>
            <w:tcW w:w="690" w:type="dxa"/>
            <w:vAlign w:val="center"/>
          </w:tcPr>
          <w:p w14:paraId="156489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192C9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2000</w:t>
            </w:r>
          </w:p>
        </w:tc>
        <w:tc>
          <w:tcPr>
            <w:tcW w:w="1215" w:type="dxa"/>
            <w:vAlign w:val="center"/>
          </w:tcPr>
          <w:p w14:paraId="61B8B1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2D82C5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标注每套喷洒面积</w:t>
            </w:r>
          </w:p>
        </w:tc>
      </w:tr>
      <w:tr w14:paraId="7863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32951CC1">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center"/>
              <w:textAlignment w:val="auto"/>
              <w:rPr>
                <w:rFonts w:hint="eastAsia" w:eastAsiaTheme="minorEastAsia"/>
                <w:sz w:val="21"/>
                <w:szCs w:val="21"/>
                <w:highlight w:val="none"/>
                <w:vertAlign w:val="baseline"/>
                <w:lang w:eastAsia="zh-CN"/>
              </w:rPr>
            </w:pPr>
            <w:r>
              <w:rPr>
                <w:rFonts w:hint="eastAsia"/>
                <w:sz w:val="21"/>
                <w:szCs w:val="21"/>
                <w:highlight w:val="none"/>
                <w:vertAlign w:val="baseline"/>
                <w:lang w:eastAsia="zh-CN"/>
              </w:rPr>
              <w:t>二甲四氯</w:t>
            </w:r>
          </w:p>
        </w:tc>
        <w:tc>
          <w:tcPr>
            <w:tcW w:w="2385" w:type="dxa"/>
            <w:vAlign w:val="center"/>
          </w:tcPr>
          <w:p w14:paraId="76D6347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56%，可溶粉剂</w:t>
            </w:r>
          </w:p>
        </w:tc>
        <w:tc>
          <w:tcPr>
            <w:tcW w:w="2100" w:type="dxa"/>
            <w:vAlign w:val="center"/>
          </w:tcPr>
          <w:p w14:paraId="789ECA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30g*200袋</w:t>
            </w:r>
          </w:p>
        </w:tc>
        <w:tc>
          <w:tcPr>
            <w:tcW w:w="690" w:type="dxa"/>
            <w:vAlign w:val="center"/>
          </w:tcPr>
          <w:p w14:paraId="05D320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020E81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500</w:t>
            </w:r>
          </w:p>
        </w:tc>
        <w:tc>
          <w:tcPr>
            <w:tcW w:w="1215" w:type="dxa"/>
            <w:vAlign w:val="center"/>
          </w:tcPr>
          <w:p w14:paraId="2C608F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4BCDA9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0C8B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00600D22">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eastAsia"/>
                <w:sz w:val="21"/>
                <w:szCs w:val="21"/>
                <w:highlight w:val="none"/>
                <w:vertAlign w:val="baseline"/>
                <w:lang w:eastAsia="zh-CN"/>
              </w:rPr>
            </w:pPr>
            <w:r>
              <w:rPr>
                <w:rFonts w:hint="eastAsia"/>
                <w:sz w:val="21"/>
                <w:szCs w:val="21"/>
                <w:highlight w:val="none"/>
                <w:vertAlign w:val="baseline"/>
                <w:lang w:eastAsia="zh-CN"/>
              </w:rPr>
              <w:t>乙草胺</w:t>
            </w:r>
          </w:p>
        </w:tc>
        <w:tc>
          <w:tcPr>
            <w:tcW w:w="2385" w:type="dxa"/>
            <w:vAlign w:val="center"/>
          </w:tcPr>
          <w:p w14:paraId="41064D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50%，乳油</w:t>
            </w:r>
          </w:p>
        </w:tc>
        <w:tc>
          <w:tcPr>
            <w:tcW w:w="2100" w:type="dxa"/>
            <w:vAlign w:val="center"/>
          </w:tcPr>
          <w:p w14:paraId="198F28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65g*50瓶</w:t>
            </w:r>
          </w:p>
        </w:tc>
        <w:tc>
          <w:tcPr>
            <w:tcW w:w="690" w:type="dxa"/>
            <w:vAlign w:val="center"/>
          </w:tcPr>
          <w:p w14:paraId="303731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1074D2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300</w:t>
            </w:r>
          </w:p>
        </w:tc>
        <w:tc>
          <w:tcPr>
            <w:tcW w:w="1215" w:type="dxa"/>
            <w:vAlign w:val="center"/>
          </w:tcPr>
          <w:p w14:paraId="3E2564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64D6C3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113C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55A3B309">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eastAsia"/>
                <w:sz w:val="21"/>
                <w:szCs w:val="21"/>
                <w:highlight w:val="none"/>
                <w:vertAlign w:val="baseline"/>
                <w:lang w:eastAsia="zh-CN"/>
              </w:rPr>
            </w:pPr>
            <w:r>
              <w:rPr>
                <w:rFonts w:hint="eastAsia"/>
                <w:sz w:val="21"/>
                <w:szCs w:val="21"/>
                <w:highlight w:val="none"/>
                <w:vertAlign w:val="baseline"/>
                <w:lang w:eastAsia="zh-CN"/>
              </w:rPr>
              <w:t>多效唑</w:t>
            </w:r>
          </w:p>
        </w:tc>
        <w:tc>
          <w:tcPr>
            <w:tcW w:w="2385" w:type="dxa"/>
            <w:vAlign w:val="center"/>
          </w:tcPr>
          <w:p w14:paraId="47A579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25%，悬浮剂</w:t>
            </w:r>
          </w:p>
        </w:tc>
        <w:tc>
          <w:tcPr>
            <w:tcW w:w="2100" w:type="dxa"/>
            <w:vAlign w:val="center"/>
          </w:tcPr>
          <w:p w14:paraId="20E596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1000g*10瓶</w:t>
            </w:r>
          </w:p>
        </w:tc>
        <w:tc>
          <w:tcPr>
            <w:tcW w:w="690" w:type="dxa"/>
            <w:vAlign w:val="center"/>
          </w:tcPr>
          <w:p w14:paraId="11DAF3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34E2DFA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600</w:t>
            </w:r>
          </w:p>
        </w:tc>
        <w:tc>
          <w:tcPr>
            <w:tcW w:w="1215" w:type="dxa"/>
            <w:vAlign w:val="center"/>
          </w:tcPr>
          <w:p w14:paraId="5268D7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68F0F2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65C3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3DB1B6F9">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蚍虫啉</w:t>
            </w:r>
          </w:p>
        </w:tc>
        <w:tc>
          <w:tcPr>
            <w:tcW w:w="2385" w:type="dxa"/>
            <w:vAlign w:val="center"/>
          </w:tcPr>
          <w:p w14:paraId="4D00A5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10</w:t>
            </w:r>
            <w:r>
              <w:rPr>
                <w:rFonts w:hint="eastAsia"/>
                <w:sz w:val="21"/>
                <w:szCs w:val="21"/>
                <w:highlight w:val="none"/>
                <w:vertAlign w:val="baseline"/>
                <w:lang w:eastAsia="zh-CN"/>
              </w:rPr>
              <w:t>%，可湿粉剂</w:t>
            </w:r>
          </w:p>
        </w:tc>
        <w:tc>
          <w:tcPr>
            <w:tcW w:w="2100" w:type="dxa"/>
            <w:vAlign w:val="center"/>
          </w:tcPr>
          <w:p w14:paraId="094914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10g*500袋</w:t>
            </w:r>
          </w:p>
        </w:tc>
        <w:tc>
          <w:tcPr>
            <w:tcW w:w="690" w:type="dxa"/>
            <w:vAlign w:val="center"/>
          </w:tcPr>
          <w:p w14:paraId="450C71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78A34F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600</w:t>
            </w:r>
          </w:p>
        </w:tc>
        <w:tc>
          <w:tcPr>
            <w:tcW w:w="1215" w:type="dxa"/>
            <w:vAlign w:val="center"/>
          </w:tcPr>
          <w:p w14:paraId="1E3CE8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52246E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3048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3817729">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eastAsia"/>
                <w:sz w:val="21"/>
                <w:szCs w:val="21"/>
                <w:highlight w:val="none"/>
                <w:vertAlign w:val="baseline"/>
                <w:lang w:eastAsia="zh-CN"/>
              </w:rPr>
            </w:pPr>
            <w:r>
              <w:rPr>
                <w:rFonts w:hint="eastAsia"/>
                <w:sz w:val="21"/>
                <w:szCs w:val="21"/>
                <w:highlight w:val="none"/>
                <w:vertAlign w:val="baseline"/>
                <w:lang w:eastAsia="zh-CN"/>
              </w:rPr>
              <w:t>三唑酮</w:t>
            </w:r>
          </w:p>
        </w:tc>
        <w:tc>
          <w:tcPr>
            <w:tcW w:w="2385" w:type="dxa"/>
            <w:vAlign w:val="center"/>
          </w:tcPr>
          <w:p w14:paraId="7E1666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20%，乳油</w:t>
            </w:r>
          </w:p>
        </w:tc>
        <w:tc>
          <w:tcPr>
            <w:tcW w:w="2100" w:type="dxa"/>
            <w:vAlign w:val="center"/>
          </w:tcPr>
          <w:p w14:paraId="6EAECE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200ml×20瓶/箱</w:t>
            </w:r>
          </w:p>
        </w:tc>
        <w:tc>
          <w:tcPr>
            <w:tcW w:w="690" w:type="dxa"/>
            <w:vAlign w:val="center"/>
          </w:tcPr>
          <w:p w14:paraId="08153F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444B0C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500</w:t>
            </w:r>
          </w:p>
        </w:tc>
        <w:tc>
          <w:tcPr>
            <w:tcW w:w="1215" w:type="dxa"/>
            <w:vAlign w:val="center"/>
          </w:tcPr>
          <w:p w14:paraId="276357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14B2A6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19E1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138CD9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橙皮精油助剂</w:t>
            </w:r>
          </w:p>
        </w:tc>
        <w:tc>
          <w:tcPr>
            <w:tcW w:w="2385" w:type="dxa"/>
            <w:vAlign w:val="center"/>
          </w:tcPr>
          <w:p w14:paraId="05C66D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c>
          <w:tcPr>
            <w:tcW w:w="2100" w:type="dxa"/>
            <w:vAlign w:val="center"/>
          </w:tcPr>
          <w:p w14:paraId="2A4254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10g*600袋</w:t>
            </w:r>
          </w:p>
        </w:tc>
        <w:tc>
          <w:tcPr>
            <w:tcW w:w="690" w:type="dxa"/>
            <w:vAlign w:val="center"/>
          </w:tcPr>
          <w:p w14:paraId="21ECB6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2D517B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650</w:t>
            </w:r>
          </w:p>
        </w:tc>
        <w:tc>
          <w:tcPr>
            <w:tcW w:w="1215" w:type="dxa"/>
            <w:vAlign w:val="center"/>
          </w:tcPr>
          <w:p w14:paraId="32DFAF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4F247F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2238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24E2AB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毒死蜱</w:t>
            </w:r>
          </w:p>
        </w:tc>
        <w:tc>
          <w:tcPr>
            <w:tcW w:w="2385" w:type="dxa"/>
            <w:vAlign w:val="center"/>
          </w:tcPr>
          <w:p w14:paraId="2174A5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45%，乳油</w:t>
            </w:r>
          </w:p>
        </w:tc>
        <w:tc>
          <w:tcPr>
            <w:tcW w:w="2100" w:type="dxa"/>
            <w:vAlign w:val="center"/>
          </w:tcPr>
          <w:p w14:paraId="612042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1000g*12瓶</w:t>
            </w:r>
          </w:p>
        </w:tc>
        <w:tc>
          <w:tcPr>
            <w:tcW w:w="690" w:type="dxa"/>
            <w:vAlign w:val="center"/>
          </w:tcPr>
          <w:p w14:paraId="3D6A37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4BA5AC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650</w:t>
            </w:r>
          </w:p>
        </w:tc>
        <w:tc>
          <w:tcPr>
            <w:tcW w:w="1215" w:type="dxa"/>
            <w:vAlign w:val="center"/>
          </w:tcPr>
          <w:p w14:paraId="0E0BD2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07C2B4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2FD9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1FF95F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氯氟吡氧乙酸</w:t>
            </w:r>
          </w:p>
        </w:tc>
        <w:tc>
          <w:tcPr>
            <w:tcW w:w="2385" w:type="dxa"/>
            <w:vAlign w:val="center"/>
          </w:tcPr>
          <w:p w14:paraId="3AB9FB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28.8%，乳油</w:t>
            </w:r>
          </w:p>
        </w:tc>
        <w:tc>
          <w:tcPr>
            <w:tcW w:w="2100" w:type="dxa"/>
            <w:vAlign w:val="center"/>
          </w:tcPr>
          <w:p w14:paraId="66BDE8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30g*300袋</w:t>
            </w:r>
          </w:p>
        </w:tc>
        <w:tc>
          <w:tcPr>
            <w:tcW w:w="690" w:type="dxa"/>
            <w:vAlign w:val="center"/>
          </w:tcPr>
          <w:p w14:paraId="7553D4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62A428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950</w:t>
            </w:r>
          </w:p>
        </w:tc>
        <w:tc>
          <w:tcPr>
            <w:tcW w:w="1215" w:type="dxa"/>
            <w:vAlign w:val="center"/>
          </w:tcPr>
          <w:p w14:paraId="471BDF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52941E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1120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2769DF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多</w:t>
            </w:r>
            <w:r>
              <w:rPr>
                <w:rFonts w:hint="eastAsia"/>
                <w:sz w:val="21"/>
                <w:szCs w:val="21"/>
                <w:highlight w:val="none"/>
                <w:vertAlign w:val="baseline"/>
                <w:lang w:val="en-US" w:eastAsia="zh-CN"/>
              </w:rPr>
              <w:t xml:space="preserve"> </w:t>
            </w:r>
            <w:r>
              <w:rPr>
                <w:rFonts w:hint="eastAsia"/>
                <w:sz w:val="21"/>
                <w:szCs w:val="21"/>
                <w:highlight w:val="none"/>
                <w:vertAlign w:val="baseline"/>
                <w:lang w:eastAsia="zh-CN"/>
              </w:rPr>
              <w:t>菌</w:t>
            </w:r>
            <w:r>
              <w:rPr>
                <w:rFonts w:hint="eastAsia"/>
                <w:sz w:val="21"/>
                <w:szCs w:val="21"/>
                <w:highlight w:val="none"/>
                <w:vertAlign w:val="baseline"/>
                <w:lang w:val="en-US" w:eastAsia="zh-CN"/>
              </w:rPr>
              <w:t xml:space="preserve"> </w:t>
            </w:r>
            <w:r>
              <w:rPr>
                <w:rFonts w:hint="eastAsia"/>
                <w:sz w:val="21"/>
                <w:szCs w:val="21"/>
                <w:highlight w:val="none"/>
                <w:vertAlign w:val="baseline"/>
                <w:lang w:eastAsia="zh-CN"/>
              </w:rPr>
              <w:t>灵</w:t>
            </w:r>
          </w:p>
        </w:tc>
        <w:tc>
          <w:tcPr>
            <w:tcW w:w="2385" w:type="dxa"/>
            <w:vAlign w:val="center"/>
          </w:tcPr>
          <w:p w14:paraId="76CB74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25%，</w:t>
            </w:r>
            <w:r>
              <w:rPr>
                <w:rFonts w:hint="eastAsia"/>
                <w:sz w:val="21"/>
                <w:szCs w:val="21"/>
                <w:highlight w:val="none"/>
              </w:rPr>
              <w:t>多菌灵可湿性粉剂</w:t>
            </w:r>
          </w:p>
        </w:tc>
        <w:tc>
          <w:tcPr>
            <w:tcW w:w="2100" w:type="dxa"/>
            <w:vAlign w:val="center"/>
          </w:tcPr>
          <w:p w14:paraId="5E0A93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200g*50袋</w:t>
            </w:r>
          </w:p>
        </w:tc>
        <w:tc>
          <w:tcPr>
            <w:tcW w:w="690" w:type="dxa"/>
            <w:vAlign w:val="center"/>
          </w:tcPr>
          <w:p w14:paraId="3C1E62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36691B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550</w:t>
            </w:r>
          </w:p>
        </w:tc>
        <w:tc>
          <w:tcPr>
            <w:tcW w:w="1215" w:type="dxa"/>
            <w:vAlign w:val="center"/>
          </w:tcPr>
          <w:p w14:paraId="64B224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62057D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7BFA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dxa"/>
            <w:vAlign w:val="center"/>
          </w:tcPr>
          <w:p w14:paraId="331D71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弯</w:t>
            </w:r>
            <w:r>
              <w:rPr>
                <w:rFonts w:hint="eastAsia"/>
                <w:sz w:val="21"/>
                <w:szCs w:val="21"/>
                <w:highlight w:val="none"/>
                <w:vertAlign w:val="baseline"/>
                <w:lang w:val="en-US" w:eastAsia="zh-CN"/>
              </w:rPr>
              <w:t xml:space="preserve"> </w:t>
            </w:r>
            <w:r>
              <w:rPr>
                <w:rFonts w:hint="eastAsia"/>
                <w:sz w:val="21"/>
                <w:szCs w:val="21"/>
                <w:highlight w:val="none"/>
                <w:vertAlign w:val="baseline"/>
                <w:lang w:eastAsia="zh-CN"/>
              </w:rPr>
              <w:t>刀</w:t>
            </w:r>
          </w:p>
        </w:tc>
        <w:tc>
          <w:tcPr>
            <w:tcW w:w="2385" w:type="dxa"/>
            <w:vAlign w:val="center"/>
          </w:tcPr>
          <w:p w14:paraId="306DFF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5%，高效氯氟氰菊酯微乳剂</w:t>
            </w:r>
          </w:p>
        </w:tc>
        <w:tc>
          <w:tcPr>
            <w:tcW w:w="2100" w:type="dxa"/>
            <w:vAlign w:val="center"/>
          </w:tcPr>
          <w:p w14:paraId="0AA0F5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200g*50瓶</w:t>
            </w:r>
          </w:p>
        </w:tc>
        <w:tc>
          <w:tcPr>
            <w:tcW w:w="690" w:type="dxa"/>
            <w:vAlign w:val="center"/>
          </w:tcPr>
          <w:p w14:paraId="400A3B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1F22DA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600</w:t>
            </w:r>
          </w:p>
        </w:tc>
        <w:tc>
          <w:tcPr>
            <w:tcW w:w="1215" w:type="dxa"/>
            <w:vAlign w:val="center"/>
          </w:tcPr>
          <w:p w14:paraId="4D82F7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01514C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6366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3F6AC0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甲维虫螨腈</w:t>
            </w:r>
          </w:p>
        </w:tc>
        <w:tc>
          <w:tcPr>
            <w:tcW w:w="2385" w:type="dxa"/>
            <w:vAlign w:val="center"/>
          </w:tcPr>
          <w:p w14:paraId="274474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12%，悬浮剂</w:t>
            </w:r>
          </w:p>
        </w:tc>
        <w:tc>
          <w:tcPr>
            <w:tcW w:w="2100" w:type="dxa"/>
            <w:vAlign w:val="center"/>
          </w:tcPr>
          <w:p w14:paraId="5D1B5E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500g*20瓶</w:t>
            </w:r>
          </w:p>
        </w:tc>
        <w:tc>
          <w:tcPr>
            <w:tcW w:w="690" w:type="dxa"/>
            <w:vAlign w:val="center"/>
          </w:tcPr>
          <w:p w14:paraId="125393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7F1575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900</w:t>
            </w:r>
          </w:p>
        </w:tc>
        <w:tc>
          <w:tcPr>
            <w:tcW w:w="1215" w:type="dxa"/>
            <w:vAlign w:val="center"/>
          </w:tcPr>
          <w:p w14:paraId="1E4EB8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7AAE9D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0917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176722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飚红虱螨</w:t>
            </w:r>
          </w:p>
        </w:tc>
        <w:tc>
          <w:tcPr>
            <w:tcW w:w="2385" w:type="dxa"/>
            <w:vAlign w:val="center"/>
          </w:tcPr>
          <w:p w14:paraId="207EC0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5</w:t>
            </w:r>
            <w:r>
              <w:rPr>
                <w:rFonts w:hint="eastAsia"/>
                <w:sz w:val="21"/>
                <w:szCs w:val="21"/>
                <w:highlight w:val="none"/>
                <w:vertAlign w:val="baseline"/>
                <w:lang w:eastAsia="zh-CN"/>
              </w:rPr>
              <w:t>%，悬浮剂</w:t>
            </w:r>
          </w:p>
        </w:tc>
        <w:tc>
          <w:tcPr>
            <w:tcW w:w="2100" w:type="dxa"/>
            <w:vAlign w:val="center"/>
          </w:tcPr>
          <w:p w14:paraId="18262A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50g*160瓶</w:t>
            </w:r>
          </w:p>
        </w:tc>
        <w:tc>
          <w:tcPr>
            <w:tcW w:w="690" w:type="dxa"/>
            <w:vAlign w:val="center"/>
          </w:tcPr>
          <w:p w14:paraId="10C65F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2EFD82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900</w:t>
            </w:r>
          </w:p>
        </w:tc>
        <w:tc>
          <w:tcPr>
            <w:tcW w:w="1215" w:type="dxa"/>
            <w:vAlign w:val="center"/>
          </w:tcPr>
          <w:p w14:paraId="4872A2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7E404C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0DED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A1492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啶嘧磺隆</w:t>
            </w:r>
          </w:p>
        </w:tc>
        <w:tc>
          <w:tcPr>
            <w:tcW w:w="2385" w:type="dxa"/>
            <w:vAlign w:val="center"/>
          </w:tcPr>
          <w:p w14:paraId="1A1FE5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25</w:t>
            </w:r>
            <w:r>
              <w:rPr>
                <w:rFonts w:hint="eastAsia"/>
                <w:sz w:val="21"/>
                <w:szCs w:val="21"/>
                <w:highlight w:val="none"/>
                <w:vertAlign w:val="baseline"/>
                <w:lang w:eastAsia="zh-CN"/>
              </w:rPr>
              <w:t>%，粉剂</w:t>
            </w:r>
          </w:p>
        </w:tc>
        <w:tc>
          <w:tcPr>
            <w:tcW w:w="2100" w:type="dxa"/>
            <w:vAlign w:val="center"/>
          </w:tcPr>
          <w:p w14:paraId="64A83D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5g*100袋</w:t>
            </w:r>
          </w:p>
        </w:tc>
        <w:tc>
          <w:tcPr>
            <w:tcW w:w="690" w:type="dxa"/>
            <w:vAlign w:val="center"/>
          </w:tcPr>
          <w:p w14:paraId="0A769F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6F34A3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2000</w:t>
            </w:r>
          </w:p>
        </w:tc>
        <w:tc>
          <w:tcPr>
            <w:tcW w:w="1215" w:type="dxa"/>
            <w:vAlign w:val="center"/>
          </w:tcPr>
          <w:p w14:paraId="3C7511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207000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74EA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50AED4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二甲四氯钠</w:t>
            </w:r>
          </w:p>
        </w:tc>
        <w:tc>
          <w:tcPr>
            <w:tcW w:w="2385" w:type="dxa"/>
            <w:vAlign w:val="center"/>
          </w:tcPr>
          <w:p w14:paraId="3725E5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56</w:t>
            </w:r>
            <w:r>
              <w:rPr>
                <w:rFonts w:hint="eastAsia"/>
                <w:sz w:val="21"/>
                <w:szCs w:val="21"/>
                <w:highlight w:val="none"/>
                <w:vertAlign w:val="baseline"/>
                <w:lang w:eastAsia="zh-CN"/>
              </w:rPr>
              <w:t>%，粉剂</w:t>
            </w:r>
          </w:p>
        </w:tc>
        <w:tc>
          <w:tcPr>
            <w:tcW w:w="2100" w:type="dxa"/>
            <w:vAlign w:val="center"/>
          </w:tcPr>
          <w:p w14:paraId="08EEB8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30g×200袋/箱</w:t>
            </w:r>
          </w:p>
        </w:tc>
        <w:tc>
          <w:tcPr>
            <w:tcW w:w="690" w:type="dxa"/>
            <w:vAlign w:val="center"/>
          </w:tcPr>
          <w:p w14:paraId="1D1DE7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0684DB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500</w:t>
            </w:r>
          </w:p>
        </w:tc>
        <w:tc>
          <w:tcPr>
            <w:tcW w:w="1215" w:type="dxa"/>
            <w:vAlign w:val="center"/>
          </w:tcPr>
          <w:p w14:paraId="23AA1C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3A1174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5DC3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8EA9A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有机硅助剂</w:t>
            </w:r>
          </w:p>
        </w:tc>
        <w:tc>
          <w:tcPr>
            <w:tcW w:w="2385" w:type="dxa"/>
            <w:vAlign w:val="center"/>
          </w:tcPr>
          <w:p w14:paraId="25BBA9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c>
          <w:tcPr>
            <w:tcW w:w="2100" w:type="dxa"/>
            <w:vAlign w:val="center"/>
          </w:tcPr>
          <w:p w14:paraId="56611F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10ml×100袋/盒×4盒/箱</w:t>
            </w:r>
          </w:p>
        </w:tc>
        <w:tc>
          <w:tcPr>
            <w:tcW w:w="690" w:type="dxa"/>
            <w:vAlign w:val="center"/>
          </w:tcPr>
          <w:p w14:paraId="0CFFE0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eastAsia="zh-CN"/>
              </w:rPr>
              <w:t>件</w:t>
            </w:r>
          </w:p>
        </w:tc>
        <w:tc>
          <w:tcPr>
            <w:tcW w:w="1266" w:type="dxa"/>
            <w:vAlign w:val="center"/>
          </w:tcPr>
          <w:p w14:paraId="6A02C2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400</w:t>
            </w:r>
          </w:p>
        </w:tc>
        <w:tc>
          <w:tcPr>
            <w:tcW w:w="1215" w:type="dxa"/>
            <w:vAlign w:val="center"/>
          </w:tcPr>
          <w:p w14:paraId="3A491E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r>
              <w:rPr>
                <w:rFonts w:hint="eastAsia"/>
                <w:sz w:val="21"/>
                <w:szCs w:val="21"/>
                <w:highlight w:val="none"/>
                <w:vertAlign w:val="baseline"/>
                <w:lang w:val="en-US" w:eastAsia="zh-CN"/>
              </w:rPr>
              <w:t>三证齐全</w:t>
            </w:r>
          </w:p>
        </w:tc>
        <w:tc>
          <w:tcPr>
            <w:tcW w:w="1169" w:type="dxa"/>
            <w:vAlign w:val="center"/>
          </w:tcPr>
          <w:p w14:paraId="60DEB8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1"/>
                <w:szCs w:val="21"/>
                <w:highlight w:val="none"/>
                <w:vertAlign w:val="baseline"/>
                <w:lang w:eastAsia="zh-CN"/>
              </w:rPr>
            </w:pPr>
          </w:p>
        </w:tc>
      </w:tr>
      <w:tr w14:paraId="2289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10515" w:type="dxa"/>
            <w:gridSpan w:val="7"/>
            <w:vAlign w:val="top"/>
          </w:tcPr>
          <w:p w14:paraId="271A4B39">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Times New Roman" w:hAnsi="Times New Roman" w:eastAsia="宋体" w:cs="Times New Roman"/>
                <w:b/>
                <w:bCs/>
                <w:kern w:val="2"/>
                <w:sz w:val="21"/>
                <w:szCs w:val="21"/>
                <w:highlight w:val="none"/>
                <w:vertAlign w:val="baseline"/>
                <w:lang w:val="en-US" w:eastAsia="zh-CN" w:bidi="ar-SA"/>
              </w:rPr>
            </w:pPr>
            <w:r>
              <w:rPr>
                <w:rFonts w:hint="eastAsia" w:ascii="Times New Roman" w:hAnsi="Times New Roman" w:eastAsia="宋体" w:cs="Times New Roman"/>
                <w:b/>
                <w:bCs/>
                <w:kern w:val="2"/>
                <w:sz w:val="21"/>
                <w:szCs w:val="21"/>
                <w:highlight w:val="none"/>
                <w:vertAlign w:val="baseline"/>
                <w:lang w:val="en-US" w:eastAsia="zh-CN" w:bidi="ar-SA"/>
              </w:rPr>
              <w:t>说明：</w:t>
            </w:r>
          </w:p>
          <w:p w14:paraId="4F89A296">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22" w:firstLineChars="200"/>
              <w:jc w:val="both"/>
              <w:textAlignment w:val="auto"/>
              <w:rPr>
                <w:rFonts w:hint="eastAsia" w:ascii="Times New Roman" w:hAnsi="Times New Roman" w:eastAsia="宋体" w:cs="Times New Roman"/>
                <w:b/>
                <w:bCs/>
                <w:kern w:val="2"/>
                <w:sz w:val="21"/>
                <w:szCs w:val="21"/>
                <w:highlight w:val="none"/>
                <w:vertAlign w:val="baseline"/>
                <w:lang w:val="en-US" w:eastAsia="zh-CN" w:bidi="ar-SA"/>
              </w:rPr>
            </w:pPr>
            <w:r>
              <w:rPr>
                <w:rFonts w:hint="eastAsia" w:ascii="Times New Roman" w:hAnsi="Times New Roman" w:eastAsia="宋体" w:cs="Times New Roman"/>
                <w:b/>
                <w:bCs/>
                <w:kern w:val="2"/>
                <w:sz w:val="21"/>
                <w:szCs w:val="21"/>
                <w:highlight w:val="none"/>
                <w:vertAlign w:val="baseline"/>
                <w:lang w:val="en-US" w:eastAsia="zh-CN" w:bidi="ar-SA"/>
              </w:rPr>
              <w:t>1.农药，采购清单包含但不限于上列品种，按安庆市皖圆市政园林工程有限公司生产经营、养护工作等按需提供。</w:t>
            </w:r>
          </w:p>
          <w:p w14:paraId="074B8BE8">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22" w:firstLineChars="200"/>
              <w:jc w:val="both"/>
              <w:textAlignment w:val="auto"/>
              <w:rPr>
                <w:rFonts w:hint="eastAsia" w:ascii="Times New Roman" w:hAnsi="Times New Roman" w:eastAsia="宋体" w:cs="Times New Roman"/>
                <w:b/>
                <w:bCs/>
                <w:kern w:val="2"/>
                <w:sz w:val="21"/>
                <w:szCs w:val="21"/>
                <w:highlight w:val="none"/>
                <w:vertAlign w:val="baseline"/>
                <w:lang w:val="en-US" w:eastAsia="zh-CN" w:bidi="ar-SA"/>
              </w:rPr>
            </w:pPr>
            <w:r>
              <w:rPr>
                <w:rFonts w:hint="eastAsia" w:ascii="Times New Roman" w:hAnsi="Times New Roman" w:eastAsia="宋体" w:cs="Times New Roman"/>
                <w:b/>
                <w:bCs/>
                <w:kern w:val="2"/>
                <w:sz w:val="21"/>
                <w:szCs w:val="21"/>
                <w:highlight w:val="none"/>
                <w:vertAlign w:val="baseline"/>
                <w:lang w:val="en-US" w:eastAsia="zh-CN" w:bidi="ar-SA"/>
              </w:rPr>
              <w:t>2.报价要求：供应商需对以上所有采购品种进行全部报价，不接受部分报价；报价为综合价格，含办理各种证书、运输费，各类保险费、利润、税金等运至需求现场的一切费用。</w:t>
            </w:r>
          </w:p>
          <w:p w14:paraId="65C9D042">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22" w:firstLineChars="200"/>
              <w:jc w:val="both"/>
              <w:textAlignment w:val="auto"/>
              <w:rPr>
                <w:rFonts w:hint="eastAsia" w:ascii="Times New Roman" w:hAnsi="Times New Roman" w:eastAsia="宋体" w:cs="Times New Roman"/>
                <w:b/>
                <w:bCs/>
                <w:kern w:val="2"/>
                <w:sz w:val="21"/>
                <w:szCs w:val="21"/>
                <w:highlight w:val="none"/>
                <w:vertAlign w:val="baseline"/>
                <w:lang w:val="en-US" w:eastAsia="zh-CN" w:bidi="ar-SA"/>
              </w:rPr>
            </w:pPr>
            <w:r>
              <w:rPr>
                <w:rFonts w:hint="eastAsia" w:ascii="Times New Roman" w:hAnsi="Times New Roman" w:eastAsia="宋体" w:cs="Times New Roman"/>
                <w:b/>
                <w:bCs/>
                <w:kern w:val="2"/>
                <w:sz w:val="21"/>
                <w:szCs w:val="21"/>
                <w:highlight w:val="none"/>
                <w:vertAlign w:val="baseline"/>
                <w:lang w:val="en-US" w:eastAsia="zh-CN" w:bidi="ar-SA"/>
              </w:rPr>
              <w:t>3.中标人自接到采购人通知之日起按照安庆市皖圆市政园林工程有限公司要求提供相关农药，否则视为供货不合格，采购人将要求中标人无条件退场，并由中标人承担所有责任和损失。连续两次提供不合格品种，采购人有权要求立即解除合同。</w:t>
            </w:r>
          </w:p>
          <w:p w14:paraId="3E74D7DD">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22" w:firstLineChars="200"/>
              <w:jc w:val="both"/>
              <w:textAlignment w:val="auto"/>
              <w:rPr>
                <w:rFonts w:hint="default" w:ascii="Times New Roman" w:hAnsi="Times New Roman" w:eastAsia="宋体" w:cs="Times New Roman"/>
                <w:b/>
                <w:bCs/>
                <w:kern w:val="2"/>
                <w:sz w:val="21"/>
                <w:szCs w:val="21"/>
                <w:highlight w:val="none"/>
                <w:vertAlign w:val="baseline"/>
                <w:lang w:val="en-US" w:eastAsia="zh-CN" w:bidi="ar-SA"/>
              </w:rPr>
            </w:pPr>
            <w:r>
              <w:rPr>
                <w:rFonts w:hint="eastAsia" w:ascii="Times New Roman" w:hAnsi="Times New Roman" w:eastAsia="宋体" w:cs="Times New Roman"/>
                <w:b/>
                <w:bCs/>
                <w:kern w:val="2"/>
                <w:sz w:val="21"/>
                <w:szCs w:val="21"/>
                <w:highlight w:val="none"/>
                <w:vertAlign w:val="baseline"/>
                <w:lang w:val="en-US" w:eastAsia="zh-CN" w:bidi="ar-SA"/>
              </w:rPr>
              <w:t>4.中标人自接到招标人通知之日起，须在24小时内将货物配送到指定地点。</w:t>
            </w:r>
          </w:p>
          <w:p w14:paraId="0609E644">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22" w:firstLineChars="200"/>
              <w:jc w:val="both"/>
              <w:textAlignment w:val="auto"/>
              <w:rPr>
                <w:rFonts w:hint="default"/>
                <w:sz w:val="21"/>
                <w:szCs w:val="21"/>
                <w:highlight w:val="none"/>
                <w:vertAlign w:val="baseline"/>
                <w:lang w:val="en-US" w:eastAsia="zh-CN"/>
              </w:rPr>
            </w:pPr>
            <w:r>
              <w:rPr>
                <w:rFonts w:hint="eastAsia" w:ascii="Times New Roman" w:hAnsi="Times New Roman" w:eastAsia="宋体" w:cs="Times New Roman"/>
                <w:b/>
                <w:bCs/>
                <w:kern w:val="2"/>
                <w:sz w:val="21"/>
                <w:szCs w:val="21"/>
                <w:highlight w:val="none"/>
                <w:vertAlign w:val="baseline"/>
                <w:lang w:val="en-US" w:eastAsia="zh-CN" w:bidi="ar-SA"/>
              </w:rPr>
              <w:t>5.本次中标人须为采购人提供农药、化肥等产品的使用无偿指导。</w:t>
            </w:r>
          </w:p>
        </w:tc>
      </w:tr>
    </w:tbl>
    <w:p w14:paraId="49C16C29">
      <w:pPr>
        <w:pStyle w:val="23"/>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技术标准及项目要求</w:t>
      </w:r>
    </w:p>
    <w:p w14:paraId="668121B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1.材料、设备要求：中标单位的设备和购置的材料须满足项目的安全及质量要求，如出现安全质量问题，由此造成的损失由中标单位承担责任。</w:t>
      </w:r>
    </w:p>
    <w:p w14:paraId="0910E10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2.详细技术标准及项目要求见报价单工作内容要求。</w:t>
      </w:r>
    </w:p>
    <w:p w14:paraId="5A1206E8">
      <w:pP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br w:type="page"/>
      </w:r>
    </w:p>
    <w:p w14:paraId="5A5A1181">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38" w:name="_Toc476584431"/>
      <w:bookmarkStart w:id="39"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24"/>
      <w:bookmarkEnd w:id="25"/>
      <w:bookmarkEnd w:id="26"/>
      <w:bookmarkEnd w:id="38"/>
      <w:bookmarkEnd w:id="39"/>
    </w:p>
    <w:p w14:paraId="6E90C796">
      <w:pPr>
        <w:tabs>
          <w:tab w:val="left" w:pos="3640"/>
        </w:tabs>
        <w:autoSpaceDE w:val="0"/>
        <w:autoSpaceDN w:val="0"/>
        <w:spacing w:line="680" w:lineRule="exact"/>
        <w:rPr>
          <w:rFonts w:ascii="宋体" w:hAnsi="宋体" w:eastAsia="宋体" w:cs="宋体"/>
          <w:color w:val="000000" w:themeColor="text1"/>
          <w:sz w:val="24"/>
          <w:highlight w:val="none"/>
          <w:u w:val="single"/>
          <w14:textFill>
            <w14:solidFill>
              <w14:schemeClr w14:val="tx1"/>
            </w14:solidFill>
          </w14:textFill>
        </w:rPr>
      </w:pPr>
      <w:bookmarkStart w:id="40" w:name="_Toc54941341"/>
      <w:bookmarkStart w:id="41" w:name="_Toc439316880"/>
      <w:bookmarkStart w:id="42" w:name="_Toc25399"/>
      <w:bookmarkStart w:id="43" w:name="_Toc8981"/>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u w:val="single"/>
          <w14:textFill>
            <w14:solidFill>
              <w14:schemeClr w14:val="tx1"/>
            </w14:solidFill>
          </w14:textFill>
        </w:rPr>
        <w:t xml:space="preserve">                           </w:t>
      </w:r>
    </w:p>
    <w:p w14:paraId="76D38888">
      <w:pPr>
        <w:tabs>
          <w:tab w:val="left" w:pos="3640"/>
        </w:tabs>
        <w:autoSpaceDE w:val="0"/>
        <w:autoSpaceDN w:val="0"/>
        <w:spacing w:line="680" w:lineRule="exact"/>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lang w:eastAsia="zh-CN"/>
          <w14:textFill>
            <w14:solidFill>
              <w14:schemeClr w14:val="tx1"/>
            </w14:solidFill>
          </w14:textFill>
        </w:rPr>
        <w:t>成交人</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u w:val="single"/>
          <w14:textFill>
            <w14:solidFill>
              <w14:schemeClr w14:val="tx1"/>
            </w14:solidFill>
          </w14:textFill>
        </w:rPr>
        <w:t xml:space="preserve">                           </w:t>
      </w:r>
    </w:p>
    <w:p w14:paraId="3C3B155C">
      <w:pPr>
        <w:tabs>
          <w:tab w:val="left" w:pos="3640"/>
        </w:tabs>
        <w:autoSpaceDE w:val="0"/>
        <w:autoSpaceDN w:val="0"/>
        <w:spacing w:line="68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根据《中华人民共和国民法典》及</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比选文件，甲、</w:t>
      </w:r>
      <w:r>
        <w:rPr>
          <w:rFonts w:hint="eastAsia" w:ascii="宋体" w:hAnsi="宋体" w:eastAsia="宋体"/>
          <w:color w:val="000000" w:themeColor="text1"/>
          <w:spacing w:val="-1"/>
          <w:sz w:val="24"/>
          <w:highlight w:val="none"/>
          <w14:textFill>
            <w14:solidFill>
              <w14:schemeClr w14:val="tx1"/>
            </w14:solidFill>
          </w14:textFill>
        </w:rPr>
        <w:t>乙</w:t>
      </w:r>
      <w:r>
        <w:rPr>
          <w:rFonts w:hint="eastAsia" w:ascii="宋体" w:hAnsi="宋体" w:eastAsia="宋体" w:cs="宋体"/>
          <w:color w:val="000000" w:themeColor="text1"/>
          <w:sz w:val="24"/>
          <w:highlight w:val="none"/>
          <w14:textFill>
            <w14:solidFill>
              <w14:schemeClr w14:val="tx1"/>
            </w14:solidFill>
          </w14:textFill>
        </w:rPr>
        <w:t>双方经协商一致，签订如下合同条款，并共同遵守。</w:t>
      </w:r>
    </w:p>
    <w:p w14:paraId="31DA6ABD">
      <w:pPr>
        <w:numPr>
          <w:ilvl w:val="0"/>
          <w:numId w:val="8"/>
        </w:numPr>
        <w:tabs>
          <w:tab w:val="left" w:pos="3640"/>
        </w:tabs>
        <w:autoSpaceDE w:val="0"/>
        <w:autoSpaceDN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货物名称、生产厂家、品牌、数量及金额</w:t>
      </w:r>
    </w:p>
    <w:tbl>
      <w:tblPr>
        <w:tblStyle w:val="61"/>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643"/>
        <w:gridCol w:w="1643"/>
        <w:gridCol w:w="1643"/>
        <w:gridCol w:w="1643"/>
        <w:gridCol w:w="1643"/>
        <w:gridCol w:w="1645"/>
      </w:tblGrid>
      <w:tr w14:paraId="391D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3EED3A17">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序号</w:t>
            </w:r>
          </w:p>
        </w:tc>
        <w:tc>
          <w:tcPr>
            <w:tcW w:w="1643" w:type="dxa"/>
            <w:tcBorders>
              <w:left w:val="single" w:color="auto" w:sz="4" w:space="0"/>
            </w:tcBorders>
            <w:noWrap w:val="0"/>
            <w:vAlign w:val="center"/>
          </w:tcPr>
          <w:p w14:paraId="7E2467C1">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材料名称</w:t>
            </w:r>
          </w:p>
        </w:tc>
        <w:tc>
          <w:tcPr>
            <w:tcW w:w="1643" w:type="dxa"/>
            <w:noWrap w:val="0"/>
            <w:vAlign w:val="center"/>
          </w:tcPr>
          <w:p w14:paraId="4A3F7F2D">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规格</w:t>
            </w:r>
          </w:p>
        </w:tc>
        <w:tc>
          <w:tcPr>
            <w:tcW w:w="1643" w:type="dxa"/>
            <w:noWrap w:val="0"/>
            <w:vAlign w:val="center"/>
          </w:tcPr>
          <w:p w14:paraId="1526BF1B">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单位</w:t>
            </w:r>
          </w:p>
        </w:tc>
        <w:tc>
          <w:tcPr>
            <w:tcW w:w="1643" w:type="dxa"/>
            <w:noWrap w:val="0"/>
            <w:vAlign w:val="center"/>
          </w:tcPr>
          <w:p w14:paraId="4E97D9CC">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数量</w:t>
            </w:r>
          </w:p>
        </w:tc>
        <w:tc>
          <w:tcPr>
            <w:tcW w:w="1643" w:type="dxa"/>
            <w:tcBorders>
              <w:right w:val="single" w:color="auto" w:sz="4" w:space="0"/>
            </w:tcBorders>
            <w:noWrap w:val="0"/>
            <w:vAlign w:val="center"/>
          </w:tcPr>
          <w:p w14:paraId="185B46AC">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单价（元）</w:t>
            </w:r>
          </w:p>
        </w:tc>
        <w:tc>
          <w:tcPr>
            <w:tcW w:w="1645" w:type="dxa"/>
            <w:tcBorders>
              <w:left w:val="single" w:color="auto" w:sz="4" w:space="0"/>
            </w:tcBorders>
            <w:noWrap w:val="0"/>
            <w:vAlign w:val="center"/>
          </w:tcPr>
          <w:p w14:paraId="339A82FE">
            <w:pPr>
              <w:keepNext w:val="0"/>
              <w:keepLines w:val="0"/>
              <w:pageBreakBefore w:val="0"/>
              <w:widowControl w:val="0"/>
              <w:kinsoku/>
              <w:wordWrap/>
              <w:overflowPunct/>
              <w:topLinePunct w:val="0"/>
              <w:autoSpaceDE/>
              <w:autoSpaceDN/>
              <w:bidi w:val="0"/>
              <w:adjustRightInd/>
              <w:snapToGrid/>
              <w:spacing w:line="400" w:lineRule="exact"/>
              <w:ind w:right="-2" w:rightChars="-1"/>
              <w:jc w:val="both"/>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合价（元）</w:t>
            </w:r>
          </w:p>
        </w:tc>
      </w:tr>
      <w:tr w14:paraId="6566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08934D14">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left w:val="single" w:color="auto" w:sz="4" w:space="0"/>
            </w:tcBorders>
            <w:noWrap w:val="0"/>
            <w:vAlign w:val="center"/>
          </w:tcPr>
          <w:p w14:paraId="23B9C0C0">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2DD3F12D">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18B192F3">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75DCAC6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right w:val="single" w:color="auto" w:sz="4" w:space="0"/>
            </w:tcBorders>
            <w:noWrap w:val="0"/>
            <w:vAlign w:val="center"/>
          </w:tcPr>
          <w:p w14:paraId="4D5E48CF">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5" w:type="dxa"/>
            <w:tcBorders>
              <w:left w:val="single" w:color="auto" w:sz="4" w:space="0"/>
            </w:tcBorders>
            <w:noWrap w:val="0"/>
            <w:vAlign w:val="center"/>
          </w:tcPr>
          <w:p w14:paraId="4F66B18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7E4FB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7E6A20CA">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left w:val="single" w:color="auto" w:sz="4" w:space="0"/>
            </w:tcBorders>
            <w:noWrap w:val="0"/>
            <w:vAlign w:val="center"/>
          </w:tcPr>
          <w:p w14:paraId="6F646DA2">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01A3D3C3">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2728D894">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1036142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right w:val="single" w:color="auto" w:sz="4" w:space="0"/>
            </w:tcBorders>
            <w:noWrap w:val="0"/>
            <w:vAlign w:val="center"/>
          </w:tcPr>
          <w:p w14:paraId="530D0C3B">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5" w:type="dxa"/>
            <w:tcBorders>
              <w:left w:val="single" w:color="auto" w:sz="4" w:space="0"/>
            </w:tcBorders>
            <w:noWrap w:val="0"/>
            <w:vAlign w:val="center"/>
          </w:tcPr>
          <w:p w14:paraId="301DF306">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34B0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89" w:type="dxa"/>
            <w:gridSpan w:val="6"/>
            <w:tcBorders>
              <w:right w:val="single" w:color="auto" w:sz="4" w:space="0"/>
            </w:tcBorders>
            <w:noWrap w:val="0"/>
            <w:vAlign w:val="center"/>
          </w:tcPr>
          <w:p w14:paraId="23DE71D6">
            <w:pPr>
              <w:spacing w:line="500" w:lineRule="exact"/>
              <w:ind w:right="-2" w:rightChars="-1"/>
              <w:jc w:val="left"/>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highlight w:val="none"/>
                <w:lang w:val="en-US" w:eastAsia="zh-CN"/>
                <w14:textFill>
                  <w14:solidFill>
                    <w14:schemeClr w14:val="tx1"/>
                  </w14:solidFill>
                </w14:textFill>
              </w:rPr>
              <w:t>合计：（大写）</w:t>
            </w:r>
          </w:p>
        </w:tc>
        <w:tc>
          <w:tcPr>
            <w:tcW w:w="1645" w:type="dxa"/>
            <w:tcBorders>
              <w:left w:val="single" w:color="auto" w:sz="4" w:space="0"/>
            </w:tcBorders>
            <w:noWrap w:val="0"/>
            <w:vAlign w:val="center"/>
          </w:tcPr>
          <w:p w14:paraId="6C1BF5F9">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6578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7"/>
            <w:noWrap w:val="0"/>
            <w:vAlign w:val="center"/>
          </w:tcPr>
          <w:p w14:paraId="264A894C">
            <w:pPr>
              <w:spacing w:line="500" w:lineRule="exact"/>
              <w:ind w:right="-2" w:rightChars="-1"/>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备注：</w:t>
            </w:r>
            <w:r>
              <w:rPr>
                <w:rFonts w:hint="default" w:ascii="Times New Roman" w:hAnsi="Times New Roman" w:eastAsia="仿宋" w:cs="Times New Roman"/>
                <w:color w:val="000000" w:themeColor="text1"/>
                <w:sz w:val="24"/>
                <w:highlight w:val="none"/>
                <w:u w:val="single"/>
                <w14:textFill>
                  <w14:solidFill>
                    <w14:schemeClr w14:val="tx1"/>
                  </w14:solidFill>
                </w14:textFill>
              </w:rPr>
              <w:t>（约定数量验收方式）</w:t>
            </w:r>
          </w:p>
        </w:tc>
      </w:tr>
    </w:tbl>
    <w:p w14:paraId="53147495">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40" w:lineRule="exact"/>
        <w:ind w:left="357" w:firstLine="480" w:firstLineChars="200"/>
        <w:jc w:val="both"/>
        <w:textAlignment w:val="auto"/>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本合同单价为到货价（货运至甲方指定地点卸载），且是综合单价，包括但不限于乙方支出的材料费、运费、装卸费、保险费、利润、税费等费用，甲方无需支付任何其他费用给乙方</w:t>
      </w:r>
    </w:p>
    <w:p w14:paraId="714545AF">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二、质量要求和技术标准</w:t>
      </w:r>
    </w:p>
    <w:p w14:paraId="0B13BD4E">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1、乙方供应的产品必须符合</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工程施工相关技术规范</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及国家强制性规范</w:t>
      </w:r>
      <w:r>
        <w:rPr>
          <w:rFonts w:hint="default" w:ascii="Times New Roman" w:hAnsi="Times New Roman" w:eastAsia="仿宋" w:cs="Times New Roman"/>
          <w:color w:val="000000" w:themeColor="text1"/>
          <w:sz w:val="24"/>
          <w:highlight w:val="none"/>
          <w14:textFill>
            <w14:solidFill>
              <w14:schemeClr w14:val="tx1"/>
            </w14:solidFill>
          </w14:textFill>
        </w:rPr>
        <w:t>要求、</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行业标准</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、招标文件、图纸设计要求</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等</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5FDED7AF">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2、符合甲方、工程监理、总监办、中心试验室、项目办、质检等上级部门相关技术要求。</w:t>
      </w:r>
    </w:p>
    <w:p w14:paraId="051EF9AC">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3、材料供应过程中无论何种原因需要变更材料厂家的，需向甲方及上级相关部门提前报备</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以征得甲方及上级相关部门的书面同意</w:t>
      </w:r>
      <w:r>
        <w:rPr>
          <w:rFonts w:hint="default" w:ascii="Times New Roman" w:hAnsi="Times New Roman" w:eastAsia="仿宋" w:cs="Times New Roman"/>
          <w:color w:val="000000" w:themeColor="text1"/>
          <w:sz w:val="24"/>
          <w:highlight w:val="none"/>
          <w14:textFill>
            <w14:solidFill>
              <w14:schemeClr w14:val="tx1"/>
            </w14:solidFill>
          </w14:textFill>
        </w:rPr>
        <w:t>，并在材料供应前做好相应的试验检测工作。</w:t>
      </w:r>
    </w:p>
    <w:p w14:paraId="4E20326D">
      <w:pPr>
        <w:spacing w:line="500" w:lineRule="exact"/>
        <w:ind w:firstLine="48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4、因乙方供应的材料质量原因引起的质量或安全事故，造成的经济损失及有关责任均由乙方承担。</w:t>
      </w:r>
    </w:p>
    <w:p w14:paraId="09706934">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三、交货方式</w:t>
      </w:r>
    </w:p>
    <w:p w14:paraId="2D792333">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1、交货时间以甲方通知为准，如无特殊情况，甲方应提前</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日通知乙方送货。</w:t>
      </w:r>
    </w:p>
    <w:p w14:paraId="5614C92D">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2、乙方依据甲方通知，在要求的时间内，将</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甲方要求的</w:t>
      </w:r>
      <w:r>
        <w:rPr>
          <w:rFonts w:hint="default" w:ascii="Times New Roman" w:hAnsi="Times New Roman" w:eastAsia="仿宋" w:cs="Times New Roman"/>
          <w:color w:val="000000" w:themeColor="text1"/>
          <w:sz w:val="24"/>
          <w:highlight w:val="none"/>
          <w14:textFill>
            <w14:solidFill>
              <w14:schemeClr w14:val="tx1"/>
            </w14:solidFill>
          </w14:textFill>
        </w:rPr>
        <w:t>材料</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类型及相应数量</w:t>
      </w:r>
      <w:r>
        <w:rPr>
          <w:rFonts w:hint="default" w:ascii="Times New Roman" w:hAnsi="Times New Roman" w:eastAsia="仿宋" w:cs="Times New Roman"/>
          <w:color w:val="000000" w:themeColor="text1"/>
          <w:sz w:val="24"/>
          <w:highlight w:val="none"/>
          <w14:textFill>
            <w14:solidFill>
              <w14:schemeClr w14:val="tx1"/>
            </w14:solidFill>
          </w14:textFill>
        </w:rPr>
        <w:t>运抵甲方指定地点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，并根据甲方现场人员要求，在指定位置落地。</w:t>
      </w:r>
    </w:p>
    <w:p w14:paraId="5FE5F395">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3、材料运至甲方指定的地点落地前发生的所有费用、货物毁损灭失的风险及安全责任由乙方承担，落地后在甲方施工场地内发生的所有费用货物毁损灭失的风险及安全责任由甲方承担。</w:t>
      </w:r>
    </w:p>
    <w:p w14:paraId="365B98A6">
      <w:pPr>
        <w:spacing w:line="500" w:lineRule="exact"/>
        <w:ind w:firstLine="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四、</w:t>
      </w:r>
      <w:r>
        <w:rPr>
          <w:rFonts w:hint="default" w:ascii="Times New Roman" w:hAnsi="Times New Roman" w:eastAsia="仿宋" w:cs="Times New Roman"/>
          <w:b/>
          <w:color w:val="000000" w:themeColor="text1"/>
          <w:sz w:val="24"/>
          <w:highlight w:val="none"/>
          <w14:textFill>
            <w14:solidFill>
              <w14:schemeClr w14:val="tx1"/>
            </w14:solidFill>
          </w14:textFill>
        </w:rPr>
        <w:t>验收方式</w:t>
      </w:r>
    </w:p>
    <w:p w14:paraId="1E0C09AA">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14:paraId="420FB53C">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2、数量验收：按上述表格中备注中约定的验收方式测定的数量为依据。</w:t>
      </w:r>
    </w:p>
    <w:p w14:paraId="43D01D03">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3、甲方现场材料员验收合格后，由</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两名材料员</w:t>
      </w:r>
      <w:r>
        <w:rPr>
          <w:rFonts w:hint="default" w:ascii="Times New Roman" w:hAnsi="Times New Roman" w:eastAsia="仿宋" w:cs="Times New Roman"/>
          <w:color w:val="000000" w:themeColor="text1"/>
          <w:sz w:val="24"/>
          <w:highlight w:val="none"/>
          <w14:textFill>
            <w14:solidFill>
              <w14:schemeClr w14:val="tx1"/>
            </w14:solidFill>
          </w14:textFill>
        </w:rPr>
        <w:t>出具材料单并签收，交</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于</w:t>
      </w:r>
      <w:r>
        <w:rPr>
          <w:rFonts w:hint="default" w:ascii="Times New Roman" w:hAnsi="Times New Roman" w:eastAsia="仿宋" w:cs="Times New Roman"/>
          <w:color w:val="000000" w:themeColor="text1"/>
          <w:sz w:val="24"/>
          <w:highlight w:val="none"/>
          <w14:textFill>
            <w14:solidFill>
              <w14:schemeClr w14:val="tx1"/>
            </w14:solidFill>
          </w14:textFill>
        </w:rPr>
        <w:t>乙方</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授权委托</w:t>
      </w:r>
      <w:r>
        <w:rPr>
          <w:rFonts w:hint="default" w:ascii="Times New Roman" w:hAnsi="Times New Roman" w:eastAsia="仿宋" w:cs="Times New Roman"/>
          <w:color w:val="000000" w:themeColor="text1"/>
          <w:sz w:val="24"/>
          <w:highlight w:val="none"/>
          <w14:textFill>
            <w14:solidFill>
              <w14:schemeClr w14:val="tx1"/>
            </w14:solidFill>
          </w14:textFill>
        </w:rPr>
        <w:t>人员。签收后的材料单</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经甲方</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盖章</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公章或项目部章</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认可后</w:t>
      </w:r>
      <w:r>
        <w:rPr>
          <w:rFonts w:hint="default" w:ascii="Times New Roman" w:hAnsi="Times New Roman" w:eastAsia="仿宋" w:cs="Times New Roman"/>
          <w:color w:val="000000" w:themeColor="text1"/>
          <w:sz w:val="24"/>
          <w:highlight w:val="none"/>
          <w14:textFill>
            <w14:solidFill>
              <w14:schemeClr w14:val="tx1"/>
            </w14:solidFill>
          </w14:textFill>
        </w:rPr>
        <w:t>作为双方的结算付款依据，</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否则</w:t>
      </w:r>
      <w:r>
        <w:rPr>
          <w:rFonts w:hint="default" w:ascii="Times New Roman" w:hAnsi="Times New Roman" w:eastAsia="仿宋" w:cs="Times New Roman"/>
          <w:color w:val="000000" w:themeColor="text1"/>
          <w:sz w:val="24"/>
          <w:highlight w:val="none"/>
          <w14:textFill>
            <w14:solidFill>
              <w14:schemeClr w14:val="tx1"/>
            </w14:solidFill>
          </w14:textFill>
        </w:rPr>
        <w:t>视为无效材料单。除此之外乙方持有的任何证明、收条、欠条、信函等文件资料，都不得作为结算与支付依据。</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未经</w:t>
      </w:r>
      <w:r>
        <w:rPr>
          <w:rFonts w:hint="default" w:ascii="Times New Roman" w:hAnsi="Times New Roman" w:eastAsia="仿宋" w:cs="Times New Roman"/>
          <w:color w:val="000000" w:themeColor="text1"/>
          <w:sz w:val="24"/>
          <w:highlight w:val="none"/>
          <w14:textFill>
            <w14:solidFill>
              <w14:schemeClr w14:val="tx1"/>
            </w14:solidFill>
          </w14:textFill>
        </w:rPr>
        <w:t>甲方</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盖章确认</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甲方任何人员</w:t>
      </w:r>
      <w:r>
        <w:rPr>
          <w:rFonts w:hint="default" w:ascii="Times New Roman" w:hAnsi="Times New Roman" w:eastAsia="仿宋" w:cs="Times New Roman"/>
          <w:color w:val="000000" w:themeColor="text1"/>
          <w:sz w:val="24"/>
          <w:highlight w:val="none"/>
          <w14:textFill>
            <w14:solidFill>
              <w14:schemeClr w14:val="tx1"/>
            </w14:solidFill>
          </w14:textFill>
        </w:rPr>
        <w:t>的任何签字、签认都不具有</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结算</w:t>
      </w:r>
      <w:r>
        <w:rPr>
          <w:rFonts w:hint="default" w:ascii="Times New Roman" w:hAnsi="Times New Roman" w:eastAsia="仿宋" w:cs="Times New Roman"/>
          <w:color w:val="000000" w:themeColor="text1"/>
          <w:sz w:val="24"/>
          <w:highlight w:val="none"/>
          <w14:textFill>
            <w14:solidFill>
              <w14:schemeClr w14:val="tx1"/>
            </w14:solidFill>
          </w14:textFill>
        </w:rPr>
        <w:t>的确认效力。</w:t>
      </w:r>
    </w:p>
    <w:p w14:paraId="6799A1E8">
      <w:pPr>
        <w:spacing w:line="500" w:lineRule="exact"/>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五、结算</w:t>
      </w:r>
      <w: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t>与支付</w:t>
      </w:r>
    </w:p>
    <w:p w14:paraId="1370F9EC">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4"/>
          <w:highlight w:val="none"/>
          <w14:textFill>
            <w14:solidFill>
              <w14:schemeClr w14:val="tx1"/>
            </w14:solidFill>
          </w14:textFill>
        </w:rPr>
        <w:t>乙方应在合同签订前交付履约保证金</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元到甲方指定账户。</w:t>
      </w:r>
    </w:p>
    <w:p w14:paraId="6A74BB32">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中间支付：每批次到货后经验收合格后付清本批次全部货款。</w:t>
      </w:r>
      <w:r>
        <w:rPr>
          <w:rFonts w:hint="default" w:ascii="Times New Roman" w:hAnsi="Times New Roman" w:eastAsia="仿宋" w:cs="Times New Roman"/>
          <w:color w:val="000000" w:themeColor="text1"/>
          <w:sz w:val="24"/>
          <w:highlight w:val="none"/>
          <w14:textFill>
            <w14:solidFill>
              <w14:schemeClr w14:val="tx1"/>
            </w14:solidFill>
          </w14:textFill>
        </w:rPr>
        <w:t>支付时乙方提供有效发票。</w:t>
      </w:r>
    </w:p>
    <w:p w14:paraId="44629B48">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终期支付：</w:t>
      </w:r>
      <w:r>
        <w:rPr>
          <w:rFonts w:hint="default" w:ascii="Times New Roman" w:hAnsi="Times New Roman" w:eastAsia="仿宋" w:cs="Times New Roman"/>
          <w:color w:val="000000" w:themeColor="text1"/>
          <w:sz w:val="24"/>
          <w:highlight w:val="none"/>
          <w14:textFill>
            <w14:solidFill>
              <w14:schemeClr w14:val="tx1"/>
            </w14:solidFill>
          </w14:textFill>
        </w:rPr>
        <w:t>经双方书面确认供货结束，对清账目后，如甲乙双方无任何纠纷，甲方</w:t>
      </w:r>
      <w:r>
        <w:rPr>
          <w:rFonts w:hint="default" w:ascii="Times New Roman" w:hAnsi="Times New Roman" w:eastAsia="仿宋" w:cs="Times New Roman"/>
          <w:color w:val="000000" w:themeColor="text1"/>
          <w:sz w:val="24"/>
          <w:highlight w:val="none"/>
          <w:u w:val="none"/>
          <w14:textFill>
            <w14:solidFill>
              <w14:schemeClr w14:val="tx1"/>
            </w14:solidFill>
          </w14:textFill>
        </w:rPr>
        <w:t>应于业主方</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该项计量</w:t>
      </w:r>
      <w:r>
        <w:rPr>
          <w:rFonts w:hint="default" w:ascii="Times New Roman" w:hAnsi="Times New Roman" w:eastAsia="仿宋" w:cs="Times New Roman"/>
          <w:color w:val="000000" w:themeColor="text1"/>
          <w:sz w:val="24"/>
          <w:highlight w:val="none"/>
          <w:u w:val="none"/>
          <w14:textFill>
            <w14:solidFill>
              <w14:schemeClr w14:val="tx1"/>
            </w14:solidFill>
          </w14:textFill>
        </w:rPr>
        <w:t>款余款</w:t>
      </w:r>
      <w:r>
        <w:rPr>
          <w:rFonts w:hint="default" w:ascii="Times New Roman" w:hAnsi="Times New Roman" w:eastAsia="仿宋" w:cs="Times New Roman"/>
          <w:color w:val="000000" w:themeColor="text1"/>
          <w:sz w:val="24"/>
          <w:highlight w:val="none"/>
          <w:u w:val="none"/>
          <w:lang w:eastAsia="zh-CN"/>
          <w14:textFill>
            <w14:solidFill>
              <w14:schemeClr w14:val="tx1"/>
            </w14:solidFill>
          </w14:textFill>
        </w:rPr>
        <w:t>足额</w:t>
      </w:r>
      <w:r>
        <w:rPr>
          <w:rFonts w:hint="default" w:ascii="Times New Roman" w:hAnsi="Times New Roman" w:eastAsia="仿宋" w:cs="Times New Roman"/>
          <w:color w:val="000000" w:themeColor="text1"/>
          <w:sz w:val="24"/>
          <w:highlight w:val="none"/>
          <w:u w:val="none"/>
          <w14:textFill>
            <w14:solidFill>
              <w14:schemeClr w14:val="tx1"/>
            </w14:solidFill>
          </w14:textFill>
        </w:rPr>
        <w:t>支付到甲方帐户后的</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none"/>
          <w14:textFill>
            <w14:solidFill>
              <w14:schemeClr w14:val="tx1"/>
            </w14:solidFill>
          </w14:textFill>
        </w:rPr>
        <w:t>日</w:t>
      </w:r>
      <w:r>
        <w:rPr>
          <w:rFonts w:hint="default" w:ascii="Times New Roman" w:hAnsi="Times New Roman" w:eastAsia="仿宋" w:cs="Times New Roman"/>
          <w:color w:val="000000" w:themeColor="text1"/>
          <w:sz w:val="24"/>
          <w:highlight w:val="none"/>
          <w14:textFill>
            <w14:solidFill>
              <w14:schemeClr w14:val="tx1"/>
            </w14:solidFill>
          </w14:textFill>
        </w:rPr>
        <w:t>内付清全部货款，包括履约保证金。</w:t>
      </w:r>
    </w:p>
    <w:p w14:paraId="402CD4F7">
      <w:pPr>
        <w:spacing w:line="500" w:lineRule="exact"/>
        <w:ind w:firstLine="48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其它约定：</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 xml:space="preserve">。  </w:t>
      </w:r>
    </w:p>
    <w:p w14:paraId="01C7EE83">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六、甲、乙双方的责任和义务</w:t>
      </w:r>
    </w:p>
    <w:p w14:paraId="5B3670AA">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1、因业主或监理部门的要求，甲方对材料的质量规格需要变更，要求乙方调整设备、工艺或变更厂家；乙方如因供货地点、原料、设备、工艺等发生变化，需作出调整时，双方均应提前</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天通知对方，以便有充足的时间完成相关试验和报批手续。因业主或监理部门的要求对材料进行变更的，乙方应无条件接受。因乙方要求对材料进行变更的，甲方有权拒绝变更。</w:t>
      </w:r>
    </w:p>
    <w:p w14:paraId="1B794E5C">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2、甲方施工用料量达到饱和时，应提前</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日通知乙方停止供货。</w:t>
      </w:r>
    </w:p>
    <w:p w14:paraId="4F4B2990">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3、甲方应</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安</w:t>
      </w:r>
      <w:r>
        <w:rPr>
          <w:rFonts w:hint="default" w:ascii="Times New Roman" w:hAnsi="Times New Roman" w:eastAsia="仿宋" w:cs="Times New Roman"/>
          <w:color w:val="000000" w:themeColor="text1"/>
          <w:sz w:val="24"/>
          <w:highlight w:val="none"/>
          <w14:textFill>
            <w14:solidFill>
              <w14:schemeClr w14:val="tx1"/>
            </w14:solidFill>
          </w14:textFill>
        </w:rPr>
        <w:t>排好自己场内运输通道和卸货场地。</w:t>
      </w:r>
    </w:p>
    <w:p w14:paraId="26BD5BC5">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color w:val="000000" w:themeColor="text1"/>
          <w:sz w:val="28"/>
          <w:szCs w:val="28"/>
          <w:highlight w:val="none"/>
          <w14:textFill>
            <w14:solidFill>
              <w14:schemeClr w14:val="tx1"/>
            </w14:solidFill>
          </w14:textFill>
        </w:rPr>
        <w:t>。</w:t>
      </w:r>
    </w:p>
    <w:p w14:paraId="0E54C4BD">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暂</w:t>
      </w:r>
      <w:r>
        <w:rPr>
          <w:rFonts w:hint="default" w:ascii="Times New Roman" w:hAnsi="Times New Roman" w:eastAsia="仿宋" w:cs="Times New Roman"/>
          <w:color w:val="000000" w:themeColor="text1"/>
          <w:sz w:val="24"/>
          <w:highlight w:val="none"/>
          <w14:textFill>
            <w14:solidFill>
              <w14:schemeClr w14:val="tx1"/>
            </w14:solidFill>
          </w14:textFill>
        </w:rPr>
        <w:t>不予支付，且给甲方造成的经济损失和法律责任应由乙方承担。</w:t>
      </w:r>
    </w:p>
    <w:p w14:paraId="690C505F">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6、乙方应按甲方</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要求</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交货。　</w:t>
      </w:r>
    </w:p>
    <w:p w14:paraId="1A43FB23">
      <w:pPr>
        <w:spacing w:line="500" w:lineRule="exact"/>
        <w:ind w:firstLine="240" w:firstLineChars="1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7、承担运输的车辆应</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证照齐全、合法合规，并</w:t>
      </w:r>
      <w:r>
        <w:rPr>
          <w:rFonts w:hint="default" w:ascii="Times New Roman" w:hAnsi="Times New Roman" w:eastAsia="仿宋" w:cs="Times New Roman"/>
          <w:color w:val="000000" w:themeColor="text1"/>
          <w:sz w:val="24"/>
          <w:highlight w:val="none"/>
          <w14:textFill>
            <w14:solidFill>
              <w14:schemeClr w14:val="tx1"/>
            </w14:solidFill>
          </w14:textFill>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14:paraId="0DF306F3">
      <w:pPr>
        <w:widowControl w:val="0"/>
        <w:numPr>
          <w:ilvl w:val="0"/>
          <w:numId w:val="0"/>
        </w:numPr>
        <w:spacing w:before="100" w:beforeAutospacing="1" w:after="100" w:afterAutospacing="1" w:line="440" w:lineRule="exact"/>
        <w:ind w:left="357" w:hanging="357"/>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 xml:space="preserve"> 8、材料单价确定方式按照第</w:t>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fldChar w:fldCharType="begin"/>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instrText xml:space="preserve"> = 3 \* GB3 \* MERGEFORMAT </w:instrTex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fldChar w:fldCharType="separate"/>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③</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fldChar w:fldCharType="end"/>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条约定解决，①乙方自行承担因市场等原因造成价格上涨；②材料涨跌幅在</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%（含</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%）以下风险由乙方自己承担，涨幅在</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%（不含</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eastAsia"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%）以上的由甲方承担；</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fldChar w:fldCharType="begin"/>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instrText xml:space="preserve"> = 3 \* GB3 \* MERGEFORMAT </w:instrTex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fldChar w:fldCharType="separate"/>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③</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fldChar w:fldCharType="end"/>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其它约定：</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 xml:space="preserve"> </w:t>
      </w:r>
      <w:r>
        <w:rPr>
          <w:rFonts w:hint="eastAsia" w:ascii="Times New Roman" w:hAnsi="Times New Roman" w:eastAsia="仿宋" w:cs="Times New Roman"/>
          <w:b/>
          <w:color w:val="000000" w:themeColor="text1"/>
          <w:kern w:val="2"/>
          <w:sz w:val="24"/>
          <w:szCs w:val="21"/>
          <w:highlight w:val="none"/>
          <w:u w:val="single"/>
          <w:lang w:val="en-US" w:eastAsia="zh-CN" w:bidi="ar-SA"/>
          <w14:textFill>
            <w14:solidFill>
              <w14:schemeClr w14:val="tx1"/>
            </w14:solidFill>
          </w14:textFill>
        </w:rPr>
        <w:t>价格发生重大变化，双方协商解决，协商一致，签订价格调整补充协议；协商不成，合同自动终止</w:t>
      </w:r>
      <w:r>
        <w:rPr>
          <w:rFonts w:ascii="Times New Roman" w:hAnsi="Times New Roman" w:eastAsia="仿宋" w:cs="Times New Roman"/>
          <w:b/>
          <w:color w:val="000000" w:themeColor="text1"/>
          <w:kern w:val="2"/>
          <w:sz w:val="24"/>
          <w:szCs w:val="21"/>
          <w:highlight w:val="none"/>
          <w:u w:val="single"/>
          <w:lang w:val="en-US" w:eastAsia="zh-CN" w:bidi="ar-SA"/>
          <w14:textFill>
            <w14:solidFill>
              <w14:schemeClr w14:val="tx1"/>
            </w14:solidFill>
          </w14:textFill>
        </w:rPr>
        <w:t xml:space="preserve"> </w:t>
      </w:r>
      <w:r>
        <w:rPr>
          <w:rFonts w:ascii="Times New Roman" w:hAnsi="Times New Roman" w:eastAsia="仿宋" w:cs="Times New Roman"/>
          <w:b/>
          <w:color w:val="000000" w:themeColor="text1"/>
          <w:kern w:val="2"/>
          <w:sz w:val="24"/>
          <w:szCs w:val="21"/>
          <w:highlight w:val="none"/>
          <w:lang w:val="en-US" w:eastAsia="zh-CN" w:bidi="ar-SA"/>
          <w14:textFill>
            <w14:solidFill>
              <w14:schemeClr w14:val="tx1"/>
            </w14:solidFill>
          </w14:textFill>
        </w:rPr>
        <w:t>。</w:t>
      </w:r>
    </w:p>
    <w:p w14:paraId="0F75C076">
      <w:pPr>
        <w:spacing w:line="500" w:lineRule="exact"/>
        <w:ind w:right="-2" w:rightChars="-1" w:firstLine="2"/>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七、其它</w:t>
      </w:r>
    </w:p>
    <w:p w14:paraId="0EEB73D1">
      <w:pPr>
        <w:spacing w:line="500" w:lineRule="exact"/>
        <w:ind w:left="1" w:right="-2" w:rightChars="-1"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w:t>
      </w:r>
      <w:r>
        <w:rPr>
          <w:rFonts w:hint="eastAsia" w:eastAsia="仿宋"/>
          <w:b/>
          <w:bCs/>
          <w:color w:val="000000" w:themeColor="text1"/>
          <w:sz w:val="24"/>
          <w:highlight w:val="none"/>
          <w14:textFill>
            <w14:solidFill>
              <w14:schemeClr w14:val="tx1"/>
            </w14:solidFill>
          </w14:textFill>
        </w:rPr>
        <w:t>每批次进货前甲方需提前七</w:t>
      </w:r>
      <w:r>
        <w:rPr>
          <w:rFonts w:hint="eastAsia" w:eastAsia="仿宋"/>
          <w:b/>
          <w:bCs/>
          <w:color w:val="000000" w:themeColor="text1"/>
          <w:sz w:val="24"/>
          <w:highlight w:val="none"/>
          <w:lang w:val="en-US" w:eastAsia="zh-CN"/>
          <w14:textFill>
            <w14:solidFill>
              <w14:schemeClr w14:val="tx1"/>
            </w14:solidFill>
          </w14:textFill>
        </w:rPr>
        <w:t>个工作日</w:t>
      </w:r>
      <w:r>
        <w:rPr>
          <w:rFonts w:hint="eastAsia" w:eastAsia="仿宋"/>
          <w:b/>
          <w:bCs/>
          <w:color w:val="000000" w:themeColor="text1"/>
          <w:sz w:val="24"/>
          <w:highlight w:val="none"/>
          <w14:textFill>
            <w14:solidFill>
              <w14:schemeClr w14:val="tx1"/>
            </w14:solidFill>
          </w14:textFill>
        </w:rPr>
        <w:t>通知乙方，如甲方因需求发生重大变化可无条件终止合同。</w:t>
      </w:r>
    </w:p>
    <w:p w14:paraId="3AB2B893">
      <w:pPr>
        <w:spacing w:line="500" w:lineRule="exact"/>
        <w:ind w:left="1" w:right="-2" w:rightChars="-1"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、乙方不得转让合同，乙方指定</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为本合同发生费用的唯一结算人。</w:t>
      </w:r>
    </w:p>
    <w:p w14:paraId="71F70F18">
      <w:pPr>
        <w:spacing w:line="500" w:lineRule="exact"/>
        <w:ind w:left="1" w:right="-2" w:rightChars="-1" w:firstLine="2"/>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w:t>
      </w:r>
      <w:r>
        <w:rPr>
          <w:rFonts w:hint="eastAsia"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、甲方按合同</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约定</w:t>
      </w:r>
      <w:r>
        <w:rPr>
          <w:rFonts w:hint="default" w:ascii="Times New Roman" w:hAnsi="Times New Roman" w:eastAsia="仿宋" w:cs="Times New Roman"/>
          <w:color w:val="000000" w:themeColor="text1"/>
          <w:sz w:val="24"/>
          <w:highlight w:val="none"/>
          <w14:textFill>
            <w14:solidFill>
              <w14:schemeClr w14:val="tx1"/>
            </w14:solidFill>
          </w14:textFill>
        </w:rPr>
        <w:t>要求乙方上缴的款项均有权在乙方的材料款当期支付中扣除，不足部分乙方另行筹措资金补齐。</w:t>
      </w:r>
    </w:p>
    <w:p w14:paraId="1A646450">
      <w:pPr>
        <w:spacing w:line="500" w:lineRule="exact"/>
        <w:ind w:right="-2" w:rightChars="-1" w:firstLine="120" w:firstLineChars="5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w:t>
      </w:r>
      <w:r>
        <w:rPr>
          <w:rFonts w:hint="eastAsia" w:eastAsia="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highlight w:val="none"/>
          <w14:textFill>
            <w14:solidFill>
              <w14:schemeClr w14:val="tx1"/>
            </w14:solidFill>
          </w14:textFill>
        </w:rPr>
        <w:t>、如果乙方不能按上述条款履约，甲方有权单方面终止合同，扣除履约保证金、扣除余下货款并有权另行选择其他供货商。</w:t>
      </w:r>
    </w:p>
    <w:p w14:paraId="31D10939">
      <w:pPr>
        <w:spacing w:line="500" w:lineRule="exact"/>
        <w:ind w:left="1" w:right="-2" w:rightChars="-1" w:firstLine="360" w:firstLineChars="15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4"/>
          <w:highlight w:val="none"/>
          <w14:textFill>
            <w14:solidFill>
              <w14:schemeClr w14:val="tx1"/>
            </w14:solidFill>
          </w14:textFill>
        </w:rPr>
        <w:t>、未尽事宜由双方协商解决，如甲、乙双方发生纠纷协商未果，按照第</w:t>
      </w:r>
      <w:r>
        <w:rPr>
          <w:rFonts w:hint="eastAsia"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条约定解决，①安庆仲裁委员会仲裁；②向甲方住所地法院诉讼。</w:t>
      </w:r>
    </w:p>
    <w:p w14:paraId="6ECE758A">
      <w:pPr>
        <w:spacing w:line="5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4"/>
          <w:highlight w:val="none"/>
          <w14:textFill>
            <w14:solidFill>
              <w14:schemeClr w14:val="tx1"/>
            </w14:solidFill>
          </w14:textFill>
        </w:rPr>
        <w:t>、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14:paraId="06B64DEA">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通信地址：</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79A38DA6">
      <w:pPr>
        <w:spacing w:line="240" w:lineRule="auto"/>
        <w:ind w:firstLine="480" w:firstLineChars="200"/>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邮政编码：</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7ADEB436">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电邮地址：</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4AA38B06">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收件人：</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0DCD2DA5">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移动电话：</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2C00DA12">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其他联系方式：</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62C09B9B">
      <w:pPr>
        <w:widowControl w:val="0"/>
        <w:numPr>
          <w:ilvl w:val="0"/>
          <w:numId w:val="0"/>
        </w:numPr>
        <w:spacing w:before="100" w:beforeAutospacing="1" w:after="100" w:afterAutospacing="1" w:line="440" w:lineRule="exact"/>
        <w:ind w:left="357" w:hanging="357"/>
        <w:jc w:val="both"/>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若上述信息发生变化的，乙方必须书面通知甲方，并经甲方书面确认。</w:t>
      </w:r>
    </w:p>
    <w:p w14:paraId="6E00FF74">
      <w:pPr>
        <w:widowControl w:val="0"/>
        <w:numPr>
          <w:ilvl w:val="0"/>
          <w:numId w:val="9"/>
        </w:numPr>
        <w:spacing w:before="100" w:beforeAutospacing="1" w:after="100" w:afterAutospacing="1" w:line="440" w:lineRule="exact"/>
        <w:ind w:left="120" w:leftChars="0" w:hanging="357"/>
        <w:jc w:val="both"/>
        <w:rPr>
          <w:rFonts w:hint="eastAsia"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本合同一式</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肆/叁</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份，甲方执</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叁/贰</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份，乙方执</w:t>
      </w:r>
      <w:r>
        <w:rPr>
          <w:rFonts w:hint="default" w:ascii="Times New Roman" w:hAnsi="Times New Roman" w:eastAsia="仿宋" w:cs="Times New Roman"/>
          <w:color w:val="000000" w:themeColor="text1"/>
          <w:kern w:val="2"/>
          <w:sz w:val="24"/>
          <w:szCs w:val="21"/>
          <w:highlight w:val="none"/>
          <w:u w:val="single"/>
          <w:lang w:val="en-US" w:eastAsia="zh-CN" w:bidi="ar-SA"/>
          <w14:textFill>
            <w14:solidFill>
              <w14:schemeClr w14:val="tx1"/>
            </w14:solidFill>
          </w14:textFill>
        </w:rPr>
        <w:t>壹</w:t>
      </w:r>
      <w:r>
        <w:rPr>
          <w:rFonts w:hint="default" w:ascii="Times New Roman" w:hAnsi="Times New Roman" w:eastAsia="仿宋" w:cs="Times New Roman"/>
          <w:color w:val="000000" w:themeColor="text1"/>
          <w:kern w:val="2"/>
          <w:sz w:val="24"/>
          <w:szCs w:val="21"/>
          <w:highlight w:val="none"/>
          <w:lang w:val="en-US" w:eastAsia="zh-CN" w:bidi="ar-SA"/>
          <w14:textFill>
            <w14:solidFill>
              <w14:schemeClr w14:val="tx1"/>
            </w14:solidFill>
          </w14:textFill>
        </w:rPr>
        <w:t>份，自双方签字和盖章之日起生效，双方款项付清后合同自动失效。</w:t>
      </w:r>
    </w:p>
    <w:tbl>
      <w:tblPr>
        <w:tblStyle w:val="61"/>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14:paraId="33358F2B">
        <w:tblPrEx>
          <w:tblCellMar>
            <w:top w:w="0" w:type="dxa"/>
            <w:left w:w="108" w:type="dxa"/>
            <w:bottom w:w="0" w:type="dxa"/>
            <w:right w:w="108" w:type="dxa"/>
          </w:tblCellMar>
        </w:tblPrEx>
        <w:trPr>
          <w:trHeight w:val="462" w:hRule="atLeast"/>
        </w:trPr>
        <w:tc>
          <w:tcPr>
            <w:tcW w:w="4530" w:type="dxa"/>
            <w:noWrap w:val="0"/>
            <w:vAlign w:val="center"/>
          </w:tcPr>
          <w:p w14:paraId="31B478E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Hans" w:bidi="ar-SA"/>
                <w14:textFill>
                  <w14:solidFill>
                    <w14:schemeClr w14:val="tx1"/>
                  </w14:solidFill>
                </w14:textFill>
              </w:rPr>
              <w:t>甲方</w:t>
            </w: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仿宋" w:cs="Times New Roman"/>
                <w:b w:val="0"/>
                <w:bCs/>
                <w:color w:val="000000" w:themeColor="text1"/>
                <w:kern w:val="2"/>
                <w:sz w:val="24"/>
                <w:szCs w:val="24"/>
                <w:highlight w:val="none"/>
                <w:lang w:val="en-US" w:eastAsia="zh-Hans" w:bidi="ar-SA"/>
                <w14:textFill>
                  <w14:solidFill>
                    <w14:schemeClr w14:val="tx1"/>
                  </w14:solidFill>
                </w14:textFill>
              </w:rPr>
              <w:t>盖合同专用</w:t>
            </w: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公章）</w:t>
            </w:r>
          </w:p>
        </w:tc>
        <w:tc>
          <w:tcPr>
            <w:tcW w:w="4530" w:type="dxa"/>
            <w:noWrap w:val="0"/>
            <w:vAlign w:val="center"/>
          </w:tcPr>
          <w:p w14:paraId="13E58D7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Hans" w:bidi="ar-SA"/>
                <w14:textFill>
                  <w14:solidFill>
                    <w14:schemeClr w14:val="tx1"/>
                  </w14:solidFill>
                </w14:textFill>
              </w:rPr>
              <w:t>乙方</w:t>
            </w: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仿宋" w:cs="Times New Roman"/>
                <w:b w:val="0"/>
                <w:bCs/>
                <w:color w:val="000000" w:themeColor="text1"/>
                <w:kern w:val="2"/>
                <w:sz w:val="24"/>
                <w:szCs w:val="24"/>
                <w:highlight w:val="none"/>
                <w:lang w:val="en-US" w:eastAsia="zh-Hans" w:bidi="ar-SA"/>
                <w14:textFill>
                  <w14:solidFill>
                    <w14:schemeClr w14:val="tx1"/>
                  </w14:solidFill>
                </w14:textFill>
              </w:rPr>
              <w:t>盖</w:t>
            </w: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公章）</w:t>
            </w:r>
          </w:p>
        </w:tc>
      </w:tr>
      <w:tr w14:paraId="24D6301E">
        <w:tblPrEx>
          <w:tblCellMar>
            <w:top w:w="0" w:type="dxa"/>
            <w:left w:w="108" w:type="dxa"/>
            <w:bottom w:w="0" w:type="dxa"/>
            <w:right w:w="108" w:type="dxa"/>
          </w:tblCellMar>
        </w:tblPrEx>
        <w:trPr>
          <w:trHeight w:val="462" w:hRule="atLeast"/>
        </w:trPr>
        <w:tc>
          <w:tcPr>
            <w:tcW w:w="4530" w:type="dxa"/>
            <w:noWrap w:val="0"/>
            <w:vAlign w:val="center"/>
          </w:tcPr>
          <w:p w14:paraId="27E5BD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地址：</w:t>
            </w:r>
          </w:p>
        </w:tc>
        <w:tc>
          <w:tcPr>
            <w:tcW w:w="4530" w:type="dxa"/>
            <w:noWrap w:val="0"/>
            <w:vAlign w:val="center"/>
          </w:tcPr>
          <w:p w14:paraId="3778F8C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地址：    </w:t>
            </w:r>
          </w:p>
        </w:tc>
      </w:tr>
      <w:tr w14:paraId="6BA92DA1">
        <w:tblPrEx>
          <w:tblCellMar>
            <w:top w:w="0" w:type="dxa"/>
            <w:left w:w="108" w:type="dxa"/>
            <w:bottom w:w="0" w:type="dxa"/>
            <w:right w:w="108" w:type="dxa"/>
          </w:tblCellMar>
        </w:tblPrEx>
        <w:trPr>
          <w:trHeight w:val="462" w:hRule="atLeast"/>
        </w:trPr>
        <w:tc>
          <w:tcPr>
            <w:tcW w:w="4530" w:type="dxa"/>
            <w:noWrap w:val="0"/>
            <w:vAlign w:val="center"/>
          </w:tcPr>
          <w:p w14:paraId="5F88355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法定代表人：</w:t>
            </w:r>
          </w:p>
        </w:tc>
        <w:tc>
          <w:tcPr>
            <w:tcW w:w="4530" w:type="dxa"/>
            <w:noWrap w:val="0"/>
            <w:vAlign w:val="center"/>
          </w:tcPr>
          <w:p w14:paraId="04DE31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法定代表人：</w:t>
            </w:r>
          </w:p>
        </w:tc>
      </w:tr>
      <w:tr w14:paraId="0B4F34A2">
        <w:tblPrEx>
          <w:tblCellMar>
            <w:top w:w="0" w:type="dxa"/>
            <w:left w:w="108" w:type="dxa"/>
            <w:bottom w:w="0" w:type="dxa"/>
            <w:right w:w="108" w:type="dxa"/>
          </w:tblCellMar>
        </w:tblPrEx>
        <w:trPr>
          <w:trHeight w:val="462" w:hRule="atLeast"/>
        </w:trPr>
        <w:tc>
          <w:tcPr>
            <w:tcW w:w="4530" w:type="dxa"/>
            <w:noWrap w:val="0"/>
            <w:vAlign w:val="center"/>
          </w:tcPr>
          <w:p w14:paraId="6669A9A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委托代理人：</w:t>
            </w:r>
          </w:p>
        </w:tc>
        <w:tc>
          <w:tcPr>
            <w:tcW w:w="4530" w:type="dxa"/>
            <w:noWrap w:val="0"/>
            <w:vAlign w:val="center"/>
          </w:tcPr>
          <w:p w14:paraId="1BA7E60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委托代理人：</w:t>
            </w:r>
          </w:p>
        </w:tc>
      </w:tr>
      <w:tr w14:paraId="29403B16">
        <w:tblPrEx>
          <w:tblCellMar>
            <w:top w:w="0" w:type="dxa"/>
            <w:left w:w="108" w:type="dxa"/>
            <w:bottom w:w="0" w:type="dxa"/>
            <w:right w:w="108" w:type="dxa"/>
          </w:tblCellMar>
        </w:tblPrEx>
        <w:trPr>
          <w:trHeight w:val="462" w:hRule="atLeast"/>
        </w:trPr>
        <w:tc>
          <w:tcPr>
            <w:tcW w:w="4530" w:type="dxa"/>
            <w:noWrap w:val="0"/>
            <w:vAlign w:val="center"/>
          </w:tcPr>
          <w:p w14:paraId="31F18CE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纳税人识别号：</w:t>
            </w:r>
          </w:p>
        </w:tc>
        <w:tc>
          <w:tcPr>
            <w:tcW w:w="4530" w:type="dxa"/>
            <w:noWrap w:val="0"/>
            <w:vAlign w:val="center"/>
          </w:tcPr>
          <w:p w14:paraId="443B321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纳税人识别号：    </w:t>
            </w:r>
          </w:p>
        </w:tc>
      </w:tr>
      <w:tr w14:paraId="5DA1DF0D">
        <w:tblPrEx>
          <w:tblCellMar>
            <w:top w:w="0" w:type="dxa"/>
            <w:left w:w="108" w:type="dxa"/>
            <w:bottom w:w="0" w:type="dxa"/>
            <w:right w:w="108" w:type="dxa"/>
          </w:tblCellMar>
        </w:tblPrEx>
        <w:trPr>
          <w:trHeight w:val="462" w:hRule="atLeast"/>
        </w:trPr>
        <w:tc>
          <w:tcPr>
            <w:tcW w:w="4530" w:type="dxa"/>
            <w:noWrap w:val="0"/>
            <w:vAlign w:val="center"/>
          </w:tcPr>
          <w:p w14:paraId="23B0371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开户银行：</w:t>
            </w:r>
          </w:p>
        </w:tc>
        <w:tc>
          <w:tcPr>
            <w:tcW w:w="4530" w:type="dxa"/>
            <w:noWrap w:val="0"/>
            <w:vAlign w:val="center"/>
          </w:tcPr>
          <w:p w14:paraId="62AF704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开户银行：    </w:t>
            </w:r>
          </w:p>
        </w:tc>
      </w:tr>
      <w:tr w14:paraId="3EDF4DAA">
        <w:tblPrEx>
          <w:tblCellMar>
            <w:top w:w="0" w:type="dxa"/>
            <w:left w:w="108" w:type="dxa"/>
            <w:bottom w:w="0" w:type="dxa"/>
            <w:right w:w="108" w:type="dxa"/>
          </w:tblCellMar>
        </w:tblPrEx>
        <w:trPr>
          <w:trHeight w:val="462" w:hRule="atLeast"/>
        </w:trPr>
        <w:tc>
          <w:tcPr>
            <w:tcW w:w="4530" w:type="dxa"/>
            <w:noWrap w:val="0"/>
            <w:vAlign w:val="center"/>
          </w:tcPr>
          <w:p w14:paraId="583C80F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账号：</w:t>
            </w:r>
          </w:p>
        </w:tc>
        <w:tc>
          <w:tcPr>
            <w:tcW w:w="4530" w:type="dxa"/>
            <w:noWrap w:val="0"/>
            <w:vAlign w:val="center"/>
          </w:tcPr>
          <w:p w14:paraId="632AE75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账号：    </w:t>
            </w:r>
          </w:p>
        </w:tc>
      </w:tr>
    </w:tbl>
    <w:p w14:paraId="193DC672">
      <w:pPr>
        <w:spacing w:line="540" w:lineRule="exact"/>
        <w:ind w:firstLine="480" w:firstLineChars="200"/>
        <w:jc w:val="right"/>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签订日期：</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年</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月</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日</w:t>
      </w:r>
    </w:p>
    <w:p w14:paraId="75D4F19E">
      <w:pPr>
        <w:widowControl w:val="0"/>
        <w:spacing w:line="500" w:lineRule="exact"/>
        <w:ind w:right="105" w:rightChars="50" w:firstLine="0" w:firstLineChars="0"/>
        <w:jc w:val="both"/>
        <w:rPr>
          <w:rFonts w:hint="default" w:ascii="Times New Roman" w:hAnsi="Times New Roman" w:eastAsia="仿宋" w:cs="Times New Roman"/>
          <w:b/>
          <w:color w:val="000000" w:themeColor="text1"/>
          <w:kern w:val="2"/>
          <w:sz w:val="28"/>
          <w:szCs w:val="28"/>
          <w:highlight w:val="none"/>
          <w:lang w:val="en-US" w:eastAsia="zh-CN" w:bidi="ar-SA"/>
          <w14:textFill>
            <w14:solidFill>
              <w14:schemeClr w14:val="tx1"/>
            </w14:solidFill>
          </w14:textFill>
        </w:rPr>
      </w:pPr>
    </w:p>
    <w:p w14:paraId="276742A8">
      <w:pPr>
        <w:widowControl w:val="0"/>
        <w:spacing w:line="500" w:lineRule="exact"/>
        <w:ind w:right="105" w:rightChars="50" w:firstLine="0" w:firstLineChars="0"/>
        <w:jc w:val="center"/>
        <w:rPr>
          <w:rFonts w:hint="default" w:ascii="Times New Roman" w:hAnsi="Times New Roman" w:eastAsia="仿宋" w:cs="Times New Roman"/>
          <w:b/>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仿宋" w:cs="Times New Roman"/>
          <w:b/>
          <w:color w:val="000000" w:themeColor="text1"/>
          <w:kern w:val="2"/>
          <w:sz w:val="28"/>
          <w:szCs w:val="28"/>
          <w:highlight w:val="none"/>
          <w:lang w:val="en-US" w:eastAsia="zh-CN" w:bidi="ar-SA"/>
          <w14:textFill>
            <w14:solidFill>
              <w14:schemeClr w14:val="tx1"/>
            </w14:solidFill>
          </w14:textFill>
        </w:rPr>
        <w:t>安全生产合同</w:t>
      </w:r>
    </w:p>
    <w:p w14:paraId="73A81FCB">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甲  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3BEBAD8A">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乙  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3C891C85">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经双方协商，就车辆运输安全管理方面的问题，达成如下协议：</w:t>
      </w:r>
    </w:p>
    <w:p w14:paraId="762EED0C">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乙方责任及义务：</w:t>
      </w:r>
    </w:p>
    <w:p w14:paraId="11F2E9D5">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1、必须遵守国家安全生产方面的法律，法规和其他要求。</w:t>
      </w:r>
    </w:p>
    <w:p w14:paraId="29977C23">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2、进入施工现场的车辆证件、手续、保险和驾驶员的驾驶证、身体条件符合道路交通法的相关规定，驾驶证要与所驾驶车辆所需的驾驶证件相符。</w:t>
      </w:r>
    </w:p>
    <w:p w14:paraId="499D52B5">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3、保证车辆的完好率，禁止带病行驶、超速行驶、超载行驶、超负行驶；运输车辆要安装倒车喇叭。</w:t>
      </w:r>
    </w:p>
    <w:p w14:paraId="50DD0073">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4、在运输全过程中，保持安全时速。特别是转弯、路过道口、材料装卸时，要注意来往车辆及行人，确保安全无事故，做到一停二看三通过。</w:t>
      </w:r>
    </w:p>
    <w:p w14:paraId="6CAD95A8">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5、服从工地及料场人员的管理，不乱装料，乱停车，倒车时先鸣笛确保无人后方可倒车，卸车时要服从现场人员的指挥。</w:t>
      </w:r>
    </w:p>
    <w:p w14:paraId="6684CAE7">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6、严禁在无人指挥的情况下自行卸车，做到文明施工，文明驾驶。</w:t>
      </w:r>
    </w:p>
    <w:p w14:paraId="0A7E9AEE">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7、行车时注意安全，注意来往车辆及行人礼让三先遵章驾驶，严禁酒后、服用药物后驾驶。</w:t>
      </w:r>
    </w:p>
    <w:p w14:paraId="2C1C3BA6">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8、车辆在施工现场、特殊路段、雨、雪、雾天等行驶运输中，时速不准超过现场交通实际情况限制的时速，严禁在施工现场抢道超车，出现后果，责任自负。</w:t>
      </w:r>
    </w:p>
    <w:p w14:paraId="7AB8B5A3">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9、乙方负责对本车队的员工进行班前安全教育，提供必要的劳动保护用品。</w:t>
      </w:r>
    </w:p>
    <w:p w14:paraId="1D2ED09D">
      <w:pPr>
        <w:widowControl w:val="0"/>
        <w:spacing w:line="440" w:lineRule="exact"/>
        <w:ind w:right="105" w:rightChars="50" w:firstLine="480" w:firstLineChars="20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14:paraId="22442903">
      <w:pPr>
        <w:widowControl w:val="0"/>
        <w:spacing w:line="440" w:lineRule="exact"/>
        <w:ind w:right="105" w:rightChars="50" w:firstLine="0" w:firstLineChars="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p>
    <w:p w14:paraId="6EC09B42">
      <w:pPr>
        <w:widowControl w:val="0"/>
        <w:spacing w:line="440" w:lineRule="exact"/>
        <w:ind w:right="105" w:rightChars="50" w:firstLine="0" w:firstLineChars="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甲方：                         乙方：   </w:t>
      </w:r>
    </w:p>
    <w:p w14:paraId="26AF2894">
      <w:pPr>
        <w:widowControl w:val="0"/>
        <w:spacing w:line="440" w:lineRule="exact"/>
        <w:ind w:right="105" w:rightChars="50" w:firstLine="0" w:firstLineChars="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 xml:space="preserve">代表人（签字）：                代表人（签字）：  </w:t>
      </w:r>
    </w:p>
    <w:p w14:paraId="40AEB9F0">
      <w:pPr>
        <w:widowControl w:val="0"/>
        <w:spacing w:line="440" w:lineRule="exact"/>
        <w:ind w:right="105" w:rightChars="50" w:firstLine="0" w:firstLineChars="0"/>
        <w:jc w:val="left"/>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t>签订日期：                     签订日期：</w:t>
      </w:r>
    </w:p>
    <w:p w14:paraId="5B93B940">
      <w:pPr>
        <w:widowControl w:val="0"/>
        <w:snapToGrid w:val="0"/>
        <w:jc w:val="both"/>
        <w:rPr>
          <w:rFonts w:hint="default" w:ascii="Times New Roman" w:hAnsi="Times New Roman" w:eastAsia="仿宋" w:cs="Times New Roman"/>
          <w:b w:val="0"/>
          <w:bCs/>
          <w:color w:val="000000" w:themeColor="text1"/>
          <w:kern w:val="2"/>
          <w:sz w:val="24"/>
          <w:szCs w:val="24"/>
          <w:highlight w:val="none"/>
          <w:lang w:val="en-US" w:eastAsia="zh-CN" w:bidi="ar-SA"/>
          <w14:textFill>
            <w14:solidFill>
              <w14:schemeClr w14:val="tx1"/>
            </w14:solidFill>
          </w14:textFill>
        </w:rPr>
      </w:pPr>
    </w:p>
    <w:p w14:paraId="091B79FB">
      <w:pPr>
        <w:pStyle w:val="81"/>
        <w:rPr>
          <w:rFonts w:ascii="宋体" w:hAnsi="宋体" w:cs="宋体"/>
          <w:color w:val="000000" w:themeColor="text1"/>
          <w:szCs w:val="21"/>
          <w:highlight w:val="none"/>
          <w14:textFill>
            <w14:solidFill>
              <w14:schemeClr w14:val="tx1"/>
            </w14:solidFill>
          </w14:textFill>
        </w:rPr>
      </w:pPr>
    </w:p>
    <w:p w14:paraId="294B4B25">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08A609D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2C3E67EC">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40"/>
      <w:bookmarkEnd w:id="41"/>
      <w:bookmarkEnd w:id="42"/>
      <w:bookmarkEnd w:id="43"/>
      <w:bookmarkStart w:id="44" w:name="_Toc54884158"/>
      <w:bookmarkStart w:id="45"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44"/>
      <w:bookmarkEnd w:id="45"/>
    </w:p>
    <w:p w14:paraId="205BEABC">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074312C9">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782BE766">
      <w:pPr>
        <w:spacing w:line="360" w:lineRule="auto"/>
        <w:rPr>
          <w:rFonts w:ascii="宋体" w:hAnsi="宋体"/>
          <w:color w:val="000000" w:themeColor="text1"/>
          <w:sz w:val="24"/>
          <w:highlight w:val="none"/>
          <w14:textFill>
            <w14:solidFill>
              <w14:schemeClr w14:val="tx1"/>
            </w14:solidFill>
          </w14:textFill>
        </w:rPr>
      </w:pPr>
    </w:p>
    <w:p w14:paraId="4E524055">
      <w:pPr>
        <w:spacing w:line="360" w:lineRule="auto"/>
        <w:rPr>
          <w:rFonts w:ascii="宋体" w:hAnsi="宋体"/>
          <w:color w:val="000000" w:themeColor="text1"/>
          <w:sz w:val="24"/>
          <w:highlight w:val="none"/>
          <w14:textFill>
            <w14:solidFill>
              <w14:schemeClr w14:val="tx1"/>
            </w14:solidFill>
          </w14:textFill>
        </w:rPr>
      </w:pPr>
    </w:p>
    <w:p w14:paraId="71C192C7">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63C0482D">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1CF6E349">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35C13A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6C11CD5C">
      <w:pPr>
        <w:pStyle w:val="82"/>
        <w:spacing w:before="156"/>
        <w:ind w:firstLine="350"/>
        <w:rPr>
          <w:color w:val="000000" w:themeColor="text1"/>
          <w:highlight w:val="none"/>
          <w14:textFill>
            <w14:solidFill>
              <w14:schemeClr w14:val="tx1"/>
            </w14:solidFill>
          </w14:textFill>
        </w:rPr>
      </w:pPr>
    </w:p>
    <w:p w14:paraId="418E0232">
      <w:pPr>
        <w:spacing w:line="360" w:lineRule="auto"/>
        <w:rPr>
          <w:rFonts w:ascii="宋体" w:hAnsi="宋体"/>
          <w:color w:val="000000" w:themeColor="text1"/>
          <w:sz w:val="24"/>
          <w:highlight w:val="none"/>
          <w14:textFill>
            <w14:solidFill>
              <w14:schemeClr w14:val="tx1"/>
            </w14:solidFill>
          </w14:textFill>
        </w:rPr>
      </w:pPr>
    </w:p>
    <w:p w14:paraId="3CABC2DD">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3FFD9FA5">
      <w:pPr>
        <w:spacing w:line="360" w:lineRule="auto"/>
        <w:rPr>
          <w:rFonts w:ascii="宋体" w:hAnsi="宋体"/>
          <w:b/>
          <w:color w:val="000000" w:themeColor="text1"/>
          <w:sz w:val="30"/>
          <w:szCs w:val="30"/>
          <w:highlight w:val="none"/>
          <w14:textFill>
            <w14:solidFill>
              <w14:schemeClr w14:val="tx1"/>
            </w14:solidFill>
          </w14:textFill>
        </w:rPr>
      </w:pPr>
    </w:p>
    <w:p w14:paraId="3FEEA5BA">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3CA09A4">
      <w:pPr>
        <w:pStyle w:val="82"/>
        <w:spacing w:before="156"/>
        <w:ind w:firstLine="350"/>
        <w:rPr>
          <w:color w:val="000000" w:themeColor="text1"/>
          <w:highlight w:val="none"/>
          <w14:textFill>
            <w14:solidFill>
              <w14:schemeClr w14:val="tx1"/>
            </w14:solidFill>
          </w14:textFill>
        </w:rPr>
      </w:pPr>
    </w:p>
    <w:p w14:paraId="234FEF5A">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6CF68E98">
      <w:pPr>
        <w:spacing w:line="360" w:lineRule="auto"/>
        <w:rPr>
          <w:rFonts w:ascii="仿宋_GB2312" w:eastAsia="仿宋_GB2312"/>
          <w:color w:val="000000" w:themeColor="text1"/>
          <w:sz w:val="30"/>
          <w:szCs w:val="30"/>
          <w:highlight w:val="none"/>
          <w14:textFill>
            <w14:solidFill>
              <w14:schemeClr w14:val="tx1"/>
            </w14:solidFill>
          </w14:textFill>
        </w:rPr>
      </w:pPr>
    </w:p>
    <w:p w14:paraId="14AFF56E">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51F894AD">
      <w:pPr>
        <w:spacing w:line="480" w:lineRule="exact"/>
        <w:jc w:val="center"/>
        <w:rPr>
          <w:rFonts w:ascii="宋体" w:hAnsi="宋体"/>
          <w:b/>
          <w:color w:val="000000" w:themeColor="text1"/>
          <w:sz w:val="30"/>
          <w:szCs w:val="30"/>
          <w:highlight w:val="none"/>
          <w14:textFill>
            <w14:solidFill>
              <w14:schemeClr w14:val="tx1"/>
            </w14:solidFill>
          </w14:textFill>
        </w:rPr>
      </w:pPr>
    </w:p>
    <w:p w14:paraId="3C2EAE65">
      <w:pPr>
        <w:spacing w:line="480" w:lineRule="exact"/>
        <w:rPr>
          <w:rFonts w:ascii="黑体" w:eastAsia="黑体"/>
          <w:b/>
          <w:bCs/>
          <w:color w:val="000000" w:themeColor="text1"/>
          <w:szCs w:val="21"/>
          <w:highlight w:val="none"/>
          <w14:textFill>
            <w14:solidFill>
              <w14:schemeClr w14:val="tx1"/>
            </w14:solidFill>
          </w14:textFill>
        </w:rPr>
      </w:pPr>
    </w:p>
    <w:p w14:paraId="2F9DB088">
      <w:pPr>
        <w:jc w:val="center"/>
        <w:rPr>
          <w:rFonts w:ascii="宋体" w:cs="宋体"/>
          <w:b/>
          <w:color w:val="000000"/>
          <w:sz w:val="30"/>
          <w:szCs w:val="30"/>
          <w:highlight w:val="none"/>
        </w:rPr>
      </w:pPr>
      <w:r>
        <w:rPr>
          <w:rFonts w:hint="eastAsia" w:ascii="宋体" w:hAnsi="宋体" w:cs="宋体"/>
          <w:b/>
          <w:color w:val="000000"/>
          <w:sz w:val="30"/>
          <w:szCs w:val="30"/>
          <w:highlight w:val="none"/>
        </w:rPr>
        <w:t>目  录</w:t>
      </w:r>
    </w:p>
    <w:p w14:paraId="364D788D">
      <w:pPr>
        <w:numPr>
          <w:ilvl w:val="0"/>
          <w:numId w:val="10"/>
        </w:numPr>
        <w:spacing w:line="480" w:lineRule="auto"/>
        <w:ind w:firstLine="480" w:firstLineChars="200"/>
        <w:rPr>
          <w:rFonts w:ascii="宋体" w:cs="宋体"/>
          <w:sz w:val="24"/>
          <w:szCs w:val="24"/>
          <w:highlight w:val="none"/>
        </w:rPr>
      </w:pPr>
      <w:r>
        <w:rPr>
          <w:rFonts w:hint="eastAsia" w:ascii="宋体" w:cs="宋体"/>
          <w:sz w:val="24"/>
          <w:szCs w:val="24"/>
          <w:highlight w:val="none"/>
        </w:rPr>
        <w:t>投标函</w:t>
      </w:r>
    </w:p>
    <w:p w14:paraId="60E2DDAA">
      <w:pPr>
        <w:numPr>
          <w:ilvl w:val="0"/>
          <w:numId w:val="10"/>
        </w:numPr>
        <w:spacing w:line="480" w:lineRule="auto"/>
        <w:ind w:firstLine="480" w:firstLineChars="200"/>
        <w:rPr>
          <w:rFonts w:ascii="宋体" w:cs="宋体"/>
          <w:sz w:val="24"/>
          <w:szCs w:val="24"/>
          <w:highlight w:val="none"/>
        </w:rPr>
      </w:pPr>
      <w:r>
        <w:rPr>
          <w:rFonts w:hint="eastAsia" w:ascii="宋体" w:hAnsi="宋体" w:cs="宋体"/>
          <w:sz w:val="24"/>
          <w:szCs w:val="24"/>
          <w:highlight w:val="none"/>
        </w:rPr>
        <w:t>投标费率表</w:t>
      </w:r>
    </w:p>
    <w:p w14:paraId="3BE44B7D">
      <w:pPr>
        <w:numPr>
          <w:ilvl w:val="0"/>
          <w:numId w:val="10"/>
        </w:numPr>
        <w:spacing w:line="480" w:lineRule="auto"/>
        <w:ind w:firstLine="480" w:firstLineChars="200"/>
        <w:rPr>
          <w:rFonts w:ascii="宋体" w:cs="宋体"/>
          <w:sz w:val="24"/>
          <w:szCs w:val="24"/>
          <w:highlight w:val="none"/>
        </w:rPr>
      </w:pPr>
      <w:r>
        <w:rPr>
          <w:rFonts w:hint="eastAsia" w:ascii="宋体" w:cs="宋体"/>
          <w:sz w:val="24"/>
          <w:szCs w:val="24"/>
          <w:highlight w:val="none"/>
        </w:rPr>
        <w:t>货物内容及质量要求响应表</w:t>
      </w:r>
    </w:p>
    <w:p w14:paraId="0026F03F">
      <w:pPr>
        <w:numPr>
          <w:ilvl w:val="0"/>
          <w:numId w:val="10"/>
        </w:numPr>
        <w:spacing w:line="480" w:lineRule="auto"/>
        <w:ind w:firstLine="480" w:firstLineChars="200"/>
        <w:rPr>
          <w:rFonts w:ascii="宋体" w:cs="宋体"/>
          <w:sz w:val="24"/>
          <w:szCs w:val="24"/>
          <w:highlight w:val="none"/>
        </w:rPr>
      </w:pPr>
      <w:r>
        <w:rPr>
          <w:rFonts w:hint="eastAsia" w:ascii="宋体" w:cs="宋体"/>
          <w:sz w:val="24"/>
          <w:szCs w:val="24"/>
          <w:highlight w:val="none"/>
        </w:rPr>
        <w:t>诚信投标承诺书</w:t>
      </w:r>
    </w:p>
    <w:p w14:paraId="08231559">
      <w:pPr>
        <w:numPr>
          <w:ilvl w:val="0"/>
          <w:numId w:val="10"/>
        </w:numPr>
        <w:spacing w:line="480" w:lineRule="auto"/>
        <w:ind w:firstLine="480" w:firstLineChars="200"/>
        <w:rPr>
          <w:rFonts w:ascii="宋体" w:cs="宋体"/>
          <w:sz w:val="24"/>
          <w:szCs w:val="24"/>
          <w:highlight w:val="none"/>
        </w:rPr>
      </w:pPr>
      <w:r>
        <w:rPr>
          <w:rFonts w:hint="eastAsia" w:ascii="宋体" w:cs="宋体"/>
          <w:sz w:val="24"/>
          <w:szCs w:val="24"/>
          <w:highlight w:val="none"/>
        </w:rPr>
        <w:t>相关证明文件</w:t>
      </w:r>
    </w:p>
    <w:p w14:paraId="363BF19E">
      <w:pPr>
        <w:pStyle w:val="82"/>
        <w:spacing w:before="156"/>
        <w:ind w:firstLine="420"/>
        <w:rPr>
          <w:rFonts w:hint="eastAsia" w:ascii="宋体" w:hAnsi="宋体"/>
          <w:color w:val="000000"/>
          <w:sz w:val="24"/>
          <w:highlight w:val="none"/>
        </w:rPr>
      </w:pPr>
    </w:p>
    <w:p w14:paraId="7A79C178">
      <w:pPr>
        <w:widowControl/>
        <w:jc w:val="left"/>
        <w:rPr>
          <w:rFonts w:ascii="宋体" w:cs="宋体"/>
          <w:color w:val="000000"/>
          <w:sz w:val="24"/>
          <w:highlight w:val="none"/>
        </w:rPr>
      </w:pPr>
      <w:r>
        <w:rPr>
          <w:rFonts w:ascii="宋体" w:cs="宋体"/>
          <w:color w:val="000000"/>
          <w:sz w:val="24"/>
          <w:highlight w:val="none"/>
        </w:rPr>
        <w:br w:type="page"/>
      </w:r>
    </w:p>
    <w:p w14:paraId="3CE08774">
      <w:pPr>
        <w:pStyle w:val="5"/>
        <w:jc w:val="center"/>
        <w:rPr>
          <w:sz w:val="32"/>
          <w:szCs w:val="32"/>
          <w:highlight w:val="none"/>
        </w:rPr>
      </w:pPr>
      <w:bookmarkStart w:id="46" w:name="_Toc54941342"/>
      <w:bookmarkStart w:id="47" w:name="_Toc476584433"/>
      <w:r>
        <w:rPr>
          <w:rFonts w:hint="eastAsia" w:cs="宋体"/>
          <w:sz w:val="32"/>
          <w:szCs w:val="32"/>
          <w:highlight w:val="none"/>
        </w:rPr>
        <w:t>一、</w:t>
      </w:r>
      <w:bookmarkEnd w:id="46"/>
      <w:bookmarkEnd w:id="47"/>
      <w:r>
        <w:rPr>
          <w:rFonts w:hint="eastAsia"/>
          <w:sz w:val="32"/>
          <w:szCs w:val="32"/>
          <w:highlight w:val="none"/>
        </w:rPr>
        <w:t>投标函</w:t>
      </w:r>
    </w:p>
    <w:p w14:paraId="7A88ACF3">
      <w:pPr>
        <w:tabs>
          <w:tab w:val="left" w:pos="5580"/>
        </w:tabs>
        <w:spacing w:before="120" w:line="480" w:lineRule="auto"/>
        <w:rPr>
          <w:rFonts w:ascii="宋体" w:hAnsi="宋体"/>
          <w:szCs w:val="21"/>
          <w:highlight w:val="none"/>
          <w:u w:val="single"/>
        </w:rPr>
      </w:pPr>
      <w:r>
        <w:rPr>
          <w:rFonts w:hint="eastAsia" w:ascii="宋体" w:hAnsi="宋体"/>
          <w:szCs w:val="21"/>
          <w:highlight w:val="none"/>
        </w:rPr>
        <w:t>致：</w:t>
      </w:r>
      <w:r>
        <w:rPr>
          <w:rFonts w:hint="eastAsia" w:ascii="宋体" w:hAnsi="宋体"/>
          <w:szCs w:val="21"/>
          <w:highlight w:val="none"/>
          <w:u w:val="single"/>
        </w:rPr>
        <w:t xml:space="preserve">       （采购人名称）</w:t>
      </w:r>
    </w:p>
    <w:p w14:paraId="26C506EF">
      <w:pPr>
        <w:pStyle w:val="29"/>
        <w:tabs>
          <w:tab w:val="left" w:pos="5580"/>
        </w:tabs>
        <w:spacing w:line="480" w:lineRule="auto"/>
        <w:ind w:firstLine="420" w:firstLineChars="200"/>
        <w:rPr>
          <w:rFonts w:hAnsi="宋体"/>
          <w:highlight w:val="none"/>
        </w:rPr>
      </w:pPr>
      <w:r>
        <w:rPr>
          <w:rFonts w:hint="eastAsia" w:hAnsi="宋体"/>
          <w:highlight w:val="none"/>
        </w:rPr>
        <w:t>1、根据贵方比选公告，我方决定参加贵方组织的</w:t>
      </w:r>
      <w:r>
        <w:rPr>
          <w:rFonts w:hint="eastAsia" w:hAnsi="宋体"/>
          <w:highlight w:val="none"/>
          <w:u w:val="single"/>
        </w:rPr>
        <w:t xml:space="preserve"> 22025年度安庆市皖圆市政园林工程有限公司农药、除草剂采购项目</w:t>
      </w:r>
      <w:r>
        <w:rPr>
          <w:rFonts w:hint="eastAsia" w:hAnsi="宋体"/>
          <w:highlight w:val="none"/>
        </w:rPr>
        <w:t>的比选活动。我方授权</w:t>
      </w:r>
      <w:r>
        <w:rPr>
          <w:rFonts w:hint="eastAsia" w:hAnsi="宋体"/>
          <w:highlight w:val="none"/>
          <w:u w:val="single"/>
        </w:rPr>
        <w:t xml:space="preserve">        </w:t>
      </w:r>
      <w:r>
        <w:rPr>
          <w:rFonts w:hint="eastAsia" w:hAnsi="宋体"/>
          <w:highlight w:val="none"/>
        </w:rPr>
        <w:t>(姓名和</w:t>
      </w:r>
      <w:r>
        <w:rPr>
          <w:rFonts w:hint="eastAsia" w:hAnsi="宋体"/>
          <w:highlight w:val="none"/>
          <w:u w:val="single"/>
        </w:rPr>
        <w:t xml:space="preserve">      </w:t>
      </w:r>
      <w:r>
        <w:rPr>
          <w:rFonts w:hint="eastAsia" w:hAnsi="宋体"/>
          <w:highlight w:val="none"/>
        </w:rPr>
        <w:t>职务)代表我方</w:t>
      </w:r>
      <w:r>
        <w:rPr>
          <w:rFonts w:hint="eastAsia" w:hAnsi="宋体"/>
          <w:highlight w:val="none"/>
          <w:u w:val="single"/>
        </w:rPr>
        <w:t xml:space="preserve">                </w:t>
      </w:r>
      <w:r>
        <w:rPr>
          <w:rFonts w:hint="eastAsia" w:hAnsi="宋体"/>
          <w:highlight w:val="none"/>
        </w:rPr>
        <w:t>（参选人的名称）全权处理本项目投标的有关事宜。</w:t>
      </w:r>
    </w:p>
    <w:p w14:paraId="4C850B8F">
      <w:pPr>
        <w:pStyle w:val="29"/>
        <w:tabs>
          <w:tab w:val="left" w:pos="5580"/>
        </w:tabs>
        <w:spacing w:line="480" w:lineRule="auto"/>
        <w:ind w:firstLine="420" w:firstLineChars="200"/>
        <w:rPr>
          <w:rFonts w:hAnsi="宋体"/>
          <w:highlight w:val="none"/>
        </w:rPr>
      </w:pPr>
      <w:r>
        <w:rPr>
          <w:rFonts w:hint="eastAsia" w:hAnsi="宋体"/>
          <w:highlight w:val="none"/>
        </w:rPr>
        <w:t>2、我方充分了解并完全响应比选文件的全部内容，愿意按照比选文件规定的各项要求，向采购人提供所需的</w:t>
      </w:r>
      <w:r>
        <w:rPr>
          <w:rFonts w:hint="eastAsia" w:hAnsi="宋体"/>
          <w:highlight w:val="none"/>
          <w:lang w:eastAsia="zh-CN"/>
        </w:rPr>
        <w:t>货物</w:t>
      </w:r>
      <w:r>
        <w:rPr>
          <w:rFonts w:hint="eastAsia" w:hAnsi="宋体"/>
          <w:highlight w:val="none"/>
        </w:rPr>
        <w:t>，投标费率为</w:t>
      </w:r>
      <w:r>
        <w:rPr>
          <w:rFonts w:hint="eastAsia" w:hAnsi="宋体"/>
          <w:b/>
          <w:bCs/>
          <w:highlight w:val="none"/>
        </w:rPr>
        <w:t>（大写）</w:t>
      </w:r>
      <w:r>
        <w:rPr>
          <w:rFonts w:hint="eastAsia" w:hAnsi="宋体"/>
          <w:b/>
          <w:bCs/>
          <w:highlight w:val="none"/>
          <w:u w:val="single"/>
        </w:rPr>
        <w:t xml:space="preserve">百分之     </w:t>
      </w:r>
      <w:r>
        <w:rPr>
          <w:rFonts w:hint="eastAsia" w:hAnsi="宋体"/>
          <w:b/>
          <w:bCs/>
          <w:highlight w:val="none"/>
        </w:rPr>
        <w:t xml:space="preserve">(小写) </w:t>
      </w:r>
      <w:r>
        <w:rPr>
          <w:rFonts w:hint="eastAsia" w:hAnsi="宋体"/>
          <w:b/>
          <w:bCs/>
          <w:highlight w:val="none"/>
          <w:u w:val="single"/>
        </w:rPr>
        <w:t xml:space="preserve">     %。</w:t>
      </w:r>
      <w:r>
        <w:rPr>
          <w:rFonts w:hint="eastAsia" w:hAnsi="宋体"/>
          <w:b/>
          <w:bCs/>
          <w:highlight w:val="none"/>
        </w:rPr>
        <w:t>。</w:t>
      </w:r>
    </w:p>
    <w:p w14:paraId="36BFC6E3">
      <w:pPr>
        <w:pStyle w:val="29"/>
        <w:tabs>
          <w:tab w:val="left" w:pos="5580"/>
        </w:tabs>
        <w:spacing w:line="480" w:lineRule="auto"/>
        <w:ind w:firstLine="420" w:firstLineChars="200"/>
        <w:rPr>
          <w:rFonts w:hint="eastAsia" w:hAnsi="宋体"/>
          <w:b/>
          <w:bCs/>
          <w:highlight w:val="none"/>
          <w:u w:val="single"/>
        </w:rPr>
      </w:pPr>
      <w:r>
        <w:rPr>
          <w:rFonts w:hint="eastAsia" w:hAnsi="宋体"/>
          <w:highlight w:val="none"/>
        </w:rPr>
        <w:t>3、一旦我方成交，我方将严格履行合同规定的责任和义务，保证该项目服务期为</w:t>
      </w:r>
      <w:r>
        <w:rPr>
          <w:rFonts w:hint="eastAsia" w:hAnsi="宋体"/>
          <w:b/>
          <w:bCs/>
          <w:highlight w:val="none"/>
          <w:u w:val="single"/>
        </w:rPr>
        <w:t xml:space="preserve">                </w:t>
      </w:r>
    </w:p>
    <w:p w14:paraId="4C80FA50">
      <w:pPr>
        <w:pStyle w:val="29"/>
        <w:tabs>
          <w:tab w:val="left" w:pos="5580"/>
        </w:tabs>
        <w:spacing w:line="480" w:lineRule="auto"/>
        <w:ind w:firstLine="417" w:firstLineChars="199"/>
        <w:rPr>
          <w:rFonts w:hAnsi="宋体"/>
          <w:highlight w:val="none"/>
        </w:rPr>
      </w:pPr>
      <w:r>
        <w:rPr>
          <w:rFonts w:hint="eastAsia" w:hAnsi="宋体"/>
          <w:highlight w:val="none"/>
        </w:rPr>
        <w:t>4、我方保证按照本项目比选文件要求提交参选文件。</w:t>
      </w:r>
    </w:p>
    <w:p w14:paraId="0C40B97A">
      <w:pPr>
        <w:pStyle w:val="29"/>
        <w:tabs>
          <w:tab w:val="left" w:pos="5580"/>
        </w:tabs>
        <w:spacing w:line="480" w:lineRule="auto"/>
        <w:ind w:firstLine="417" w:firstLineChars="199"/>
        <w:rPr>
          <w:rFonts w:hAnsi="宋体"/>
          <w:highlight w:val="none"/>
        </w:rPr>
      </w:pPr>
      <w:r>
        <w:rPr>
          <w:rFonts w:hint="eastAsia" w:hAnsi="宋体"/>
          <w:highlight w:val="none"/>
        </w:rPr>
        <w:t>5、我方愿意提供贵方可能另外要求的、与比选有关的文件资料，并保证我方已提供和将要提供的文件是真实的、准确的。</w:t>
      </w:r>
    </w:p>
    <w:p w14:paraId="3E10F431">
      <w:pPr>
        <w:pStyle w:val="29"/>
        <w:tabs>
          <w:tab w:val="left" w:pos="5580"/>
        </w:tabs>
        <w:spacing w:line="360" w:lineRule="auto"/>
        <w:ind w:firstLine="420" w:firstLineChars="199"/>
        <w:rPr>
          <w:rFonts w:hAnsi="宋体"/>
          <w:b/>
          <w:bCs/>
          <w:highlight w:val="none"/>
        </w:rPr>
      </w:pPr>
      <w:r>
        <w:rPr>
          <w:rFonts w:hint="eastAsia" w:hAnsi="宋体"/>
          <w:b/>
          <w:bCs/>
          <w:highlight w:val="none"/>
        </w:rPr>
        <w:t>6、我方承诺中选后提供的</w:t>
      </w:r>
      <w:r>
        <w:rPr>
          <w:rFonts w:hint="eastAsia" w:hAnsi="宋体"/>
          <w:b/>
          <w:bCs/>
          <w:highlight w:val="none"/>
          <w:lang w:eastAsia="zh-CN"/>
        </w:rPr>
        <w:t>货物</w:t>
      </w:r>
      <w:r>
        <w:rPr>
          <w:rFonts w:hint="eastAsia" w:hAnsi="宋体"/>
          <w:b/>
          <w:bCs/>
          <w:highlight w:val="none"/>
        </w:rPr>
        <w:t>完全响应本项目需求，否则将接受采购人取消中选资格等一切处罚。</w:t>
      </w:r>
    </w:p>
    <w:p w14:paraId="097F8B67">
      <w:pPr>
        <w:pStyle w:val="29"/>
        <w:tabs>
          <w:tab w:val="left" w:pos="5580"/>
        </w:tabs>
        <w:spacing w:line="360" w:lineRule="auto"/>
        <w:ind w:right="360" w:firstLine="3570" w:firstLineChars="1700"/>
        <w:rPr>
          <w:rFonts w:hAnsi="宋体"/>
          <w:highlight w:val="none"/>
        </w:rPr>
      </w:pPr>
    </w:p>
    <w:p w14:paraId="00C5CC14">
      <w:pPr>
        <w:pStyle w:val="29"/>
        <w:tabs>
          <w:tab w:val="left" w:pos="5580"/>
        </w:tabs>
        <w:spacing w:line="360" w:lineRule="auto"/>
        <w:ind w:right="360" w:firstLine="3570" w:firstLineChars="1700"/>
        <w:rPr>
          <w:rFonts w:hAnsi="宋体"/>
          <w:highlight w:val="none"/>
        </w:rPr>
      </w:pPr>
    </w:p>
    <w:p w14:paraId="33977FE2">
      <w:pPr>
        <w:pStyle w:val="29"/>
        <w:tabs>
          <w:tab w:val="left" w:pos="5580"/>
        </w:tabs>
        <w:spacing w:line="360" w:lineRule="auto"/>
        <w:ind w:right="360" w:firstLine="3570" w:firstLineChars="1700"/>
        <w:rPr>
          <w:rFonts w:hAnsi="宋体"/>
          <w:highlight w:val="none"/>
        </w:rPr>
      </w:pPr>
    </w:p>
    <w:p w14:paraId="05147B30">
      <w:pPr>
        <w:pStyle w:val="29"/>
        <w:tabs>
          <w:tab w:val="left" w:pos="5580"/>
        </w:tabs>
        <w:spacing w:line="480" w:lineRule="auto"/>
        <w:ind w:right="360" w:firstLine="3570" w:firstLineChars="1700"/>
        <w:rPr>
          <w:rFonts w:hAnsi="宋体"/>
          <w:highlight w:val="none"/>
          <w:u w:val="single"/>
        </w:rPr>
      </w:pPr>
      <w:r>
        <w:rPr>
          <w:rFonts w:hint="eastAsia" w:hAnsi="宋体"/>
          <w:highlight w:val="none"/>
        </w:rPr>
        <w:t>参选人：</w:t>
      </w:r>
      <w:r>
        <w:rPr>
          <w:rFonts w:hint="eastAsia" w:hAnsi="宋体"/>
          <w:highlight w:val="none"/>
          <w:u w:val="single"/>
        </w:rPr>
        <w:t xml:space="preserve">                           （盖章） </w:t>
      </w:r>
    </w:p>
    <w:p w14:paraId="336EBC17">
      <w:pPr>
        <w:pStyle w:val="29"/>
        <w:tabs>
          <w:tab w:val="left" w:pos="5580"/>
        </w:tabs>
        <w:spacing w:line="480" w:lineRule="auto"/>
        <w:ind w:firstLine="420" w:firstLineChars="200"/>
        <w:rPr>
          <w:rFonts w:hAnsi="宋体"/>
          <w:highlight w:val="none"/>
          <w:u w:val="single"/>
        </w:rPr>
      </w:pPr>
      <w:r>
        <w:rPr>
          <w:rFonts w:hint="eastAsia" w:hAnsi="宋体"/>
          <w:highlight w:val="none"/>
        </w:rPr>
        <w:t xml:space="preserve">                              单位地址：</w:t>
      </w:r>
      <w:r>
        <w:rPr>
          <w:rFonts w:hint="eastAsia" w:hAnsi="宋体"/>
          <w:highlight w:val="none"/>
          <w:u w:val="single"/>
        </w:rPr>
        <w:tab/>
      </w:r>
      <w:r>
        <w:rPr>
          <w:rFonts w:hint="eastAsia" w:hAnsi="宋体"/>
          <w:highlight w:val="none"/>
          <w:u w:val="single"/>
        </w:rPr>
        <w:tab/>
      </w:r>
      <w:r>
        <w:rPr>
          <w:rFonts w:hint="eastAsia" w:hAnsi="宋体"/>
          <w:highlight w:val="none"/>
          <w:u w:val="single"/>
        </w:rPr>
        <w:tab/>
      </w:r>
      <w:r>
        <w:rPr>
          <w:rFonts w:hint="eastAsia" w:hAnsi="宋体"/>
          <w:highlight w:val="none"/>
          <w:u w:val="single"/>
        </w:rPr>
        <w:tab/>
      </w:r>
      <w:r>
        <w:rPr>
          <w:rFonts w:hint="eastAsia" w:hAnsi="宋体"/>
          <w:highlight w:val="none"/>
          <w:u w:val="single"/>
        </w:rPr>
        <w:t xml:space="preserve">     </w:t>
      </w:r>
      <w:r>
        <w:rPr>
          <w:rFonts w:hint="eastAsia" w:hAnsi="宋体"/>
          <w:highlight w:val="none"/>
          <w:u w:val="single"/>
        </w:rPr>
        <w:tab/>
      </w:r>
      <w:r>
        <w:rPr>
          <w:rFonts w:hint="eastAsia" w:hAnsi="宋体"/>
          <w:highlight w:val="none"/>
          <w:u w:val="single"/>
        </w:rPr>
        <w:tab/>
      </w:r>
    </w:p>
    <w:p w14:paraId="30D12A89">
      <w:pPr>
        <w:pStyle w:val="29"/>
        <w:tabs>
          <w:tab w:val="left" w:pos="5580"/>
        </w:tabs>
        <w:spacing w:line="480" w:lineRule="auto"/>
        <w:ind w:firstLine="3570" w:firstLineChars="1700"/>
        <w:rPr>
          <w:rFonts w:hAnsi="宋体"/>
          <w:highlight w:val="none"/>
          <w:u w:val="single"/>
        </w:rPr>
      </w:pPr>
      <w:r>
        <w:rPr>
          <w:rFonts w:hint="eastAsia" w:hAnsi="宋体" w:cs="宋体"/>
          <w:highlight w:val="none"/>
        </w:rPr>
        <w:t>法定代表人或委托代理人：</w:t>
      </w:r>
      <w:r>
        <w:rPr>
          <w:rFonts w:hint="eastAsia" w:hAnsi="宋体" w:cs="宋体"/>
          <w:highlight w:val="none"/>
          <w:u w:val="single"/>
        </w:rPr>
        <w:t xml:space="preserve">   （签字或盖章）</w:t>
      </w:r>
    </w:p>
    <w:p w14:paraId="4AEBAF64">
      <w:pPr>
        <w:pStyle w:val="29"/>
        <w:tabs>
          <w:tab w:val="left" w:pos="5580"/>
        </w:tabs>
        <w:spacing w:line="480" w:lineRule="auto"/>
        <w:ind w:firstLine="3570" w:firstLineChars="1700"/>
        <w:rPr>
          <w:rFonts w:hAnsi="宋体"/>
          <w:highlight w:val="none"/>
        </w:rPr>
      </w:pPr>
      <w:r>
        <w:rPr>
          <w:rFonts w:hint="eastAsia" w:hAnsi="宋体"/>
          <w:highlight w:val="none"/>
        </w:rPr>
        <w:t>日期：       年      月      日</w:t>
      </w:r>
    </w:p>
    <w:p w14:paraId="1BF9EDA1">
      <w:pPr>
        <w:pStyle w:val="23"/>
        <w:rPr>
          <w:color w:val="000000"/>
          <w:highlight w:val="none"/>
        </w:rPr>
      </w:pPr>
    </w:p>
    <w:p w14:paraId="154D623D">
      <w:pPr>
        <w:rPr>
          <w:rFonts w:hint="eastAsia" w:cs="宋体"/>
          <w:color w:val="000000"/>
          <w:highlight w:val="none"/>
        </w:rPr>
      </w:pPr>
      <w:bookmarkStart w:id="48" w:name="_Toc476584438"/>
      <w:bookmarkStart w:id="49" w:name="_Toc54941350"/>
      <w:r>
        <w:rPr>
          <w:rFonts w:hint="eastAsia" w:cs="宋体"/>
          <w:color w:val="000000"/>
          <w:highlight w:val="none"/>
        </w:rPr>
        <w:br w:type="page"/>
      </w:r>
    </w:p>
    <w:p w14:paraId="23521DB0">
      <w:pPr>
        <w:keepNext/>
        <w:keepLines/>
        <w:shd w:val="clear" w:color="auto" w:fill="FFFFFF"/>
        <w:wordWrap w:val="0"/>
        <w:spacing w:line="360" w:lineRule="exact"/>
        <w:jc w:val="center"/>
        <w:outlineLvl w:val="2"/>
        <w:rPr>
          <w:rFonts w:ascii="宋体" w:hAnsi="宋体"/>
          <w:b/>
          <w:sz w:val="32"/>
          <w:szCs w:val="32"/>
          <w:highlight w:val="none"/>
          <w:bdr w:val="single" w:color="auto" w:sz="4" w:space="0"/>
          <w:shd w:val="clear" w:color="auto" w:fill="FFFFFF"/>
        </w:rPr>
      </w:pPr>
      <w:r>
        <w:rPr>
          <w:rFonts w:hint="eastAsia" w:ascii="宋体" w:hAnsi="宋体" w:cs="宋体"/>
          <w:b/>
          <w:sz w:val="32"/>
          <w:szCs w:val="32"/>
          <w:highlight w:val="none"/>
          <w:shd w:val="clear" w:color="auto" w:fill="FFFFFF"/>
        </w:rPr>
        <w:t>二、投标费率</w:t>
      </w:r>
      <w:r>
        <w:rPr>
          <w:rFonts w:hint="eastAsia" w:ascii="宋体" w:hAnsi="宋体"/>
          <w:b/>
          <w:sz w:val="32"/>
          <w:szCs w:val="32"/>
          <w:highlight w:val="none"/>
          <w:shd w:val="clear" w:color="auto" w:fill="FFFFFF"/>
        </w:rPr>
        <w:t>表</w:t>
      </w:r>
    </w:p>
    <w:p w14:paraId="7B9DBD4B">
      <w:pPr>
        <w:spacing w:line="360" w:lineRule="auto"/>
        <w:ind w:firstLine="420" w:firstLineChars="200"/>
        <w:rPr>
          <w:rFonts w:ascii="仿宋" w:hAnsi="仿宋" w:eastAsia="仿宋"/>
          <w:szCs w:val="21"/>
          <w:highlight w:val="none"/>
        </w:rPr>
      </w:pPr>
    </w:p>
    <w:p w14:paraId="68B2D000">
      <w:pPr>
        <w:autoSpaceDE w:val="0"/>
        <w:autoSpaceDN w:val="0"/>
        <w:adjustRightInd w:val="0"/>
        <w:ind w:firstLine="420"/>
        <w:jc w:val="left"/>
        <w:rPr>
          <w:rFonts w:ascii="宋体"/>
          <w:kern w:val="0"/>
          <w:sz w:val="24"/>
          <w:highlight w:val="none"/>
        </w:rPr>
      </w:pPr>
    </w:p>
    <w:p w14:paraId="16FAC798">
      <w:pPr>
        <w:spacing w:line="360" w:lineRule="auto"/>
        <w:rPr>
          <w:sz w:val="24"/>
          <w:szCs w:val="24"/>
          <w:highlight w:val="none"/>
        </w:rPr>
      </w:pPr>
      <w:r>
        <w:rPr>
          <w:rFonts w:hint="eastAsia" w:ascii="宋体" w:hAnsi="宋体"/>
          <w:szCs w:val="21"/>
          <w:highlight w:val="none"/>
        </w:rPr>
        <w:t>项目名称：</w:t>
      </w:r>
      <w:r>
        <w:rPr>
          <w:rFonts w:ascii="宋体" w:hAnsi="宋体"/>
          <w:szCs w:val="21"/>
          <w:highlight w:val="none"/>
        </w:rPr>
        <w:t xml:space="preserve">  </w:t>
      </w:r>
    </w:p>
    <w:p w14:paraId="4F23145B">
      <w:pPr>
        <w:spacing w:line="360" w:lineRule="auto"/>
        <w:rPr>
          <w:rFonts w:eastAsia="仿宋"/>
          <w:kern w:val="0"/>
          <w:sz w:val="24"/>
          <w:szCs w:val="24"/>
          <w:highlight w:val="none"/>
          <w:lang w:val="zh-CN"/>
        </w:rPr>
      </w:pPr>
      <w:r>
        <w:rPr>
          <w:rFonts w:hint="eastAsia" w:ascii="宋体" w:hAnsi="宋体"/>
          <w:szCs w:val="21"/>
          <w:highlight w:val="none"/>
        </w:rPr>
        <w:t>项目编号：</w:t>
      </w:r>
      <w:r>
        <w:rPr>
          <w:rFonts w:ascii="宋体" w:hAnsi="宋体"/>
          <w:szCs w:val="21"/>
          <w:highlight w:val="none"/>
        </w:rPr>
        <w:t xml:space="preserve"> </w:t>
      </w:r>
    </w:p>
    <w:tbl>
      <w:tblPr>
        <w:tblStyle w:val="6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7588"/>
      </w:tblGrid>
      <w:tr w14:paraId="6F4A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restart"/>
            <w:noWrap w:val="0"/>
            <w:vAlign w:val="center"/>
          </w:tcPr>
          <w:p w14:paraId="78CC396E">
            <w:pPr>
              <w:spacing w:line="400" w:lineRule="exact"/>
              <w:jc w:val="center"/>
              <w:rPr>
                <w:rFonts w:hint="eastAsia"/>
                <w:sz w:val="24"/>
                <w:szCs w:val="24"/>
                <w:highlight w:val="none"/>
              </w:rPr>
            </w:pPr>
            <w:r>
              <w:rPr>
                <w:rFonts w:hint="eastAsia" w:hAnsi="宋体"/>
                <w:sz w:val="24"/>
                <w:szCs w:val="24"/>
                <w:highlight w:val="none"/>
              </w:rPr>
              <w:t>报价（既费率报价）</w:t>
            </w:r>
          </w:p>
        </w:tc>
        <w:tc>
          <w:tcPr>
            <w:tcW w:w="4240" w:type="pct"/>
            <w:noWrap w:val="0"/>
            <w:vAlign w:val="center"/>
          </w:tcPr>
          <w:p w14:paraId="22393AAD">
            <w:pPr>
              <w:wordWrap w:val="0"/>
              <w:spacing w:line="400" w:lineRule="exact"/>
              <w:rPr>
                <w:sz w:val="24"/>
                <w:szCs w:val="24"/>
                <w:highlight w:val="none"/>
              </w:rPr>
            </w:pPr>
            <w:r>
              <w:rPr>
                <w:rFonts w:hint="eastAsia" w:hAnsi="宋体"/>
                <w:sz w:val="24"/>
                <w:szCs w:val="24"/>
                <w:highlight w:val="none"/>
              </w:rPr>
              <w:t>大写：</w:t>
            </w:r>
            <w:r>
              <w:rPr>
                <w:sz w:val="24"/>
                <w:szCs w:val="24"/>
                <w:highlight w:val="none"/>
              </w:rPr>
              <w:t xml:space="preserve">                  </w:t>
            </w:r>
          </w:p>
        </w:tc>
      </w:tr>
      <w:tr w14:paraId="490C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continue"/>
            <w:noWrap w:val="0"/>
            <w:vAlign w:val="center"/>
          </w:tcPr>
          <w:p w14:paraId="577511C9">
            <w:pPr>
              <w:spacing w:line="400" w:lineRule="exact"/>
              <w:jc w:val="center"/>
              <w:rPr>
                <w:sz w:val="24"/>
                <w:szCs w:val="24"/>
                <w:highlight w:val="none"/>
              </w:rPr>
            </w:pPr>
          </w:p>
        </w:tc>
        <w:tc>
          <w:tcPr>
            <w:tcW w:w="4240" w:type="pct"/>
            <w:noWrap w:val="0"/>
            <w:vAlign w:val="center"/>
          </w:tcPr>
          <w:p w14:paraId="2A545003">
            <w:pPr>
              <w:wordWrap w:val="0"/>
              <w:rPr>
                <w:rFonts w:hAnsi="宋体"/>
                <w:sz w:val="24"/>
                <w:szCs w:val="24"/>
                <w:highlight w:val="none"/>
              </w:rPr>
            </w:pPr>
            <w:r>
              <w:rPr>
                <w:rFonts w:hint="eastAsia" w:hAnsi="宋体"/>
                <w:sz w:val="24"/>
                <w:szCs w:val="24"/>
                <w:highlight w:val="none"/>
              </w:rPr>
              <w:t>小写：</w:t>
            </w:r>
            <w:r>
              <w:rPr>
                <w:rFonts w:hAnsi="宋体"/>
                <w:sz w:val="24"/>
                <w:szCs w:val="24"/>
                <w:highlight w:val="none"/>
              </w:rPr>
              <w:t xml:space="preserve">                  </w:t>
            </w:r>
          </w:p>
        </w:tc>
      </w:tr>
      <w:tr w14:paraId="1A7B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5000" w:type="pct"/>
            <w:gridSpan w:val="2"/>
            <w:noWrap w:val="0"/>
            <w:vAlign w:val="center"/>
          </w:tcPr>
          <w:p w14:paraId="6FB48877">
            <w:pPr>
              <w:spacing w:line="400" w:lineRule="exact"/>
              <w:rPr>
                <w:rFonts w:hAnsi="宋体"/>
                <w:sz w:val="24"/>
                <w:szCs w:val="24"/>
                <w:highlight w:val="none"/>
              </w:rPr>
            </w:pPr>
            <w:r>
              <w:rPr>
                <w:rFonts w:hint="eastAsia" w:hAnsi="宋体"/>
                <w:sz w:val="24"/>
                <w:szCs w:val="24"/>
                <w:highlight w:val="none"/>
              </w:rPr>
              <w:t>备注：</w:t>
            </w:r>
          </w:p>
          <w:p w14:paraId="7EE1F7FC">
            <w:pPr>
              <w:spacing w:line="400" w:lineRule="exact"/>
              <w:rPr>
                <w:rFonts w:hAnsi="宋体"/>
                <w:sz w:val="24"/>
                <w:szCs w:val="24"/>
                <w:highlight w:val="none"/>
              </w:rPr>
            </w:pPr>
            <w:r>
              <w:rPr>
                <w:rFonts w:hAnsi="宋体"/>
                <w:sz w:val="24"/>
                <w:szCs w:val="24"/>
                <w:highlight w:val="none"/>
              </w:rPr>
              <w:t>1</w:t>
            </w:r>
            <w:r>
              <w:rPr>
                <w:rFonts w:hint="eastAsia" w:hAnsi="宋体"/>
                <w:sz w:val="24"/>
                <w:szCs w:val="24"/>
                <w:highlight w:val="none"/>
              </w:rPr>
              <w:t>、费率报价最多保留到小数点后两位，小数点后第三位“四舍五入”。即费率为：X.XX%。</w:t>
            </w:r>
          </w:p>
        </w:tc>
      </w:tr>
    </w:tbl>
    <w:p w14:paraId="6EF4744D">
      <w:pPr>
        <w:spacing w:line="360" w:lineRule="auto"/>
        <w:rPr>
          <w:rFonts w:ascii="宋体"/>
          <w:b/>
          <w:sz w:val="24"/>
          <w:szCs w:val="24"/>
          <w:highlight w:val="none"/>
        </w:rPr>
      </w:pPr>
    </w:p>
    <w:p w14:paraId="7E3A5FF8">
      <w:pPr>
        <w:spacing w:line="360" w:lineRule="auto"/>
        <w:rPr>
          <w:rFonts w:ascii="宋体"/>
          <w:b/>
          <w:sz w:val="24"/>
          <w:szCs w:val="24"/>
          <w:highlight w:val="none"/>
        </w:rPr>
      </w:pPr>
      <w:r>
        <w:rPr>
          <w:rFonts w:hint="eastAsia" w:ascii="宋体" w:hAnsi="宋体"/>
          <w:b/>
          <w:sz w:val="24"/>
          <w:szCs w:val="24"/>
          <w:highlight w:val="none"/>
        </w:rPr>
        <w:t>（此表须法定代表人签字或盖章，并加盖参选人公章）</w:t>
      </w:r>
    </w:p>
    <w:p w14:paraId="2903952E">
      <w:pPr>
        <w:spacing w:line="360" w:lineRule="auto"/>
        <w:ind w:firstLine="3465" w:firstLineChars="1650"/>
        <w:rPr>
          <w:rFonts w:ascii="宋体"/>
          <w:szCs w:val="21"/>
          <w:highlight w:val="none"/>
        </w:rPr>
      </w:pPr>
    </w:p>
    <w:p w14:paraId="73B0A78F">
      <w:pPr>
        <w:spacing w:line="360" w:lineRule="auto"/>
        <w:ind w:firstLine="3465" w:firstLineChars="1650"/>
        <w:jc w:val="right"/>
        <w:rPr>
          <w:rFonts w:ascii="宋体"/>
          <w:szCs w:val="21"/>
          <w:highlight w:val="none"/>
        </w:rPr>
      </w:pPr>
      <w:r>
        <w:rPr>
          <w:rFonts w:hint="eastAsia" w:ascii="宋体" w:hAnsi="宋体"/>
          <w:szCs w:val="21"/>
          <w:highlight w:val="none"/>
        </w:rPr>
        <w:t>参选人：</w:t>
      </w:r>
      <w:r>
        <w:rPr>
          <w:rFonts w:ascii="宋体" w:hAnsi="宋体"/>
          <w:szCs w:val="21"/>
          <w:highlight w:val="none"/>
          <w:u w:val="single"/>
        </w:rPr>
        <w:t xml:space="preserve">                          </w:t>
      </w:r>
      <w:r>
        <w:rPr>
          <w:rFonts w:hint="eastAsia" w:ascii="宋体" w:hAnsi="宋体"/>
          <w:szCs w:val="21"/>
          <w:highlight w:val="none"/>
        </w:rPr>
        <w:t>（盖章）</w:t>
      </w:r>
    </w:p>
    <w:p w14:paraId="5593E536">
      <w:pPr>
        <w:spacing w:line="360" w:lineRule="auto"/>
        <w:ind w:firstLine="3561" w:firstLineChars="1696"/>
        <w:jc w:val="right"/>
        <w:rPr>
          <w:rFonts w:ascii="宋体"/>
          <w:szCs w:val="21"/>
          <w:highlight w:val="none"/>
        </w:rPr>
      </w:pPr>
    </w:p>
    <w:p w14:paraId="1917DFF5">
      <w:pPr>
        <w:spacing w:line="360" w:lineRule="auto"/>
        <w:ind w:firstLine="3465" w:firstLineChars="1650"/>
        <w:jc w:val="right"/>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14:paraId="4B64278C">
      <w:pPr>
        <w:spacing w:line="360" w:lineRule="auto"/>
        <w:ind w:firstLine="3570" w:firstLineChars="1700"/>
        <w:jc w:val="right"/>
        <w:rPr>
          <w:rFonts w:ascii="宋体"/>
          <w:szCs w:val="21"/>
          <w:highlight w:val="none"/>
        </w:rPr>
      </w:pPr>
    </w:p>
    <w:p w14:paraId="0340C3AE">
      <w:pPr>
        <w:spacing w:line="360" w:lineRule="auto"/>
        <w:ind w:firstLine="3570" w:firstLineChars="1700"/>
        <w:jc w:val="right"/>
        <w:rPr>
          <w:rFonts w:ascii="宋体"/>
          <w:szCs w:val="21"/>
          <w:highlight w:val="none"/>
        </w:rPr>
      </w:pPr>
      <w:r>
        <w:rPr>
          <w:rFonts w:hint="eastAsia"/>
          <w:szCs w:val="21"/>
          <w:highlight w:val="none"/>
        </w:rPr>
        <w:t>日</w:t>
      </w:r>
      <w:r>
        <w:rPr>
          <w:szCs w:val="21"/>
          <w:highlight w:val="none"/>
        </w:rPr>
        <w:t xml:space="preserve">  </w:t>
      </w:r>
      <w:r>
        <w:rPr>
          <w:rFonts w:hint="eastAsia"/>
          <w:szCs w:val="21"/>
          <w:highlight w:val="none"/>
        </w:rPr>
        <w:t>期：</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14:paraId="4C8B15AB">
      <w:pPr>
        <w:rPr>
          <w:rFonts w:hint="eastAsia"/>
          <w:highlight w:val="none"/>
        </w:rPr>
      </w:pPr>
      <w:r>
        <w:rPr>
          <w:rFonts w:hint="eastAsia"/>
          <w:highlight w:val="none"/>
        </w:rPr>
        <w:br w:type="page"/>
      </w:r>
    </w:p>
    <w:bookmarkEnd w:id="48"/>
    <w:bookmarkEnd w:id="49"/>
    <w:p w14:paraId="4853B98E">
      <w:pPr>
        <w:keepNext/>
        <w:keepLines/>
        <w:autoSpaceDE w:val="0"/>
        <w:autoSpaceDN w:val="0"/>
        <w:adjustRightInd w:val="0"/>
        <w:spacing w:before="120" w:line="360" w:lineRule="auto"/>
        <w:jc w:val="center"/>
        <w:outlineLvl w:val="1"/>
        <w:rPr>
          <w:rFonts w:ascii="Arial" w:hAnsi="Arial"/>
          <w:b/>
          <w:kern w:val="0"/>
          <w:sz w:val="32"/>
          <w:highlight w:val="none"/>
        </w:rPr>
      </w:pPr>
      <w:bookmarkStart w:id="50" w:name="_Toc16253"/>
      <w:bookmarkStart w:id="51" w:name="_Toc4481604"/>
      <w:bookmarkStart w:id="52" w:name="_Toc12052"/>
      <w:bookmarkStart w:id="53" w:name="_Toc2920"/>
      <w:r>
        <w:rPr>
          <w:rFonts w:hint="eastAsia" w:ascii="Arial" w:hAnsi="宋体" w:cs="宋体"/>
          <w:b/>
          <w:kern w:val="0"/>
          <w:sz w:val="32"/>
          <w:highlight w:val="none"/>
        </w:rPr>
        <w:t>三、货物内容及质量要求响应表</w:t>
      </w:r>
    </w:p>
    <w:p w14:paraId="74C2B006">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733B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noWrap w:val="0"/>
            <w:vAlign w:val="center"/>
          </w:tcPr>
          <w:p w14:paraId="17948262">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6000" w:type="dxa"/>
            <w:noWrap w:val="0"/>
            <w:vAlign w:val="center"/>
          </w:tcPr>
          <w:p w14:paraId="53EA92A0">
            <w:pPr>
              <w:spacing w:line="360" w:lineRule="auto"/>
              <w:jc w:val="center"/>
              <w:rPr>
                <w:rFonts w:ascii="宋体" w:hAnsi="宋体" w:cs="宋体"/>
                <w:szCs w:val="21"/>
                <w:highlight w:val="none"/>
              </w:rPr>
            </w:pPr>
            <w:r>
              <w:rPr>
                <w:rFonts w:hint="eastAsia" w:ascii="宋体" w:hAnsi="宋体" w:cs="宋体"/>
                <w:szCs w:val="21"/>
                <w:highlight w:val="none"/>
              </w:rPr>
              <w:t>响应</w:t>
            </w:r>
            <w:r>
              <w:rPr>
                <w:rFonts w:hint="eastAsia" w:ascii="宋体" w:hAnsi="宋体" w:cs="宋体"/>
                <w:szCs w:val="21"/>
                <w:highlight w:val="none"/>
                <w:lang w:eastAsia="zh-CN"/>
              </w:rPr>
              <w:t>货物</w:t>
            </w:r>
            <w:r>
              <w:rPr>
                <w:rFonts w:hint="eastAsia" w:ascii="宋体" w:hAnsi="宋体" w:cs="宋体"/>
                <w:szCs w:val="21"/>
                <w:highlight w:val="none"/>
              </w:rPr>
              <w:t>内容质量要求</w:t>
            </w:r>
          </w:p>
        </w:tc>
        <w:tc>
          <w:tcPr>
            <w:tcW w:w="2209" w:type="dxa"/>
            <w:noWrap w:val="0"/>
            <w:vAlign w:val="center"/>
          </w:tcPr>
          <w:p w14:paraId="677C1065">
            <w:pPr>
              <w:spacing w:line="360" w:lineRule="auto"/>
              <w:jc w:val="center"/>
              <w:rPr>
                <w:rFonts w:ascii="宋体" w:hAnsi="宋体" w:cs="宋体"/>
                <w:szCs w:val="21"/>
                <w:highlight w:val="none"/>
              </w:rPr>
            </w:pPr>
            <w:r>
              <w:rPr>
                <w:rFonts w:hint="eastAsia" w:ascii="宋体" w:hAnsi="宋体" w:cs="宋体"/>
                <w:szCs w:val="21"/>
                <w:highlight w:val="none"/>
              </w:rPr>
              <w:t>响应情况</w:t>
            </w:r>
          </w:p>
        </w:tc>
      </w:tr>
      <w:tr w14:paraId="2CB4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noWrap w:val="0"/>
            <w:vAlign w:val="center"/>
          </w:tcPr>
          <w:p w14:paraId="64013339">
            <w:pPr>
              <w:spacing w:line="360" w:lineRule="auto"/>
              <w:jc w:val="center"/>
              <w:rPr>
                <w:rFonts w:ascii="宋体" w:hAnsi="宋体" w:cs="宋体"/>
                <w:spacing w:val="-4"/>
                <w:szCs w:val="21"/>
                <w:highlight w:val="none"/>
              </w:rPr>
            </w:pPr>
            <w:r>
              <w:rPr>
                <w:rFonts w:hint="eastAsia" w:ascii="宋体" w:hAnsi="宋体" w:cs="宋体"/>
                <w:spacing w:val="-4"/>
                <w:szCs w:val="21"/>
                <w:highlight w:val="none"/>
              </w:rPr>
              <w:t>1</w:t>
            </w:r>
          </w:p>
        </w:tc>
        <w:tc>
          <w:tcPr>
            <w:tcW w:w="6000" w:type="dxa"/>
            <w:noWrap w:val="0"/>
            <w:vAlign w:val="center"/>
          </w:tcPr>
          <w:p w14:paraId="1CC2EEA7">
            <w:pPr>
              <w:spacing w:line="360" w:lineRule="auto"/>
              <w:jc w:val="center"/>
              <w:rPr>
                <w:rFonts w:ascii="宋体" w:hAnsi="宋体" w:cs="宋体"/>
                <w:szCs w:val="21"/>
                <w:highlight w:val="none"/>
              </w:rPr>
            </w:pPr>
            <w:r>
              <w:rPr>
                <w:rFonts w:hint="eastAsia" w:ascii="宋体" w:hAnsi="宋体" w:cs="宋体"/>
                <w:szCs w:val="21"/>
                <w:highlight w:val="none"/>
              </w:rPr>
              <w:t>第三章货物需求及技术要求全部内容</w:t>
            </w:r>
          </w:p>
        </w:tc>
        <w:tc>
          <w:tcPr>
            <w:tcW w:w="2209" w:type="dxa"/>
            <w:noWrap w:val="0"/>
            <w:vAlign w:val="center"/>
          </w:tcPr>
          <w:p w14:paraId="3EEE713B">
            <w:pPr>
              <w:spacing w:line="360" w:lineRule="auto"/>
              <w:jc w:val="center"/>
              <w:rPr>
                <w:rFonts w:ascii="宋体" w:hAnsi="宋体" w:cs="宋体"/>
                <w:b/>
                <w:szCs w:val="21"/>
                <w:highlight w:val="none"/>
              </w:rPr>
            </w:pPr>
          </w:p>
        </w:tc>
      </w:tr>
    </w:tbl>
    <w:p w14:paraId="0FC149E3">
      <w:pPr>
        <w:tabs>
          <w:tab w:val="left" w:pos="1815"/>
        </w:tabs>
        <w:spacing w:line="360" w:lineRule="auto"/>
        <w:ind w:firstLine="413" w:firstLineChars="196"/>
        <w:rPr>
          <w:rFonts w:ascii="宋体" w:hAnsi="宋体" w:cs="宋体"/>
          <w:szCs w:val="21"/>
          <w:highlight w:val="none"/>
        </w:rPr>
      </w:pPr>
      <w:r>
        <w:rPr>
          <w:rFonts w:hint="eastAsia" w:ascii="宋体" w:hAnsi="宋体" w:cs="宋体"/>
          <w:b/>
          <w:szCs w:val="21"/>
          <w:highlight w:val="none"/>
        </w:rPr>
        <w:t>注：</w:t>
      </w:r>
      <w:r>
        <w:rPr>
          <w:rFonts w:hint="eastAsia" w:ascii="宋体" w:hAnsi="宋体" w:cs="宋体"/>
          <w:szCs w:val="21"/>
          <w:highlight w:val="none"/>
        </w:rPr>
        <w:t>1、参选人必须将自己所投货物真实、准确地填入以上表格中。</w:t>
      </w:r>
    </w:p>
    <w:p w14:paraId="7A2E0700">
      <w:pPr>
        <w:tabs>
          <w:tab w:val="left" w:pos="1815"/>
        </w:tabs>
        <w:spacing w:line="360" w:lineRule="auto"/>
        <w:ind w:left="1" w:firstLine="837" w:firstLineChars="399"/>
        <w:rPr>
          <w:rFonts w:ascii="宋体" w:hAnsi="宋体" w:cs="宋体"/>
          <w:szCs w:val="21"/>
          <w:highlight w:val="none"/>
        </w:rPr>
      </w:pPr>
      <w:r>
        <w:rPr>
          <w:rFonts w:hint="eastAsia" w:ascii="宋体" w:hAnsi="宋体" w:cs="宋体"/>
          <w:szCs w:val="21"/>
          <w:highlight w:val="none"/>
        </w:rPr>
        <w:t>2、参选人必须根据自己所投</w:t>
      </w:r>
      <w:r>
        <w:rPr>
          <w:rFonts w:hint="eastAsia" w:ascii="宋体" w:hAnsi="宋体" w:cs="宋体"/>
          <w:szCs w:val="21"/>
          <w:highlight w:val="none"/>
          <w:lang w:eastAsia="zh-CN"/>
        </w:rPr>
        <w:t>货物</w:t>
      </w:r>
      <w:r>
        <w:rPr>
          <w:rFonts w:hint="eastAsia" w:ascii="宋体" w:hAnsi="宋体" w:cs="宋体"/>
          <w:szCs w:val="21"/>
          <w:highlight w:val="none"/>
        </w:rPr>
        <w:t>与“比选文件技术参数”的差异情况，实事求是地填写“响应情况”（优于、满足、不满足）。</w:t>
      </w:r>
    </w:p>
    <w:p w14:paraId="4B53727E">
      <w:pPr>
        <w:spacing w:line="360" w:lineRule="auto"/>
        <w:ind w:firstLine="3570" w:firstLineChars="1700"/>
        <w:rPr>
          <w:rFonts w:ascii="宋体" w:cs="宋体"/>
          <w:szCs w:val="21"/>
          <w:highlight w:val="none"/>
        </w:rPr>
      </w:pPr>
    </w:p>
    <w:p w14:paraId="5478EEE9">
      <w:pPr>
        <w:spacing w:line="360" w:lineRule="auto"/>
        <w:ind w:firstLine="3561" w:firstLineChars="1696"/>
        <w:rPr>
          <w:rFonts w:hint="eastAsia" w:ascii="宋体" w:hAnsi="宋体" w:cs="宋体"/>
          <w:szCs w:val="21"/>
          <w:highlight w:val="none"/>
        </w:rPr>
      </w:pPr>
    </w:p>
    <w:p w14:paraId="1727799F">
      <w:pPr>
        <w:spacing w:line="360" w:lineRule="auto"/>
        <w:ind w:firstLine="3561" w:firstLineChars="1696"/>
        <w:rPr>
          <w:rFonts w:hint="eastAsia" w:ascii="宋体" w:hAnsi="宋体" w:cs="宋体"/>
          <w:szCs w:val="21"/>
          <w:highlight w:val="none"/>
        </w:rPr>
      </w:pPr>
    </w:p>
    <w:p w14:paraId="64A48797">
      <w:pPr>
        <w:spacing w:line="360" w:lineRule="auto"/>
        <w:ind w:firstLine="3561" w:firstLineChars="1696"/>
        <w:rPr>
          <w:rFonts w:ascii="宋体" w:cs="宋体"/>
          <w:szCs w:val="21"/>
          <w:highlight w:val="none"/>
        </w:rPr>
      </w:pPr>
      <w:r>
        <w:rPr>
          <w:rFonts w:hint="eastAsia" w:ascii="宋体" w:hAnsi="宋体" w:cs="宋体"/>
          <w:szCs w:val="21"/>
          <w:highlight w:val="none"/>
        </w:rPr>
        <w:t>参选人：</w:t>
      </w:r>
      <w:r>
        <w:rPr>
          <w:rFonts w:ascii="宋体" w:hAnsi="宋体" w:cs="宋体"/>
          <w:szCs w:val="21"/>
          <w:highlight w:val="none"/>
          <w:u w:val="single"/>
        </w:rPr>
        <w:t xml:space="preserve">                             </w:t>
      </w:r>
      <w:r>
        <w:rPr>
          <w:rFonts w:hint="eastAsia" w:ascii="宋体" w:hAnsi="宋体" w:cs="宋体"/>
          <w:szCs w:val="21"/>
          <w:highlight w:val="none"/>
        </w:rPr>
        <w:t>（盖章）</w:t>
      </w:r>
    </w:p>
    <w:p w14:paraId="7E16D906">
      <w:pPr>
        <w:spacing w:line="360" w:lineRule="auto"/>
        <w:ind w:firstLine="3561" w:firstLineChars="1696"/>
        <w:rPr>
          <w:rFonts w:ascii="宋体" w:cs="宋体"/>
          <w:szCs w:val="21"/>
          <w:highlight w:val="none"/>
        </w:rPr>
      </w:pPr>
    </w:p>
    <w:p w14:paraId="6AFCB031">
      <w:pPr>
        <w:spacing w:line="360" w:lineRule="auto"/>
        <w:ind w:firstLine="3570" w:firstLineChars="1700"/>
        <w:rPr>
          <w:rFonts w:ascii="宋体" w:cs="宋体"/>
          <w:szCs w:val="21"/>
          <w:highlight w:val="none"/>
        </w:rPr>
      </w:pPr>
      <w:r>
        <w:rPr>
          <w:rFonts w:hint="eastAsia" w:ascii="宋体" w:hAnsi="宋体" w:cs="宋体"/>
          <w:szCs w:val="21"/>
          <w:highlight w:val="none"/>
        </w:rPr>
        <w:t>法定代表人或委托代理人：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（签字或盖章）</w:t>
      </w:r>
    </w:p>
    <w:p w14:paraId="43F9C52E">
      <w:pPr>
        <w:spacing w:line="360" w:lineRule="auto"/>
        <w:ind w:firstLine="3570" w:firstLineChars="1700"/>
        <w:rPr>
          <w:rFonts w:ascii="宋体" w:cs="宋体"/>
          <w:szCs w:val="21"/>
          <w:highlight w:val="none"/>
        </w:rPr>
      </w:pPr>
    </w:p>
    <w:p w14:paraId="79405F6C">
      <w:pPr>
        <w:spacing w:line="360" w:lineRule="auto"/>
        <w:ind w:firstLine="3570" w:firstLineChars="1700"/>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14:paraId="39931D3F">
      <w:pPr>
        <w:pStyle w:val="60"/>
        <w:ind w:left="0" w:leftChars="0" w:firstLine="0"/>
        <w:rPr>
          <w:rFonts w:hint="eastAsia" w:ascii="宋体" w:hAnsi="宋体"/>
          <w:sz w:val="24"/>
          <w:highlight w:val="none"/>
        </w:rPr>
      </w:pPr>
      <w:r>
        <w:rPr>
          <w:rFonts w:hint="eastAsia" w:ascii="宋体" w:hAnsi="宋体"/>
          <w:sz w:val="24"/>
          <w:highlight w:val="none"/>
        </w:rPr>
        <w:br w:type="page"/>
      </w:r>
    </w:p>
    <w:bookmarkEnd w:id="50"/>
    <w:bookmarkEnd w:id="51"/>
    <w:bookmarkEnd w:id="52"/>
    <w:bookmarkEnd w:id="53"/>
    <w:p w14:paraId="69D83A04">
      <w:pPr>
        <w:keepNext/>
        <w:keepLines/>
        <w:autoSpaceDE w:val="0"/>
        <w:autoSpaceDN w:val="0"/>
        <w:adjustRightInd w:val="0"/>
        <w:spacing w:before="120" w:line="360" w:lineRule="auto"/>
        <w:jc w:val="center"/>
        <w:outlineLvl w:val="1"/>
        <w:rPr>
          <w:rFonts w:ascii="Arial" w:hAnsi="Arial"/>
          <w:b/>
          <w:kern w:val="0"/>
          <w:sz w:val="32"/>
          <w:highlight w:val="none"/>
        </w:rPr>
      </w:pPr>
      <w:bookmarkStart w:id="54" w:name="_Toc26931"/>
      <w:bookmarkStart w:id="55" w:name="_Toc31403"/>
      <w:r>
        <w:rPr>
          <w:rFonts w:hint="eastAsia" w:ascii="Arial" w:hAnsi="Arial"/>
          <w:b/>
          <w:kern w:val="0"/>
          <w:sz w:val="32"/>
          <w:highlight w:val="none"/>
        </w:rPr>
        <w:t>四、诚信投标承诺书</w:t>
      </w:r>
      <w:bookmarkEnd w:id="54"/>
    </w:p>
    <w:p w14:paraId="78FB79BE">
      <w:pPr>
        <w:rPr>
          <w:rFonts w:ascii="仿宋" w:hAnsi="仿宋" w:eastAsia="仿宋" w:cs="仿宋"/>
          <w:b/>
          <w:bCs/>
          <w:sz w:val="24"/>
          <w:szCs w:val="24"/>
          <w:highlight w:val="none"/>
        </w:rPr>
      </w:pPr>
    </w:p>
    <w:p w14:paraId="2EE5BAA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本人以企业法定代表人的身份郑重承诺：</w:t>
      </w:r>
    </w:p>
    <w:p w14:paraId="65469F01">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一、将遵循公开、公正和诚实信用的原则自愿参加</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项目的比选招标；</w:t>
      </w:r>
    </w:p>
    <w:p w14:paraId="2A56D621">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二、所提供的一切材料都是真实、有效、合法的；  </w:t>
      </w:r>
    </w:p>
    <w:p w14:paraId="05E863C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三、不出借、转让资质证书，不让他人挂靠投标，不以他人名义投标或者以其他方式弄虚作假，骗取中标；  </w:t>
      </w:r>
    </w:p>
    <w:p w14:paraId="6F36D11D">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四、不与其他参选人相互串通投标报价，不排挤其他参选人的公平竞争、损害采购人的合法权益；  </w:t>
      </w:r>
    </w:p>
    <w:p w14:paraId="1DA7062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五、不与采购单位或其他参选人串通投标，损害国家利益、社会公共利益或者他人的合法权益；  </w:t>
      </w:r>
    </w:p>
    <w:p w14:paraId="24C1724A">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六、严格遵守开标现场纪律，服从监管人员管理；  </w:t>
      </w:r>
    </w:p>
    <w:p w14:paraId="39E0F69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七、保证中标后不转包，若有合法分包征得采购人同意；</w:t>
      </w:r>
    </w:p>
    <w:p w14:paraId="599CB328">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八、保证中标之后，按照参选文件承诺提供货物、服务及派驻人员；</w:t>
      </w:r>
    </w:p>
    <w:p w14:paraId="2A959010">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九、保证企业及所属相关人员在本次投标中无行贿等犯罪行为；</w:t>
      </w:r>
    </w:p>
    <w:p w14:paraId="31E459E6">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0710D18D">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十一、我方保证对本次招标活动有任何疑问或投诉，都依法在规定的时间内提出。否则，不针对本次招标活动提出任何异议或投诉。</w:t>
      </w:r>
    </w:p>
    <w:p w14:paraId="23E0CD82">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以上内容我已仔细阅读，本公司若有违反承诺内容的行为，自愿承担比选文件确定的责任和法律责任并接受相关行政部门给予的处理和处罚。给采购人造成损失的，依法承担赔偿责任。</w:t>
      </w:r>
    </w:p>
    <w:p w14:paraId="491B881A">
      <w:pPr>
        <w:rPr>
          <w:rFonts w:ascii="仿宋" w:hAnsi="仿宋" w:eastAsia="仿宋" w:cs="仿宋"/>
          <w:b/>
          <w:bCs/>
          <w:sz w:val="22"/>
          <w:szCs w:val="22"/>
          <w:highlight w:val="none"/>
        </w:rPr>
      </w:pPr>
      <w:r>
        <w:rPr>
          <w:rFonts w:hint="eastAsia" w:ascii="仿宋" w:hAnsi="仿宋" w:eastAsia="仿宋" w:cs="仿宋"/>
          <w:b/>
          <w:bCs/>
          <w:sz w:val="22"/>
          <w:szCs w:val="22"/>
          <w:highlight w:val="none"/>
        </w:rPr>
        <w:t xml:space="preserve">  </w:t>
      </w:r>
    </w:p>
    <w:p w14:paraId="1907B8F3">
      <w:pPr>
        <w:rPr>
          <w:rFonts w:ascii="仿宋" w:hAnsi="仿宋" w:eastAsia="仿宋" w:cs="仿宋"/>
          <w:b/>
          <w:bCs/>
          <w:sz w:val="22"/>
          <w:szCs w:val="22"/>
          <w:highlight w:val="none"/>
        </w:rPr>
      </w:pPr>
    </w:p>
    <w:p w14:paraId="7066CE7D">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投标单位（盖章）：</w:t>
      </w:r>
    </w:p>
    <w:p w14:paraId="4FA718A4">
      <w:pPr>
        <w:jc w:val="right"/>
        <w:rPr>
          <w:rFonts w:ascii="仿宋" w:hAnsi="仿宋" w:eastAsia="仿宋" w:cs="仿宋"/>
          <w:b/>
          <w:bCs/>
          <w:sz w:val="24"/>
          <w:szCs w:val="24"/>
          <w:highlight w:val="none"/>
        </w:rPr>
      </w:pPr>
    </w:p>
    <w:p w14:paraId="0DBD82A9">
      <w:pPr>
        <w:jc w:val="right"/>
        <w:rPr>
          <w:rFonts w:ascii="仿宋" w:hAnsi="仿宋" w:eastAsia="仿宋" w:cs="仿宋"/>
          <w:b/>
          <w:bCs/>
          <w:sz w:val="24"/>
          <w:szCs w:val="24"/>
          <w:highlight w:val="none"/>
        </w:rPr>
      </w:pPr>
    </w:p>
    <w:p w14:paraId="2B9C042B">
      <w:pPr>
        <w:ind w:right="480"/>
        <w:jc w:val="righ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日期：_____年____月____日</w:t>
      </w:r>
    </w:p>
    <w:p w14:paraId="2C4F3759">
      <w:pPr>
        <w:spacing w:before="120" w:line="22" w:lineRule="atLeast"/>
        <w:rPr>
          <w:rFonts w:hint="eastAsia" w:ascii="宋体" w:hAnsi="宋体"/>
          <w:sz w:val="24"/>
          <w:szCs w:val="21"/>
          <w:highlight w:val="none"/>
        </w:rPr>
      </w:pPr>
    </w:p>
    <w:bookmarkEnd w:id="55"/>
    <w:p w14:paraId="7175E6EE">
      <w:pPr>
        <w:keepNext/>
        <w:keepLines/>
        <w:autoSpaceDE w:val="0"/>
        <w:autoSpaceDN w:val="0"/>
        <w:adjustRightInd w:val="0"/>
        <w:spacing w:before="120" w:line="360" w:lineRule="auto"/>
        <w:jc w:val="center"/>
        <w:outlineLvl w:val="1"/>
        <w:rPr>
          <w:rFonts w:hint="eastAsia" w:ascii="Arial" w:hAnsi="Arial"/>
          <w:b/>
          <w:kern w:val="0"/>
          <w:sz w:val="32"/>
          <w:highlight w:val="none"/>
        </w:rPr>
      </w:pPr>
      <w:bookmarkStart w:id="56" w:name="_Toc234"/>
      <w:bookmarkStart w:id="57" w:name="_Toc25079"/>
      <w:bookmarkStart w:id="58" w:name="_Toc22272"/>
      <w:bookmarkStart w:id="59" w:name="_Toc4481606"/>
      <w:r>
        <w:rPr>
          <w:rFonts w:hint="eastAsia" w:ascii="Arial" w:hAnsi="Arial"/>
          <w:b/>
          <w:kern w:val="0"/>
          <w:sz w:val="32"/>
          <w:highlight w:val="none"/>
        </w:rPr>
        <w:t>五、相关证明文件</w:t>
      </w:r>
      <w:bookmarkEnd w:id="56"/>
      <w:bookmarkEnd w:id="57"/>
      <w:bookmarkEnd w:id="58"/>
      <w:bookmarkEnd w:id="59"/>
    </w:p>
    <w:p w14:paraId="7CB0F9B9">
      <w:pPr>
        <w:spacing w:line="360" w:lineRule="auto"/>
        <w:ind w:firstLine="420" w:firstLineChars="200"/>
        <w:rPr>
          <w:rFonts w:ascii="宋体"/>
          <w:szCs w:val="21"/>
          <w:highlight w:val="none"/>
        </w:rPr>
      </w:pPr>
      <w:r>
        <w:rPr>
          <w:rFonts w:ascii="宋体" w:hAnsi="宋体" w:cs="宋体"/>
          <w:szCs w:val="21"/>
          <w:highlight w:val="none"/>
        </w:rPr>
        <w:t>1</w:t>
      </w:r>
      <w:r>
        <w:rPr>
          <w:rFonts w:hint="eastAsia" w:ascii="宋体" w:hAnsi="宋体" w:cs="宋体"/>
          <w:szCs w:val="21"/>
          <w:highlight w:val="none"/>
        </w:rPr>
        <w:t>、</w:t>
      </w:r>
      <w:r>
        <w:rPr>
          <w:rFonts w:hint="eastAsia" w:ascii="宋体" w:hAnsi="宋体"/>
          <w:szCs w:val="21"/>
          <w:highlight w:val="none"/>
        </w:rPr>
        <w:t>营业执照副本复印件；</w:t>
      </w:r>
    </w:p>
    <w:p w14:paraId="1B04167A">
      <w:pPr>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 xml:space="preserve">、税务登记证副本复印件；（如为三证合一的，只需提供三证合一的营业执照复印件）  </w:t>
      </w:r>
    </w:p>
    <w:p w14:paraId="37E7D04F">
      <w:pPr>
        <w:spacing w:line="360" w:lineRule="auto"/>
        <w:ind w:firstLine="420" w:firstLineChars="200"/>
        <w:rPr>
          <w:rFonts w:ascii="宋体"/>
          <w:szCs w:val="21"/>
          <w:highlight w:val="none"/>
        </w:rPr>
      </w:pPr>
      <w:r>
        <w:rPr>
          <w:rFonts w:hint="eastAsia" w:ascii="宋体" w:hAnsi="宋体"/>
          <w:szCs w:val="21"/>
          <w:highlight w:val="none"/>
        </w:rPr>
        <w:t>3、法定代表人身份证明书（格式见附件）及其有效二代居民身份证；</w:t>
      </w:r>
    </w:p>
    <w:p w14:paraId="48F916A9">
      <w:pPr>
        <w:spacing w:line="360" w:lineRule="auto"/>
        <w:ind w:firstLine="420" w:firstLineChars="200"/>
        <w:rPr>
          <w:rFonts w:ascii="宋体" w:hAnsi="宋体"/>
          <w:szCs w:val="21"/>
          <w:highlight w:val="none"/>
        </w:rPr>
      </w:pPr>
      <w:r>
        <w:rPr>
          <w:rFonts w:hint="eastAsia" w:ascii="宋体" w:hAnsi="宋体"/>
          <w:szCs w:val="21"/>
          <w:highlight w:val="none"/>
        </w:rPr>
        <w:t>4、法定代表人授权委托书（格式见附件）及委托代理人有效二代居民身份证，若法定代表人本人参与比选则不需此件；</w:t>
      </w:r>
    </w:p>
    <w:p w14:paraId="230321CD">
      <w:pPr>
        <w:spacing w:line="360" w:lineRule="auto"/>
        <w:ind w:firstLine="420" w:firstLineChars="200"/>
        <w:rPr>
          <w:rFonts w:ascii="宋体" w:hAnsi="宋体"/>
          <w:szCs w:val="21"/>
          <w:highlight w:val="none"/>
        </w:rPr>
      </w:pPr>
      <w:r>
        <w:rPr>
          <w:rFonts w:hint="eastAsia" w:ascii="宋体" w:hAnsi="宋体"/>
          <w:szCs w:val="21"/>
          <w:highlight w:val="none"/>
        </w:rPr>
        <w:t>5、参选人认为提供的其他材料。</w:t>
      </w:r>
    </w:p>
    <w:p w14:paraId="6138E8EC">
      <w:pPr>
        <w:autoSpaceDE w:val="0"/>
        <w:autoSpaceDN w:val="0"/>
        <w:adjustRightInd w:val="0"/>
        <w:ind w:firstLine="420"/>
        <w:jc w:val="left"/>
        <w:rPr>
          <w:rFonts w:ascii="宋体"/>
          <w:kern w:val="0"/>
          <w:sz w:val="24"/>
          <w:highlight w:val="none"/>
        </w:rPr>
      </w:pPr>
    </w:p>
    <w:p w14:paraId="3D8C6146">
      <w:pPr>
        <w:spacing w:line="360" w:lineRule="auto"/>
        <w:ind w:firstLine="420" w:firstLineChars="200"/>
        <w:rPr>
          <w:rFonts w:hint="eastAsia" w:ascii="宋体" w:hAnsi="宋体"/>
          <w:szCs w:val="21"/>
          <w:highlight w:val="none"/>
        </w:rPr>
      </w:pPr>
    </w:p>
    <w:p w14:paraId="7D562468">
      <w:pPr>
        <w:spacing w:line="360" w:lineRule="auto"/>
        <w:ind w:firstLine="420" w:firstLineChars="200"/>
        <w:rPr>
          <w:rFonts w:hint="eastAsia" w:ascii="宋体" w:hAnsi="宋体"/>
          <w:szCs w:val="21"/>
          <w:highlight w:val="none"/>
        </w:rPr>
      </w:pPr>
    </w:p>
    <w:p w14:paraId="38B3EB60">
      <w:pPr>
        <w:spacing w:line="360" w:lineRule="auto"/>
        <w:ind w:firstLine="420" w:firstLineChars="200"/>
        <w:rPr>
          <w:rFonts w:hint="eastAsia" w:ascii="宋体" w:hAnsi="宋体"/>
          <w:szCs w:val="21"/>
          <w:highlight w:val="none"/>
        </w:rPr>
      </w:pPr>
    </w:p>
    <w:p w14:paraId="2E84C695">
      <w:pPr>
        <w:spacing w:line="360" w:lineRule="auto"/>
        <w:ind w:firstLine="420" w:firstLineChars="200"/>
        <w:rPr>
          <w:rFonts w:hint="eastAsia" w:ascii="宋体" w:hAnsi="宋体"/>
          <w:szCs w:val="21"/>
          <w:highlight w:val="none"/>
        </w:rPr>
      </w:pPr>
    </w:p>
    <w:p w14:paraId="344411BD">
      <w:pPr>
        <w:spacing w:line="360" w:lineRule="auto"/>
        <w:ind w:firstLine="420" w:firstLineChars="200"/>
        <w:rPr>
          <w:rFonts w:hint="eastAsia" w:ascii="宋体" w:hAnsi="宋体"/>
          <w:szCs w:val="21"/>
          <w:highlight w:val="none"/>
        </w:rPr>
      </w:pPr>
    </w:p>
    <w:p w14:paraId="49062275">
      <w:pPr>
        <w:spacing w:line="360" w:lineRule="auto"/>
        <w:ind w:firstLine="420" w:firstLineChars="200"/>
        <w:rPr>
          <w:rFonts w:hint="eastAsia" w:ascii="宋体" w:hAnsi="宋体"/>
          <w:szCs w:val="21"/>
          <w:highlight w:val="none"/>
        </w:rPr>
      </w:pPr>
    </w:p>
    <w:p w14:paraId="489192DF">
      <w:pPr>
        <w:spacing w:line="360" w:lineRule="auto"/>
        <w:ind w:firstLine="420" w:firstLineChars="200"/>
        <w:rPr>
          <w:rFonts w:hint="eastAsia" w:ascii="宋体" w:hAnsi="宋体"/>
          <w:szCs w:val="21"/>
          <w:highlight w:val="none"/>
        </w:rPr>
      </w:pPr>
    </w:p>
    <w:p w14:paraId="5C1A676C">
      <w:pPr>
        <w:spacing w:line="360" w:lineRule="auto"/>
        <w:ind w:firstLine="420" w:firstLineChars="200"/>
        <w:rPr>
          <w:rFonts w:hint="eastAsia" w:ascii="宋体" w:hAnsi="宋体"/>
          <w:szCs w:val="21"/>
          <w:highlight w:val="none"/>
        </w:rPr>
      </w:pPr>
    </w:p>
    <w:p w14:paraId="4BDBD9F3">
      <w:pPr>
        <w:spacing w:line="360" w:lineRule="auto"/>
        <w:ind w:firstLine="420" w:firstLineChars="200"/>
        <w:rPr>
          <w:rFonts w:hint="eastAsia" w:ascii="宋体" w:hAnsi="宋体"/>
          <w:szCs w:val="21"/>
          <w:highlight w:val="none"/>
        </w:rPr>
      </w:pPr>
    </w:p>
    <w:p w14:paraId="5B03DDEE">
      <w:pPr>
        <w:spacing w:line="360" w:lineRule="auto"/>
        <w:ind w:firstLine="420" w:firstLineChars="200"/>
        <w:rPr>
          <w:rFonts w:hint="eastAsia" w:ascii="宋体" w:hAnsi="宋体"/>
          <w:szCs w:val="21"/>
          <w:highlight w:val="none"/>
        </w:rPr>
      </w:pPr>
    </w:p>
    <w:p w14:paraId="327FF5A5">
      <w:pPr>
        <w:spacing w:line="360" w:lineRule="auto"/>
        <w:ind w:firstLine="420" w:firstLineChars="200"/>
        <w:rPr>
          <w:rFonts w:hint="eastAsia" w:ascii="宋体" w:hAnsi="宋体"/>
          <w:szCs w:val="21"/>
          <w:highlight w:val="none"/>
        </w:rPr>
      </w:pPr>
    </w:p>
    <w:p w14:paraId="420747CB">
      <w:pPr>
        <w:spacing w:line="360" w:lineRule="auto"/>
        <w:ind w:firstLine="420" w:firstLineChars="200"/>
        <w:rPr>
          <w:rFonts w:hint="eastAsia" w:ascii="宋体" w:hAnsi="宋体"/>
          <w:szCs w:val="21"/>
          <w:highlight w:val="none"/>
        </w:rPr>
      </w:pPr>
    </w:p>
    <w:p w14:paraId="79F4E211">
      <w:pPr>
        <w:spacing w:line="360" w:lineRule="auto"/>
        <w:ind w:firstLine="420" w:firstLineChars="200"/>
        <w:rPr>
          <w:rFonts w:hint="eastAsia" w:ascii="宋体" w:hAnsi="宋体"/>
          <w:szCs w:val="21"/>
          <w:highlight w:val="none"/>
        </w:rPr>
      </w:pPr>
    </w:p>
    <w:p w14:paraId="79DE2E34">
      <w:pPr>
        <w:spacing w:line="360" w:lineRule="auto"/>
        <w:ind w:firstLine="420" w:firstLineChars="200"/>
        <w:rPr>
          <w:rFonts w:hint="eastAsia" w:ascii="宋体" w:hAnsi="宋体"/>
          <w:szCs w:val="21"/>
          <w:highlight w:val="none"/>
        </w:rPr>
      </w:pPr>
    </w:p>
    <w:p w14:paraId="659B9E55">
      <w:pPr>
        <w:spacing w:line="360" w:lineRule="auto"/>
        <w:rPr>
          <w:rFonts w:hint="eastAsia" w:ascii="宋体" w:hAnsi="宋体"/>
          <w:szCs w:val="21"/>
          <w:highlight w:val="none"/>
        </w:rPr>
      </w:pPr>
    </w:p>
    <w:p w14:paraId="7560E302">
      <w:pPr>
        <w:spacing w:line="360" w:lineRule="auto"/>
        <w:ind w:firstLine="420" w:firstLineChars="200"/>
        <w:rPr>
          <w:rFonts w:hint="eastAsia" w:ascii="宋体" w:hAnsi="宋体"/>
          <w:szCs w:val="21"/>
          <w:highlight w:val="none"/>
        </w:rPr>
      </w:pPr>
    </w:p>
    <w:p w14:paraId="11A18906">
      <w:pPr>
        <w:spacing w:line="360" w:lineRule="auto"/>
        <w:ind w:firstLine="420" w:firstLineChars="200"/>
        <w:rPr>
          <w:rFonts w:hint="eastAsia" w:ascii="宋体" w:hAnsi="宋体"/>
          <w:szCs w:val="21"/>
          <w:highlight w:val="none"/>
        </w:rPr>
      </w:pPr>
    </w:p>
    <w:p w14:paraId="1F58BCA9">
      <w:pPr>
        <w:spacing w:line="360" w:lineRule="auto"/>
        <w:ind w:firstLine="420" w:firstLineChars="200"/>
        <w:rPr>
          <w:rFonts w:hint="eastAsia" w:ascii="宋体" w:hAnsi="宋体"/>
          <w:szCs w:val="21"/>
          <w:highlight w:val="none"/>
        </w:rPr>
      </w:pPr>
    </w:p>
    <w:p w14:paraId="75953904">
      <w:pPr>
        <w:spacing w:line="360" w:lineRule="auto"/>
        <w:rPr>
          <w:rFonts w:hint="eastAsia" w:ascii="宋体" w:hAnsi="宋体"/>
          <w:szCs w:val="21"/>
          <w:highlight w:val="none"/>
        </w:rPr>
      </w:pPr>
    </w:p>
    <w:p w14:paraId="25423DCA">
      <w:pPr>
        <w:spacing w:line="360" w:lineRule="auto"/>
        <w:rPr>
          <w:rFonts w:hint="eastAsia" w:ascii="宋体" w:hAnsi="宋体"/>
          <w:szCs w:val="21"/>
          <w:highlight w:val="none"/>
        </w:rPr>
      </w:pPr>
    </w:p>
    <w:p w14:paraId="0E3BCA76">
      <w:pPr>
        <w:pStyle w:val="60"/>
        <w:rPr>
          <w:rFonts w:hint="eastAsia" w:ascii="宋体" w:hAnsi="宋体"/>
          <w:szCs w:val="21"/>
          <w:highlight w:val="none"/>
        </w:rPr>
      </w:pPr>
    </w:p>
    <w:p w14:paraId="3D4A87DA">
      <w:pPr>
        <w:pStyle w:val="60"/>
        <w:rPr>
          <w:rFonts w:hint="eastAsia" w:ascii="宋体" w:hAnsi="宋体"/>
          <w:szCs w:val="21"/>
          <w:highlight w:val="none"/>
        </w:rPr>
      </w:pPr>
    </w:p>
    <w:p w14:paraId="2969C402">
      <w:pPr>
        <w:spacing w:line="360" w:lineRule="auto"/>
        <w:ind w:left="368" w:leftChars="175"/>
        <w:rPr>
          <w:rFonts w:ascii="宋体" w:hAnsi="宋体" w:cs="宋体"/>
          <w:b/>
          <w:spacing w:val="-4"/>
          <w:kern w:val="0"/>
          <w:szCs w:val="21"/>
          <w:highlight w:val="none"/>
        </w:rPr>
      </w:pPr>
      <w:r>
        <w:rPr>
          <w:rFonts w:hint="eastAsia" w:ascii="宋体" w:hAnsi="宋体" w:cs="宋体"/>
          <w:b/>
          <w:spacing w:val="-4"/>
          <w:kern w:val="0"/>
          <w:szCs w:val="21"/>
          <w:highlight w:val="none"/>
        </w:rPr>
        <w:t>附件：</w:t>
      </w:r>
    </w:p>
    <w:p w14:paraId="07E49C29">
      <w:pPr>
        <w:spacing w:line="360" w:lineRule="auto"/>
        <w:ind w:firstLine="413" w:firstLineChars="196"/>
        <w:jc w:val="center"/>
        <w:rPr>
          <w:rFonts w:ascii="宋体" w:cs="宋体"/>
          <w:b/>
          <w:szCs w:val="21"/>
          <w:highlight w:val="none"/>
        </w:rPr>
      </w:pPr>
      <w:r>
        <w:rPr>
          <w:rFonts w:hint="eastAsia" w:ascii="宋体" w:hAnsi="宋体" w:cs="宋体"/>
          <w:b/>
          <w:szCs w:val="21"/>
          <w:highlight w:val="none"/>
        </w:rPr>
        <w:t>法定代表人身份证明书</w:t>
      </w:r>
    </w:p>
    <w:p w14:paraId="3E515652">
      <w:pPr>
        <w:wordWrap w:val="0"/>
        <w:adjustRightInd w:val="0"/>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参选人名称：</w:t>
      </w:r>
      <w:r>
        <w:rPr>
          <w:rFonts w:hint="eastAsia" w:ascii="宋体" w:hAnsi="宋体" w:cs="宋体"/>
          <w:szCs w:val="21"/>
          <w:highlight w:val="none"/>
          <w:u w:val="single"/>
        </w:rPr>
        <w:t xml:space="preserve">                    </w:t>
      </w:r>
    </w:p>
    <w:p w14:paraId="03C2CE8B">
      <w:pPr>
        <w:wordWrap w:val="0"/>
        <w:adjustRightInd w:val="0"/>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14:paraId="48B652DA">
      <w:pPr>
        <w:wordWrap w:val="0"/>
        <w:adjustRightInd w:val="0"/>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339D09B6">
      <w:pPr>
        <w:wordWrap w:val="0"/>
        <w:adjustRightInd w:val="0"/>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65C7298D">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（参选人名称）的法定代表人。</w:t>
      </w:r>
    </w:p>
    <w:p w14:paraId="55D3808C">
      <w:pPr>
        <w:wordWrap w:val="0"/>
        <w:adjustRightInd w:val="0"/>
        <w:snapToGrid w:val="0"/>
        <w:spacing w:line="360" w:lineRule="auto"/>
        <w:ind w:firstLine="411" w:firstLineChars="196"/>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r>
        <w:rPr>
          <w:rFonts w:hint="eastAsia" w:hAnsi="宋体"/>
          <w:szCs w:val="21"/>
          <w:highlight w:val="none"/>
        </w:rPr>
        <w:t>            </w:t>
      </w:r>
    </w:p>
    <w:p w14:paraId="6284425C">
      <w:pPr>
        <w:wordWrap w:val="0"/>
        <w:adjustRightInd w:val="0"/>
        <w:snapToGrid w:val="0"/>
        <w:spacing w:line="360" w:lineRule="auto"/>
        <w:ind w:firstLine="420" w:firstLineChars="200"/>
        <w:rPr>
          <w:rFonts w:ascii="宋体" w:cs="宋体"/>
          <w:szCs w:val="21"/>
          <w:highlight w:val="none"/>
        </w:rPr>
      </w:pPr>
      <w:r>
        <w:rPr>
          <w:rFonts w:hint="eastAsia" w:hAnsi="宋体"/>
          <w:szCs w:val="21"/>
          <w:highlight w:val="none"/>
        </w:rPr>
        <w:t>电子邮箱：</w:t>
      </w:r>
      <w:r>
        <w:rPr>
          <w:rFonts w:hint="eastAsia" w:hAnsi="宋体"/>
          <w:szCs w:val="21"/>
          <w:highlight w:val="none"/>
          <w:u w:val="single"/>
        </w:rPr>
        <w:t xml:space="preserve">                       </w:t>
      </w:r>
      <w:r>
        <w:rPr>
          <w:rFonts w:hint="eastAsia" w:hAnsi="宋体"/>
          <w:szCs w:val="21"/>
          <w:highlight w:val="none"/>
        </w:rPr>
        <w:t> </w:t>
      </w:r>
    </w:p>
    <w:p w14:paraId="4213B5DF">
      <w:pPr>
        <w:wordWrap w:val="0"/>
        <w:adjustRightInd w:val="0"/>
        <w:snapToGrid w:val="0"/>
        <w:spacing w:line="360" w:lineRule="auto"/>
        <w:ind w:firstLine="411" w:firstLineChars="196"/>
        <w:rPr>
          <w:rFonts w:ascii="宋体" w:cs="宋体"/>
          <w:szCs w:val="21"/>
          <w:highlight w:val="none"/>
        </w:rPr>
      </w:pPr>
      <w:r>
        <w:rPr>
          <w:rFonts w:hint="eastAsia" w:ascii="宋体" w:hAnsi="宋体" w:cs="宋体"/>
          <w:szCs w:val="21"/>
          <w:highlight w:val="none"/>
        </w:rPr>
        <w:t>特此证明。</w:t>
      </w:r>
    </w:p>
    <w:p w14:paraId="0015E4F7">
      <w:pPr>
        <w:wordWrap w:val="0"/>
        <w:adjustRightInd w:val="0"/>
        <w:snapToGrid w:val="0"/>
        <w:spacing w:line="360" w:lineRule="auto"/>
        <w:ind w:firstLine="4137" w:firstLineChars="1970"/>
        <w:rPr>
          <w:rFonts w:ascii="宋体" w:cs="宋体"/>
          <w:szCs w:val="21"/>
          <w:highlight w:val="none"/>
        </w:rPr>
      </w:pPr>
      <w:r>
        <w:rPr>
          <w:rFonts w:hint="eastAsia" w:ascii="宋体" w:hAnsi="宋体" w:cs="宋体"/>
          <w:szCs w:val="21"/>
          <w:highlight w:val="none"/>
        </w:rPr>
        <w:t>参选人：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6E2F7441">
      <w:pPr>
        <w:wordWrap w:val="0"/>
        <w:adjustRightInd w:val="0"/>
        <w:snapToGrid w:val="0"/>
        <w:spacing w:line="360" w:lineRule="auto"/>
        <w:ind w:right="360" w:firstLine="4851" w:firstLineChars="2310"/>
        <w:jc w:val="right"/>
        <w:rPr>
          <w:rFonts w:ascii="宋体" w:hAnsi="宋体" w:cs="宋体"/>
          <w:szCs w:val="21"/>
          <w:highlight w:val="none"/>
        </w:rPr>
      </w:pPr>
      <w:r>
        <w:rPr>
          <w:rFonts w:hint="eastAsia" w:ascii="宋体" w:hAnsi="宋体" w:cs="宋体"/>
          <w:szCs w:val="21"/>
          <w:highlight w:val="none"/>
        </w:rPr>
        <w:t xml:space="preserve"> 年  月  日</w:t>
      </w:r>
    </w:p>
    <w:p w14:paraId="3722C1CE">
      <w:pPr>
        <w:spacing w:line="360" w:lineRule="auto"/>
        <w:rPr>
          <w:rFonts w:ascii="宋体" w:cs="宋体"/>
          <w:szCs w:val="21"/>
          <w:highlight w:val="none"/>
        </w:rPr>
      </w:pPr>
    </w:p>
    <w:p w14:paraId="41950613">
      <w:pPr>
        <w:wordWrap w:val="0"/>
        <w:spacing w:line="360" w:lineRule="auto"/>
        <w:jc w:val="center"/>
        <w:rPr>
          <w:rFonts w:ascii="宋体" w:cs="宋体"/>
          <w:b/>
          <w:szCs w:val="21"/>
          <w:highlight w:val="none"/>
        </w:rPr>
      </w:pPr>
      <w:r>
        <w:rPr>
          <w:rFonts w:hint="eastAsia" w:ascii="宋体" w:hAnsi="宋体" w:cs="宋体"/>
          <w:b/>
          <w:szCs w:val="21"/>
          <w:highlight w:val="none"/>
        </w:rPr>
        <w:t>法定代表人授权委托书</w:t>
      </w:r>
    </w:p>
    <w:p w14:paraId="0885FBCA">
      <w:pPr>
        <w:wordWrap w:val="0"/>
        <w:spacing w:line="360" w:lineRule="auto"/>
        <w:ind w:firstLine="420" w:firstLineChars="200"/>
        <w:rPr>
          <w:rFonts w:asci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（参选人名称）的法定代表人，现委托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（姓名）为我方委托代理人。委托代理人根据授权，以我方名义签署、澄清、说明、补正、提交、撤回、修改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（项目名称）参选文件、签订合同等一切事宜，其法律后果由我方承担。</w:t>
      </w:r>
    </w:p>
    <w:p w14:paraId="50D00550">
      <w:pPr>
        <w:wordWrap w:val="0"/>
        <w:spacing w:line="360" w:lineRule="auto"/>
        <w:ind w:firstLine="420" w:firstLineChars="200"/>
        <w:rPr>
          <w:rFonts w:asci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1CD277B1">
      <w:pPr>
        <w:wordWrap w:val="0"/>
        <w:spacing w:line="360" w:lineRule="auto"/>
        <w:ind w:firstLine="420" w:firstLineChars="200"/>
        <w:rPr>
          <w:rFonts w:ascii="宋体" w:cs="宋体"/>
          <w:szCs w:val="21"/>
          <w:highlight w:val="none"/>
        </w:rPr>
      </w:pPr>
      <w:r>
        <w:rPr>
          <w:rFonts w:hint="eastAsia" w:ascii="宋体" w:hAnsi="宋体" w:cs="宋体"/>
          <w:szCs w:val="21"/>
          <w:highlight w:val="none"/>
        </w:rPr>
        <w:t>委托代理人无转委托权，特此委托。</w:t>
      </w:r>
    </w:p>
    <w:p w14:paraId="5A55DA81">
      <w:pPr>
        <w:wordWrap w:val="0"/>
        <w:spacing w:line="360" w:lineRule="auto"/>
        <w:ind w:firstLine="420" w:firstLineChars="200"/>
        <w:rPr>
          <w:rFonts w:ascii="宋体" w:cs="宋体"/>
          <w:szCs w:val="21"/>
          <w:highlight w:val="none"/>
          <w:u w:val="singl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ascii="宋体" w:hAnsi="宋体" w:cs="宋体"/>
          <w:szCs w:val="21"/>
          <w:highlight w:val="none"/>
        </w:rPr>
        <w:t>_______</w:t>
      </w:r>
      <w:bookmarkStart w:id="60" w:name="_GoBack"/>
      <w:bookmarkEnd w:id="60"/>
    </w:p>
    <w:p w14:paraId="65D1174C">
      <w:pPr>
        <w:wordWrap w:val="0"/>
        <w:spacing w:line="360" w:lineRule="auto"/>
        <w:ind w:firstLine="420" w:firstLineChars="200"/>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C19739E">
      <w:pPr>
        <w:wordWrap w:val="0"/>
        <w:spacing w:line="360" w:lineRule="auto"/>
        <w:ind w:firstLine="420" w:firstLineChars="200"/>
        <w:rPr>
          <w:rFonts w:hAnsi="宋体"/>
          <w:szCs w:val="21"/>
          <w:highlight w:val="none"/>
        </w:rPr>
      </w:pPr>
      <w:r>
        <w:rPr>
          <w:rFonts w:hint="eastAsia" w:ascii="宋体" w:hAnsi="宋体" w:cs="宋体"/>
          <w:szCs w:val="21"/>
          <w:highlight w:val="none"/>
        </w:rPr>
        <w:t>联系方</w:t>
      </w:r>
      <w:r>
        <w:rPr>
          <w:rFonts w:hint="eastAsia" w:hAnsi="宋体"/>
          <w:szCs w:val="21"/>
          <w:highlight w:val="none"/>
        </w:rPr>
        <w:t>式（移动电话）</w:t>
      </w:r>
      <w:r>
        <w:rPr>
          <w:rFonts w:hint="eastAsia" w:ascii="宋体" w:hAnsi="宋体" w:cs="宋体"/>
          <w:szCs w:val="21"/>
          <w:highlight w:val="none"/>
        </w:rPr>
        <w:t>：</w:t>
      </w:r>
      <w:r>
        <w:rPr>
          <w:rFonts w:hint="eastAsia" w:hAnsi="宋体"/>
          <w:szCs w:val="21"/>
          <w:highlight w:val="none"/>
          <w:u w:val="single"/>
        </w:rPr>
        <w:t xml:space="preserve">                   </w:t>
      </w:r>
    </w:p>
    <w:p w14:paraId="1345721B">
      <w:pPr>
        <w:wordWrap w:val="0"/>
        <w:spacing w:line="360" w:lineRule="auto"/>
        <w:ind w:firstLine="420" w:firstLineChars="200"/>
        <w:rPr>
          <w:rFonts w:ascii="宋体" w:hAnsi="宋体" w:cs="宋体"/>
          <w:szCs w:val="21"/>
          <w:highlight w:val="none"/>
          <w:u w:val="single"/>
        </w:rPr>
      </w:pPr>
      <w:r>
        <w:rPr>
          <w:rFonts w:hint="eastAsia" w:hAnsi="宋体"/>
          <w:szCs w:val="21"/>
          <w:highlight w:val="none"/>
        </w:rPr>
        <w:t>电子邮箱：</w:t>
      </w:r>
      <w:r>
        <w:rPr>
          <w:rFonts w:hint="eastAsia" w:hAnsi="宋体"/>
          <w:szCs w:val="21"/>
          <w:highlight w:val="none"/>
          <w:u w:val="single"/>
        </w:rPr>
        <w:t xml:space="preserve">               </w:t>
      </w:r>
    </w:p>
    <w:p w14:paraId="6EA9C7AF">
      <w:pPr>
        <w:wordWrap w:val="0"/>
        <w:spacing w:line="360" w:lineRule="auto"/>
        <w:ind w:firstLine="420" w:firstLineChars="200"/>
        <w:rPr>
          <w:rFonts w:ascii="宋体" w:cs="宋体"/>
          <w:szCs w:val="21"/>
          <w:highlight w:val="none"/>
        </w:rPr>
      </w:pPr>
      <w:r>
        <w:rPr>
          <w:rFonts w:hint="eastAsia" w:ascii="宋体" w:hAnsi="宋体" w:cs="宋体"/>
          <w:szCs w:val="21"/>
          <w:highlight w:val="none"/>
        </w:rPr>
        <w:t>参选人：</w:t>
      </w:r>
      <w:r>
        <w:rPr>
          <w:rFonts w:hint="eastAsia" w:ascii="宋体" w:hAnsi="宋体" w:cs="宋体"/>
          <w:szCs w:val="21"/>
          <w:highlight w:val="none"/>
          <w:u w:val="single"/>
        </w:rPr>
        <w:t xml:space="preserve">                   （盖章）</w:t>
      </w:r>
    </w:p>
    <w:p w14:paraId="0E8FDD73">
      <w:pPr>
        <w:wordWrap w:val="0"/>
        <w:spacing w:line="360" w:lineRule="auto"/>
        <w:ind w:firstLine="420" w:firstLineChars="200"/>
        <w:rPr>
          <w:rFonts w:asci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hAnsi="宋体" w:cs="宋体"/>
          <w:szCs w:val="24"/>
          <w:highlight w:val="none"/>
          <w:u w:val="single"/>
        </w:rPr>
        <w:t>签字或</w:t>
      </w:r>
      <w:r>
        <w:rPr>
          <w:rFonts w:hint="eastAsia" w:ascii="宋体" w:hAnsi="宋体" w:cs="宋体"/>
          <w:szCs w:val="21"/>
          <w:highlight w:val="none"/>
          <w:u w:val="single"/>
        </w:rPr>
        <w:t>盖章）</w:t>
      </w:r>
    </w:p>
    <w:p w14:paraId="50FF5BE2">
      <w:pPr>
        <w:wordWrap w:val="0"/>
        <w:spacing w:line="360" w:lineRule="auto"/>
        <w:ind w:right="480" w:firstLine="420" w:firstLineChars="200"/>
        <w:rPr>
          <w:rFonts w:hint="eastAsia" w:ascii="宋体" w:hAnsi="宋体" w:cs="宋体"/>
          <w:szCs w:val="21"/>
          <w:highlight w:val="none"/>
        </w:rPr>
      </w:pPr>
      <w:r>
        <w:rPr>
          <w:rFonts w:hint="eastAsia" w:ascii="宋体" w:hAnsi="宋体" w:cs="宋体"/>
          <w:szCs w:val="21"/>
          <w:highlight w:val="none"/>
        </w:rPr>
        <w:t>授权委托日期：  年  月  日</w:t>
      </w:r>
    </w:p>
    <w:p w14:paraId="4EF8646C">
      <w:pPr>
        <w:spacing w:before="156" w:beforeLines="50" w:after="10"/>
        <w:ind w:left="420" w:leftChars="200" w:firstLine="367" w:firstLineChars="175"/>
        <w:jc w:val="left"/>
        <w:rPr>
          <w:rFonts w:hint="eastAsia" w:ascii="宋体" w:hAnsi="宋体" w:cs="宋体"/>
          <w:szCs w:val="21"/>
          <w:highlight w:val="none"/>
        </w:rPr>
      </w:pPr>
    </w:p>
    <w:p w14:paraId="342E5CD4">
      <w:pPr>
        <w:spacing w:before="156" w:beforeLines="50" w:after="10"/>
        <w:jc w:val="left"/>
        <w:rPr>
          <w:rFonts w:hint="eastAsia" w:ascii="宋体" w:hAnsi="宋体" w:cs="宋体"/>
          <w:szCs w:val="21"/>
          <w:highlight w:val="none"/>
        </w:rPr>
      </w:pPr>
    </w:p>
    <w:p w14:paraId="31FFFA53">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2563">
    <w:pPr>
      <w:pStyle w:val="36"/>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9006D">
    <w:pPr>
      <w:pStyle w:val="36"/>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0ED09CF0">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0E6E">
    <w:pPr>
      <w:pStyle w:val="36"/>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34EC986A">
        <w:pPr>
          <w:pStyle w:val="36"/>
          <w:jc w:val="center"/>
        </w:pPr>
        <w:r>
          <w:fldChar w:fldCharType="begin"/>
        </w:r>
        <w:r>
          <w:instrText xml:space="preserve">PAGE   \* MERGEFORMAT</w:instrText>
        </w:r>
        <w:r>
          <w:fldChar w:fldCharType="separate"/>
        </w:r>
        <w:r>
          <w:rPr>
            <w:lang w:val="zh-CN"/>
          </w:rPr>
          <w:t>2</w:t>
        </w:r>
        <w:r>
          <w:fldChar w:fldCharType="end"/>
        </w:r>
      </w:p>
    </w:sdtContent>
  </w:sdt>
  <w:p w14:paraId="308B33CE">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2BAAA55B">
        <w:pPr>
          <w:pStyle w:val="36"/>
          <w:jc w:val="center"/>
        </w:pPr>
        <w:r>
          <w:fldChar w:fldCharType="begin"/>
        </w:r>
        <w:r>
          <w:instrText xml:space="preserve">PAGE   \* MERGEFORMAT</w:instrText>
        </w:r>
        <w:r>
          <w:fldChar w:fldCharType="separate"/>
        </w:r>
        <w:r>
          <w:rPr>
            <w:lang w:val="zh-CN"/>
          </w:rPr>
          <w:t>2</w:t>
        </w:r>
        <w:r>
          <w:fldChar w:fldCharType="end"/>
        </w:r>
      </w:p>
    </w:sdtContent>
  </w:sdt>
  <w:p w14:paraId="28F38A2A">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42A80">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DF1C">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4FE84">
    <w:pPr>
      <w:pStyle w:val="39"/>
      <w:jc w:val="right"/>
      <w:rPr>
        <w:rFonts w:hint="eastAsia"/>
        <w:sz w:val="16"/>
        <w:szCs w:val="16"/>
        <w:lang w:eastAsia="zh-CN"/>
      </w:rPr>
    </w:pPr>
    <w:r>
      <w:rPr>
        <w:rFonts w:hint="eastAsia"/>
        <w:sz w:val="16"/>
        <w:szCs w:val="16"/>
        <w:lang w:eastAsia="zh-CN"/>
      </w:rPr>
      <w:t>2025年度安庆市皖圆市政园林工程有限公司农药、除草剂采购项目比选文件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9A413">
    <w:pPr>
      <w:pStyle w:val="39"/>
      <w:pBdr>
        <w:bottom w:val="single" w:color="auto" w:sz="4" w:space="1"/>
      </w:pBdr>
      <w:jc w:val="right"/>
      <w:rPr>
        <w:sz w:val="16"/>
        <w:szCs w:val="16"/>
      </w:rPr>
    </w:pPr>
    <w:r>
      <w:rPr>
        <w:rFonts w:hint="eastAsia"/>
        <w:sz w:val="16"/>
        <w:szCs w:val="16"/>
        <w:lang w:val="en-US" w:eastAsia="zh-CN"/>
      </w:rPr>
      <w:t>2025年度安庆市皖圆市政园林工程有限公司农药、除草剂采购项目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C2032"/>
    <w:multiLevelType w:val="singleLevel"/>
    <w:tmpl w:val="8A6C2032"/>
    <w:lvl w:ilvl="0" w:tentative="0">
      <w:start w:val="2"/>
      <w:numFmt w:val="chineseCounting"/>
      <w:suff w:val="nothing"/>
      <w:lvlText w:val="%1、"/>
      <w:lvlJc w:val="left"/>
      <w:rPr>
        <w:rFonts w:hint="eastAsia"/>
      </w:rPr>
    </w:lvl>
  </w:abstractNum>
  <w:abstractNum w:abstractNumId="1">
    <w:nsid w:val="A61A7505"/>
    <w:multiLevelType w:val="singleLevel"/>
    <w:tmpl w:val="A61A7505"/>
    <w:lvl w:ilvl="0" w:tentative="0">
      <w:start w:val="1"/>
      <w:numFmt w:val="chineseCounting"/>
      <w:suff w:val="nothing"/>
      <w:lvlText w:val="%1、"/>
      <w:lvlJc w:val="left"/>
      <w:rPr>
        <w:rFonts w:hint="eastAsia"/>
      </w:rPr>
    </w:lvl>
  </w:abstractNum>
  <w:abstractNum w:abstractNumId="2">
    <w:nsid w:val="C4BC3CD3"/>
    <w:multiLevelType w:val="singleLevel"/>
    <w:tmpl w:val="C4BC3CD3"/>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3">
    <w:nsid w:val="C842E930"/>
    <w:multiLevelType w:val="singleLevel"/>
    <w:tmpl w:val="C842E930"/>
    <w:lvl w:ilvl="0" w:tentative="0">
      <w:start w:val="7"/>
      <w:numFmt w:val="decimal"/>
      <w:suff w:val="nothing"/>
      <w:lvlText w:val="%1、"/>
      <w:lvlJc w:val="left"/>
    </w:lvl>
  </w:abstractNum>
  <w:abstractNum w:abstractNumId="4">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6">
    <w:nsid w:val="0000000C"/>
    <w:multiLevelType w:val="singleLevel"/>
    <w:tmpl w:val="0000000C"/>
    <w:lvl w:ilvl="0" w:tentative="0">
      <w:start w:val="1"/>
      <w:numFmt w:val="chineseCounting"/>
      <w:suff w:val="nothing"/>
      <w:lvlText w:val="%1、"/>
      <w:lvlJc w:val="left"/>
      <w:rPr>
        <w:rFonts w:cs="Times New Roman"/>
      </w:rPr>
    </w:lvl>
  </w:abstractNum>
  <w:abstractNum w:abstractNumId="7">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59D0A1BC"/>
    <w:multiLevelType w:val="singleLevel"/>
    <w:tmpl w:val="59D0A1BC"/>
    <w:lvl w:ilvl="0" w:tentative="0">
      <w:start w:val="4"/>
      <w:numFmt w:val="decimal"/>
      <w:suff w:val="nothing"/>
      <w:lvlText w:val="(%1)"/>
      <w:lvlJc w:val="left"/>
    </w:lvl>
  </w:abstractNum>
  <w:num w:numId="1">
    <w:abstractNumId w:val="2"/>
  </w:num>
  <w:num w:numId="2">
    <w:abstractNumId w:val="4"/>
  </w:num>
  <w:num w:numId="3">
    <w:abstractNumId w:val="7"/>
  </w:num>
  <w:num w:numId="4">
    <w:abstractNumId w:val="8"/>
  </w:num>
  <w:num w:numId="5">
    <w:abstractNumId w:val="5"/>
  </w:num>
  <w:num w:numId="6">
    <w:abstractNumId w:val="9"/>
  </w:num>
  <w:num w:numId="7">
    <w:abstractNumId w:val="0"/>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C3DA7"/>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C717F"/>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F21D1"/>
    <w:rsid w:val="01627899"/>
    <w:rsid w:val="0191681C"/>
    <w:rsid w:val="019E06E3"/>
    <w:rsid w:val="01FD0DAF"/>
    <w:rsid w:val="02060261"/>
    <w:rsid w:val="022E6257"/>
    <w:rsid w:val="02555ED9"/>
    <w:rsid w:val="02846ED2"/>
    <w:rsid w:val="02B05A97"/>
    <w:rsid w:val="02B14DC7"/>
    <w:rsid w:val="02F94AB6"/>
    <w:rsid w:val="0319408F"/>
    <w:rsid w:val="032717F3"/>
    <w:rsid w:val="037261AB"/>
    <w:rsid w:val="0383243B"/>
    <w:rsid w:val="038F71C9"/>
    <w:rsid w:val="03935BFE"/>
    <w:rsid w:val="03B66504"/>
    <w:rsid w:val="03B70FA8"/>
    <w:rsid w:val="03B81543"/>
    <w:rsid w:val="03DE75FB"/>
    <w:rsid w:val="03EF1A15"/>
    <w:rsid w:val="03EF27C8"/>
    <w:rsid w:val="03F1273F"/>
    <w:rsid w:val="04197674"/>
    <w:rsid w:val="041E3B9F"/>
    <w:rsid w:val="04271553"/>
    <w:rsid w:val="044D094D"/>
    <w:rsid w:val="046441B2"/>
    <w:rsid w:val="04753845"/>
    <w:rsid w:val="047A5783"/>
    <w:rsid w:val="04843FA4"/>
    <w:rsid w:val="04EF7CD4"/>
    <w:rsid w:val="05051ACD"/>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940F13"/>
    <w:rsid w:val="07AD3D40"/>
    <w:rsid w:val="07D9336F"/>
    <w:rsid w:val="07EF3B23"/>
    <w:rsid w:val="080A0FED"/>
    <w:rsid w:val="080C0D0C"/>
    <w:rsid w:val="081D30B5"/>
    <w:rsid w:val="082A74C0"/>
    <w:rsid w:val="082C148A"/>
    <w:rsid w:val="08566507"/>
    <w:rsid w:val="087F7922"/>
    <w:rsid w:val="08BA2E68"/>
    <w:rsid w:val="08DC2EE2"/>
    <w:rsid w:val="09063A96"/>
    <w:rsid w:val="091F0FEF"/>
    <w:rsid w:val="093164D8"/>
    <w:rsid w:val="09521B8C"/>
    <w:rsid w:val="095F36DA"/>
    <w:rsid w:val="09624B8B"/>
    <w:rsid w:val="0983332C"/>
    <w:rsid w:val="09A278BC"/>
    <w:rsid w:val="09E919F8"/>
    <w:rsid w:val="0A256191"/>
    <w:rsid w:val="0A2A7E04"/>
    <w:rsid w:val="0A5E16A3"/>
    <w:rsid w:val="0A762256"/>
    <w:rsid w:val="0A933E5C"/>
    <w:rsid w:val="0AB614DF"/>
    <w:rsid w:val="0AC91212"/>
    <w:rsid w:val="0AD53626"/>
    <w:rsid w:val="0AD96F7B"/>
    <w:rsid w:val="0B024FEC"/>
    <w:rsid w:val="0B1E73EC"/>
    <w:rsid w:val="0B244FB8"/>
    <w:rsid w:val="0B3023B0"/>
    <w:rsid w:val="0B5D6C64"/>
    <w:rsid w:val="0B656974"/>
    <w:rsid w:val="0B7C44D7"/>
    <w:rsid w:val="0BA648D7"/>
    <w:rsid w:val="0BA92DF2"/>
    <w:rsid w:val="0BBA70A3"/>
    <w:rsid w:val="0BBF1858"/>
    <w:rsid w:val="0C210BDA"/>
    <w:rsid w:val="0C4E7E44"/>
    <w:rsid w:val="0C601702"/>
    <w:rsid w:val="0C665C1C"/>
    <w:rsid w:val="0C822992"/>
    <w:rsid w:val="0D587134"/>
    <w:rsid w:val="0D844B1B"/>
    <w:rsid w:val="0DB02216"/>
    <w:rsid w:val="0E0E5A47"/>
    <w:rsid w:val="0E1A3B33"/>
    <w:rsid w:val="0E513821"/>
    <w:rsid w:val="0E59465B"/>
    <w:rsid w:val="0E6574A4"/>
    <w:rsid w:val="0F051BB9"/>
    <w:rsid w:val="0F114F36"/>
    <w:rsid w:val="0F323C9D"/>
    <w:rsid w:val="0F396355"/>
    <w:rsid w:val="0F3B6457"/>
    <w:rsid w:val="0F8E2325"/>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DC787E"/>
    <w:rsid w:val="13DF75C7"/>
    <w:rsid w:val="140631C3"/>
    <w:rsid w:val="14135D3F"/>
    <w:rsid w:val="14211A7C"/>
    <w:rsid w:val="142C1542"/>
    <w:rsid w:val="142D3EB0"/>
    <w:rsid w:val="143310E5"/>
    <w:rsid w:val="14764964"/>
    <w:rsid w:val="14771CDF"/>
    <w:rsid w:val="147C0B64"/>
    <w:rsid w:val="14883EEC"/>
    <w:rsid w:val="14964B92"/>
    <w:rsid w:val="14C557AE"/>
    <w:rsid w:val="14CE4755"/>
    <w:rsid w:val="155362A8"/>
    <w:rsid w:val="15826B8D"/>
    <w:rsid w:val="159A3ED7"/>
    <w:rsid w:val="15A34C73"/>
    <w:rsid w:val="15AE7982"/>
    <w:rsid w:val="15B34F99"/>
    <w:rsid w:val="15C745A0"/>
    <w:rsid w:val="15CD45BF"/>
    <w:rsid w:val="15E070C3"/>
    <w:rsid w:val="15E24861"/>
    <w:rsid w:val="15FF4448"/>
    <w:rsid w:val="16473933"/>
    <w:rsid w:val="16766FAA"/>
    <w:rsid w:val="168669B4"/>
    <w:rsid w:val="168B7CC4"/>
    <w:rsid w:val="16A910FE"/>
    <w:rsid w:val="16BA21D7"/>
    <w:rsid w:val="16C32FBA"/>
    <w:rsid w:val="16D301F3"/>
    <w:rsid w:val="16D943D3"/>
    <w:rsid w:val="16FF65AF"/>
    <w:rsid w:val="170128A5"/>
    <w:rsid w:val="172907FA"/>
    <w:rsid w:val="17653798"/>
    <w:rsid w:val="177E3E97"/>
    <w:rsid w:val="17A20397"/>
    <w:rsid w:val="17A54DB5"/>
    <w:rsid w:val="17C52D61"/>
    <w:rsid w:val="17D11706"/>
    <w:rsid w:val="17F43647"/>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783684"/>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3E1334"/>
    <w:rsid w:val="1C6325C6"/>
    <w:rsid w:val="1C825622"/>
    <w:rsid w:val="1CC41839"/>
    <w:rsid w:val="1CED005C"/>
    <w:rsid w:val="1D3A5FA0"/>
    <w:rsid w:val="1D6F5C49"/>
    <w:rsid w:val="1D772D50"/>
    <w:rsid w:val="1D835251"/>
    <w:rsid w:val="1E156B8A"/>
    <w:rsid w:val="1E1E0410"/>
    <w:rsid w:val="1E335D6C"/>
    <w:rsid w:val="1E494C39"/>
    <w:rsid w:val="1E550BE9"/>
    <w:rsid w:val="1E94348E"/>
    <w:rsid w:val="1EFB5AC5"/>
    <w:rsid w:val="1F016D75"/>
    <w:rsid w:val="1F0B25BC"/>
    <w:rsid w:val="1F220E88"/>
    <w:rsid w:val="1F3031B6"/>
    <w:rsid w:val="1F63494D"/>
    <w:rsid w:val="1F927BDC"/>
    <w:rsid w:val="1FD020F8"/>
    <w:rsid w:val="1FE20707"/>
    <w:rsid w:val="1FE64182"/>
    <w:rsid w:val="200C3C23"/>
    <w:rsid w:val="20281ADB"/>
    <w:rsid w:val="20325D43"/>
    <w:rsid w:val="203A2484"/>
    <w:rsid w:val="2048007B"/>
    <w:rsid w:val="20CA3EEF"/>
    <w:rsid w:val="20E406FC"/>
    <w:rsid w:val="20F52170"/>
    <w:rsid w:val="213A6C76"/>
    <w:rsid w:val="213C22E6"/>
    <w:rsid w:val="213D2165"/>
    <w:rsid w:val="217C0935"/>
    <w:rsid w:val="219569E3"/>
    <w:rsid w:val="21DE339D"/>
    <w:rsid w:val="21DE779E"/>
    <w:rsid w:val="21E07C0E"/>
    <w:rsid w:val="22016DF8"/>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84600A"/>
    <w:rsid w:val="25B4290B"/>
    <w:rsid w:val="25B53949"/>
    <w:rsid w:val="2609783F"/>
    <w:rsid w:val="26103D41"/>
    <w:rsid w:val="2623548B"/>
    <w:rsid w:val="262461E3"/>
    <w:rsid w:val="26513FE9"/>
    <w:rsid w:val="267A330E"/>
    <w:rsid w:val="26B05A2A"/>
    <w:rsid w:val="26B645F5"/>
    <w:rsid w:val="26CB1A16"/>
    <w:rsid w:val="26CF7759"/>
    <w:rsid w:val="26DA0B24"/>
    <w:rsid w:val="26FA0C40"/>
    <w:rsid w:val="270C3BDB"/>
    <w:rsid w:val="2719399B"/>
    <w:rsid w:val="273977AC"/>
    <w:rsid w:val="27854579"/>
    <w:rsid w:val="27C76EF3"/>
    <w:rsid w:val="27CE1D61"/>
    <w:rsid w:val="27E70E9B"/>
    <w:rsid w:val="282F4953"/>
    <w:rsid w:val="28332399"/>
    <w:rsid w:val="284877C3"/>
    <w:rsid w:val="285A0BC7"/>
    <w:rsid w:val="286A0B60"/>
    <w:rsid w:val="28BD335E"/>
    <w:rsid w:val="28D03A4D"/>
    <w:rsid w:val="293B4D0E"/>
    <w:rsid w:val="294C32E2"/>
    <w:rsid w:val="29657F00"/>
    <w:rsid w:val="29AE7D3A"/>
    <w:rsid w:val="29D0219D"/>
    <w:rsid w:val="29D77EF3"/>
    <w:rsid w:val="29E51041"/>
    <w:rsid w:val="29F20600"/>
    <w:rsid w:val="2A391286"/>
    <w:rsid w:val="2A3C1F3E"/>
    <w:rsid w:val="2A4F4886"/>
    <w:rsid w:val="2A7F5505"/>
    <w:rsid w:val="2ABA427C"/>
    <w:rsid w:val="2B0A2EA3"/>
    <w:rsid w:val="2B143B98"/>
    <w:rsid w:val="2B3F2753"/>
    <w:rsid w:val="2B406EFF"/>
    <w:rsid w:val="2B720822"/>
    <w:rsid w:val="2BAE19C7"/>
    <w:rsid w:val="2BB87E35"/>
    <w:rsid w:val="2BC75972"/>
    <w:rsid w:val="2BCE32E3"/>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0D06E1A"/>
    <w:rsid w:val="314B586D"/>
    <w:rsid w:val="317C0BC3"/>
    <w:rsid w:val="319A45AA"/>
    <w:rsid w:val="31CB3665"/>
    <w:rsid w:val="31CE0296"/>
    <w:rsid w:val="31DA771B"/>
    <w:rsid w:val="32034DFD"/>
    <w:rsid w:val="32360AAA"/>
    <w:rsid w:val="3240150B"/>
    <w:rsid w:val="325D52F8"/>
    <w:rsid w:val="32902492"/>
    <w:rsid w:val="32A45F3D"/>
    <w:rsid w:val="32A82827"/>
    <w:rsid w:val="32B53456"/>
    <w:rsid w:val="33111653"/>
    <w:rsid w:val="334A479D"/>
    <w:rsid w:val="33641B20"/>
    <w:rsid w:val="33751688"/>
    <w:rsid w:val="33CF29A4"/>
    <w:rsid w:val="33D80E84"/>
    <w:rsid w:val="33EE79F7"/>
    <w:rsid w:val="34193CA8"/>
    <w:rsid w:val="34196205"/>
    <w:rsid w:val="34425A0E"/>
    <w:rsid w:val="344F2ED9"/>
    <w:rsid w:val="34603D71"/>
    <w:rsid w:val="34711E4F"/>
    <w:rsid w:val="34733E19"/>
    <w:rsid w:val="34A93377"/>
    <w:rsid w:val="34FC56F2"/>
    <w:rsid w:val="35026F4B"/>
    <w:rsid w:val="35102324"/>
    <w:rsid w:val="354F34BF"/>
    <w:rsid w:val="355C665B"/>
    <w:rsid w:val="356E638F"/>
    <w:rsid w:val="358C2142"/>
    <w:rsid w:val="35A65B28"/>
    <w:rsid w:val="35BD418B"/>
    <w:rsid w:val="35D2375F"/>
    <w:rsid w:val="35E52AF5"/>
    <w:rsid w:val="35F8221C"/>
    <w:rsid w:val="3600792F"/>
    <w:rsid w:val="360702B8"/>
    <w:rsid w:val="360F36CE"/>
    <w:rsid w:val="362178A5"/>
    <w:rsid w:val="3623361D"/>
    <w:rsid w:val="363C15BE"/>
    <w:rsid w:val="364F21A6"/>
    <w:rsid w:val="365D365D"/>
    <w:rsid w:val="365D67A3"/>
    <w:rsid w:val="36633A19"/>
    <w:rsid w:val="37236989"/>
    <w:rsid w:val="37256F21"/>
    <w:rsid w:val="375743B3"/>
    <w:rsid w:val="3772660A"/>
    <w:rsid w:val="37A5537B"/>
    <w:rsid w:val="37E2358C"/>
    <w:rsid w:val="37F17C4E"/>
    <w:rsid w:val="37FE4100"/>
    <w:rsid w:val="381C20D2"/>
    <w:rsid w:val="382A0642"/>
    <w:rsid w:val="385F4816"/>
    <w:rsid w:val="3870241E"/>
    <w:rsid w:val="387908F6"/>
    <w:rsid w:val="38DD7AB3"/>
    <w:rsid w:val="38EE00C1"/>
    <w:rsid w:val="38FA46AE"/>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742225"/>
    <w:rsid w:val="3B9113BF"/>
    <w:rsid w:val="3B9D526A"/>
    <w:rsid w:val="3BAE5737"/>
    <w:rsid w:val="3BC278C2"/>
    <w:rsid w:val="3BEB7484"/>
    <w:rsid w:val="3C2526F2"/>
    <w:rsid w:val="3C6B6D6E"/>
    <w:rsid w:val="3C8D359E"/>
    <w:rsid w:val="3CAB2861"/>
    <w:rsid w:val="3CE543D4"/>
    <w:rsid w:val="3CE57675"/>
    <w:rsid w:val="3CF20DED"/>
    <w:rsid w:val="3D156C40"/>
    <w:rsid w:val="3D3108F0"/>
    <w:rsid w:val="3D743AA7"/>
    <w:rsid w:val="3D841352"/>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1A25DF0"/>
    <w:rsid w:val="422E486B"/>
    <w:rsid w:val="4258398A"/>
    <w:rsid w:val="42586A54"/>
    <w:rsid w:val="42A57B02"/>
    <w:rsid w:val="42B26B5F"/>
    <w:rsid w:val="42B4172C"/>
    <w:rsid w:val="42B56E87"/>
    <w:rsid w:val="42C16C1C"/>
    <w:rsid w:val="42ED4D97"/>
    <w:rsid w:val="42F51E9D"/>
    <w:rsid w:val="431412A9"/>
    <w:rsid w:val="43210EE4"/>
    <w:rsid w:val="436274D2"/>
    <w:rsid w:val="43C63BD6"/>
    <w:rsid w:val="441E71D2"/>
    <w:rsid w:val="442579C1"/>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CA6869"/>
    <w:rsid w:val="48DE2B21"/>
    <w:rsid w:val="48E549E9"/>
    <w:rsid w:val="49033566"/>
    <w:rsid w:val="492E2E2E"/>
    <w:rsid w:val="492E43F8"/>
    <w:rsid w:val="49394063"/>
    <w:rsid w:val="494E0559"/>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CEA24E1"/>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9C4233"/>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893327"/>
    <w:rsid w:val="529A036B"/>
    <w:rsid w:val="52F7756C"/>
    <w:rsid w:val="53063385"/>
    <w:rsid w:val="53412BBB"/>
    <w:rsid w:val="53500FF5"/>
    <w:rsid w:val="53530C46"/>
    <w:rsid w:val="538E4BB8"/>
    <w:rsid w:val="53B611D5"/>
    <w:rsid w:val="53CB255A"/>
    <w:rsid w:val="53EB29D5"/>
    <w:rsid w:val="5418171E"/>
    <w:rsid w:val="54240A2E"/>
    <w:rsid w:val="543A0953"/>
    <w:rsid w:val="54635240"/>
    <w:rsid w:val="548922C8"/>
    <w:rsid w:val="550E1021"/>
    <w:rsid w:val="551D56FC"/>
    <w:rsid w:val="554671C6"/>
    <w:rsid w:val="556D1D67"/>
    <w:rsid w:val="561D553B"/>
    <w:rsid w:val="562D6C09"/>
    <w:rsid w:val="56321E1B"/>
    <w:rsid w:val="568D3428"/>
    <w:rsid w:val="56982E14"/>
    <w:rsid w:val="56A774E2"/>
    <w:rsid w:val="56B05C18"/>
    <w:rsid w:val="56F75D8C"/>
    <w:rsid w:val="57213788"/>
    <w:rsid w:val="57366542"/>
    <w:rsid w:val="575D5514"/>
    <w:rsid w:val="57743881"/>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47D01"/>
    <w:rsid w:val="596A2319"/>
    <w:rsid w:val="597E1677"/>
    <w:rsid w:val="59823E17"/>
    <w:rsid w:val="59851D75"/>
    <w:rsid w:val="59937919"/>
    <w:rsid w:val="59FF543B"/>
    <w:rsid w:val="5A317655"/>
    <w:rsid w:val="5A3572F7"/>
    <w:rsid w:val="5A386DE8"/>
    <w:rsid w:val="5A3C6C73"/>
    <w:rsid w:val="5A635C5A"/>
    <w:rsid w:val="5AD81D9A"/>
    <w:rsid w:val="5ADC209B"/>
    <w:rsid w:val="5AF76DB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2D69AC"/>
    <w:rsid w:val="5D530D5F"/>
    <w:rsid w:val="5D6C3248"/>
    <w:rsid w:val="5D9D79EF"/>
    <w:rsid w:val="5DA56542"/>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60384AA2"/>
    <w:rsid w:val="60654D7F"/>
    <w:rsid w:val="60BA6EBD"/>
    <w:rsid w:val="60CF7C3B"/>
    <w:rsid w:val="610417D1"/>
    <w:rsid w:val="614F7E1C"/>
    <w:rsid w:val="61706E67"/>
    <w:rsid w:val="617B022B"/>
    <w:rsid w:val="61B42238"/>
    <w:rsid w:val="62233ED9"/>
    <w:rsid w:val="62247EF5"/>
    <w:rsid w:val="62CF4061"/>
    <w:rsid w:val="62ED73D8"/>
    <w:rsid w:val="631430B3"/>
    <w:rsid w:val="63273ECC"/>
    <w:rsid w:val="637C5F97"/>
    <w:rsid w:val="638A11D4"/>
    <w:rsid w:val="63AD6B5B"/>
    <w:rsid w:val="63F41F58"/>
    <w:rsid w:val="63F76584"/>
    <w:rsid w:val="64283A29"/>
    <w:rsid w:val="644C3BBB"/>
    <w:rsid w:val="64F32289"/>
    <w:rsid w:val="654752D4"/>
    <w:rsid w:val="65965996"/>
    <w:rsid w:val="659730E5"/>
    <w:rsid w:val="65C82F60"/>
    <w:rsid w:val="65CE0D2C"/>
    <w:rsid w:val="65DF280D"/>
    <w:rsid w:val="663E0D58"/>
    <w:rsid w:val="66846410"/>
    <w:rsid w:val="66A24F5B"/>
    <w:rsid w:val="66A6332B"/>
    <w:rsid w:val="66B16EC2"/>
    <w:rsid w:val="66F85A07"/>
    <w:rsid w:val="671F6E1E"/>
    <w:rsid w:val="67280703"/>
    <w:rsid w:val="67453492"/>
    <w:rsid w:val="67A02C6C"/>
    <w:rsid w:val="67E71B6D"/>
    <w:rsid w:val="67FF20E2"/>
    <w:rsid w:val="68306BC4"/>
    <w:rsid w:val="684957C0"/>
    <w:rsid w:val="688073EB"/>
    <w:rsid w:val="68842FD3"/>
    <w:rsid w:val="689C2C37"/>
    <w:rsid w:val="68A2014F"/>
    <w:rsid w:val="68BF6DF6"/>
    <w:rsid w:val="68C43E52"/>
    <w:rsid w:val="68D20E70"/>
    <w:rsid w:val="68F55EA4"/>
    <w:rsid w:val="690A194F"/>
    <w:rsid w:val="690B1A91"/>
    <w:rsid w:val="69201173"/>
    <w:rsid w:val="692B215E"/>
    <w:rsid w:val="698C3515"/>
    <w:rsid w:val="698E432E"/>
    <w:rsid w:val="69D41F5D"/>
    <w:rsid w:val="69EC54F9"/>
    <w:rsid w:val="69F406AF"/>
    <w:rsid w:val="6A9040D6"/>
    <w:rsid w:val="6AC50223"/>
    <w:rsid w:val="6AD26CD2"/>
    <w:rsid w:val="6B016D82"/>
    <w:rsid w:val="6B2D6EEB"/>
    <w:rsid w:val="6B5243A0"/>
    <w:rsid w:val="6B5F5D4D"/>
    <w:rsid w:val="6B685053"/>
    <w:rsid w:val="6BAF4A30"/>
    <w:rsid w:val="6BB93969"/>
    <w:rsid w:val="6BC06C3D"/>
    <w:rsid w:val="6C0D4AD4"/>
    <w:rsid w:val="6C3D5F2F"/>
    <w:rsid w:val="6C575222"/>
    <w:rsid w:val="6C6770B8"/>
    <w:rsid w:val="6C71768C"/>
    <w:rsid w:val="6C904861"/>
    <w:rsid w:val="6CA125CA"/>
    <w:rsid w:val="6CA161AD"/>
    <w:rsid w:val="6CB22DA1"/>
    <w:rsid w:val="6CC03E6D"/>
    <w:rsid w:val="6CCB272D"/>
    <w:rsid w:val="6CD363C3"/>
    <w:rsid w:val="6CD526FE"/>
    <w:rsid w:val="6D2640EB"/>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5F0AE9"/>
    <w:rsid w:val="73A017A5"/>
    <w:rsid w:val="73C54178"/>
    <w:rsid w:val="73CE48E4"/>
    <w:rsid w:val="73E55A30"/>
    <w:rsid w:val="73E86D31"/>
    <w:rsid w:val="745771EB"/>
    <w:rsid w:val="74675EA7"/>
    <w:rsid w:val="7474601E"/>
    <w:rsid w:val="747D01F0"/>
    <w:rsid w:val="74934EEE"/>
    <w:rsid w:val="74A34E73"/>
    <w:rsid w:val="74B97E59"/>
    <w:rsid w:val="74C40EAA"/>
    <w:rsid w:val="75315CE9"/>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200C9A"/>
    <w:rsid w:val="77336FC8"/>
    <w:rsid w:val="774150D6"/>
    <w:rsid w:val="77494B12"/>
    <w:rsid w:val="776E39F1"/>
    <w:rsid w:val="779A27C7"/>
    <w:rsid w:val="77A70D03"/>
    <w:rsid w:val="77C35511"/>
    <w:rsid w:val="77C67389"/>
    <w:rsid w:val="77CE573C"/>
    <w:rsid w:val="77DA51F2"/>
    <w:rsid w:val="78127750"/>
    <w:rsid w:val="782D3156"/>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E12CFD"/>
    <w:rsid w:val="7AFD4FEE"/>
    <w:rsid w:val="7B17441B"/>
    <w:rsid w:val="7B1E128A"/>
    <w:rsid w:val="7B206841"/>
    <w:rsid w:val="7B292109"/>
    <w:rsid w:val="7B2A11CE"/>
    <w:rsid w:val="7B6969A9"/>
    <w:rsid w:val="7B971306"/>
    <w:rsid w:val="7BBB0959"/>
    <w:rsid w:val="7BC320A1"/>
    <w:rsid w:val="7BCE0366"/>
    <w:rsid w:val="7BDA3403"/>
    <w:rsid w:val="7BEB0B45"/>
    <w:rsid w:val="7BF02C26"/>
    <w:rsid w:val="7BFF25E3"/>
    <w:rsid w:val="7C030BAC"/>
    <w:rsid w:val="7C487A58"/>
    <w:rsid w:val="7C556F2D"/>
    <w:rsid w:val="7C86540B"/>
    <w:rsid w:val="7CB579CC"/>
    <w:rsid w:val="7D1868D9"/>
    <w:rsid w:val="7D24527D"/>
    <w:rsid w:val="7D27773C"/>
    <w:rsid w:val="7D3356C7"/>
    <w:rsid w:val="7D422172"/>
    <w:rsid w:val="7D4713B5"/>
    <w:rsid w:val="7D5976B6"/>
    <w:rsid w:val="7D92368A"/>
    <w:rsid w:val="7DA07E94"/>
    <w:rsid w:val="7DA16F04"/>
    <w:rsid w:val="7DB36601"/>
    <w:rsid w:val="7DCA5027"/>
    <w:rsid w:val="7DEE2FCA"/>
    <w:rsid w:val="7E2D0162"/>
    <w:rsid w:val="7E321CD4"/>
    <w:rsid w:val="7E490D14"/>
    <w:rsid w:val="7EA3546E"/>
    <w:rsid w:val="7EAC61BF"/>
    <w:rsid w:val="7EB33EA8"/>
    <w:rsid w:val="7ED6280D"/>
    <w:rsid w:val="7F1C70BC"/>
    <w:rsid w:val="7F4406D0"/>
    <w:rsid w:val="7FC5381D"/>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2"/>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2"/>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link w:val="178"/>
    <w:autoRedefine/>
    <w:qFormat/>
    <w:uiPriority w:val="0"/>
    <w:pPr>
      <w:ind w:firstLine="645"/>
    </w:pPr>
    <w:rPr>
      <w:sz w:val="20"/>
    </w:rPr>
  </w:style>
  <w:style w:type="paragraph" w:styleId="25">
    <w:name w:val="List Bullet 2"/>
    <w:basedOn w:val="1"/>
    <w:autoRedefine/>
    <w:semiHidden/>
    <w:unhideWhenUsed/>
    <w:qFormat/>
    <w:uiPriority w:val="99"/>
    <w:pPr>
      <w:numPr>
        <w:ilvl w:val="0"/>
        <w:numId w:val="1"/>
      </w:numPr>
    </w:pPr>
  </w:style>
  <w:style w:type="paragraph" w:styleId="26">
    <w:name w:val="index 4"/>
    <w:basedOn w:val="1"/>
    <w:next w:val="1"/>
    <w:autoRedefine/>
    <w:qFormat/>
    <w:uiPriority w:val="0"/>
    <w:pPr>
      <w:ind w:left="1260"/>
    </w:pPr>
  </w:style>
  <w:style w:type="paragraph" w:styleId="27">
    <w:name w:val="toc 5"/>
    <w:basedOn w:val="1"/>
    <w:next w:val="1"/>
    <w:autoRedefine/>
    <w:qFormat/>
    <w:uiPriority w:val="0"/>
    <w:pPr>
      <w:ind w:left="840"/>
      <w:jc w:val="left"/>
    </w:pPr>
    <w:rPr>
      <w:sz w:val="18"/>
    </w:rPr>
  </w:style>
  <w:style w:type="paragraph" w:styleId="28">
    <w:name w:val="toc 3"/>
    <w:basedOn w:val="1"/>
    <w:next w:val="1"/>
    <w:autoRedefine/>
    <w:qFormat/>
    <w:uiPriority w:val="39"/>
    <w:pPr>
      <w:ind w:left="420"/>
      <w:jc w:val="left"/>
    </w:pPr>
    <w:rPr>
      <w:i/>
      <w:sz w:val="20"/>
    </w:rPr>
  </w:style>
  <w:style w:type="paragraph" w:styleId="29">
    <w:name w:val="Plain Text"/>
    <w:basedOn w:val="1"/>
    <w:link w:val="130"/>
    <w:autoRedefine/>
    <w:qFormat/>
    <w:uiPriority w:val="99"/>
    <w:rPr>
      <w:rFonts w:ascii="宋体" w:hAnsi="Courier New" w:cs="Courier New"/>
      <w:szCs w:val="21"/>
    </w:rPr>
  </w:style>
  <w:style w:type="paragraph" w:styleId="30">
    <w:name w:val="toc 8"/>
    <w:basedOn w:val="1"/>
    <w:next w:val="1"/>
    <w:autoRedefine/>
    <w:qFormat/>
    <w:uiPriority w:val="0"/>
    <w:pPr>
      <w:ind w:left="1470"/>
      <w:jc w:val="left"/>
    </w:pPr>
    <w:rPr>
      <w:sz w:val="18"/>
    </w:rPr>
  </w:style>
  <w:style w:type="paragraph" w:styleId="31">
    <w:name w:val="index 3"/>
    <w:basedOn w:val="1"/>
    <w:next w:val="1"/>
    <w:autoRedefine/>
    <w:qFormat/>
    <w:uiPriority w:val="0"/>
    <w:pPr>
      <w:ind w:left="840"/>
    </w:pPr>
  </w:style>
  <w:style w:type="paragraph" w:styleId="32">
    <w:name w:val="Date"/>
    <w:basedOn w:val="1"/>
    <w:next w:val="1"/>
    <w:link w:val="149"/>
    <w:autoRedefine/>
    <w:qFormat/>
    <w:uiPriority w:val="0"/>
    <w:pPr>
      <w:ind w:left="100" w:leftChars="2500"/>
    </w:pPr>
    <w:rPr>
      <w:sz w:val="20"/>
    </w:rPr>
  </w:style>
  <w:style w:type="paragraph" w:styleId="33">
    <w:name w:val="Body Text Indent 2"/>
    <w:basedOn w:val="1"/>
    <w:link w:val="172"/>
    <w:autoRedefine/>
    <w:qFormat/>
    <w:uiPriority w:val="0"/>
    <w:pPr>
      <w:ind w:left="630" w:firstLine="645"/>
    </w:pPr>
    <w:rPr>
      <w:sz w:val="20"/>
    </w:rPr>
  </w:style>
  <w:style w:type="paragraph" w:styleId="34">
    <w:name w:val="endnote text"/>
    <w:basedOn w:val="1"/>
    <w:link w:val="215"/>
    <w:autoRedefine/>
    <w:qFormat/>
    <w:uiPriority w:val="0"/>
    <w:pPr>
      <w:snapToGrid w:val="0"/>
      <w:jc w:val="left"/>
    </w:pPr>
    <w:rPr>
      <w:kern w:val="0"/>
      <w:sz w:val="24"/>
      <w:szCs w:val="24"/>
    </w:rPr>
  </w:style>
  <w:style w:type="paragraph" w:styleId="35">
    <w:name w:val="Balloon Text"/>
    <w:basedOn w:val="1"/>
    <w:link w:val="214"/>
    <w:autoRedefine/>
    <w:qFormat/>
    <w:uiPriority w:val="0"/>
    <w:rPr>
      <w:sz w:val="18"/>
      <w:szCs w:val="18"/>
    </w:rPr>
  </w:style>
  <w:style w:type="paragraph" w:styleId="36">
    <w:name w:val="footer"/>
    <w:basedOn w:val="1"/>
    <w:link w:val="207"/>
    <w:autoRedefine/>
    <w:qFormat/>
    <w:uiPriority w:val="99"/>
    <w:pPr>
      <w:tabs>
        <w:tab w:val="center" w:pos="4153"/>
        <w:tab w:val="right" w:pos="8306"/>
      </w:tabs>
      <w:snapToGrid w:val="0"/>
      <w:jc w:val="left"/>
    </w:pPr>
    <w:rPr>
      <w:sz w:val="18"/>
      <w:szCs w:val="18"/>
    </w:rPr>
  </w:style>
  <w:style w:type="paragraph" w:styleId="37">
    <w:name w:val="envelope return"/>
    <w:basedOn w:val="1"/>
    <w:next w:val="38"/>
    <w:autoRedefine/>
    <w:unhideWhenUsed/>
    <w:qFormat/>
    <w:uiPriority w:val="99"/>
    <w:pPr>
      <w:snapToGrid w:val="0"/>
    </w:pPr>
    <w:rPr>
      <w:rFonts w:hint="eastAsia" w:ascii="Arial" w:hAnsi="Arial"/>
    </w:rPr>
  </w:style>
  <w:style w:type="paragraph" w:styleId="38">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29"/>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2"/>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3"/>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38"/>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6"/>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5"/>
    <w:autoRedefine/>
    <w:qFormat/>
    <w:uiPriority w:val="0"/>
    <w:rPr>
      <w:rFonts w:ascii="Times New Roman" w:hAnsi="Times New Roman" w:eastAsia="宋体" w:cs="Times New Roman"/>
      <w:sz w:val="18"/>
      <w:szCs w:val="18"/>
    </w:rPr>
  </w:style>
  <w:style w:type="character" w:customStyle="1" w:styleId="215">
    <w:name w:val="尾注文本 字符"/>
    <w:basedOn w:val="63"/>
    <w:link w:val="34"/>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3"/>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13847</Words>
  <Characters>14772</Characters>
  <Lines>69</Lines>
  <Paragraphs>19</Paragraphs>
  <TotalTime>212</TotalTime>
  <ScaleCrop>false</ScaleCrop>
  <LinksUpToDate>false</LinksUpToDate>
  <CharactersWithSpaces>16376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为我撩人°</cp:lastModifiedBy>
  <cp:lastPrinted>2025-01-26T01:25:00Z</cp:lastPrinted>
  <dcterms:modified xsi:type="dcterms:W3CDTF">2025-04-14T07:15:17Z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C0CC1259B9514A249F948ACF6AA4114C_13</vt:lpwstr>
  </property>
  <property fmtid="{D5CDD505-2E9C-101B-9397-08002B2CF9AE}" pid="4" name="KSOTemplateDocerSaveRecord">
    <vt:lpwstr>eyJoZGlkIjoiYmM5MDkzMWFiYmQ1ZTkxOGJhMmRhMjQ2ODZkNzRiOGIiLCJ1c2VySWQiOiIzNjY1MTI3MDMifQ==</vt:lpwstr>
  </property>
</Properties>
</file>