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05A7C0">
      <w:pPr>
        <w:spacing w:line="480" w:lineRule="exact"/>
        <w:rPr>
          <w:rFonts w:ascii="宋体"/>
          <w:color w:val="000000" w:themeColor="text1"/>
          <w:sz w:val="36"/>
          <w:szCs w:val="36"/>
          <w14:textFill>
            <w14:solidFill>
              <w14:schemeClr w14:val="tx1"/>
            </w14:solidFill>
          </w14:textFill>
        </w:rPr>
      </w:pPr>
    </w:p>
    <w:p w14:paraId="10331ACE">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bookmarkStart w:id="53" w:name="_GoBack"/>
      <w:r>
        <w:rPr>
          <w:rFonts w:hint="eastAsia" w:ascii="仿宋_GB2312" w:hAnsi="宋体" w:eastAsia="仿宋_GB2312"/>
          <w:b/>
          <w:color w:val="000000" w:themeColor="text1"/>
          <w:sz w:val="48"/>
          <w:szCs w:val="48"/>
          <w:highlight w:val="none"/>
          <w:lang w:eastAsia="zh-CN"/>
          <w14:textFill>
            <w14:solidFill>
              <w14:schemeClr w14:val="tx1"/>
            </w14:solidFill>
          </w14:textFill>
        </w:rPr>
        <w:t>安庆港中心港区石门湖一期工程</w:t>
      </w:r>
      <w:r>
        <w:rPr>
          <w:rFonts w:hint="eastAsia" w:ascii="仿宋_GB2312" w:hAnsi="宋体" w:eastAsia="仿宋_GB2312"/>
          <w:b/>
          <w:color w:val="000000" w:themeColor="text1"/>
          <w:sz w:val="48"/>
          <w:szCs w:val="48"/>
          <w:highlight w:val="none"/>
          <w:lang w:val="en-US" w:eastAsia="zh-CN"/>
          <w14:textFill>
            <w14:solidFill>
              <w14:schemeClr w14:val="tx1"/>
            </w14:solidFill>
          </w14:textFill>
        </w:rPr>
        <w:t>生态环境竣工验收第三方服务</w:t>
      </w:r>
      <w:bookmarkEnd w:id="53"/>
      <w:r>
        <w:rPr>
          <w:rFonts w:hint="eastAsia" w:ascii="仿宋_GB2312" w:hAnsi="宋体" w:eastAsia="仿宋_GB2312"/>
          <w:b/>
          <w:color w:val="000000" w:themeColor="text1"/>
          <w:sz w:val="48"/>
          <w:szCs w:val="48"/>
          <w:highlight w:val="none"/>
          <w:lang w:val="en-US" w:eastAsia="zh-CN"/>
          <w14:textFill>
            <w14:solidFill>
              <w14:schemeClr w14:val="tx1"/>
            </w14:solidFill>
          </w14:textFill>
        </w:rPr>
        <w:t>项目</w:t>
      </w:r>
    </w:p>
    <w:p w14:paraId="1848CFCD">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14:paraId="74D5D5C9">
      <w:pPr>
        <w:pStyle w:val="82"/>
        <w:ind w:left="0" w:leftChars="0" w:firstLine="0" w:firstLineChars="0"/>
        <w:rPr>
          <w:highlight w:val="none"/>
        </w:rPr>
      </w:pPr>
    </w:p>
    <w:p w14:paraId="487A7EAF">
      <w:pPr>
        <w:pStyle w:val="82"/>
        <w:rPr>
          <w:highlight w:val="none"/>
        </w:rPr>
      </w:pPr>
    </w:p>
    <w:p w14:paraId="7F3425CF">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4D2AD17B">
      <w:pPr>
        <w:pStyle w:val="82"/>
        <w:spacing w:before="120"/>
        <w:ind w:firstLine="350"/>
        <w:rPr>
          <w:color w:val="000000" w:themeColor="text1"/>
          <w:highlight w:val="none"/>
          <w14:textFill>
            <w14:solidFill>
              <w14:schemeClr w14:val="tx1"/>
            </w14:solidFill>
          </w14:textFill>
        </w:rPr>
      </w:pPr>
    </w:p>
    <w:p w14:paraId="42D495B6">
      <w:pPr>
        <w:pStyle w:val="82"/>
        <w:spacing w:before="120"/>
        <w:ind w:firstLine="350"/>
        <w:rPr>
          <w:color w:val="000000" w:themeColor="text1"/>
          <w:highlight w:val="none"/>
          <w14:textFill>
            <w14:solidFill>
              <w14:schemeClr w14:val="tx1"/>
            </w14:solidFill>
          </w14:textFill>
        </w:rPr>
      </w:pPr>
    </w:p>
    <w:p w14:paraId="12C71FFB">
      <w:pPr>
        <w:spacing w:line="480" w:lineRule="exact"/>
        <w:jc w:val="center"/>
        <w:rPr>
          <w:rFonts w:ascii="宋体" w:cs="宋体"/>
          <w:b/>
          <w:bCs/>
          <w:color w:val="000000" w:themeColor="text1"/>
          <w:sz w:val="48"/>
          <w:szCs w:val="48"/>
          <w:highlight w:val="none"/>
          <w14:textFill>
            <w14:solidFill>
              <w14:schemeClr w14:val="tx1"/>
            </w14:solidFill>
          </w14:textFill>
        </w:rPr>
      </w:pPr>
    </w:p>
    <w:p w14:paraId="1056CD4A">
      <w:pPr>
        <w:pStyle w:val="82"/>
        <w:rPr>
          <w:highlight w:val="none"/>
        </w:rPr>
      </w:pPr>
    </w:p>
    <w:p w14:paraId="18DB98AF">
      <w:pPr>
        <w:spacing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cs="宋体"/>
          <w:b/>
          <w:bCs/>
          <w:color w:val="000000" w:themeColor="text1"/>
          <w:sz w:val="28"/>
          <w:szCs w:val="28"/>
          <w:highlight w:val="none"/>
          <w14:textFill>
            <w14:solidFill>
              <w14:schemeClr w14:val="tx1"/>
            </w14:solidFill>
          </w14:textFill>
        </w:rPr>
        <w:t>项目编号：AQJK-CG-2025-020</w:t>
      </w:r>
    </w:p>
    <w:p w14:paraId="211A29BB">
      <w:pPr>
        <w:spacing w:line="480" w:lineRule="exact"/>
        <w:rPr>
          <w:rFonts w:ascii="宋体" w:hAnsi="宋体" w:cs="仿宋_GB2312"/>
          <w:color w:val="000000" w:themeColor="text1"/>
          <w:szCs w:val="21"/>
          <w:highlight w:val="none"/>
          <w14:textFill>
            <w14:solidFill>
              <w14:schemeClr w14:val="tx1"/>
            </w14:solidFill>
          </w14:textFill>
        </w:rPr>
      </w:pPr>
    </w:p>
    <w:p w14:paraId="1FB52A54">
      <w:pPr>
        <w:pStyle w:val="82"/>
        <w:spacing w:before="120"/>
        <w:ind w:left="0" w:leftChars="0" w:firstLine="0" w:firstLineChars="0"/>
        <w:rPr>
          <w:rFonts w:hint="default" w:eastAsia="宋体"/>
          <w:color w:val="000000" w:themeColor="text1"/>
          <w:highlight w:val="none"/>
          <w:lang w:val="en-US" w:eastAsia="zh-CN"/>
          <w14:textFill>
            <w14:solidFill>
              <w14:schemeClr w14:val="tx1"/>
            </w14:solidFill>
          </w14:textFill>
        </w:rPr>
      </w:pPr>
    </w:p>
    <w:p w14:paraId="028282BF">
      <w:pPr>
        <w:pStyle w:val="82"/>
        <w:spacing w:before="120"/>
        <w:rPr>
          <w:color w:val="000000" w:themeColor="text1"/>
          <w:highlight w:val="none"/>
          <w14:textFill>
            <w14:solidFill>
              <w14:schemeClr w14:val="tx1"/>
            </w14:solidFill>
          </w14:textFill>
        </w:rPr>
      </w:pPr>
    </w:p>
    <w:p w14:paraId="46F88F0B">
      <w:pPr>
        <w:pStyle w:val="82"/>
        <w:spacing w:before="120"/>
        <w:ind w:left="0" w:leftChars="0" w:firstLine="0" w:firstLineChars="0"/>
        <w:rPr>
          <w:color w:val="000000" w:themeColor="text1"/>
          <w:highlight w:val="none"/>
          <w14:textFill>
            <w14:solidFill>
              <w14:schemeClr w14:val="tx1"/>
            </w14:solidFill>
          </w14:textFill>
        </w:rPr>
      </w:pPr>
    </w:p>
    <w:p w14:paraId="51B35F6F">
      <w:pPr>
        <w:pStyle w:val="82"/>
        <w:spacing w:before="120"/>
        <w:ind w:left="0" w:leftChars="0" w:firstLine="0" w:firstLineChars="0"/>
        <w:rPr>
          <w:color w:val="000000" w:themeColor="text1"/>
          <w:highlight w:val="none"/>
          <w14:textFill>
            <w14:solidFill>
              <w14:schemeClr w14:val="tx1"/>
            </w14:solidFill>
          </w14:textFill>
        </w:rPr>
      </w:pPr>
    </w:p>
    <w:p w14:paraId="76D79198">
      <w:pPr>
        <w:pStyle w:val="82"/>
        <w:spacing w:before="120"/>
        <w:ind w:left="0" w:leftChars="0" w:firstLine="0" w:firstLineChars="0"/>
        <w:rPr>
          <w:color w:val="000000" w:themeColor="text1"/>
          <w:highlight w:val="none"/>
          <w14:textFill>
            <w14:solidFill>
              <w14:schemeClr w14:val="tx1"/>
            </w14:solidFill>
          </w14:textFill>
        </w:rPr>
      </w:pPr>
    </w:p>
    <w:p w14:paraId="5783E845">
      <w:pPr>
        <w:spacing w:line="480" w:lineRule="exact"/>
        <w:rPr>
          <w:rFonts w:ascii="宋体" w:hAnsi="宋体" w:cs="仿宋_GB2312"/>
          <w:color w:val="000000" w:themeColor="text1"/>
          <w:szCs w:val="21"/>
          <w:highlight w:val="none"/>
          <w14:textFill>
            <w14:solidFill>
              <w14:schemeClr w14:val="tx1"/>
            </w14:solidFill>
          </w14:textFill>
        </w:rPr>
      </w:pPr>
    </w:p>
    <w:p w14:paraId="19844200">
      <w:pPr>
        <w:spacing w:line="360" w:lineRule="auto"/>
        <w:jc w:val="center"/>
        <w:rPr>
          <w:rFonts w:hint="default" w:ascii="宋体" w:hAnsi="宋体" w:cs="仿宋_GB2312"/>
          <w:b/>
          <w:color w:val="000000" w:themeColor="text1"/>
          <w:szCs w:val="21"/>
          <w:highlight w:val="none"/>
          <w:lang w:val="en-US"/>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安庆市通源港务有限公司         </w:t>
      </w:r>
    </w:p>
    <w:p w14:paraId="27C1ABD6">
      <w:pPr>
        <w:spacing w:line="360" w:lineRule="auto"/>
        <w:rPr>
          <w:rFonts w:ascii="宋体" w:hAnsi="宋体" w:cs="仿宋_GB2312"/>
          <w:b/>
          <w:color w:val="000000" w:themeColor="text1"/>
          <w:sz w:val="24"/>
          <w:highlight w:val="none"/>
          <w14:textFill>
            <w14:solidFill>
              <w14:schemeClr w14:val="tx1"/>
            </w14:solidFill>
          </w14:textFill>
        </w:rPr>
      </w:pPr>
    </w:p>
    <w:p w14:paraId="31EB6DE4">
      <w:pPr>
        <w:spacing w:line="360" w:lineRule="auto"/>
        <w:rPr>
          <w:rFonts w:ascii="宋体" w:hAnsi="宋体" w:cs="仿宋_GB2312"/>
          <w:b/>
          <w:color w:val="000000" w:themeColor="text1"/>
          <w:sz w:val="24"/>
          <w:highlight w:val="none"/>
          <w14:textFill>
            <w14:solidFill>
              <w14:schemeClr w14:val="tx1"/>
            </w14:solidFill>
          </w14:textFill>
        </w:rPr>
      </w:pPr>
    </w:p>
    <w:p w14:paraId="61614633">
      <w:pPr>
        <w:pStyle w:val="82"/>
        <w:rPr>
          <w:highlight w:val="none"/>
        </w:rPr>
      </w:pPr>
    </w:p>
    <w:p w14:paraId="599CF77A">
      <w:pPr>
        <w:pStyle w:val="82"/>
        <w:rPr>
          <w:highlight w:val="none"/>
        </w:rPr>
      </w:pPr>
    </w:p>
    <w:p w14:paraId="13E86309">
      <w:pPr>
        <w:spacing w:line="360" w:lineRule="auto"/>
        <w:rPr>
          <w:rFonts w:ascii="宋体" w:hAnsi="宋体" w:cs="仿宋_GB2312"/>
          <w:b/>
          <w:color w:val="000000" w:themeColor="text1"/>
          <w:sz w:val="24"/>
          <w:highlight w:val="none"/>
          <w14:textFill>
            <w14:solidFill>
              <w14:schemeClr w14:val="tx1"/>
            </w14:solidFill>
          </w14:textFill>
        </w:rPr>
      </w:pPr>
    </w:p>
    <w:p w14:paraId="29D576F7">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5B207B32">
      <w:pPr>
        <w:spacing w:line="480" w:lineRule="exact"/>
        <w:rPr>
          <w:rFonts w:ascii="宋体" w:hAnsi="宋体" w:cs="仿宋_GB2312"/>
          <w:color w:val="000000" w:themeColor="text1"/>
          <w:szCs w:val="21"/>
          <w:highlight w:val="none"/>
          <w14:textFill>
            <w14:solidFill>
              <w14:schemeClr w14:val="tx1"/>
            </w14:solidFill>
          </w14:textFill>
        </w:rPr>
      </w:pPr>
    </w:p>
    <w:p w14:paraId="5254D5E2">
      <w:pPr>
        <w:spacing w:line="480" w:lineRule="exact"/>
        <w:rPr>
          <w:rFonts w:ascii="宋体" w:hAnsi="宋体" w:cs="仿宋_GB2312"/>
          <w:color w:val="000000" w:themeColor="text1"/>
          <w:szCs w:val="21"/>
          <w:highlight w:val="none"/>
          <w14:textFill>
            <w14:solidFill>
              <w14:schemeClr w14:val="tx1"/>
            </w14:solidFill>
          </w14:textFill>
        </w:rPr>
      </w:pPr>
    </w:p>
    <w:p w14:paraId="6FD181A6">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43B0D867">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三</w:t>
      </w:r>
      <w:r>
        <w:rPr>
          <w:rFonts w:hint="eastAsia" w:ascii="宋体" w:hAnsi="宋体" w:cs="仿宋_GB2312"/>
          <w:color w:val="000000" w:themeColor="text1"/>
          <w:sz w:val="32"/>
          <w:szCs w:val="32"/>
          <w:highlight w:val="none"/>
          <w14:textFill>
            <w14:solidFill>
              <w14:schemeClr w14:val="tx1"/>
            </w14:solidFill>
          </w14:textFill>
        </w:rPr>
        <w:t>月</w:t>
      </w:r>
    </w:p>
    <w:p w14:paraId="3A6D006A">
      <w:pPr>
        <w:widowControl/>
        <w:jc w:val="left"/>
        <w:rPr>
          <w:rFonts w:ascii="宋体" w:hAnsi="宋体" w:cs="宋体"/>
          <w:b/>
          <w:color w:val="000000" w:themeColor="text1"/>
          <w:sz w:val="36"/>
          <w:szCs w:val="36"/>
          <w:highlight w:val="none"/>
          <w14:textFill>
            <w14:solidFill>
              <w14:schemeClr w14:val="tx1"/>
            </w14:solidFill>
          </w14:textFill>
        </w:rPr>
      </w:pPr>
    </w:p>
    <w:p w14:paraId="5E63CAD5">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w:t>
      </w:r>
      <w:r>
        <w:rPr>
          <w:rFonts w:hint="eastAsia" w:ascii="宋体" w:hAnsi="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cs="宋体"/>
          <w:b/>
          <w:color w:val="000000" w:themeColor="text1"/>
          <w:sz w:val="36"/>
          <w:szCs w:val="36"/>
          <w:highlight w:val="none"/>
          <w:lang w:val="zh-CN"/>
          <w14:textFill>
            <w14:solidFill>
              <w14:schemeClr w14:val="tx1"/>
            </w14:solidFill>
          </w14:textFill>
        </w:rPr>
        <w:t>录</w:t>
      </w:r>
    </w:p>
    <w:p w14:paraId="0A1E4E3A">
      <w:pPr>
        <w:pStyle w:val="40"/>
        <w:tabs>
          <w:tab w:val="right" w:leader="dot" w:pos="9070"/>
        </w:tabs>
        <w:spacing w:line="480" w:lineRule="auto"/>
        <w:rPr>
          <w:color w:val="000000" w:themeColor="text1"/>
          <w:sz w:val="28"/>
          <w:szCs w:val="28"/>
          <w:highlight w:val="none"/>
          <w14:textFill>
            <w14:solidFill>
              <w14:schemeClr w14:val="tx1"/>
            </w14:solidFill>
          </w14:textFill>
        </w:rPr>
      </w:pPr>
      <w:bookmarkStart w:id="0" w:name="_Toc54941328"/>
      <w:bookmarkStart w:id="1" w:name="_Toc23467"/>
      <w:bookmarkStart w:id="2" w:name="_Toc21464"/>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378E986F">
      <w:pPr>
        <w:pStyle w:val="40"/>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6</w:t>
      </w:r>
      <w:r>
        <w:rPr>
          <w:color w:val="000000" w:themeColor="text1"/>
          <w:sz w:val="28"/>
          <w:szCs w:val="28"/>
          <w:highlight w:val="none"/>
          <w14:textFill>
            <w14:solidFill>
              <w14:schemeClr w14:val="tx1"/>
            </w14:solidFill>
          </w14:textFill>
        </w:rPr>
        <w:fldChar w:fldCharType="end"/>
      </w:r>
    </w:p>
    <w:p w14:paraId="1124D497">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eastAsia="zh-CN"/>
          <w14:textFill>
            <w14:solidFill>
              <w14:schemeClr w14:val="tx1"/>
            </w14:solidFill>
          </w14:textFill>
        </w:rPr>
        <w:t>项目需求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8</w:t>
      </w:r>
    </w:p>
    <w:p w14:paraId="6528AAAA">
      <w:pPr>
        <w:pStyle w:val="40"/>
        <w:tabs>
          <w:tab w:val="right" w:leader="dot" w:pos="9070"/>
        </w:tabs>
        <w:spacing w:line="480" w:lineRule="auto"/>
        <w:rPr>
          <w:rFonts w:hint="default"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19</w:t>
      </w:r>
    </w:p>
    <w:p w14:paraId="7EFDE012">
      <w:pPr>
        <w:pStyle w:val="40"/>
        <w:tabs>
          <w:tab w:val="right" w:leader="dot" w:pos="9070"/>
        </w:tabs>
        <w:spacing w:line="480" w:lineRule="auto"/>
        <w:rPr>
          <w:rFonts w:hint="default"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21</w:t>
      </w:r>
    </w:p>
    <w:p w14:paraId="25B0663B">
      <w:pPr>
        <w:pStyle w:val="29"/>
        <w:tabs>
          <w:tab w:val="right" w:leader="dot" w:pos="9060"/>
        </w:tabs>
        <w:spacing w:line="480" w:lineRule="auto"/>
        <w:ind w:left="0"/>
        <w:jc w:val="center"/>
        <w:rPr>
          <w:rFonts w:ascii="Arial" w:hAnsi="Arial" w:eastAsia="黑体"/>
          <w:b/>
          <w:i w:val="0"/>
          <w:color w:val="000000" w:themeColor="text1"/>
          <w:sz w:val="32"/>
          <w:szCs w:val="32"/>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highlight w:val="none"/>
          <w14:textFill>
            <w14:solidFill>
              <w14:schemeClr w14:val="tx1"/>
            </w14:solidFill>
          </w14:textFill>
        </w:rPr>
        <w:t>第一章</w:t>
      </w:r>
      <w:r>
        <w:rPr>
          <w:rFonts w:hint="eastAsia" w:ascii="Arial" w:hAnsi="Arial" w:eastAsia="黑体"/>
          <w:b/>
          <w:i w:val="0"/>
          <w:color w:val="000000" w:themeColor="text1"/>
          <w:sz w:val="30"/>
          <w:szCs w:val="30"/>
          <w:highlight w:val="none"/>
          <w:lang w:val="en-US" w:eastAsia="zh-CN"/>
          <w14:textFill>
            <w14:solidFill>
              <w14:schemeClr w14:val="tx1"/>
            </w14:solidFill>
          </w14:textFill>
        </w:rPr>
        <w:t xml:space="preserve"> 安庆港中心港区石门湖一期工程生态环境竣工验收第三方服务</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r>
        <w:rPr>
          <w:rFonts w:hint="eastAsia" w:ascii="Arial" w:hAnsi="Arial" w:eastAsia="黑体"/>
          <w:b/>
          <w:i w:val="0"/>
          <w:color w:val="000000" w:themeColor="text1"/>
          <w:sz w:val="30"/>
          <w:szCs w:val="30"/>
          <w:highlight w:val="none"/>
          <w14:textFill>
            <w14:solidFill>
              <w14:schemeClr w14:val="tx1"/>
            </w14:solidFill>
          </w14:textFill>
        </w:rPr>
        <w:t>比选公告</w:t>
      </w:r>
    </w:p>
    <w:p w14:paraId="176DE7ED">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629"/>
      <w:bookmarkStart w:id="6" w:name="_Toc28359012"/>
      <w:bookmarkStart w:id="7" w:name="_Toc35393798"/>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安庆市通源港务有限公司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安庆港中心港区石门湖一期工程生态环境竣工验收第三方服务</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AQJK-CG-2025-020</w:t>
      </w:r>
      <w:r>
        <w:rPr>
          <w:rFonts w:hint="eastAsia" w:ascii="仿宋" w:hAnsi="仿宋" w:eastAsia="仿宋"/>
          <w:color w:val="000000" w:themeColor="text1"/>
          <w:sz w:val="28"/>
          <w:szCs w:val="28"/>
          <w:highlight w:val="none"/>
          <w14:textFill>
            <w14:solidFill>
              <w14:schemeClr w14:val="tx1"/>
            </w14:solidFill>
          </w14:textFill>
        </w:rPr>
        <w:t>）进行比选。</w:t>
      </w:r>
    </w:p>
    <w:p w14:paraId="65221892">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14:paraId="223B85FB">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项目编号：AQJK-CG-2025-020</w:t>
      </w:r>
    </w:p>
    <w:p w14:paraId="3D8AA763">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安庆港中心港区石门湖一期工程生态环境竣工验收第三方服务</w:t>
      </w:r>
    </w:p>
    <w:p w14:paraId="58D3500E">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项目内容：完成石门湖一期工程项目生态环境竣工报告的编制、排污许可证申报工作、环境应急预案编制工作（包含石门湖港原码头应急预案）、水生生态增殖放流方案编制以及验收评审工作。</w:t>
      </w:r>
    </w:p>
    <w:p w14:paraId="7C3DB9EE">
      <w:pPr>
        <w:spacing w:line="480" w:lineRule="atLeast"/>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项目地点：安庆市石门湖</w:t>
      </w:r>
    </w:p>
    <w:p w14:paraId="2EC85378">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14:paraId="26421C2F">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lang w:val="en-US" w:eastAsia="zh-CN"/>
          <w14:textFill>
            <w14:solidFill>
              <w14:schemeClr w14:val="tx1"/>
            </w14:solidFill>
          </w14:textFill>
        </w:rPr>
        <w:t>100000.00元</w:t>
      </w:r>
    </w:p>
    <w:p w14:paraId="41081311">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14:paraId="045CBE03">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50C17980">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参选人须具有与本采购项目相适应的服务能力；自2022年3月1日以来至少具有1项码头工程的环保专项验收业绩；具备2名及以上的环评工程师（报名时附环评信用平台截图）；本次验收项目负责人需为环评工程师并具有高级职称。</w:t>
      </w:r>
    </w:p>
    <w:p w14:paraId="302772BA">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14:paraId="6189B02C">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14:paraId="6A942EBE">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14:paraId="3434CCEB">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14:paraId="7A122132">
      <w:pPr>
        <w:pStyle w:val="82"/>
        <w:ind w:firstLine="770" w:firstLineChars="275"/>
        <w:rPr>
          <w:rFonts w:hint="eastAsia" w:ascii="仿宋" w:hAnsi="仿宋" w:eastAsia="仿宋" w:cs="Times New Roman"/>
          <w:color w:val="auto"/>
          <w:kern w:val="2"/>
          <w:sz w:val="28"/>
          <w:szCs w:val="28"/>
          <w:highlight w:val="none"/>
          <w:lang w:val="en-US" w:eastAsia="zh-CN" w:bidi="ar-SA"/>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w:t>
      </w:r>
      <w:r>
        <w:rPr>
          <w:rFonts w:hint="eastAsia" w:ascii="仿宋" w:hAnsi="仿宋" w:eastAsia="仿宋" w:cs="Times New Roman"/>
          <w:color w:val="auto"/>
          <w:kern w:val="2"/>
          <w:sz w:val="28"/>
          <w:szCs w:val="28"/>
          <w:highlight w:val="none"/>
          <w:lang w:val="en-US" w:eastAsia="zh-CN" w:bidi="ar-SA"/>
        </w:rPr>
        <w:t>候选人资格而放弃中标资格不签订合同的投标人或参选人，在处罚期内的投标人或参选人不得参与本次比选活动。</w:t>
      </w:r>
    </w:p>
    <w:p w14:paraId="4B632FBE">
      <w:pPr>
        <w:spacing w:line="480" w:lineRule="atLeast"/>
        <w:ind w:firstLine="560" w:firstLineChars="200"/>
        <w:rPr>
          <w:rFonts w:hint="eastAsia"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三、比选文件获取：</w:t>
      </w:r>
    </w:p>
    <w:p w14:paraId="050E6C3E">
      <w:pPr>
        <w:spacing w:line="480" w:lineRule="atLeas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1.潜在参选人于</w:t>
      </w:r>
      <w:r>
        <w:rPr>
          <w:rFonts w:hint="eastAsia" w:ascii="仿宋" w:hAnsi="仿宋" w:eastAsia="仿宋"/>
          <w:color w:val="auto"/>
          <w:sz w:val="28"/>
          <w:szCs w:val="28"/>
          <w:highlight w:val="none"/>
          <w:lang w:val="en-US" w:eastAsia="zh-CN"/>
        </w:rPr>
        <w:t>2025</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日17点30分前，每天上午8:00至12:00，下午14:30至17:30（北京时间，法定节假日除外）登录安庆市交通控股集团有限公司</w:t>
      </w:r>
      <w:r>
        <w:rPr>
          <w:rFonts w:hint="eastAsia" w:ascii="仿宋" w:hAnsi="仿宋" w:eastAsia="仿宋"/>
          <w:color w:val="auto"/>
          <w:sz w:val="28"/>
          <w:szCs w:val="28"/>
          <w:highlight w:val="none"/>
          <w:lang w:eastAsia="zh-CN"/>
        </w:rPr>
        <w:t>集采平台</w:t>
      </w:r>
      <w:r>
        <w:rPr>
          <w:rFonts w:hint="eastAsia" w:ascii="仿宋" w:hAnsi="仿宋" w:eastAsia="仿宋"/>
          <w:color w:val="auto"/>
          <w:sz w:val="28"/>
          <w:szCs w:val="28"/>
          <w:highlight w:val="none"/>
        </w:rPr>
        <w:t>（http://jc.zh0556.com/）获取比选文件。</w:t>
      </w:r>
    </w:p>
    <w:p w14:paraId="168F5C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4E5DBB0B">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将“确定参与比选的函”盖供应商公章在2025年3月20日17点30分前发邮箱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14:paraId="0B9A7E3E">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14:paraId="76574F3C">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241AEC9D">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21</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分</w:t>
      </w:r>
    </w:p>
    <w:p w14:paraId="1B3C892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14:paraId="1804304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6E0707D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50A608C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0B50B11C">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2277CBDF">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14:paraId="69390742">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95"/>
      <w:bookmarkStart w:id="11" w:name="_Toc28359018"/>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31F51383">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35393637"/>
      <w:bookmarkStart w:id="14" w:name="_Toc28359019"/>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6F0FB3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称：安庆市通源港务有限公司</w:t>
      </w:r>
    </w:p>
    <w:p w14:paraId="76E4DBC4">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址：怀宁县月山镇石门湖港</w:t>
      </w:r>
    </w:p>
    <w:p w14:paraId="28BA029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人：朱敏</w:t>
      </w:r>
    </w:p>
    <w:p w14:paraId="35A7555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sz w:val="28"/>
          <w:szCs w:val="28"/>
          <w:highlight w:val="none"/>
          <w:lang w:val="en-US" w:eastAsia="zh-CN"/>
        </w:rPr>
        <w:t>联系方式：18955636018</w:t>
      </w:r>
    </w:p>
    <w:p w14:paraId="107CDB6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14:paraId="4EC7D605">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07F879EE">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01310476">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14:paraId="483938F2">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default"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14:paraId="2ABAB662">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22602042">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2E87ACBC">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13AA4F4F">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04614A01">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59E2F2A8">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安庆港中心港区石门湖一期工程生态环境竣工验收第三方服务项目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14:paraId="1B0FC7B4">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63D5994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3877CF50">
      <w:pPr>
        <w:ind w:firstLine="640"/>
        <w:jc w:val="both"/>
        <w:rPr>
          <w:rFonts w:hint="eastAsia" w:ascii="仿宋" w:hAnsi="仿宋" w:eastAsia="仿宋" w:cs="仿宋"/>
          <w:b w:val="0"/>
          <w:bCs w:val="0"/>
          <w:color w:val="auto"/>
          <w:sz w:val="32"/>
          <w:szCs w:val="32"/>
          <w:highlight w:val="none"/>
          <w:u w:val="none"/>
          <w:lang w:val="en-US" w:eastAsia="zh-CN"/>
        </w:rPr>
      </w:pPr>
    </w:p>
    <w:p w14:paraId="54D2627E">
      <w:pPr>
        <w:pStyle w:val="81"/>
        <w:rPr>
          <w:rFonts w:hint="eastAsia" w:ascii="仿宋" w:hAnsi="仿宋" w:eastAsia="仿宋" w:cs="仿宋"/>
          <w:b w:val="0"/>
          <w:bCs w:val="0"/>
          <w:color w:val="auto"/>
          <w:sz w:val="32"/>
          <w:szCs w:val="32"/>
          <w:highlight w:val="none"/>
          <w:u w:val="none"/>
          <w:lang w:val="en-US" w:eastAsia="zh-CN"/>
        </w:rPr>
      </w:pPr>
    </w:p>
    <w:p w14:paraId="59E993CF">
      <w:pPr>
        <w:pStyle w:val="81"/>
        <w:rPr>
          <w:rFonts w:hint="eastAsia" w:ascii="仿宋" w:hAnsi="仿宋" w:eastAsia="仿宋" w:cs="仿宋"/>
          <w:b w:val="0"/>
          <w:bCs w:val="0"/>
          <w:color w:val="auto"/>
          <w:sz w:val="32"/>
          <w:szCs w:val="32"/>
          <w:highlight w:val="none"/>
          <w:u w:val="none"/>
          <w:lang w:val="en-US" w:eastAsia="zh-CN"/>
        </w:rPr>
      </w:pPr>
    </w:p>
    <w:p w14:paraId="1FDA4C48">
      <w:pPr>
        <w:pStyle w:val="81"/>
        <w:rPr>
          <w:rFonts w:hint="eastAsia" w:ascii="仿宋" w:hAnsi="仿宋" w:eastAsia="仿宋" w:cs="仿宋"/>
          <w:b w:val="0"/>
          <w:bCs w:val="0"/>
          <w:color w:val="auto"/>
          <w:sz w:val="32"/>
          <w:szCs w:val="32"/>
          <w:highlight w:val="none"/>
          <w:u w:val="none"/>
          <w:lang w:val="en-US" w:eastAsia="zh-CN"/>
        </w:rPr>
      </w:pPr>
    </w:p>
    <w:p w14:paraId="7D30A0B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6D1742C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206A4F4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303E2A49">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624F4A20">
      <w:pPr>
        <w:pStyle w:val="4"/>
        <w:rPr>
          <w:rFonts w:hint="eastAsia" w:cs="Tahoma"/>
          <w:bCs/>
          <w:color w:val="000000" w:themeColor="text1"/>
          <w:kern w:val="0"/>
          <w:sz w:val="32"/>
          <w:szCs w:val="32"/>
          <w:highlight w:val="none"/>
          <w14:textFill>
            <w14:solidFill>
              <w14:schemeClr w14:val="tx1"/>
            </w14:solidFill>
          </w14:textFill>
        </w:rPr>
      </w:pPr>
      <w:bookmarkStart w:id="20" w:name="_Toc439316871"/>
      <w:bookmarkStart w:id="21" w:name="_Toc54941330"/>
      <w:bookmarkStart w:id="22" w:name="_Toc17862"/>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14:paraId="15B0BBF1">
      <w:pPr>
        <w:pStyle w:val="5"/>
        <w:rPr>
          <w:highlight w:val="none"/>
        </w:rPr>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9366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4EB69AC">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1E95A771">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722FB518">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52B5F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4E29297B">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5BA0940F">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7BB2646E">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安庆港中心港区石门湖一期工程生态环境竣工验收第三方服务</w:t>
            </w:r>
          </w:p>
        </w:tc>
      </w:tr>
      <w:tr w14:paraId="52601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6973C81D">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19E232CC">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4157E674">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AQJK-CG-2025-020</w:t>
            </w:r>
          </w:p>
        </w:tc>
      </w:tr>
      <w:tr w14:paraId="3F8D6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6759105C">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0D6C6784">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3D81A3D7">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安庆市通源港务有限公司</w:t>
            </w:r>
          </w:p>
        </w:tc>
      </w:tr>
      <w:tr w14:paraId="7CBD4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5367D61">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6966415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14:paraId="7EDB0972">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7E7CA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9CFF0A4">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3AEC10A1">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69C37192">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0CFD77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135C5FC3">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0E0A9DED">
            <w:pPr>
              <w:keepNext w:val="0"/>
              <w:keepLines w:val="0"/>
              <w:suppressLineNumbers w:val="0"/>
              <w:spacing w:before="0" w:beforeLines="0" w:beforeAutospacing="0" w:after="0" w:afterLines="0" w:afterAutospacing="0" w:line="420" w:lineRule="exact"/>
              <w:ind w:left="0" w:leftChars="0" w:right="0" w:rightChars="0"/>
              <w:jc w:val="center"/>
              <w:rPr>
                <w:rFonts w:hint="eastAsia" w:eastAsia="宋体"/>
                <w:color w:val="000000" w:themeColor="text1"/>
                <w:szCs w:val="21"/>
                <w:highlight w:val="none"/>
                <w:lang w:val="en-US" w:eastAsia="zh-CN"/>
                <w14:textFill>
                  <w14:solidFill>
                    <w14:schemeClr w14:val="tx1"/>
                  </w14:solidFill>
                </w14:textFill>
              </w:rPr>
            </w:pPr>
            <w:r>
              <w:rPr>
                <w:rFonts w:hint="eastAsia" w:ascii="宋体"/>
                <w:color w:val="000000"/>
                <w:sz w:val="21"/>
                <w:szCs w:val="21"/>
                <w:highlight w:val="none"/>
                <w:lang w:eastAsia="zh-CN"/>
              </w:rPr>
              <w:t>最高投标限价</w:t>
            </w:r>
          </w:p>
        </w:tc>
        <w:tc>
          <w:tcPr>
            <w:tcW w:w="6356" w:type="dxa"/>
            <w:tcBorders>
              <w:top w:val="single" w:color="auto" w:sz="4" w:space="0"/>
              <w:left w:val="single" w:color="auto" w:sz="4" w:space="0"/>
              <w:bottom w:val="single" w:color="auto" w:sz="4" w:space="0"/>
            </w:tcBorders>
            <w:vAlign w:val="center"/>
          </w:tcPr>
          <w:p w14:paraId="76AEB93A">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000000" w:themeColor="text1"/>
                <w:szCs w:val="21"/>
                <w:highlight w:val="none"/>
                <w:lang w:val="en-US" w:eastAsia="zh-CN"/>
                <w14:textFill>
                  <w14:solidFill>
                    <w14:schemeClr w14:val="tx1"/>
                  </w14:solidFill>
                </w14:textFill>
              </w:rPr>
            </w:pPr>
            <w:r>
              <w:rPr>
                <w:rFonts w:hint="eastAsia" w:cs="Times New Roman"/>
                <w:szCs w:val="21"/>
                <w:highlight w:val="none"/>
                <w:lang w:val="en-US" w:eastAsia="zh-CN"/>
              </w:rPr>
              <w:t>100000.00</w:t>
            </w:r>
            <w:r>
              <w:rPr>
                <w:rFonts w:hint="eastAsia" w:ascii="Times New Roman" w:hAnsi="Times New Roman" w:eastAsia="宋体" w:cs="Times New Roman"/>
                <w:szCs w:val="21"/>
                <w:highlight w:val="none"/>
                <w:lang w:val="en-US" w:eastAsia="zh-CN"/>
              </w:rPr>
              <w:t>元</w:t>
            </w:r>
          </w:p>
        </w:tc>
      </w:tr>
      <w:tr w14:paraId="745C6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7ACD07D">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7EEE92C9">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5990A5A1">
            <w:pPr>
              <w:keepNext w:val="0"/>
              <w:keepLines w:val="0"/>
              <w:pageBreakBefore w:val="0"/>
              <w:kinsoku/>
              <w:wordWrap/>
              <w:overflowPunct/>
              <w:topLinePunct w:val="0"/>
              <w:bidi w:val="0"/>
              <w:spacing w:line="420" w:lineRule="exact"/>
              <w:textAlignment w:val="auto"/>
              <w:rPr>
                <w:rFonts w:hint="default"/>
                <w:highlight w:val="none"/>
                <w:lang w:val="en-US" w:eastAsia="zh-CN"/>
              </w:rPr>
            </w:pPr>
            <w:r>
              <w:rPr>
                <w:rFonts w:hint="eastAsia"/>
                <w:highlight w:val="none"/>
                <w:lang w:val="en-US" w:eastAsia="zh-CN"/>
              </w:rPr>
              <w:t>详见比选公告</w:t>
            </w:r>
          </w:p>
        </w:tc>
      </w:tr>
      <w:tr w14:paraId="4E5AE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5C515">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26FC89E0">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50D341A6">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14:paraId="0E86A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2304F18">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369E4DC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14:paraId="30215410">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14:paraId="0EFC45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E2861DE">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4E856929">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532646E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1E02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CDFA44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3535B1B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6481AB61">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44F53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C554D5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051B637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F47F8D4">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0673AC8B">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0D4EA21C">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680D682F">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23767B4C">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5DF79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4381EBB">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702FD38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49DA95EA">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3EE15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5417830">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07631D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04411DA4">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时间:2025年3月21日15时00分</w:t>
            </w:r>
          </w:p>
          <w:p w14:paraId="0D1DF747">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14:paraId="17626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0D5FE08">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tcPr>
          <w:p w14:paraId="781AA9A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0E16AD98">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7FA64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D1EFAD">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vAlign w:val="center"/>
          </w:tcPr>
          <w:p w14:paraId="50C2D01F">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3AE74FB7">
            <w:pPr>
              <w:keepNext w:val="0"/>
              <w:keepLines w:val="0"/>
              <w:pageBreakBefore w:val="0"/>
              <w:kinsoku/>
              <w:wordWrap/>
              <w:overflowPunct/>
              <w:topLinePunct w:val="0"/>
              <w:bidi w:val="0"/>
              <w:spacing w:line="420" w:lineRule="exact"/>
              <w:jc w:val="both"/>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本项目不收取</w:t>
            </w:r>
          </w:p>
        </w:tc>
      </w:tr>
      <w:tr w14:paraId="7478F2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5290904">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center"/>
          </w:tcPr>
          <w:p w14:paraId="6938C5E1">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14:paraId="2A35C88A">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14:paraId="26214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4FEFA15">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14:paraId="3BC174C0">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0D4F42AF">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3B6A0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A31F9C1">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0942B3B5">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40B75A3D">
            <w:pPr>
              <w:spacing w:line="360" w:lineRule="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成果文件编制完成后，且通过评审，验收合格后付款。</w:t>
            </w:r>
          </w:p>
        </w:tc>
      </w:tr>
      <w:tr w14:paraId="7C9CF9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3B4B193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280CF183">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112E8875">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6E03814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000C69A5">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安庆市通源港务有限公司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4E2F8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1292F727">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4DE800B0">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12F91277">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18B1F4C4">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29AE092E">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421D5DE8">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4" w:name="_Toc4481596"/>
      <w:bookmarkStart w:id="25" w:name="_Toc18076"/>
      <w:bookmarkStart w:id="26" w:name="_Toc11149"/>
      <w:bookmarkStart w:id="27" w:name="_Toc10569"/>
      <w:bookmarkStart w:id="28" w:name="_Toc54941340"/>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w:t>
      </w:r>
      <w:r>
        <w:rPr>
          <w:rFonts w:hint="eastAsia" w:ascii="宋体" w:hAnsi="宋体" w:cs="Times New Roman"/>
          <w:color w:val="auto"/>
          <w:szCs w:val="21"/>
          <w:highlight w:val="none"/>
          <w:lang w:eastAsia="zh-CN"/>
        </w:rPr>
        <w:t>部门</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52935E0">
      <w:pPr>
        <w:adjustRightInd w:val="0"/>
        <w:spacing w:line="500" w:lineRule="exact"/>
        <w:ind w:firstLine="413" w:firstLineChars="196"/>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adjustRightInd w:val="0"/>
        <w:spacing w:line="500" w:lineRule="exact"/>
        <w:ind w:firstLine="411" w:firstLineChars="196"/>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9" w:name="_Toc479622044"/>
      <w:bookmarkStart w:id="30" w:name="_Toc4481593"/>
      <w:bookmarkStart w:id="31"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9"/>
      <w:bookmarkEnd w:id="30"/>
      <w:bookmarkEnd w:id="31"/>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eastAsia="zh-CN"/>
        </w:rPr>
        <w:t>项目需求及技术要求</w:t>
      </w:r>
      <w:r>
        <w:rPr>
          <w:rFonts w:hint="eastAsia" w:ascii="宋体" w:hAnsi="宋体" w:eastAsia="宋体" w:cs="Times New Roman"/>
          <w:color w:val="auto"/>
          <w:szCs w:val="21"/>
          <w:highlight w:val="none"/>
        </w:rPr>
        <w:t>；</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721D36F3">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4A10AD42">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14:paraId="4938086F">
      <w:pPr>
        <w:spacing w:line="500" w:lineRule="exact"/>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1B22E2FF">
      <w:pPr>
        <w:spacing w:line="500" w:lineRule="exact"/>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1AC3814B">
      <w:pPr>
        <w:spacing w:line="360" w:lineRule="auto"/>
        <w:ind w:firstLine="42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2"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2"/>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0B4E10E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、投标报价</w:t>
      </w:r>
    </w:p>
    <w:p w14:paraId="2FF49500">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.1、参选文件的报价表上应清楚地标明参选人拟提供货物或服务的名称、价格等内容。</w:t>
      </w:r>
    </w:p>
    <w:p w14:paraId="111D7C14">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.2、除非特别要求，每个项目（或每个包）只允许有一个方案、一个报价。多方案、多报价的参选文件将视为无效参选文件。</w:t>
      </w:r>
    </w:p>
    <w:p w14:paraId="1CDC0B68">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.3、参选人的报价应包含满足本次采购需求的所有费用（包括但不限于：人工费、材料费、运输费、保险、税金等）。</w:t>
      </w:r>
    </w:p>
    <w:p w14:paraId="5BA86BD6">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.4、投标报价高于最高投标限价为投标无效。</w:t>
      </w:r>
    </w:p>
    <w:p w14:paraId="2DB8A5D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.5.若投标函中报价的大写金额和小写金额不一致的，以大写金额为准；单价金额小数点有明显错位的，应以总价为准，并修正单价。</w:t>
      </w:r>
    </w:p>
    <w:p w14:paraId="78A407C2">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.6.若项目报价表单价汇总金额、总价金额、投标函中报价三者不一致的，视为无效报价；</w:t>
      </w:r>
    </w:p>
    <w:p w14:paraId="11727DD9">
      <w:pPr>
        <w:spacing w:line="360" w:lineRule="auto"/>
        <w:ind w:firstLine="420" w:firstLineChars="200"/>
        <w:rPr>
          <w:rFonts w:hint="eastAsia" w:ascii="宋体" w:hAnsi="宋体" w:eastAsia="宋体" w:cs="Times New Roman"/>
          <w:b w:val="0"/>
          <w:bCs/>
          <w:color w:val="auto"/>
          <w:szCs w:val="21"/>
          <w:highlight w:val="none"/>
          <w:lang w:val="en-US" w:eastAsia="zh-CN"/>
        </w:rPr>
      </w:pPr>
      <w:r>
        <w:rPr>
          <w:rFonts w:hint="eastAsia" w:ascii="宋体" w:hAnsi="宋体" w:eastAsia="宋体" w:cs="Times New Roman"/>
          <w:b w:val="0"/>
          <w:bCs/>
          <w:color w:val="auto"/>
          <w:szCs w:val="21"/>
          <w:highlight w:val="none"/>
        </w:rPr>
        <w:t>1</w:t>
      </w:r>
      <w:r>
        <w:rPr>
          <w:rFonts w:hint="eastAsia" w:ascii="宋体" w:hAnsi="宋体" w:cs="Times New Roman"/>
          <w:b w:val="0"/>
          <w:bCs/>
          <w:color w:val="auto"/>
          <w:szCs w:val="21"/>
          <w:highlight w:val="none"/>
          <w:lang w:val="en-US" w:eastAsia="zh-CN"/>
        </w:rPr>
        <w:t>0</w:t>
      </w:r>
      <w:r>
        <w:rPr>
          <w:rFonts w:hint="eastAsia" w:ascii="宋体" w:hAnsi="宋体" w:eastAsia="宋体" w:cs="Times New Roman"/>
          <w:b w:val="0"/>
          <w:bCs/>
          <w:color w:val="auto"/>
          <w:szCs w:val="21"/>
          <w:highlight w:val="none"/>
        </w:rPr>
        <w:t>.7投标函中报价与参选文件中相应内容不一致的，以投标函中报价为准。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表、服务</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表、服务内容及质量要求响应表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3" w:name="_Toc25319"/>
      <w:bookmarkStart w:id="34" w:name="_Toc4481594"/>
      <w:bookmarkStart w:id="35" w:name="_Toc12503"/>
      <w:bookmarkStart w:id="36" w:name="_Toc479622046"/>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3"/>
      <w:bookmarkEnd w:id="34"/>
      <w:bookmarkEnd w:id="35"/>
      <w:bookmarkEnd w:id="36"/>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7" w:name="_Toc23598"/>
      <w:bookmarkStart w:id="38"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cs="Times New Roman"/>
          <w:color w:val="auto"/>
          <w:szCs w:val="21"/>
          <w:highlight w:val="none"/>
          <w:lang w:eastAsia="zh-CN"/>
        </w:rPr>
        <w:t>比选须知</w:t>
      </w:r>
      <w:r>
        <w:rPr>
          <w:rFonts w:hint="eastAsia" w:ascii="宋体" w:hAnsi="宋体" w:eastAsia="宋体" w:cs="Times New Roman"/>
          <w:color w:val="auto"/>
          <w:szCs w:val="21"/>
          <w:highlight w:val="none"/>
        </w:rPr>
        <w:t>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在约定的投标截止时间之前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9"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7"/>
      <w:bookmarkEnd w:id="38"/>
      <w:bookmarkEnd w:id="39"/>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21.2.开标过程中发现有下列情况的，由评标委员会评审后，认定为投标无效：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表、</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w:t>
      </w:r>
      <w:r>
        <w:rPr>
          <w:rFonts w:hint="eastAsia" w:ascii="宋体" w:hAnsi="宋体" w:cs="Times New Roman"/>
          <w:color w:val="auto"/>
          <w:szCs w:val="21"/>
          <w:highlight w:val="none"/>
          <w:lang w:eastAsia="zh-CN"/>
        </w:rPr>
        <w:t>报价</w:t>
      </w:r>
      <w:r>
        <w:rPr>
          <w:rFonts w:hint="eastAsia" w:ascii="宋体" w:hAnsi="宋体" w:eastAsia="宋体" w:cs="Times New Roman"/>
          <w:color w:val="auto"/>
          <w:szCs w:val="21"/>
          <w:highlight w:val="none"/>
          <w:lang w:eastAsia="zh-CN"/>
        </w:rPr>
        <w:t>高于比选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71A425D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1C54A4E7">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14:paraId="10442E0B">
      <w:pPr>
        <w:widowControl/>
        <w:spacing w:line="500" w:lineRule="exact"/>
        <w:ind w:firstLine="405"/>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w:t>
      </w:r>
      <w:r>
        <w:rPr>
          <w:rFonts w:hint="eastAsia" w:ascii="宋体" w:hAnsi="宋体" w:cs="Times New Roman"/>
          <w:b/>
          <w:bCs/>
          <w:color w:val="auto"/>
          <w:szCs w:val="21"/>
          <w:highlight w:val="none"/>
          <w:lang w:val="en-US" w:eastAsia="zh-CN"/>
        </w:rPr>
        <w:t>报价</w:t>
      </w:r>
      <w:r>
        <w:rPr>
          <w:rFonts w:hint="eastAsia" w:ascii="宋体" w:hAnsi="宋体" w:eastAsia="宋体" w:cs="Times New Roman"/>
          <w:b/>
          <w:bCs/>
          <w:color w:val="auto"/>
          <w:szCs w:val="21"/>
          <w:highlight w:val="none"/>
          <w:lang w:val="en-US" w:eastAsia="zh-CN"/>
        </w:rPr>
        <w:t>不得高于比选</w:t>
      </w:r>
      <w:r>
        <w:rPr>
          <w:rFonts w:hint="eastAsia" w:ascii="宋体" w:hAnsi="宋体" w:cs="Times New Roman"/>
          <w:b/>
          <w:bCs/>
          <w:color w:val="auto"/>
          <w:szCs w:val="21"/>
          <w:highlight w:val="none"/>
          <w:lang w:val="en-US" w:eastAsia="zh-CN"/>
        </w:rPr>
        <w:t>最高投标限价</w:t>
      </w:r>
      <w:r>
        <w:rPr>
          <w:rFonts w:hint="eastAsia" w:ascii="宋体" w:hAnsi="宋体" w:cs="Times New Roman"/>
          <w:b w:val="0"/>
          <w:bCs w:val="0"/>
          <w:color w:val="auto"/>
          <w:szCs w:val="21"/>
          <w:highlight w:val="none"/>
          <w:lang w:val="en-US" w:eastAsia="zh-CN"/>
        </w:rPr>
        <w:t>，</w:t>
      </w:r>
      <w:r>
        <w:rPr>
          <w:rFonts w:hint="eastAsia" w:ascii="宋体" w:hAnsi="宋体" w:eastAsia="宋体" w:cs="Times New Roman"/>
          <w:color w:val="auto"/>
          <w:szCs w:val="21"/>
          <w:highlight w:val="none"/>
        </w:rPr>
        <w:t>否则为无效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，即报价评审不通过。</w:t>
      </w:r>
    </w:p>
    <w:p w14:paraId="3CED8666">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5339192A">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14:paraId="046F4BE9">
      <w:pPr>
        <w:widowControl/>
        <w:spacing w:line="500" w:lineRule="exact"/>
        <w:ind w:firstLine="420"/>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26、开标评标异常情况处理</w:t>
      </w:r>
    </w:p>
    <w:p w14:paraId="7DEF60C4">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26.1、在招标采购中，出现下列情况之一的，应予废标，采购单位重新组织采购：</w:t>
      </w:r>
    </w:p>
    <w:p w14:paraId="2906BF30">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7C7685A0">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cs="Times New Roman"/>
          <w:color w:val="auto"/>
          <w:szCs w:val="21"/>
          <w:highlight w:val="none"/>
          <w:lang w:val="en-US" w:eastAsia="zh-CN"/>
        </w:rPr>
        <w:t>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w:t>
      </w:r>
      <w:r>
        <w:rPr>
          <w:rFonts w:hint="eastAsia" w:ascii="宋体" w:hAnsi="宋体" w:cs="Times New Roman"/>
          <w:color w:val="auto"/>
          <w:szCs w:val="21"/>
          <w:highlight w:val="none"/>
          <w:lang w:eastAsia="zh-CN"/>
        </w:rPr>
        <w:t>最高投标限价</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E111A19">
      <w:pPr>
        <w:widowControl/>
        <w:spacing w:line="500" w:lineRule="exact"/>
        <w:ind w:firstLine="405"/>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79E11F1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被拒绝。</w:t>
      </w:r>
    </w:p>
    <w:p w14:paraId="60A1A396">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AFE71F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28.签订合同</w:t>
      </w:r>
    </w:p>
    <w:p w14:paraId="287645D7">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28.1.1、中标人的中标价即为合同价款。</w:t>
      </w:r>
    </w:p>
    <w:p w14:paraId="71C9992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28.1.2、中标人应在中标通知书发出之日起30日内，根据比选文件和中标人的投标文件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14:paraId="017079AE">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14:paraId="76026342">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.1、中标人在签订合同前必须按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.2、若中标人不能按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人可在无须征得中标人同意的情况下，不与其签订合同，并不予退还投标保证金。给采购单位造成的损失超过投标保证金数额的，还应当对超过部分予以赔偿。</w:t>
      </w:r>
    </w:p>
    <w:p w14:paraId="35EF1065">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71930969">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24"/>
    <w:bookmarkEnd w:id="25"/>
    <w:p w14:paraId="535CA39B">
      <w:pPr>
        <w:pStyle w:val="3"/>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eastAsia="黑体" w:cs="宋体"/>
          <w:b/>
          <w:color w:val="000000" w:themeColor="text1"/>
          <w:kern w:val="44"/>
          <w:sz w:val="32"/>
          <w:szCs w:val="32"/>
          <w:highlight w:val="none"/>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1691E972">
      <w:pPr>
        <w:numPr>
          <w:ilvl w:val="0"/>
          <w:numId w:val="0"/>
        </w:numPr>
        <w:tabs>
          <w:tab w:val="left" w:pos="3640"/>
        </w:tabs>
        <w:autoSpaceDE w:val="0"/>
        <w:autoSpaceDN w:val="0"/>
        <w:spacing w:line="360" w:lineRule="auto"/>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p>
    <w:p w14:paraId="416BF4C8">
      <w:pPr>
        <w:numPr>
          <w:ilvl w:val="0"/>
          <w:numId w:val="0"/>
        </w:numPr>
        <w:tabs>
          <w:tab w:val="left" w:pos="3640"/>
        </w:tabs>
        <w:autoSpaceDE w:val="0"/>
        <w:autoSpaceDN w:val="0"/>
        <w:spacing w:line="360" w:lineRule="auto"/>
        <w:rPr>
          <w:rFonts w:hint="default"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项目需求及技术要求</w:t>
      </w:r>
    </w:p>
    <w:p w14:paraId="34375487">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1、完成石门湖一期工程项目生态环境竣工报告的编制、排污许可证申报工作、环境应急预案编制工作（包含石门湖港原码头应急预案）、水生生态增殖放流方案编制工作，最终取得环保部门所有审批及备案手续。</w:t>
      </w:r>
    </w:p>
    <w:p w14:paraId="26181465">
      <w:pPr>
        <w:ind w:firstLine="560" w:firstLineChars="200"/>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t>2、合同履约期限30日历天</w:t>
      </w:r>
    </w:p>
    <w:p w14:paraId="5CA3B142">
      <w:pP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8"/>
          <w:szCs w:val="28"/>
          <w:highlight w:val="none"/>
          <w:lang w:val="en-US" w:eastAsia="zh-CN" w:bidi="ar-SA"/>
          <w14:textFill>
            <w14:solidFill>
              <w14:schemeClr w14:val="tx1"/>
            </w14:solidFill>
          </w14:textFill>
        </w:rPr>
        <w:br w:type="page"/>
      </w:r>
    </w:p>
    <w:p w14:paraId="46ACA2D2">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40" w:name="_Toc10479"/>
      <w:bookmarkStart w:id="41"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6"/>
      <w:bookmarkEnd w:id="27"/>
      <w:bookmarkEnd w:id="28"/>
      <w:bookmarkEnd w:id="40"/>
      <w:bookmarkEnd w:id="41"/>
    </w:p>
    <w:p w14:paraId="0E353EE6">
      <w:pPr>
        <w:tabs>
          <w:tab w:val="left" w:pos="3640"/>
        </w:tabs>
        <w:autoSpaceDE w:val="0"/>
        <w:autoSpaceDN w:val="0"/>
        <w:spacing w:line="360" w:lineRule="auto"/>
        <w:ind w:firstLine="562"/>
        <w:rPr>
          <w:rFonts w:ascii="宋体" w:hAnsi="Times New Roman" w:eastAsia="宋体" w:cs="宋体"/>
          <w:color w:val="36363D"/>
          <w:szCs w:val="21"/>
          <w:u w:val="single"/>
        </w:rPr>
      </w:pPr>
      <w:bookmarkStart w:id="42" w:name="_Toc8981"/>
      <w:bookmarkStart w:id="43" w:name="_Toc439316880"/>
      <w:bookmarkStart w:id="44" w:name="_Toc25399"/>
      <w:bookmarkStart w:id="45" w:name="_Toc54941341"/>
      <w:r>
        <w:rPr>
          <w:rFonts w:hint="eastAsia" w:ascii="宋体" w:hAnsi="宋体" w:eastAsia="宋体" w:cs="宋体"/>
          <w:color w:val="36363D"/>
          <w:szCs w:val="21"/>
        </w:rPr>
        <w:t>买方（采购人）：</w:t>
      </w:r>
    </w:p>
    <w:p w14:paraId="2C312D31">
      <w:pPr>
        <w:tabs>
          <w:tab w:val="left" w:pos="3640"/>
        </w:tabs>
        <w:autoSpaceDE w:val="0"/>
        <w:autoSpaceDN w:val="0"/>
        <w:spacing w:line="360" w:lineRule="auto"/>
        <w:ind w:firstLine="562"/>
        <w:rPr>
          <w:rFonts w:ascii="宋体" w:hAnsi="Times New Roman" w:eastAsia="宋体" w:cs="宋体"/>
          <w:color w:val="36363D"/>
          <w:szCs w:val="21"/>
          <w:u w:val="single"/>
        </w:rPr>
      </w:pPr>
      <w:r>
        <w:rPr>
          <w:rFonts w:hint="eastAsia" w:ascii="宋体" w:hAnsi="宋体" w:eastAsia="宋体" w:cs="宋体"/>
          <w:color w:val="36363D"/>
          <w:szCs w:val="21"/>
        </w:rPr>
        <w:t>卖方（参选人）：</w:t>
      </w:r>
    </w:p>
    <w:p w14:paraId="3C4C0D17">
      <w:pPr>
        <w:tabs>
          <w:tab w:val="left" w:pos="3640"/>
        </w:tabs>
        <w:autoSpaceDE w:val="0"/>
        <w:autoSpaceDN w:val="0"/>
        <w:spacing w:line="360" w:lineRule="auto"/>
        <w:ind w:firstLine="420" w:firstLineChars="200"/>
        <w:rPr>
          <w:rFonts w:ascii="宋体" w:hAnsi="Times New Roman" w:eastAsia="宋体" w:cs="宋体"/>
          <w:color w:val="36363D"/>
          <w:szCs w:val="21"/>
        </w:rPr>
      </w:pPr>
      <w:r>
        <w:rPr>
          <w:rFonts w:hint="eastAsia" w:ascii="宋体" w:hAnsi="宋体" w:eastAsia="宋体" w:cs="宋体"/>
          <w:color w:val="36363D"/>
          <w:szCs w:val="21"/>
        </w:rPr>
        <w:t>根据《中华人民共和国民法典》及比选文件，买、卖双方经协商一致，签订如下合同条款，并共同遵守。</w:t>
      </w:r>
    </w:p>
    <w:p w14:paraId="6B5CCA85">
      <w:p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rPr>
      </w:pPr>
      <w:r>
        <w:rPr>
          <w:rFonts w:hint="eastAsia" w:ascii="宋体" w:hAnsi="宋体" w:eastAsia="宋体" w:cs="宋体"/>
          <w:b/>
          <w:color w:val="36363D"/>
          <w:szCs w:val="21"/>
        </w:rPr>
        <w:t>一、服务内容</w:t>
      </w:r>
    </w:p>
    <w:p w14:paraId="5C6759AD">
      <w:pPr>
        <w:tabs>
          <w:tab w:val="left" w:pos="3640"/>
        </w:tabs>
        <w:autoSpaceDE w:val="0"/>
        <w:autoSpaceDN w:val="0"/>
        <w:spacing w:line="360" w:lineRule="auto"/>
        <w:ind w:firstLine="843" w:firstLineChars="400"/>
        <w:rPr>
          <w:rFonts w:ascii="宋体" w:hAnsi="Times New Roman" w:eastAsia="宋体" w:cs="宋体"/>
          <w:b/>
          <w:color w:val="36363D"/>
          <w:spacing w:val="8"/>
          <w:szCs w:val="21"/>
        </w:rPr>
      </w:pPr>
      <w:r>
        <w:rPr>
          <w:rFonts w:hint="eastAsia" w:ascii="宋体" w:hAnsi="宋体" w:eastAsia="宋体" w:cs="宋体"/>
          <w:b/>
          <w:color w:val="36363D"/>
          <w:szCs w:val="21"/>
        </w:rPr>
        <w:t>服务内容：</w:t>
      </w:r>
    </w:p>
    <w:p w14:paraId="3A9475BB">
      <w:pPr>
        <w:tabs>
          <w:tab w:val="left" w:pos="3640"/>
        </w:tabs>
        <w:autoSpaceDE w:val="0"/>
        <w:autoSpaceDN w:val="0"/>
        <w:spacing w:line="360" w:lineRule="auto"/>
        <w:ind w:firstLine="843" w:firstLineChars="400"/>
        <w:rPr>
          <w:rFonts w:ascii="宋体" w:hAnsi="Times New Roman" w:eastAsia="宋体" w:cs="宋体"/>
          <w:b/>
          <w:color w:val="36363D"/>
          <w:spacing w:val="8"/>
          <w:szCs w:val="21"/>
        </w:rPr>
      </w:pPr>
      <w:r>
        <w:rPr>
          <w:rFonts w:hint="eastAsia" w:ascii="宋体" w:hAnsi="宋体" w:eastAsia="宋体" w:cs="宋体"/>
          <w:b/>
          <w:color w:val="36363D"/>
          <w:szCs w:val="21"/>
        </w:rPr>
        <w:t>合同金额：</w:t>
      </w:r>
    </w:p>
    <w:p w14:paraId="1C9BEEA0">
      <w:pPr>
        <w:tabs>
          <w:tab w:val="left" w:pos="3640"/>
        </w:tabs>
        <w:autoSpaceDE w:val="0"/>
        <w:autoSpaceDN w:val="0"/>
        <w:spacing w:line="360" w:lineRule="auto"/>
        <w:ind w:firstLine="422" w:firstLineChars="200"/>
        <w:rPr>
          <w:rFonts w:ascii="宋体" w:hAnsi="Times New Roman" w:eastAsia="宋体" w:cs="宋体"/>
          <w:color w:val="36363D"/>
          <w:szCs w:val="21"/>
        </w:rPr>
      </w:pPr>
      <w:r>
        <w:rPr>
          <w:rFonts w:hint="eastAsia" w:ascii="宋体" w:hAnsi="宋体" w:eastAsia="宋体" w:cs="宋体"/>
          <w:b/>
          <w:color w:val="36363D"/>
          <w:szCs w:val="21"/>
        </w:rPr>
        <w:t>二、服务期：</w:t>
      </w:r>
    </w:p>
    <w:p w14:paraId="51EEF226">
      <w:pPr>
        <w:tabs>
          <w:tab w:val="left" w:pos="3640"/>
        </w:tabs>
        <w:autoSpaceDE w:val="0"/>
        <w:autoSpaceDN w:val="0"/>
        <w:spacing w:line="360" w:lineRule="auto"/>
        <w:ind w:firstLine="422" w:firstLineChars="200"/>
        <w:rPr>
          <w:rFonts w:ascii="宋体" w:hAnsi="Times New Roman" w:eastAsia="宋体" w:cs="宋体"/>
          <w:b/>
          <w:bCs/>
          <w:color w:val="36363D"/>
          <w:szCs w:val="21"/>
        </w:rPr>
      </w:pPr>
      <w:r>
        <w:rPr>
          <w:rFonts w:hint="eastAsia" w:ascii="宋体" w:hAnsi="宋体" w:eastAsia="宋体" w:cs="宋体"/>
          <w:b/>
          <w:bCs/>
          <w:color w:val="36363D"/>
          <w:szCs w:val="21"/>
        </w:rPr>
        <w:t>三、服务人员配备：</w:t>
      </w:r>
    </w:p>
    <w:p w14:paraId="23CFDFDE">
      <w:pPr>
        <w:tabs>
          <w:tab w:val="left" w:pos="3640"/>
        </w:tabs>
        <w:autoSpaceDE w:val="0"/>
        <w:autoSpaceDN w:val="0"/>
        <w:spacing w:line="360" w:lineRule="auto"/>
        <w:ind w:firstLine="422" w:firstLineChars="200"/>
        <w:rPr>
          <w:rFonts w:ascii="宋体" w:hAnsi="Times New Roman" w:eastAsia="宋体" w:cs="宋体"/>
          <w:b/>
          <w:color w:val="36363D"/>
          <w:szCs w:val="21"/>
        </w:rPr>
      </w:pPr>
      <w:r>
        <w:rPr>
          <w:rFonts w:hint="eastAsia" w:ascii="宋体" w:hAnsi="宋体" w:eastAsia="宋体" w:cs="宋体"/>
          <w:b/>
          <w:color w:val="36363D"/>
          <w:szCs w:val="21"/>
        </w:rPr>
        <w:t>四、服务地点：</w:t>
      </w:r>
    </w:p>
    <w:p w14:paraId="3A03BB8C">
      <w:pPr>
        <w:tabs>
          <w:tab w:val="left" w:pos="3640"/>
        </w:tabs>
        <w:autoSpaceDE w:val="0"/>
        <w:autoSpaceDN w:val="0"/>
        <w:spacing w:line="360" w:lineRule="auto"/>
        <w:ind w:firstLine="422" w:firstLineChars="200"/>
        <w:rPr>
          <w:rFonts w:ascii="宋体" w:hAnsi="Times New Roman" w:eastAsia="宋体" w:cs="宋体"/>
          <w:b/>
          <w:color w:val="36363D"/>
        </w:rPr>
      </w:pPr>
      <w:r>
        <w:rPr>
          <w:rFonts w:hint="eastAsia" w:ascii="宋体" w:hAnsi="宋体" w:eastAsia="宋体" w:cs="宋体"/>
          <w:b/>
          <w:color w:val="36363D"/>
          <w:szCs w:val="21"/>
        </w:rPr>
        <w:t>五、</w:t>
      </w:r>
      <w:r>
        <w:rPr>
          <w:rFonts w:hint="eastAsia" w:ascii="宋体" w:hAnsi="宋体" w:eastAsia="宋体" w:cs="宋体"/>
          <w:b/>
          <w:color w:val="36363D"/>
        </w:rPr>
        <w:t>验收：</w:t>
      </w:r>
    </w:p>
    <w:p w14:paraId="690290E5">
      <w:pPr>
        <w:spacing w:line="360" w:lineRule="auto"/>
        <w:ind w:firstLine="422" w:firstLineChars="200"/>
        <w:rPr>
          <w:rFonts w:ascii="宋体" w:hAnsi="宋体" w:eastAsia="宋体" w:cs="宋体"/>
          <w:b/>
          <w:color w:val="36363D"/>
          <w:szCs w:val="21"/>
        </w:rPr>
      </w:pPr>
      <w:r>
        <w:rPr>
          <w:rFonts w:hint="eastAsia" w:ascii="宋体" w:hAnsi="宋体" w:eastAsia="宋体" w:cs="宋体"/>
          <w:b/>
          <w:color w:val="36363D"/>
          <w:szCs w:val="21"/>
        </w:rPr>
        <w:t>六、付款方式：</w:t>
      </w:r>
    </w:p>
    <w:p w14:paraId="0286BC6D">
      <w:pPr>
        <w:spacing w:line="360" w:lineRule="auto"/>
        <w:ind w:firstLine="422" w:firstLineChars="200"/>
        <w:rPr>
          <w:rFonts w:ascii="宋体" w:hAnsi="宋体" w:eastAsia="宋体" w:cs="宋体"/>
          <w:b/>
          <w:color w:val="36363D"/>
          <w:szCs w:val="21"/>
        </w:rPr>
      </w:pPr>
      <w:r>
        <w:rPr>
          <w:rFonts w:hint="eastAsia" w:ascii="宋体" w:hAnsi="宋体" w:eastAsia="宋体" w:cs="宋体"/>
          <w:b/>
          <w:color w:val="36363D"/>
          <w:szCs w:val="21"/>
        </w:rPr>
        <w:t>七、履约保证金退还：</w:t>
      </w:r>
    </w:p>
    <w:p w14:paraId="22156E2D">
      <w:pPr>
        <w:spacing w:line="360" w:lineRule="auto"/>
        <w:ind w:firstLine="422" w:firstLineChars="200"/>
        <w:rPr>
          <w:rFonts w:ascii="宋体" w:hAnsi="Times New Roman" w:eastAsia="宋体" w:cs="宋体"/>
          <w:b/>
          <w:color w:val="36363D"/>
          <w:szCs w:val="21"/>
        </w:rPr>
      </w:pPr>
      <w:r>
        <w:rPr>
          <w:rFonts w:hint="eastAsia" w:ascii="宋体" w:hAnsi="宋体" w:eastAsia="宋体" w:cs="宋体"/>
          <w:b/>
          <w:color w:val="36363D"/>
          <w:szCs w:val="21"/>
        </w:rPr>
        <w:t>八、违约责任</w:t>
      </w:r>
    </w:p>
    <w:p w14:paraId="07A8C3B1">
      <w:pPr>
        <w:tabs>
          <w:tab w:val="left" w:pos="3640"/>
        </w:tabs>
        <w:autoSpaceDE w:val="0"/>
        <w:autoSpaceDN w:val="0"/>
        <w:spacing w:line="360" w:lineRule="auto"/>
        <w:ind w:firstLine="452" w:firstLineChars="200"/>
        <w:rPr>
          <w:rFonts w:ascii="宋体" w:hAnsi="Times New Roman" w:eastAsia="宋体" w:cs="宋体"/>
          <w:b/>
          <w:color w:val="36363D"/>
          <w:szCs w:val="21"/>
        </w:rPr>
      </w:pPr>
      <w:r>
        <w:rPr>
          <w:rFonts w:ascii="宋体" w:hAnsi="宋体" w:eastAsia="宋体" w:cs="宋体"/>
          <w:color w:val="36363D"/>
          <w:spacing w:val="8"/>
          <w:szCs w:val="21"/>
        </w:rPr>
        <w:t>1</w:t>
      </w:r>
      <w:r>
        <w:rPr>
          <w:rFonts w:hint="eastAsia" w:ascii="宋体" w:hAnsi="宋体" w:eastAsia="宋体" w:cs="宋体"/>
          <w:color w:val="36363D"/>
          <w:spacing w:val="8"/>
          <w:szCs w:val="21"/>
        </w:rPr>
        <w:t>、买方</w:t>
      </w:r>
      <w:r>
        <w:rPr>
          <w:rFonts w:hint="eastAsia" w:ascii="宋体" w:hAnsi="宋体" w:eastAsia="宋体" w:cs="宋体"/>
          <w:color w:val="36363D"/>
          <w:szCs w:val="21"/>
        </w:rPr>
        <w:t>（采购人）</w:t>
      </w:r>
      <w:r>
        <w:rPr>
          <w:rFonts w:hint="eastAsia" w:ascii="宋体" w:hAnsi="宋体" w:eastAsia="宋体" w:cs="宋体"/>
          <w:color w:val="36363D"/>
          <w:spacing w:val="8"/>
          <w:szCs w:val="21"/>
        </w:rPr>
        <w:t>无正当理由拒绝接受服务，买方向卖方偿付合同价的％的违约金；</w:t>
      </w:r>
    </w:p>
    <w:p w14:paraId="5E349337">
      <w:pPr>
        <w:tabs>
          <w:tab w:val="left" w:pos="3640"/>
        </w:tabs>
        <w:autoSpaceDE w:val="0"/>
        <w:autoSpaceDN w:val="0"/>
        <w:spacing w:line="360" w:lineRule="auto"/>
        <w:ind w:firstLine="452" w:firstLineChars="200"/>
        <w:rPr>
          <w:rFonts w:ascii="宋体" w:hAnsi="Times New Roman" w:eastAsia="宋体" w:cs="宋体"/>
          <w:b/>
          <w:color w:val="36363D"/>
          <w:szCs w:val="21"/>
        </w:rPr>
      </w:pPr>
      <w:r>
        <w:rPr>
          <w:rFonts w:ascii="宋体" w:hAnsi="宋体" w:eastAsia="宋体" w:cs="宋体"/>
          <w:color w:val="36363D"/>
          <w:spacing w:val="8"/>
          <w:szCs w:val="21"/>
        </w:rPr>
        <w:t>2</w:t>
      </w:r>
      <w:r>
        <w:rPr>
          <w:rFonts w:hint="eastAsia" w:ascii="宋体" w:hAnsi="宋体" w:eastAsia="宋体" w:cs="宋体"/>
          <w:color w:val="36363D"/>
          <w:spacing w:val="8"/>
          <w:szCs w:val="21"/>
        </w:rPr>
        <w:t>、买方</w:t>
      </w:r>
      <w:r>
        <w:rPr>
          <w:rFonts w:hint="eastAsia" w:ascii="宋体" w:hAnsi="宋体" w:eastAsia="宋体" w:cs="宋体"/>
          <w:color w:val="36363D"/>
          <w:szCs w:val="21"/>
        </w:rPr>
        <w:t>（采购人）</w:t>
      </w:r>
      <w:r>
        <w:rPr>
          <w:rFonts w:hint="eastAsia" w:ascii="宋体" w:hAnsi="宋体" w:eastAsia="宋体" w:cs="宋体"/>
          <w:color w:val="36363D"/>
          <w:spacing w:val="8"/>
          <w:szCs w:val="21"/>
        </w:rPr>
        <w:t>无正当理由逾期付款的，买方向卖方每日偿付合同价的‰的违约金；</w:t>
      </w:r>
    </w:p>
    <w:p w14:paraId="1681E6EC">
      <w:pPr>
        <w:tabs>
          <w:tab w:val="left" w:pos="3640"/>
        </w:tabs>
        <w:autoSpaceDE w:val="0"/>
        <w:autoSpaceDN w:val="0"/>
        <w:spacing w:line="360" w:lineRule="auto"/>
        <w:ind w:firstLine="452" w:firstLineChars="200"/>
        <w:rPr>
          <w:rFonts w:ascii="宋体" w:hAnsi="Times New Roman" w:eastAsia="宋体" w:cs="宋体"/>
          <w:b/>
          <w:color w:val="36363D"/>
          <w:szCs w:val="21"/>
        </w:rPr>
      </w:pPr>
      <w:r>
        <w:rPr>
          <w:rFonts w:ascii="宋体" w:hAnsi="宋体" w:eastAsia="宋体" w:cs="宋体"/>
          <w:color w:val="36363D"/>
          <w:spacing w:val="8"/>
          <w:szCs w:val="21"/>
        </w:rPr>
        <w:t>3</w:t>
      </w:r>
      <w:r>
        <w:rPr>
          <w:rFonts w:hint="eastAsia" w:ascii="宋体" w:hAnsi="宋体" w:eastAsia="宋体" w:cs="宋体"/>
          <w:color w:val="36363D"/>
          <w:spacing w:val="8"/>
          <w:szCs w:val="21"/>
        </w:rPr>
        <w:t>、卖方</w:t>
      </w:r>
      <w:r>
        <w:rPr>
          <w:rFonts w:hint="eastAsia" w:ascii="宋体" w:hAnsi="宋体" w:eastAsia="宋体" w:cs="宋体"/>
          <w:color w:val="36363D"/>
          <w:szCs w:val="21"/>
        </w:rPr>
        <w:t>（参选人）</w:t>
      </w:r>
      <w:r>
        <w:rPr>
          <w:rFonts w:hint="eastAsia" w:ascii="宋体" w:hAnsi="宋体" w:eastAsia="宋体" w:cs="宋体"/>
          <w:color w:val="36363D"/>
          <w:spacing w:val="8"/>
          <w:szCs w:val="21"/>
        </w:rPr>
        <w:t>不能提供服务的，卖方向买方支付合同价的％的违约金；</w:t>
      </w:r>
    </w:p>
    <w:p w14:paraId="52E44841">
      <w:pPr>
        <w:tabs>
          <w:tab w:val="left" w:pos="3640"/>
        </w:tabs>
        <w:autoSpaceDE w:val="0"/>
        <w:autoSpaceDN w:val="0"/>
        <w:spacing w:line="360" w:lineRule="auto"/>
        <w:ind w:firstLine="452" w:firstLineChars="200"/>
        <w:rPr>
          <w:rFonts w:ascii="宋体" w:hAnsi="Times New Roman" w:eastAsia="宋体" w:cs="宋体"/>
          <w:b/>
          <w:color w:val="36363D"/>
          <w:szCs w:val="21"/>
        </w:rPr>
      </w:pPr>
      <w:r>
        <w:rPr>
          <w:rFonts w:ascii="宋体" w:hAnsi="宋体" w:eastAsia="宋体" w:cs="宋体"/>
          <w:color w:val="36363D"/>
          <w:spacing w:val="8"/>
          <w:szCs w:val="21"/>
        </w:rPr>
        <w:t>4</w:t>
      </w:r>
      <w:r>
        <w:rPr>
          <w:rFonts w:hint="eastAsia" w:ascii="宋体" w:hAnsi="宋体" w:eastAsia="宋体" w:cs="宋体"/>
          <w:color w:val="36363D"/>
          <w:spacing w:val="8"/>
          <w:szCs w:val="21"/>
        </w:rPr>
        <w:t>、卖方</w:t>
      </w:r>
      <w:r>
        <w:rPr>
          <w:rFonts w:hint="eastAsia" w:ascii="宋体" w:hAnsi="宋体" w:eastAsia="宋体" w:cs="宋体"/>
          <w:color w:val="36363D"/>
          <w:szCs w:val="21"/>
        </w:rPr>
        <w:t>（参选人）</w:t>
      </w:r>
      <w:r>
        <w:rPr>
          <w:rFonts w:hint="eastAsia" w:ascii="宋体" w:hAnsi="宋体" w:eastAsia="宋体" w:cs="宋体"/>
          <w:color w:val="36363D"/>
          <w:spacing w:val="8"/>
          <w:szCs w:val="21"/>
        </w:rPr>
        <w:t>逾期提供服务的，卖方向买方每日偿付合同价的‰的违约金。</w:t>
      </w:r>
    </w:p>
    <w:p w14:paraId="4D2B9CB3">
      <w:pPr>
        <w:spacing w:line="360" w:lineRule="auto"/>
        <w:ind w:left="-178" w:leftChars="-85" w:firstLine="583" w:firstLineChars="257"/>
        <w:rPr>
          <w:rFonts w:ascii="宋体" w:hAnsi="Times New Roman" w:eastAsia="宋体" w:cs="宋体"/>
          <w:b/>
          <w:color w:val="36363D"/>
          <w:spacing w:val="8"/>
          <w:szCs w:val="21"/>
        </w:rPr>
      </w:pPr>
      <w:r>
        <w:rPr>
          <w:rFonts w:hint="eastAsia" w:ascii="宋体" w:hAnsi="宋体" w:eastAsia="宋体" w:cs="宋体"/>
          <w:b/>
          <w:color w:val="36363D"/>
          <w:spacing w:val="8"/>
          <w:szCs w:val="21"/>
        </w:rPr>
        <w:t>九、解决合同纠纷方式</w:t>
      </w:r>
    </w:p>
    <w:p w14:paraId="5F1C167E">
      <w:pPr>
        <w:spacing w:line="360" w:lineRule="auto"/>
        <w:ind w:left="-178" w:leftChars="-85" w:firstLine="580" w:firstLineChars="257"/>
        <w:rPr>
          <w:rFonts w:ascii="宋体" w:hAnsi="宋体" w:eastAsia="宋体" w:cs="宋体"/>
          <w:color w:val="36363D"/>
          <w:spacing w:val="8"/>
          <w:szCs w:val="21"/>
        </w:rPr>
      </w:pPr>
      <w:r>
        <w:rPr>
          <w:rFonts w:hint="eastAsia" w:ascii="宋体" w:hAnsi="宋体" w:eastAsia="宋体" w:cs="宋体"/>
          <w:color w:val="36363D"/>
          <w:spacing w:val="8"/>
          <w:szCs w:val="21"/>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u w:val="single"/>
        </w:rPr>
        <w:t xml:space="preserve"> 安庆仲裁委员会 </w:t>
      </w:r>
      <w:r>
        <w:rPr>
          <w:rFonts w:hint="eastAsia" w:ascii="宋体" w:hAnsi="宋体" w:eastAsia="宋体" w:cs="宋体"/>
          <w:color w:val="36363D"/>
          <w:spacing w:val="8"/>
          <w:szCs w:val="21"/>
        </w:rPr>
        <w:t>申请仲裁。②向</w:t>
      </w:r>
      <w:r>
        <w:rPr>
          <w:rFonts w:hint="eastAsia" w:ascii="宋体" w:hAnsi="宋体" w:eastAsia="宋体" w:cs="宋体"/>
          <w:color w:val="36363D"/>
          <w:spacing w:val="8"/>
          <w:szCs w:val="21"/>
          <w:u w:val="single"/>
        </w:rPr>
        <w:t>项目所在地</w:t>
      </w:r>
      <w:r>
        <w:rPr>
          <w:rFonts w:hint="eastAsia" w:ascii="宋体" w:hAnsi="宋体" w:eastAsia="宋体" w:cs="宋体"/>
          <w:color w:val="36363D"/>
          <w:spacing w:val="8"/>
          <w:szCs w:val="21"/>
        </w:rPr>
        <w:t>人民法院起诉。</w:t>
      </w:r>
    </w:p>
    <w:p w14:paraId="02A920C7">
      <w:pPr>
        <w:spacing w:line="360" w:lineRule="auto"/>
        <w:ind w:left="-178" w:leftChars="-85" w:firstLine="542" w:firstLineChars="257"/>
        <w:rPr>
          <w:rFonts w:ascii="宋体" w:hAnsi="Times New Roman" w:eastAsia="宋体" w:cs="宋体"/>
          <w:b/>
          <w:color w:val="36363D"/>
          <w:spacing w:val="8"/>
          <w:szCs w:val="21"/>
        </w:rPr>
      </w:pPr>
      <w:r>
        <w:rPr>
          <w:rFonts w:hint="eastAsia" w:ascii="宋体" w:hAnsi="宋体" w:eastAsia="宋体" w:cs="宋体"/>
          <w:b/>
          <w:color w:val="36363D"/>
          <w:szCs w:val="21"/>
        </w:rPr>
        <w:t>十、本合同的其他重要组成部分：</w:t>
      </w:r>
    </w:p>
    <w:p w14:paraId="02FB1D13">
      <w:pPr>
        <w:tabs>
          <w:tab w:val="left" w:pos="3640"/>
        </w:tabs>
        <w:autoSpaceDE w:val="0"/>
        <w:autoSpaceDN w:val="0"/>
        <w:spacing w:line="360" w:lineRule="auto"/>
        <w:ind w:firstLine="420" w:firstLineChars="200"/>
        <w:rPr>
          <w:rFonts w:ascii="宋体" w:hAnsi="Times New Roman" w:eastAsia="宋体" w:cs="宋体"/>
          <w:color w:val="36363D"/>
          <w:szCs w:val="21"/>
        </w:rPr>
      </w:pPr>
      <w:r>
        <w:rPr>
          <w:rFonts w:ascii="宋体" w:hAnsi="宋体" w:eastAsia="宋体" w:cs="宋体"/>
          <w:color w:val="36363D"/>
          <w:szCs w:val="21"/>
        </w:rPr>
        <w:t>1</w:t>
      </w:r>
      <w:r>
        <w:rPr>
          <w:rFonts w:hint="eastAsia" w:ascii="宋体" w:hAnsi="宋体" w:eastAsia="宋体" w:cs="宋体"/>
          <w:color w:val="36363D"/>
          <w:szCs w:val="21"/>
        </w:rPr>
        <w:t>、比选文件；</w:t>
      </w:r>
    </w:p>
    <w:p w14:paraId="0A9042DE">
      <w:pPr>
        <w:tabs>
          <w:tab w:val="left" w:pos="3640"/>
        </w:tabs>
        <w:autoSpaceDE w:val="0"/>
        <w:autoSpaceDN w:val="0"/>
        <w:spacing w:line="360" w:lineRule="auto"/>
        <w:ind w:firstLine="420" w:firstLineChars="200"/>
        <w:rPr>
          <w:rFonts w:ascii="宋体" w:hAnsi="Times New Roman" w:eastAsia="宋体" w:cs="宋体"/>
          <w:color w:val="36363D"/>
          <w:szCs w:val="21"/>
        </w:rPr>
      </w:pPr>
      <w:r>
        <w:rPr>
          <w:rFonts w:ascii="宋体" w:hAnsi="宋体" w:eastAsia="宋体" w:cs="宋体"/>
          <w:color w:val="36363D"/>
          <w:szCs w:val="21"/>
        </w:rPr>
        <w:t>2</w:t>
      </w:r>
      <w:r>
        <w:rPr>
          <w:rFonts w:hint="eastAsia" w:ascii="宋体" w:hAnsi="宋体" w:eastAsia="宋体" w:cs="宋体"/>
          <w:color w:val="36363D"/>
          <w:szCs w:val="21"/>
        </w:rPr>
        <w:t>、成交人的参选文件；</w:t>
      </w:r>
    </w:p>
    <w:p w14:paraId="7B7FA4F1">
      <w:pPr>
        <w:tabs>
          <w:tab w:val="left" w:pos="3640"/>
        </w:tabs>
        <w:autoSpaceDE w:val="0"/>
        <w:autoSpaceDN w:val="0"/>
        <w:spacing w:line="360" w:lineRule="auto"/>
        <w:ind w:firstLine="420" w:firstLineChars="200"/>
        <w:rPr>
          <w:rFonts w:ascii="宋体" w:hAnsi="Times New Roman" w:eastAsia="宋体" w:cs="宋体"/>
          <w:color w:val="36363D"/>
          <w:szCs w:val="21"/>
        </w:rPr>
      </w:pPr>
      <w:r>
        <w:rPr>
          <w:rFonts w:ascii="宋体" w:hAnsi="宋体" w:eastAsia="宋体" w:cs="宋体"/>
          <w:color w:val="36363D"/>
          <w:szCs w:val="21"/>
        </w:rPr>
        <w:t>3</w:t>
      </w:r>
      <w:r>
        <w:rPr>
          <w:rFonts w:hint="eastAsia" w:ascii="宋体" w:hAnsi="宋体" w:eastAsia="宋体" w:cs="宋体"/>
          <w:color w:val="36363D"/>
          <w:szCs w:val="21"/>
        </w:rPr>
        <w:t>、成交通知书。</w:t>
      </w:r>
    </w:p>
    <w:p w14:paraId="27A5C652">
      <w:pPr>
        <w:spacing w:line="360" w:lineRule="auto"/>
        <w:ind w:firstLine="445" w:firstLineChars="196"/>
        <w:rPr>
          <w:rFonts w:ascii="宋体" w:hAnsi="Times New Roman" w:eastAsia="宋体" w:cs="宋体"/>
          <w:b/>
          <w:color w:val="36363D"/>
          <w:spacing w:val="8"/>
          <w:szCs w:val="21"/>
          <w:u w:val="single"/>
        </w:rPr>
      </w:pPr>
      <w:r>
        <w:rPr>
          <w:rFonts w:hint="eastAsia" w:ascii="宋体" w:hAnsi="宋体" w:eastAsia="宋体" w:cs="宋体"/>
          <w:b/>
          <w:color w:val="36363D"/>
          <w:spacing w:val="8"/>
          <w:szCs w:val="21"/>
        </w:rPr>
        <w:t>十一、</w:t>
      </w:r>
      <w:r>
        <w:rPr>
          <w:rFonts w:hint="eastAsia" w:ascii="宋体" w:hAnsi="宋体" w:eastAsia="宋体" w:cs="宋体"/>
          <w:color w:val="36363D"/>
          <w:spacing w:val="8"/>
          <w:szCs w:val="21"/>
        </w:rPr>
        <w:t>其他约定事项：</w:t>
      </w:r>
      <w:r>
        <w:rPr>
          <w:rFonts w:hint="eastAsia" w:ascii="宋体" w:hAnsi="宋体" w:eastAsia="宋体" w:cs="宋体"/>
          <w:color w:val="36363D"/>
          <w:spacing w:val="8"/>
          <w:szCs w:val="21"/>
          <w:u w:val="single"/>
        </w:rPr>
        <w:t>合同文本的组成部分的先后解释顺序为：</w:t>
      </w:r>
      <w:r>
        <w:rPr>
          <w:rFonts w:ascii="宋体" w:hAnsi="宋体" w:eastAsia="宋体" w:cs="宋体"/>
          <w:color w:val="36363D"/>
          <w:spacing w:val="8"/>
          <w:szCs w:val="21"/>
          <w:u w:val="single"/>
        </w:rPr>
        <w:t>1</w:t>
      </w:r>
      <w:r>
        <w:rPr>
          <w:rFonts w:hint="eastAsia" w:ascii="宋体" w:hAnsi="宋体" w:eastAsia="宋体" w:cs="宋体"/>
          <w:color w:val="36363D"/>
          <w:spacing w:val="8"/>
          <w:szCs w:val="21"/>
          <w:u w:val="single"/>
        </w:rPr>
        <w:t>、成交通知书；</w:t>
      </w:r>
      <w:r>
        <w:rPr>
          <w:rFonts w:ascii="宋体" w:hAnsi="宋体" w:eastAsia="宋体" w:cs="宋体"/>
          <w:color w:val="36363D"/>
          <w:spacing w:val="8"/>
          <w:szCs w:val="21"/>
          <w:u w:val="single"/>
        </w:rPr>
        <w:t>2</w:t>
      </w:r>
      <w:r>
        <w:rPr>
          <w:rFonts w:hint="eastAsia" w:ascii="宋体" w:hAnsi="宋体" w:eastAsia="宋体" w:cs="宋体"/>
          <w:color w:val="36363D"/>
          <w:spacing w:val="8"/>
          <w:szCs w:val="21"/>
          <w:u w:val="single"/>
        </w:rPr>
        <w:t>、比选文件；</w:t>
      </w:r>
      <w:r>
        <w:rPr>
          <w:rFonts w:ascii="宋体" w:hAnsi="宋体" w:eastAsia="宋体" w:cs="宋体"/>
          <w:color w:val="36363D"/>
          <w:spacing w:val="8"/>
          <w:szCs w:val="21"/>
          <w:u w:val="single"/>
        </w:rPr>
        <w:t>3</w:t>
      </w:r>
      <w:r>
        <w:rPr>
          <w:rFonts w:hint="eastAsia" w:ascii="宋体" w:hAnsi="宋体" w:eastAsia="宋体" w:cs="宋体"/>
          <w:color w:val="36363D"/>
          <w:spacing w:val="8"/>
          <w:szCs w:val="21"/>
          <w:u w:val="single"/>
        </w:rPr>
        <w:t>、本合同文本；</w:t>
      </w:r>
      <w:r>
        <w:rPr>
          <w:rFonts w:ascii="宋体" w:hAnsi="宋体" w:eastAsia="宋体" w:cs="宋体"/>
          <w:color w:val="36363D"/>
          <w:spacing w:val="8"/>
          <w:szCs w:val="21"/>
          <w:u w:val="single"/>
        </w:rPr>
        <w:t>4</w:t>
      </w:r>
      <w:r>
        <w:rPr>
          <w:rFonts w:hint="eastAsia" w:ascii="宋体" w:hAnsi="宋体" w:eastAsia="宋体" w:cs="宋体"/>
          <w:color w:val="36363D"/>
          <w:spacing w:val="8"/>
          <w:szCs w:val="21"/>
          <w:u w:val="single"/>
        </w:rPr>
        <w:t>、成交人的参选文件；</w:t>
      </w:r>
      <w:r>
        <w:rPr>
          <w:rFonts w:ascii="宋体" w:hAnsi="宋体" w:eastAsia="宋体" w:cs="宋体"/>
          <w:color w:val="36363D"/>
          <w:spacing w:val="8"/>
          <w:szCs w:val="21"/>
          <w:u w:val="single"/>
        </w:rPr>
        <w:t>5</w:t>
      </w:r>
      <w:r>
        <w:rPr>
          <w:rFonts w:hint="eastAsia" w:ascii="宋体" w:hAnsi="宋体" w:eastAsia="宋体" w:cs="宋体"/>
          <w:color w:val="36363D"/>
          <w:spacing w:val="8"/>
          <w:szCs w:val="21"/>
          <w:u w:val="single"/>
        </w:rPr>
        <w:t>、其他补充约定事项。</w:t>
      </w:r>
    </w:p>
    <w:p w14:paraId="70335DD5">
      <w:pPr>
        <w:spacing w:line="360" w:lineRule="auto"/>
        <w:ind w:left="-178" w:leftChars="-85" w:firstLine="176" w:firstLineChars="78"/>
        <w:rPr>
          <w:rFonts w:ascii="宋体" w:hAnsi="Times New Roman" w:eastAsia="宋体" w:cs="宋体"/>
          <w:color w:val="36363D"/>
          <w:spacing w:val="8"/>
          <w:szCs w:val="21"/>
          <w:u w:val="single"/>
        </w:rPr>
      </w:pPr>
    </w:p>
    <w:p w14:paraId="495F211B">
      <w:pPr>
        <w:spacing w:line="360" w:lineRule="auto"/>
        <w:ind w:left="-178" w:leftChars="-85" w:firstLine="176" w:firstLineChars="78"/>
        <w:rPr>
          <w:rFonts w:ascii="宋体" w:hAnsi="Times New Roman" w:eastAsia="宋体" w:cs="宋体"/>
          <w:color w:val="36363D"/>
          <w:spacing w:val="8"/>
          <w:szCs w:val="21"/>
          <w:u w:val="single"/>
        </w:rPr>
      </w:pPr>
    </w:p>
    <w:p w14:paraId="5FF337AC">
      <w:pPr>
        <w:tabs>
          <w:tab w:val="left" w:pos="3640"/>
        </w:tabs>
        <w:autoSpaceDE w:val="0"/>
        <w:autoSpaceDN w:val="0"/>
        <w:spacing w:line="360" w:lineRule="auto"/>
        <w:ind w:firstLine="420" w:firstLineChars="200"/>
        <w:rPr>
          <w:rFonts w:ascii="宋体" w:hAnsi="Times New Roman" w:eastAsia="宋体" w:cs="宋体"/>
          <w:color w:val="36363D"/>
          <w:szCs w:val="21"/>
        </w:rPr>
      </w:pPr>
    </w:p>
    <w:p w14:paraId="3028F484">
      <w:pPr>
        <w:tabs>
          <w:tab w:val="left" w:pos="3640"/>
        </w:tabs>
        <w:autoSpaceDE w:val="0"/>
        <w:autoSpaceDN w:val="0"/>
        <w:spacing w:line="360" w:lineRule="auto"/>
        <w:ind w:firstLine="420" w:firstLineChars="200"/>
        <w:rPr>
          <w:rFonts w:ascii="宋体" w:hAnsi="Times New Roman" w:eastAsia="宋体" w:cs="宋体"/>
          <w:color w:val="36363D"/>
          <w:szCs w:val="21"/>
        </w:rPr>
      </w:pPr>
    </w:p>
    <w:p w14:paraId="42191B81">
      <w:pPr>
        <w:tabs>
          <w:tab w:val="left" w:pos="3640"/>
        </w:tabs>
        <w:autoSpaceDE w:val="0"/>
        <w:autoSpaceDN w:val="0"/>
        <w:spacing w:line="360" w:lineRule="auto"/>
        <w:ind w:firstLine="420" w:firstLineChars="200"/>
        <w:rPr>
          <w:rFonts w:ascii="宋体" w:hAnsi="Times New Roman" w:eastAsia="宋体" w:cs="宋体"/>
          <w:color w:val="36363D"/>
          <w:szCs w:val="21"/>
        </w:rPr>
      </w:pPr>
    </w:p>
    <w:p w14:paraId="0F5AA869">
      <w:pPr>
        <w:tabs>
          <w:tab w:val="left" w:pos="3640"/>
          <w:tab w:val="left" w:pos="7388"/>
        </w:tabs>
        <w:autoSpaceDE w:val="0"/>
        <w:autoSpaceDN w:val="0"/>
        <w:spacing w:line="480" w:lineRule="auto"/>
        <w:ind w:firstLine="630" w:firstLineChars="300"/>
        <w:rPr>
          <w:rFonts w:ascii="宋体" w:hAnsi="宋体" w:eastAsia="宋体" w:cs="宋体"/>
          <w:color w:val="36363D"/>
          <w:szCs w:val="21"/>
        </w:rPr>
      </w:pPr>
      <w:r>
        <w:rPr>
          <w:rFonts w:hint="eastAsia" w:ascii="宋体" w:hAnsi="宋体" w:eastAsia="宋体" w:cs="宋体"/>
          <w:color w:val="36363D"/>
          <w:szCs w:val="21"/>
        </w:rPr>
        <w:t xml:space="preserve">买  方                      卖   方                        </w:t>
      </w:r>
      <w:r>
        <w:rPr>
          <w:rFonts w:hint="eastAsia" w:ascii="宋体" w:hAnsi="宋体" w:eastAsia="宋体" w:cs="宋体"/>
          <w:color w:val="36363D"/>
          <w:szCs w:val="21"/>
        </w:rPr>
        <w:tab/>
      </w:r>
    </w:p>
    <w:p w14:paraId="4B5E12B4">
      <w:pPr>
        <w:tabs>
          <w:tab w:val="left" w:pos="3640"/>
        </w:tabs>
        <w:autoSpaceDE w:val="0"/>
        <w:autoSpaceDN w:val="0"/>
        <w:spacing w:line="480" w:lineRule="auto"/>
        <w:ind w:firstLine="630" w:firstLineChars="300"/>
        <w:rPr>
          <w:rFonts w:ascii="宋体" w:hAnsi="宋体" w:eastAsia="宋体" w:cs="宋体"/>
          <w:color w:val="36363D"/>
          <w:szCs w:val="21"/>
        </w:rPr>
      </w:pPr>
      <w:r>
        <w:rPr>
          <w:rFonts w:hint="eastAsia" w:ascii="宋体" w:hAnsi="宋体" w:eastAsia="宋体" w:cs="宋体"/>
          <w:color w:val="36363D"/>
          <w:szCs w:val="21"/>
        </w:rPr>
        <w:t>采购人（单位盖章）：成交人（单位盖章）：</w:t>
      </w:r>
    </w:p>
    <w:p w14:paraId="7A458C01">
      <w:pPr>
        <w:tabs>
          <w:tab w:val="left" w:pos="3640"/>
        </w:tabs>
        <w:autoSpaceDE w:val="0"/>
        <w:autoSpaceDN w:val="0"/>
        <w:spacing w:line="480" w:lineRule="auto"/>
        <w:ind w:firstLine="630" w:firstLineChars="300"/>
        <w:rPr>
          <w:rFonts w:ascii="宋体" w:hAnsi="宋体" w:eastAsia="宋体" w:cs="宋体"/>
          <w:color w:val="36363D"/>
          <w:szCs w:val="21"/>
        </w:rPr>
      </w:pPr>
      <w:r>
        <w:rPr>
          <w:rFonts w:hint="eastAsia" w:ascii="宋体" w:hAnsi="宋体" w:eastAsia="宋体" w:cs="宋体"/>
          <w:color w:val="36363D"/>
          <w:szCs w:val="21"/>
        </w:rPr>
        <w:t>法定代表人：法定代表人：</w:t>
      </w:r>
    </w:p>
    <w:p w14:paraId="2936032D">
      <w:pPr>
        <w:tabs>
          <w:tab w:val="left" w:pos="3640"/>
        </w:tabs>
        <w:autoSpaceDE w:val="0"/>
        <w:autoSpaceDN w:val="0"/>
        <w:spacing w:line="480" w:lineRule="auto"/>
        <w:ind w:firstLine="630" w:firstLineChars="300"/>
        <w:rPr>
          <w:rFonts w:ascii="宋体" w:hAnsi="宋体" w:eastAsia="宋体" w:cs="宋体"/>
          <w:color w:val="36363D"/>
          <w:szCs w:val="21"/>
        </w:rPr>
      </w:pPr>
      <w:r>
        <w:rPr>
          <w:rFonts w:hint="eastAsia" w:ascii="宋体" w:hAnsi="宋体" w:eastAsia="宋体" w:cs="宋体"/>
          <w:color w:val="36363D"/>
          <w:szCs w:val="21"/>
        </w:rPr>
        <w:t>或授权代表（签字）：或授权代表（签字）：</w:t>
      </w:r>
    </w:p>
    <w:p w14:paraId="1C61F452">
      <w:pPr>
        <w:snapToGrid w:val="0"/>
        <w:spacing w:line="480" w:lineRule="auto"/>
        <w:ind w:firstLine="562"/>
        <w:rPr>
          <w:rFonts w:ascii="宋体" w:hAnsi="Times New Roman" w:eastAsia="宋体" w:cs="宋体"/>
          <w:color w:val="36363D"/>
        </w:rPr>
      </w:pPr>
      <w:r>
        <w:rPr>
          <w:rFonts w:hint="eastAsia" w:ascii="宋体" w:hAnsi="宋体" w:eastAsia="宋体" w:cs="宋体"/>
          <w:color w:val="36363D"/>
          <w:szCs w:val="21"/>
        </w:rPr>
        <w:t xml:space="preserve">年   月    日             年   月    日         </w:t>
      </w:r>
    </w:p>
    <w:p w14:paraId="6BB9906B">
      <w:pPr>
        <w:widowControl w:val="0"/>
        <w:autoSpaceDE w:val="0"/>
        <w:autoSpaceDN w:val="0"/>
        <w:adjustRightInd w:val="0"/>
        <w:rPr>
          <w:rFonts w:ascii="宋体" w:hAnsi="宋体" w:eastAsia="宋体" w:cs="宋体"/>
          <w:color w:val="000000" w:themeColor="text1"/>
          <w:sz w:val="24"/>
          <w:szCs w:val="21"/>
          <w:lang w:val="en-US" w:eastAsia="zh-CN" w:bidi="ar-SA"/>
          <w14:textFill>
            <w14:solidFill>
              <w14:schemeClr w14:val="tx1"/>
            </w14:solidFill>
          </w14:textFill>
        </w:rPr>
      </w:pPr>
    </w:p>
    <w:p w14:paraId="1E5680FC">
      <w:pPr>
        <w:widowControl w:val="0"/>
        <w:autoSpaceDE w:val="0"/>
        <w:autoSpaceDN w:val="0"/>
        <w:adjustRightInd w:val="0"/>
        <w:rPr>
          <w:rFonts w:ascii="宋体" w:hAnsi="宋体" w:eastAsia="宋体" w:cs="宋体"/>
          <w:color w:val="000000" w:themeColor="text1"/>
          <w:sz w:val="24"/>
          <w:szCs w:val="21"/>
          <w:lang w:val="en-US" w:eastAsia="zh-CN" w:bidi="ar-SA"/>
          <w14:textFill>
            <w14:solidFill>
              <w14:schemeClr w14:val="tx1"/>
            </w14:solidFill>
          </w14:textFill>
        </w:rPr>
      </w:pPr>
    </w:p>
    <w:p w14:paraId="2334D30D">
      <w:pPr>
        <w:widowControl w:val="0"/>
        <w:autoSpaceDE w:val="0"/>
        <w:autoSpaceDN w:val="0"/>
        <w:adjustRightInd w:val="0"/>
        <w:rPr>
          <w:rFonts w:ascii="宋体" w:hAnsi="宋体" w:eastAsia="宋体" w:cs="宋体"/>
          <w:color w:val="000000" w:themeColor="text1"/>
          <w:sz w:val="24"/>
          <w:szCs w:val="21"/>
          <w:lang w:val="en-US" w:eastAsia="zh-CN" w:bidi="ar-SA"/>
          <w14:textFill>
            <w14:solidFill>
              <w14:schemeClr w14:val="tx1"/>
            </w14:solidFill>
          </w14:textFill>
        </w:rPr>
      </w:pPr>
    </w:p>
    <w:p w14:paraId="42628AB2">
      <w:pPr>
        <w:tabs>
          <w:tab w:val="left" w:pos="3640"/>
        </w:tabs>
        <w:autoSpaceDE w:val="0"/>
        <w:autoSpaceDN w:val="0"/>
        <w:spacing w:line="480" w:lineRule="auto"/>
        <w:ind w:firstLine="560"/>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注：本合同仅为参考文本，合同签订双方可根据项目的具体要求进行修订</w:t>
      </w:r>
    </w:p>
    <w:p w14:paraId="2740388C">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6977175F">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2"/>
      <w:bookmarkEnd w:id="43"/>
      <w:bookmarkEnd w:id="44"/>
      <w:bookmarkEnd w:id="45"/>
      <w:bookmarkStart w:id="46" w:name="_Toc26873"/>
      <w:bookmarkStart w:id="47"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46"/>
      <w:bookmarkEnd w:id="47"/>
    </w:p>
    <w:p w14:paraId="1B4F4500">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1C2BA223">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04638834">
      <w:pPr>
        <w:spacing w:line="360" w:lineRule="auto"/>
        <w:rPr>
          <w:rFonts w:ascii="宋体" w:hAnsi="宋体"/>
          <w:color w:val="000000" w:themeColor="text1"/>
          <w:sz w:val="24"/>
          <w:highlight w:val="none"/>
          <w14:textFill>
            <w14:solidFill>
              <w14:schemeClr w14:val="tx1"/>
            </w14:solidFill>
          </w14:textFill>
        </w:rPr>
      </w:pPr>
    </w:p>
    <w:p w14:paraId="521F41CA">
      <w:pPr>
        <w:spacing w:line="360" w:lineRule="auto"/>
        <w:rPr>
          <w:rFonts w:ascii="宋体" w:hAnsi="宋体"/>
          <w:color w:val="000000" w:themeColor="text1"/>
          <w:sz w:val="24"/>
          <w:highlight w:val="none"/>
          <w14:textFill>
            <w14:solidFill>
              <w14:schemeClr w14:val="tx1"/>
            </w14:solidFill>
          </w14:textFill>
        </w:rPr>
      </w:pPr>
    </w:p>
    <w:p w14:paraId="650D8C7F">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6E064421">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76F104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2E51FE42">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163DF2C5">
      <w:pPr>
        <w:pStyle w:val="82"/>
        <w:spacing w:before="156"/>
        <w:ind w:firstLine="350"/>
        <w:rPr>
          <w:color w:val="000000" w:themeColor="text1"/>
          <w:highlight w:val="none"/>
          <w14:textFill>
            <w14:solidFill>
              <w14:schemeClr w14:val="tx1"/>
            </w14:solidFill>
          </w14:textFill>
        </w:rPr>
      </w:pPr>
    </w:p>
    <w:p w14:paraId="4483313E">
      <w:pPr>
        <w:spacing w:line="360" w:lineRule="auto"/>
        <w:rPr>
          <w:rFonts w:ascii="宋体" w:hAnsi="宋体"/>
          <w:color w:val="000000" w:themeColor="text1"/>
          <w:sz w:val="24"/>
          <w:highlight w:val="none"/>
          <w14:textFill>
            <w14:solidFill>
              <w14:schemeClr w14:val="tx1"/>
            </w14:solidFill>
          </w14:textFill>
        </w:rPr>
      </w:pPr>
    </w:p>
    <w:p w14:paraId="604B7E81">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7549D783">
      <w:pPr>
        <w:spacing w:line="360" w:lineRule="auto"/>
        <w:rPr>
          <w:rFonts w:ascii="宋体" w:hAnsi="宋体"/>
          <w:b/>
          <w:color w:val="000000" w:themeColor="text1"/>
          <w:sz w:val="30"/>
          <w:szCs w:val="30"/>
          <w:highlight w:val="none"/>
          <w14:textFill>
            <w14:solidFill>
              <w14:schemeClr w14:val="tx1"/>
            </w14:solidFill>
          </w14:textFill>
        </w:rPr>
      </w:pPr>
    </w:p>
    <w:p w14:paraId="50DB7E41">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43A07E7D">
      <w:pPr>
        <w:pStyle w:val="82"/>
        <w:spacing w:before="156"/>
        <w:ind w:firstLine="350"/>
        <w:rPr>
          <w:color w:val="000000" w:themeColor="text1"/>
          <w:highlight w:val="none"/>
          <w14:textFill>
            <w14:solidFill>
              <w14:schemeClr w14:val="tx1"/>
            </w14:solidFill>
          </w14:textFill>
        </w:rPr>
      </w:pPr>
    </w:p>
    <w:p w14:paraId="458DC582">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7A77159E">
      <w:pPr>
        <w:spacing w:line="360" w:lineRule="auto"/>
        <w:rPr>
          <w:rFonts w:ascii="仿宋_GB2312" w:eastAsia="仿宋_GB2312"/>
          <w:color w:val="000000" w:themeColor="text1"/>
          <w:sz w:val="30"/>
          <w:szCs w:val="30"/>
          <w:highlight w:val="none"/>
          <w14:textFill>
            <w14:solidFill>
              <w14:schemeClr w14:val="tx1"/>
            </w14:solidFill>
          </w14:textFill>
        </w:rPr>
      </w:pPr>
    </w:p>
    <w:p w14:paraId="07356BCB">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46A85773">
      <w:pPr>
        <w:spacing w:line="480" w:lineRule="exact"/>
        <w:jc w:val="center"/>
        <w:rPr>
          <w:rFonts w:ascii="宋体" w:hAnsi="宋体"/>
          <w:b/>
          <w:color w:val="000000" w:themeColor="text1"/>
          <w:sz w:val="30"/>
          <w:szCs w:val="30"/>
          <w:highlight w:val="none"/>
          <w14:textFill>
            <w14:solidFill>
              <w14:schemeClr w14:val="tx1"/>
            </w14:solidFill>
          </w14:textFill>
        </w:rPr>
      </w:pPr>
    </w:p>
    <w:p w14:paraId="263E3B4C">
      <w:pPr>
        <w:spacing w:line="480" w:lineRule="exact"/>
        <w:rPr>
          <w:rFonts w:ascii="黑体" w:eastAsia="黑体"/>
          <w:b/>
          <w:bCs/>
          <w:color w:val="000000" w:themeColor="text1"/>
          <w:szCs w:val="21"/>
          <w:highlight w:val="none"/>
          <w14:textFill>
            <w14:solidFill>
              <w14:schemeClr w14:val="tx1"/>
            </w14:solidFill>
          </w14:textFill>
        </w:rPr>
      </w:pPr>
    </w:p>
    <w:p w14:paraId="079B2D37">
      <w:pPr>
        <w:jc w:val="center"/>
        <w:rPr>
          <w:rFonts w:hint="eastAsia" w:ascii="宋体" w:hAnsi="宋体" w:cs="宋体"/>
          <w:b/>
          <w:color w:val="000000" w:themeColor="text1"/>
          <w:sz w:val="30"/>
          <w:szCs w:val="30"/>
          <w:highlight w:val="none"/>
          <w14:textFill>
            <w14:solidFill>
              <w14:schemeClr w14:val="tx1"/>
            </w14:solidFill>
          </w14:textFill>
        </w:rPr>
      </w:pPr>
    </w:p>
    <w:p w14:paraId="03A00B71">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14:paraId="048F2E4B">
      <w:pPr>
        <w:pStyle w:val="82"/>
        <w:numPr>
          <w:ilvl w:val="0"/>
          <w:numId w:val="0"/>
        </w:numPr>
        <w:ind w:firstLine="420" w:firstLineChars="175"/>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pPr>
    </w:p>
    <w:p w14:paraId="037192CF">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14:paraId="387600AB">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highlight w:val="none"/>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14:paraId="0EA3916A">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、诚信投标承诺书</w:t>
      </w:r>
    </w:p>
    <w:p w14:paraId="6CB0CED9">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四、相关证明文件</w:t>
      </w:r>
    </w:p>
    <w:p w14:paraId="5AAE1FA9">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7854B0A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bookmarkStart w:id="48" w:name="_Toc476584433"/>
      <w:bookmarkStart w:id="49" w:name="_Toc54941342"/>
      <w:r>
        <w:rPr>
          <w:rFonts w:hint="eastAsia" w:ascii="宋体" w:hAnsi="Times New Roman" w:eastAsia="宋体" w:cs="宋体"/>
          <w:b/>
          <w:color w:val="auto"/>
          <w:kern w:val="0"/>
          <w:sz w:val="28"/>
          <w:szCs w:val="28"/>
          <w:highlight w:val="none"/>
          <w:shd w:val="clear" w:fill="FFFFFF"/>
          <w:lang w:val="en-US" w:eastAsia="zh-CN" w:bidi="ar-SA"/>
        </w:rPr>
        <w:t>一、</w:t>
      </w:r>
      <w:bookmarkEnd w:id="48"/>
      <w:bookmarkEnd w:id="49"/>
      <w:r>
        <w:rPr>
          <w:rFonts w:hint="eastAsia" w:ascii="宋体" w:hAnsi="Times New Roman" w:eastAsia="宋体" w:cs="宋体"/>
          <w:b/>
          <w:color w:val="auto"/>
          <w:kern w:val="0"/>
          <w:sz w:val="28"/>
          <w:szCs w:val="28"/>
          <w:highlight w:val="none"/>
          <w:shd w:val="clear" w:fill="FFFFFF"/>
          <w:lang w:val="en-US" w:eastAsia="zh-CN" w:bidi="ar-SA"/>
        </w:rPr>
        <w:t>投标函</w:t>
      </w:r>
    </w:p>
    <w:p w14:paraId="4699C658">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14:paraId="40EF3D57">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安庆市通源港务有限公司</w:t>
      </w:r>
    </w:p>
    <w:p w14:paraId="10EEC984">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highlight w:val="none"/>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安庆港中心港区石门湖一期工程生态环境竣工验收第三方服务</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1957FA47">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cs="Courier New"/>
          <w:b/>
          <w:bCs/>
          <w:color w:val="auto"/>
          <w:kern w:val="2"/>
          <w:sz w:val="21"/>
          <w:szCs w:val="21"/>
          <w:highlight w:val="none"/>
          <w:lang w:val="en-US" w:eastAsia="zh-CN" w:bidi="ar-SA"/>
        </w:rPr>
        <w:t>投标报价（总价）为人民币</w:t>
      </w:r>
      <w:r>
        <w:rPr>
          <w:rFonts w:hint="eastAsia" w:ascii="宋体" w:hAnsi="宋体" w:eastAsia="宋体" w:cs="Courier New"/>
          <w:b/>
          <w:bCs/>
          <w:color w:val="auto"/>
          <w:kern w:val="2"/>
          <w:sz w:val="21"/>
          <w:szCs w:val="21"/>
          <w:highlight w:val="none"/>
          <w:lang w:val="en-US" w:eastAsia="zh-CN" w:bidi="ar-SA"/>
        </w:rPr>
        <w:t>（大写）</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cs="Courier New"/>
          <w:b w:val="0"/>
          <w:bCs w:val="0"/>
          <w:color w:val="auto"/>
          <w:kern w:val="2"/>
          <w:sz w:val="21"/>
          <w:szCs w:val="21"/>
          <w:highlight w:val="none"/>
          <w:u w:val="single"/>
          <w:lang w:val="en-US" w:eastAsia="zh-CN" w:bidi="ar-SA"/>
        </w:rPr>
        <w:t>¥</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w:t>
      </w:r>
    </w:p>
    <w:p w14:paraId="2D527808">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14:paraId="057C05F8">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7E5D635D">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5E4AD9A6">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14:paraId="208042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0370825A">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170831F7">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14:paraId="51328A09">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w:t>
      </w:r>
      <w:r>
        <w:rPr>
          <w:rFonts w:hint="eastAsia" w:hAnsi="宋体"/>
          <w:color w:val="000000" w:themeColor="text1"/>
          <w:highlight w:val="none"/>
          <w:u w:val="single"/>
          <w:lang w:val="en-US" w:eastAsia="zh-CN"/>
          <w14:textFill>
            <w14:solidFill>
              <w14:schemeClr w14:val="tx1"/>
            </w14:solidFill>
          </w14:textFill>
        </w:rPr>
        <w:t xml:space="preserve"> </w:t>
      </w:r>
      <w:r>
        <w:rPr>
          <w:rFonts w:hint="eastAsia" w:hAnsi="宋体"/>
          <w:color w:val="000000" w:themeColor="text1"/>
          <w:highlight w:val="none"/>
          <w:u w:val="single"/>
          <w14:textFill>
            <w14:solidFill>
              <w14:schemeClr w14:val="tx1"/>
            </w14:solidFill>
          </w14:textFill>
        </w:rPr>
        <w:t xml:space="preserve"> （盖章）</w:t>
      </w:r>
    </w:p>
    <w:p w14:paraId="43FF20FB">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14:paraId="15F2C143">
      <w:pPr>
        <w:pStyle w:val="30"/>
        <w:tabs>
          <w:tab w:val="left" w:pos="5580"/>
        </w:tabs>
        <w:spacing w:line="480" w:lineRule="auto"/>
        <w:ind w:firstLine="3780" w:firstLineChars="1800"/>
        <w:jc w:val="both"/>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w:t>
      </w:r>
      <w:r>
        <w:rPr>
          <w:rFonts w:hint="eastAsia" w:hAnsi="宋体" w:cs="宋体"/>
          <w:color w:val="000000" w:themeColor="text1"/>
          <w:highlight w:val="none"/>
          <w:u w:val="single"/>
          <w:lang w:val="en-US" w:eastAsia="zh-CN"/>
          <w14:textFill>
            <w14:solidFill>
              <w14:schemeClr w14:val="tx1"/>
            </w14:solidFill>
          </w14:textFill>
        </w:rPr>
        <w:t xml:space="preserve">      </w:t>
      </w:r>
      <w:r>
        <w:rPr>
          <w:rFonts w:hint="eastAsia" w:hAnsi="宋体" w:cs="宋体"/>
          <w:color w:val="000000" w:themeColor="text1"/>
          <w:highlight w:val="none"/>
          <w:u w:val="single"/>
          <w14:textFill>
            <w14:solidFill>
              <w14:schemeClr w14:val="tx1"/>
            </w14:solidFill>
          </w14:textFill>
        </w:rPr>
        <w:t>（签字或盖章）</w:t>
      </w:r>
    </w:p>
    <w:p w14:paraId="667FFE03">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14:paraId="1DA1E48B">
      <w:pPr>
        <w:pStyle w:val="2"/>
        <w:rPr>
          <w:color w:val="000000" w:themeColor="text1"/>
          <w:highlight w:val="none"/>
          <w14:textFill>
            <w14:solidFill>
              <w14:schemeClr w14:val="tx1"/>
            </w14:solidFill>
          </w14:textFill>
        </w:rPr>
      </w:pPr>
    </w:p>
    <w:p w14:paraId="16233D8C">
      <w:pPr>
        <w:numPr>
          <w:ilvl w:val="0"/>
          <w:numId w:val="7"/>
        </w:numPr>
        <w:jc w:val="center"/>
        <w:rPr>
          <w:rFonts w:hint="eastAsia" w:ascii="宋体" w:hAnsi="Times New Roman" w:eastAsia="宋体" w:cs="宋体"/>
          <w:b/>
          <w:color w:val="auto"/>
          <w:kern w:val="0"/>
          <w:sz w:val="28"/>
          <w:szCs w:val="28"/>
          <w:highlight w:val="none"/>
          <w:shd w:val="clear" w:fill="FFFFFF"/>
          <w:lang w:val="en-US" w:eastAsia="zh-CN" w:bidi="ar-SA"/>
        </w:rPr>
      </w:pPr>
      <w:bookmarkStart w:id="50" w:name="_Toc54941350"/>
      <w:bookmarkStart w:id="51" w:name="_Toc476584438"/>
      <w:r>
        <w:rPr>
          <w:rFonts w:hint="eastAsia" w:cs="宋体"/>
          <w:color w:val="000000" w:themeColor="text1"/>
          <w:highlight w:val="none"/>
          <w14:textFill>
            <w14:solidFill>
              <w14:schemeClr w14:val="tx1"/>
            </w14:solidFill>
          </w14:textFill>
        </w:rPr>
        <w:br w:type="page"/>
      </w:r>
      <w:bookmarkStart w:id="52" w:name="_Toc25208"/>
      <w:r>
        <w:rPr>
          <w:rFonts w:hint="eastAsia" w:ascii="宋体" w:hAnsi="Times New Roman" w:eastAsia="宋体" w:cs="宋体"/>
          <w:b/>
          <w:color w:val="auto"/>
          <w:kern w:val="0"/>
          <w:sz w:val="28"/>
          <w:szCs w:val="28"/>
          <w:highlight w:val="none"/>
          <w:shd w:val="clear" w:fill="FFFFFF"/>
          <w:lang w:val="en-US" w:eastAsia="zh-CN" w:bidi="ar-SA"/>
        </w:rPr>
        <w:t>报价表</w:t>
      </w:r>
    </w:p>
    <w:p w14:paraId="24C7A8A6">
      <w:pPr>
        <w:shd w:val="clear"/>
        <w:spacing w:before="100" w:beforeAutospacing="1" w:after="100" w:afterAutospacing="1" w:line="440" w:lineRule="exact"/>
        <w:ind w:left="357" w:hanging="357"/>
        <w:rPr>
          <w:rFonts w:hint="eastAsia" w:ascii="宋体" w:hAnsi="宋体" w:eastAsia="宋体" w:cs="宋体"/>
          <w:color w:val="36363D"/>
          <w:kern w:val="2"/>
          <w:sz w:val="28"/>
          <w:szCs w:val="28"/>
          <w:lang w:val="en-US" w:eastAsia="zh-CN" w:bidi="ar-SA"/>
        </w:rPr>
      </w:pPr>
      <w:r>
        <w:rPr>
          <w:rFonts w:hint="eastAsia" w:ascii="宋体" w:hAnsi="宋体" w:eastAsia="宋体" w:cs="宋体"/>
          <w:color w:val="36363D"/>
          <w:kern w:val="2"/>
          <w:sz w:val="24"/>
          <w:szCs w:val="24"/>
          <w:lang w:val="en-US" w:eastAsia="zh-CN" w:bidi="ar-SA"/>
        </w:rPr>
        <w:t>项目名称：</w:t>
      </w:r>
    </w:p>
    <w:tbl>
      <w:tblPr>
        <w:tblStyle w:val="61"/>
        <w:tblpPr w:leftFromText="180" w:rightFromText="180" w:vertAnchor="text" w:horzAnchor="page" w:tblpXSpec="center" w:tblpY="219"/>
        <w:tblOverlap w:val="never"/>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760"/>
        <w:gridCol w:w="1803"/>
        <w:gridCol w:w="2037"/>
        <w:gridCol w:w="2158"/>
      </w:tblGrid>
      <w:tr w14:paraId="2586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exact"/>
          <w:jc w:val="center"/>
        </w:trPr>
        <w:tc>
          <w:tcPr>
            <w:tcW w:w="773" w:type="dxa"/>
            <w:vAlign w:val="center"/>
          </w:tcPr>
          <w:p w14:paraId="1461CEB4">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760" w:type="dxa"/>
            <w:vAlign w:val="center"/>
          </w:tcPr>
          <w:p w14:paraId="4F5A57C0">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名称</w:t>
            </w:r>
          </w:p>
        </w:tc>
        <w:tc>
          <w:tcPr>
            <w:tcW w:w="1803" w:type="dxa"/>
            <w:vAlign w:val="center"/>
          </w:tcPr>
          <w:p w14:paraId="3AD4917F">
            <w:pPr>
              <w:widowControl/>
              <w:shd w:val="clear"/>
              <w:textAlignment w:val="center"/>
              <w:rPr>
                <w:rFonts w:ascii="宋体" w:hAnsi="宋体" w:eastAsia="宋体" w:cs="宋体"/>
                <w:color w:val="000000" w:themeColor="text1"/>
                <w:sz w:val="24"/>
                <w:szCs w:val="24"/>
                <w:highlight w:val="none"/>
                <w14:textFill>
                  <w14:solidFill>
                    <w14:schemeClr w14:val="tx1"/>
                  </w14:solidFill>
                </w14:textFill>
              </w:rPr>
            </w:pPr>
            <w:r>
              <w:rPr>
                <w:rFonts w:hint="eastAsia" w:ascii="Times New Roman" w:hAnsi="宋体" w:eastAsia="宋体" w:cs="宋体"/>
                <w:b/>
                <w:bCs/>
                <w:sz w:val="24"/>
                <w:szCs w:val="24"/>
                <w:highlight w:val="none"/>
              </w:rPr>
              <w:t>比选文件服务需求及技术要求</w:t>
            </w:r>
          </w:p>
        </w:tc>
        <w:tc>
          <w:tcPr>
            <w:tcW w:w="2037" w:type="dxa"/>
            <w:vAlign w:val="center"/>
          </w:tcPr>
          <w:p w14:paraId="5A227952">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（元）</w:t>
            </w:r>
          </w:p>
        </w:tc>
        <w:tc>
          <w:tcPr>
            <w:tcW w:w="2158" w:type="dxa"/>
            <w:vAlign w:val="center"/>
          </w:tcPr>
          <w:p w14:paraId="5577659F">
            <w:pPr>
              <w:shd w:val="clea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最高限价（元）</w:t>
            </w:r>
          </w:p>
        </w:tc>
      </w:tr>
      <w:tr w14:paraId="1B71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exact"/>
          <w:jc w:val="center"/>
        </w:trPr>
        <w:tc>
          <w:tcPr>
            <w:tcW w:w="773" w:type="dxa"/>
            <w:vAlign w:val="center"/>
          </w:tcPr>
          <w:p w14:paraId="1700671B">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760" w:type="dxa"/>
            <w:vAlign w:val="center"/>
          </w:tcPr>
          <w:p w14:paraId="5C5C03B2">
            <w:pPr>
              <w:shd w:val="clea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hAnsi="宋体" w:cs="宋体"/>
                <w:b/>
                <w:bCs/>
                <w:sz w:val="24"/>
                <w:szCs w:val="24"/>
                <w:highlight w:val="none"/>
                <w:lang w:eastAsia="zh-CN"/>
              </w:rPr>
              <w:t>安庆港中心港区石门湖一期工程生态环境竣工验收第三方服务</w:t>
            </w:r>
          </w:p>
        </w:tc>
        <w:tc>
          <w:tcPr>
            <w:tcW w:w="1803" w:type="dxa"/>
            <w:vAlign w:val="center"/>
          </w:tcPr>
          <w:p w14:paraId="3AA9EBAD">
            <w:pPr>
              <w:shd w:val="clea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p>
        </w:tc>
        <w:tc>
          <w:tcPr>
            <w:tcW w:w="2037" w:type="dxa"/>
            <w:vAlign w:val="center"/>
          </w:tcPr>
          <w:p w14:paraId="23DC133A">
            <w:pPr>
              <w:shd w:val="clear"/>
              <w:spacing w:line="360" w:lineRule="auto"/>
              <w:jc w:val="center"/>
              <w:rPr>
                <w:rFonts w:ascii="宋体" w:hAnsi="宋体" w:eastAsia="宋体" w:cs="宋体"/>
                <w:color w:val="000000" w:themeColor="text1"/>
                <w:sz w:val="24"/>
                <w:szCs w:val="24"/>
                <w:highlight w:val="none"/>
                <w14:textFill>
                  <w14:solidFill>
                    <w14:schemeClr w14:val="tx1"/>
                  </w14:solidFill>
                </w14:textFill>
              </w:rPr>
            </w:pPr>
          </w:p>
        </w:tc>
        <w:tc>
          <w:tcPr>
            <w:tcW w:w="2158" w:type="dxa"/>
            <w:vAlign w:val="center"/>
          </w:tcPr>
          <w:p w14:paraId="4DA37ACE">
            <w:pPr>
              <w:shd w:val="clea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sz w:val="24"/>
                <w:szCs w:val="24"/>
                <w:highlight w:val="none"/>
                <w:lang w:val="en-US" w:eastAsia="zh-CN"/>
              </w:rPr>
              <w:t>10</w:t>
            </w:r>
            <w:r>
              <w:rPr>
                <w:rFonts w:hint="eastAsia" w:ascii="Times New Roman" w:hAnsi="Times New Roman" w:eastAsia="宋体" w:cs="宋体"/>
                <w:sz w:val="24"/>
                <w:szCs w:val="24"/>
                <w:highlight w:val="none"/>
                <w:lang w:val="en-US" w:eastAsia="zh-CN"/>
              </w:rPr>
              <w:t>0000.00</w:t>
            </w:r>
          </w:p>
        </w:tc>
      </w:tr>
    </w:tbl>
    <w:p w14:paraId="5B5A3568">
      <w:pPr>
        <w:pStyle w:val="2"/>
        <w:numPr>
          <w:ilvl w:val="0"/>
          <w:numId w:val="0"/>
        </w:numPr>
        <w:rPr>
          <w:rFonts w:hint="eastAsia" w:ascii="宋体" w:hAnsi="宋体" w:eastAsia="宋体" w:cs="宋体"/>
          <w:color w:val="36363D"/>
          <w:kern w:val="2"/>
          <w:sz w:val="21"/>
          <w:szCs w:val="21"/>
          <w:lang w:val="en-US" w:eastAsia="zh-CN" w:bidi="ar-SA"/>
        </w:rPr>
      </w:pPr>
    </w:p>
    <w:p w14:paraId="71805ECC">
      <w:pPr>
        <w:pStyle w:val="2"/>
        <w:numPr>
          <w:ilvl w:val="0"/>
          <w:numId w:val="0"/>
        </w:numPr>
        <w:rPr>
          <w:rFonts w:hint="eastAsia" w:ascii="宋体" w:hAnsi="宋体" w:eastAsia="宋体" w:cs="宋体"/>
          <w:color w:val="36363D"/>
          <w:kern w:val="2"/>
          <w:sz w:val="24"/>
          <w:szCs w:val="24"/>
          <w:lang w:val="en-US" w:eastAsia="zh-CN" w:bidi="ar-SA"/>
        </w:rPr>
      </w:pPr>
    </w:p>
    <w:p w14:paraId="4EB3F558">
      <w:pPr>
        <w:pStyle w:val="2"/>
        <w:numPr>
          <w:ilvl w:val="0"/>
          <w:numId w:val="0"/>
        </w:numPr>
        <w:rPr>
          <w:rFonts w:hint="eastAsia" w:ascii="宋体" w:hAnsi="宋体" w:eastAsia="宋体" w:cs="宋体"/>
          <w:color w:val="36363D"/>
          <w:kern w:val="2"/>
          <w:sz w:val="24"/>
          <w:szCs w:val="24"/>
          <w:lang w:val="en-US" w:eastAsia="zh-CN" w:bidi="ar-SA"/>
        </w:rPr>
      </w:pPr>
      <w:r>
        <w:rPr>
          <w:rFonts w:hint="eastAsia" w:ascii="宋体" w:hAnsi="宋体" w:eastAsia="宋体" w:cs="宋体"/>
          <w:color w:val="36363D"/>
          <w:kern w:val="2"/>
          <w:sz w:val="24"/>
          <w:szCs w:val="24"/>
          <w:lang w:val="en-US" w:eastAsia="zh-CN" w:bidi="ar-SA"/>
        </w:rPr>
        <w:t>注：1、比选文件服务需求及技术要求只填写（“优于”、“满足”、“不满足”）比选文件要求</w:t>
      </w:r>
    </w:p>
    <w:p w14:paraId="4934E9D3">
      <w:pPr>
        <w:spacing w:line="360" w:lineRule="auto"/>
        <w:rPr>
          <w:rFonts w:hint="eastAsia" w:ascii="宋体" w:hAnsi="宋体" w:cs="Times New Roman"/>
          <w:b/>
          <w:color w:val="auto"/>
          <w:sz w:val="21"/>
          <w:szCs w:val="21"/>
          <w:highlight w:val="none"/>
        </w:rPr>
      </w:pPr>
    </w:p>
    <w:p w14:paraId="56CFC510">
      <w:pPr>
        <w:spacing w:line="360" w:lineRule="auto"/>
        <w:rPr>
          <w:rFonts w:hint="eastAsia" w:ascii="宋体" w:hAnsi="宋体" w:cs="Times New Roman"/>
          <w:b/>
          <w:color w:val="auto"/>
          <w:sz w:val="21"/>
          <w:szCs w:val="21"/>
          <w:highlight w:val="none"/>
        </w:rPr>
      </w:pPr>
      <w:r>
        <w:rPr>
          <w:rFonts w:hint="eastAsia" w:ascii="宋体" w:hAnsi="宋体" w:cs="Times New Roman"/>
          <w:b/>
          <w:color w:val="auto"/>
          <w:sz w:val="21"/>
          <w:szCs w:val="21"/>
          <w:highlight w:val="none"/>
        </w:rPr>
        <w:t>（此表须法定代表人</w:t>
      </w:r>
      <w:r>
        <w:rPr>
          <w:rFonts w:hint="eastAsia" w:ascii="宋体" w:hAnsi="宋体" w:cs="Times New Roman"/>
          <w:b/>
          <w:color w:val="auto"/>
          <w:sz w:val="21"/>
          <w:szCs w:val="21"/>
          <w:highlight w:val="none"/>
          <w:lang w:val="en-US" w:eastAsia="zh-CN"/>
        </w:rPr>
        <w:t>签字或盖章，并</w:t>
      </w:r>
      <w:r>
        <w:rPr>
          <w:rFonts w:hint="eastAsia" w:ascii="宋体" w:hAnsi="宋体" w:cs="Times New Roman"/>
          <w:b/>
          <w:color w:val="auto"/>
          <w:sz w:val="21"/>
          <w:szCs w:val="21"/>
          <w:highlight w:val="none"/>
        </w:rPr>
        <w:t>加盖供应商公章）</w:t>
      </w:r>
    </w:p>
    <w:p w14:paraId="017B1638">
      <w:pPr>
        <w:spacing w:line="360" w:lineRule="auto"/>
        <w:rPr>
          <w:rFonts w:hint="eastAsia" w:ascii="宋体" w:hAnsi="宋体" w:cs="Times New Roman"/>
          <w:b/>
          <w:color w:val="auto"/>
          <w:sz w:val="21"/>
          <w:szCs w:val="21"/>
          <w:highlight w:val="none"/>
        </w:rPr>
      </w:pPr>
    </w:p>
    <w:p w14:paraId="542D0CBA">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供应商：</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（盖章）</w:t>
      </w:r>
    </w:p>
    <w:p w14:paraId="03ED042D">
      <w:pPr>
        <w:spacing w:line="360" w:lineRule="auto"/>
        <w:ind w:firstLine="3465" w:firstLineChars="1650"/>
        <w:rPr>
          <w:rFonts w:hint="eastAsia" w:ascii="宋体" w:hAnsi="宋体" w:cs="Times New Roman"/>
          <w:color w:val="auto"/>
          <w:szCs w:val="21"/>
          <w:highlight w:val="none"/>
        </w:rPr>
      </w:pPr>
    </w:p>
    <w:p w14:paraId="69DE13C2">
      <w:pPr>
        <w:spacing w:line="360" w:lineRule="auto"/>
        <w:ind w:firstLine="3465" w:firstLineChars="1650"/>
        <w:rPr>
          <w:rFonts w:ascii="宋体" w:hAnsi="Times New Roman" w:cs="Times New Roman"/>
          <w:color w:val="auto"/>
          <w:szCs w:val="21"/>
          <w:highlight w:val="none"/>
        </w:rPr>
      </w:pPr>
      <w:r>
        <w:rPr>
          <w:rFonts w:hint="eastAsia" w:ascii="宋体" w:hAnsi="宋体" w:cs="Times New Roman"/>
          <w:color w:val="auto"/>
          <w:szCs w:val="21"/>
          <w:highlight w:val="none"/>
        </w:rPr>
        <w:t>法定代表人：</w:t>
      </w:r>
      <w:r>
        <w:rPr>
          <w:rFonts w:ascii="宋体" w:hAnsi="宋体" w:cs="Times New Roman"/>
          <w:color w:val="auto"/>
          <w:szCs w:val="21"/>
          <w:highlight w:val="none"/>
          <w:u w:val="single"/>
        </w:rPr>
        <w:t xml:space="preserve">           </w:t>
      </w:r>
      <w:r>
        <w:rPr>
          <w:rFonts w:hint="eastAsia" w:ascii="宋体" w:hAnsi="宋体" w:cs="Times New Roman"/>
          <w:color w:val="auto"/>
          <w:szCs w:val="21"/>
          <w:highlight w:val="none"/>
        </w:rPr>
        <w:t>（</w:t>
      </w:r>
      <w:r>
        <w:rPr>
          <w:rFonts w:hint="eastAsia" w:ascii="宋体" w:hAnsi="宋体" w:cs="Times New Roman"/>
          <w:color w:val="auto"/>
          <w:szCs w:val="21"/>
          <w:highlight w:val="none"/>
          <w:lang w:val="en-US" w:eastAsia="zh-CN"/>
        </w:rPr>
        <w:t>签字或</w:t>
      </w:r>
      <w:r>
        <w:rPr>
          <w:rFonts w:hint="eastAsia" w:ascii="宋体" w:hAnsi="宋体" w:cs="Times New Roman"/>
          <w:color w:val="auto"/>
          <w:szCs w:val="21"/>
          <w:highlight w:val="none"/>
        </w:rPr>
        <w:t>签章）</w:t>
      </w:r>
    </w:p>
    <w:p w14:paraId="71545D1B">
      <w:pPr>
        <w:spacing w:line="360" w:lineRule="auto"/>
        <w:ind w:firstLine="3570" w:firstLineChars="1700"/>
        <w:rPr>
          <w:rFonts w:hint="eastAsia" w:ascii="Times New Roman" w:hAnsi="Times New Roman" w:cs="Times New Roman"/>
          <w:color w:val="auto"/>
          <w:szCs w:val="21"/>
          <w:highlight w:val="none"/>
        </w:rPr>
      </w:pPr>
    </w:p>
    <w:p w14:paraId="0082C159">
      <w:pPr>
        <w:spacing w:line="360" w:lineRule="auto"/>
        <w:ind w:firstLine="3570" w:firstLineChars="1700"/>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日</w:t>
      </w:r>
      <w:r>
        <w:rPr>
          <w:rFonts w:ascii="Times New Roman" w:hAnsi="Times New Roman" w:cs="Times New Roman"/>
          <w:color w:val="auto"/>
          <w:szCs w:val="21"/>
          <w:highlight w:val="none"/>
        </w:rPr>
        <w:t xml:space="preserve">  </w:t>
      </w:r>
      <w:r>
        <w:rPr>
          <w:rFonts w:hint="eastAsia" w:ascii="Times New Roman" w:hAnsi="Times New Roman" w:cs="Times New Roman"/>
          <w:color w:val="auto"/>
          <w:szCs w:val="21"/>
          <w:highlight w:val="none"/>
        </w:rPr>
        <w:t>期：</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年</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月</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 xml:space="preserve">  </w:t>
      </w:r>
      <w:r>
        <w:rPr>
          <w:rFonts w:ascii="Times New Roman" w:hAnsi="Times New Roman" w:cs="Times New Roman"/>
          <w:color w:val="auto"/>
          <w:szCs w:val="21"/>
          <w:highlight w:val="none"/>
          <w:u w:val="single"/>
        </w:rPr>
        <w:t xml:space="preserve">     </w:t>
      </w:r>
      <w:r>
        <w:rPr>
          <w:rFonts w:hint="eastAsia" w:ascii="Times New Roman" w:hAnsi="Times New Roman" w:cs="Times New Roman"/>
          <w:color w:val="auto"/>
          <w:szCs w:val="21"/>
          <w:highlight w:val="none"/>
        </w:rPr>
        <w:t>日</w:t>
      </w:r>
    </w:p>
    <w:bookmarkEnd w:id="52"/>
    <w:p w14:paraId="6DE199B0">
      <w:pPr>
        <w:spacing w:line="360" w:lineRule="auto"/>
        <w:ind w:firstLine="3570" w:firstLineChars="1700"/>
        <w:rPr>
          <w:highlight w:val="none"/>
        </w:rPr>
      </w:pPr>
      <w:r>
        <w:rPr>
          <w:rFonts w:hint="eastAsia" w:cs="宋体"/>
          <w:color w:val="000000" w:themeColor="text1"/>
          <w:highlight w:val="none"/>
          <w14:textFill>
            <w14:solidFill>
              <w14:schemeClr w14:val="tx1"/>
            </w14:solidFill>
          </w14:textFill>
        </w:rPr>
        <w:br w:type="page"/>
      </w:r>
    </w:p>
    <w:p w14:paraId="0339B83F">
      <w:pPr>
        <w:pStyle w:val="82"/>
        <w:rPr>
          <w:highlight w:val="none"/>
        </w:rPr>
      </w:pPr>
    </w:p>
    <w:p w14:paraId="1F3981EB">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cs="宋体"/>
          <w:b/>
          <w:color w:val="auto"/>
          <w:kern w:val="0"/>
          <w:sz w:val="28"/>
          <w:szCs w:val="28"/>
          <w:highlight w:val="none"/>
          <w:shd w:val="clear" w:fill="FFFFFF"/>
          <w:lang w:val="en-US" w:eastAsia="zh-CN" w:bidi="ar-SA"/>
        </w:rPr>
        <w:t>三</w:t>
      </w:r>
      <w:r>
        <w:rPr>
          <w:rFonts w:hint="eastAsia" w:ascii="宋体" w:hAnsi="Times New Roman" w:eastAsia="宋体" w:cs="宋体"/>
          <w:b/>
          <w:color w:val="auto"/>
          <w:kern w:val="0"/>
          <w:sz w:val="28"/>
          <w:szCs w:val="28"/>
          <w:highlight w:val="none"/>
          <w:shd w:val="clear" w:fill="FFFFFF"/>
          <w:lang w:val="en-US" w:eastAsia="zh-CN" w:bidi="ar-SA"/>
        </w:rPr>
        <w:t>、诚信投标承诺书</w:t>
      </w:r>
    </w:p>
    <w:p w14:paraId="65794FEA">
      <w:pPr>
        <w:rPr>
          <w:rFonts w:ascii="仿宋" w:hAnsi="仿宋" w:eastAsia="仿宋" w:cs="仿宋"/>
          <w:b/>
          <w:bCs/>
          <w:color w:val="000000"/>
          <w:sz w:val="24"/>
          <w:szCs w:val="24"/>
          <w:highlight w:val="none"/>
        </w:rPr>
      </w:pPr>
    </w:p>
    <w:p w14:paraId="4D5A6FF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14:paraId="000C819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14:paraId="6D0F2561">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14:paraId="118F047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14:paraId="76286027">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14:paraId="5D41D97E">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14:paraId="09B7A753">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14:paraId="2FB832D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14:paraId="694FDA78">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14:paraId="2075B6DD">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14:paraId="4C2020A4">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14:paraId="70131D40">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14:paraId="7E7380EF">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14:paraId="16E21B00">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2F1505E2">
      <w:pPr>
        <w:rPr>
          <w:rFonts w:ascii="仿宋" w:hAnsi="仿宋" w:eastAsia="仿宋" w:cs="仿宋"/>
          <w:b/>
          <w:bCs/>
          <w:color w:val="000000"/>
          <w:sz w:val="22"/>
          <w:szCs w:val="22"/>
          <w:highlight w:val="none"/>
        </w:rPr>
      </w:pPr>
    </w:p>
    <w:p w14:paraId="7C3AAC54">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14:paraId="6EA9A738">
      <w:pPr>
        <w:jc w:val="right"/>
        <w:rPr>
          <w:rFonts w:ascii="仿宋" w:hAnsi="仿宋" w:eastAsia="仿宋" w:cs="仿宋"/>
          <w:b/>
          <w:bCs/>
          <w:color w:val="000000"/>
          <w:sz w:val="24"/>
          <w:szCs w:val="24"/>
          <w:highlight w:val="none"/>
        </w:rPr>
      </w:pPr>
    </w:p>
    <w:p w14:paraId="306451B5">
      <w:pPr>
        <w:jc w:val="right"/>
        <w:rPr>
          <w:rFonts w:ascii="仿宋" w:hAnsi="仿宋" w:eastAsia="仿宋" w:cs="仿宋"/>
          <w:b/>
          <w:bCs/>
          <w:color w:val="000000"/>
          <w:sz w:val="24"/>
          <w:szCs w:val="24"/>
          <w:highlight w:val="none"/>
        </w:rPr>
      </w:pPr>
    </w:p>
    <w:p w14:paraId="41E65346">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14:paraId="4BF4F2AE">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bookmarkEnd w:id="50"/>
    <w:bookmarkEnd w:id="51"/>
    <w:p w14:paraId="0B22B3F4">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cs="宋体"/>
          <w:b/>
          <w:color w:val="auto"/>
          <w:kern w:val="0"/>
          <w:sz w:val="28"/>
          <w:szCs w:val="28"/>
          <w:highlight w:val="none"/>
          <w:shd w:val="clear" w:fill="FFFFFF"/>
          <w:lang w:val="en-US" w:eastAsia="zh-CN" w:bidi="ar-SA"/>
        </w:rPr>
        <w:t>四</w:t>
      </w: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54C22E8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14:paraId="11DD4140">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2、税务登记证副本复印件；（如为三证合一的，只需提供三证合一的营业执照复印件）</w:t>
      </w:r>
      <w:r>
        <w:rPr>
          <w:rFonts w:hint="eastAsia" w:ascii="宋体" w:hAnsi="宋体" w:cs="Times New Roman"/>
          <w:color w:val="auto"/>
          <w:szCs w:val="21"/>
          <w:highlight w:val="none"/>
          <w:lang w:val="en-US" w:eastAsia="zh-CN"/>
        </w:rPr>
        <w:t>；</w:t>
      </w:r>
    </w:p>
    <w:p w14:paraId="32DD09FF">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14:paraId="6D7AF4E2">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14:paraId="3E2B5681">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14:paraId="5B2BBF03">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14:paraId="0CE63AC7">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14:paraId="5D6663EC">
      <w:pPr>
        <w:rPr>
          <w:highlight w:val="none"/>
        </w:rPr>
      </w:pPr>
      <w:r>
        <w:rPr>
          <w:rFonts w:ascii="宋体" w:hAnsi="宋体" w:cs="宋体"/>
          <w:b/>
          <w:color w:val="000000" w:themeColor="text1"/>
          <w:spacing w:val="-4"/>
          <w:kern w:val="0"/>
          <w:szCs w:val="21"/>
          <w:highlight w:val="none"/>
          <w14:textFill>
            <w14:solidFill>
              <w14:schemeClr w14:val="tx1"/>
            </w14:solidFill>
          </w14:textFill>
        </w:rPr>
        <w:br w:type="page"/>
      </w:r>
    </w:p>
    <w:p w14:paraId="42DAFE65">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3ED5D861">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48FB08A7">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7E2C9AF3">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A4A91B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F028766">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3A3BCF8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30B2424">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1F0D1F56">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BD902AA">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0ECD311D">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72D9FC04">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7000DD72">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6FE2CF57">
      <w:pPr>
        <w:pStyle w:val="82"/>
        <w:ind w:left="0" w:leftChars="0" w:firstLine="0" w:firstLineChars="0"/>
        <w:rPr>
          <w:highlight w:val="none"/>
        </w:rPr>
      </w:pPr>
    </w:p>
    <w:p w14:paraId="4A31C133">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6D97709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31A7EE63">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790BBC5">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29300B97">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194F85AD">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796ECD05">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43F5C89">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24AECCB9">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52E589AA">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1CCDBE07">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2630B8FF">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ksdb"/>
    <w:panose1 w:val="00000000000000000000"/>
    <w:charset w:val="00"/>
    <w:family w:val="auto"/>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
    <w:altName w:val="ksdb"/>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ksdb">
    <w:panose1 w:val="02000500000000000000"/>
    <w:charset w:val="00"/>
    <w:family w:val="auto"/>
    <w:pitch w:val="default"/>
    <w:sig w:usb0="00000001"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3DD81">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7D901">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004E4C39">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BF3DF">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2946A7D5">
        <w:pPr>
          <w:pStyle w:val="37"/>
          <w:jc w:val="center"/>
        </w:pPr>
        <w:r>
          <w:fldChar w:fldCharType="begin"/>
        </w:r>
        <w:r>
          <w:instrText xml:space="preserve">PAGE   \* MERGEFORMAT</w:instrText>
        </w:r>
        <w:r>
          <w:fldChar w:fldCharType="separate"/>
        </w:r>
        <w:r>
          <w:rPr>
            <w:lang w:val="zh-CN"/>
          </w:rPr>
          <w:t>2</w:t>
        </w:r>
        <w:r>
          <w:fldChar w:fldCharType="end"/>
        </w:r>
      </w:p>
    </w:sdtContent>
  </w:sdt>
  <w:p w14:paraId="765BCA9D">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0A9C1DC1">
        <w:pPr>
          <w:pStyle w:val="37"/>
          <w:jc w:val="center"/>
        </w:pPr>
        <w:r>
          <w:fldChar w:fldCharType="begin"/>
        </w:r>
        <w:r>
          <w:instrText xml:space="preserve">PAGE   \* MERGEFORMAT</w:instrText>
        </w:r>
        <w:r>
          <w:fldChar w:fldCharType="separate"/>
        </w:r>
        <w:r>
          <w:rPr>
            <w:lang w:val="zh-CN"/>
          </w:rPr>
          <w:t>2</w:t>
        </w:r>
        <w:r>
          <w:fldChar w:fldCharType="end"/>
        </w:r>
      </w:p>
    </w:sdtContent>
  </w:sdt>
  <w:p w14:paraId="5CB50F3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2E5">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2593F">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241B">
    <w:pPr>
      <w:pStyle w:val="38"/>
      <w:pBdr>
        <w:bottom w:val="single" w:color="auto" w:sz="4" w:space="1"/>
      </w:pBdr>
      <w:jc w:val="right"/>
    </w:pPr>
    <w:r>
      <w:rPr>
        <w:rFonts w:hint="eastAsia"/>
        <w:sz w:val="16"/>
        <w:szCs w:val="16"/>
        <w:lang w:eastAsia="zh-CN"/>
      </w:rPr>
      <w:t>安庆港中心港区石门湖一期工程生态环境竣工验收方案编制</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F8DCB">
    <w:pPr>
      <w:pStyle w:val="38"/>
      <w:pBdr>
        <w:bottom w:val="single" w:color="auto" w:sz="4" w:space="1"/>
      </w:pBdr>
      <w:jc w:val="right"/>
      <w:rPr>
        <w:sz w:val="16"/>
        <w:szCs w:val="16"/>
      </w:rPr>
    </w:pPr>
    <w:r>
      <w:rPr>
        <w:rFonts w:hint="eastAsia"/>
        <w:sz w:val="16"/>
        <w:szCs w:val="16"/>
        <w:lang w:eastAsia="zh-CN"/>
      </w:rPr>
      <w:t>安庆港中心港区石门湖一期工程生态环境竣工验收第三方服务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EFBC823"/>
    <w:multiLevelType w:val="singleLevel"/>
    <w:tmpl w:val="7EFBC823"/>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E3B86"/>
    <w:rsid w:val="015F21D1"/>
    <w:rsid w:val="0191681C"/>
    <w:rsid w:val="019E06E3"/>
    <w:rsid w:val="01F704B8"/>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BB5EDE"/>
    <w:rsid w:val="03DE75FB"/>
    <w:rsid w:val="03EF1A15"/>
    <w:rsid w:val="03EF27C8"/>
    <w:rsid w:val="03F1273F"/>
    <w:rsid w:val="04197674"/>
    <w:rsid w:val="041E3B9F"/>
    <w:rsid w:val="04271553"/>
    <w:rsid w:val="044D094D"/>
    <w:rsid w:val="046441B2"/>
    <w:rsid w:val="04753845"/>
    <w:rsid w:val="047A5783"/>
    <w:rsid w:val="04843FA4"/>
    <w:rsid w:val="05051ACD"/>
    <w:rsid w:val="050913A9"/>
    <w:rsid w:val="050A31D6"/>
    <w:rsid w:val="051557B4"/>
    <w:rsid w:val="0519281B"/>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8E202AC"/>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A9581C"/>
    <w:rsid w:val="12B654AE"/>
    <w:rsid w:val="12BF6C3A"/>
    <w:rsid w:val="13057218"/>
    <w:rsid w:val="131F3FC3"/>
    <w:rsid w:val="132C1124"/>
    <w:rsid w:val="132C1DDC"/>
    <w:rsid w:val="133236CD"/>
    <w:rsid w:val="133E598E"/>
    <w:rsid w:val="13682AD5"/>
    <w:rsid w:val="137B5074"/>
    <w:rsid w:val="138959E3"/>
    <w:rsid w:val="13A548EC"/>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D943D3"/>
    <w:rsid w:val="16FF65AF"/>
    <w:rsid w:val="172907FA"/>
    <w:rsid w:val="17653798"/>
    <w:rsid w:val="17A20397"/>
    <w:rsid w:val="17A54DB5"/>
    <w:rsid w:val="17C52D61"/>
    <w:rsid w:val="17D11706"/>
    <w:rsid w:val="180A2E6A"/>
    <w:rsid w:val="180C1DB8"/>
    <w:rsid w:val="181D2AAB"/>
    <w:rsid w:val="183364E8"/>
    <w:rsid w:val="18535BE6"/>
    <w:rsid w:val="18590648"/>
    <w:rsid w:val="1867206B"/>
    <w:rsid w:val="18E67433"/>
    <w:rsid w:val="18FB4F95"/>
    <w:rsid w:val="18FF04F5"/>
    <w:rsid w:val="19053D5D"/>
    <w:rsid w:val="191310CD"/>
    <w:rsid w:val="191D1EE7"/>
    <w:rsid w:val="19540444"/>
    <w:rsid w:val="19691EDC"/>
    <w:rsid w:val="19956C86"/>
    <w:rsid w:val="19DB4ABE"/>
    <w:rsid w:val="1A475CB0"/>
    <w:rsid w:val="1A6159EB"/>
    <w:rsid w:val="1A783684"/>
    <w:rsid w:val="1A826A8E"/>
    <w:rsid w:val="1AA82808"/>
    <w:rsid w:val="1AB2154D"/>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A82FEF"/>
    <w:rsid w:val="1CC41839"/>
    <w:rsid w:val="1CED005C"/>
    <w:rsid w:val="1D3A5FA0"/>
    <w:rsid w:val="1D6F5C49"/>
    <w:rsid w:val="1D756A60"/>
    <w:rsid w:val="1D772D50"/>
    <w:rsid w:val="1D835251"/>
    <w:rsid w:val="1DBD138F"/>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171C58"/>
    <w:rsid w:val="23445819"/>
    <w:rsid w:val="234E00AF"/>
    <w:rsid w:val="237D20DD"/>
    <w:rsid w:val="237F6C4B"/>
    <w:rsid w:val="238B5CC6"/>
    <w:rsid w:val="2399026C"/>
    <w:rsid w:val="23CD2AB0"/>
    <w:rsid w:val="23E2675E"/>
    <w:rsid w:val="23ED5B9A"/>
    <w:rsid w:val="242B66E0"/>
    <w:rsid w:val="246E1E2F"/>
    <w:rsid w:val="24A425A4"/>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75972"/>
    <w:rsid w:val="2BCE32E3"/>
    <w:rsid w:val="2BFC6280"/>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7672DE"/>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35471C"/>
    <w:rsid w:val="334A479D"/>
    <w:rsid w:val="33641B20"/>
    <w:rsid w:val="336E7BFD"/>
    <w:rsid w:val="33751688"/>
    <w:rsid w:val="33CF29A4"/>
    <w:rsid w:val="33D80E84"/>
    <w:rsid w:val="33EE79F7"/>
    <w:rsid w:val="34193CA8"/>
    <w:rsid w:val="34196205"/>
    <w:rsid w:val="34425A0E"/>
    <w:rsid w:val="344F2ED9"/>
    <w:rsid w:val="34711E4F"/>
    <w:rsid w:val="34733E19"/>
    <w:rsid w:val="34821623"/>
    <w:rsid w:val="34A93377"/>
    <w:rsid w:val="34FC56F2"/>
    <w:rsid w:val="35026F4B"/>
    <w:rsid w:val="35102324"/>
    <w:rsid w:val="355C665B"/>
    <w:rsid w:val="356E638F"/>
    <w:rsid w:val="358C2142"/>
    <w:rsid w:val="35A65B28"/>
    <w:rsid w:val="35BD418B"/>
    <w:rsid w:val="35D2375F"/>
    <w:rsid w:val="35E52AF5"/>
    <w:rsid w:val="35F45991"/>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847C60"/>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A50D65"/>
    <w:rsid w:val="43C63BD6"/>
    <w:rsid w:val="441E71D2"/>
    <w:rsid w:val="445241CE"/>
    <w:rsid w:val="44A83362"/>
    <w:rsid w:val="44C9432E"/>
    <w:rsid w:val="44FD397C"/>
    <w:rsid w:val="450B1927"/>
    <w:rsid w:val="452913FC"/>
    <w:rsid w:val="453C623B"/>
    <w:rsid w:val="455920A4"/>
    <w:rsid w:val="45AD6A5F"/>
    <w:rsid w:val="45F75F2C"/>
    <w:rsid w:val="45F85A36"/>
    <w:rsid w:val="4618037D"/>
    <w:rsid w:val="46212B20"/>
    <w:rsid w:val="464C6002"/>
    <w:rsid w:val="46543874"/>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B717C5"/>
    <w:rsid w:val="4DEB3C5F"/>
    <w:rsid w:val="4DEF6893"/>
    <w:rsid w:val="4E0C71FC"/>
    <w:rsid w:val="4E402B66"/>
    <w:rsid w:val="4EA1353B"/>
    <w:rsid w:val="4EAA7FE0"/>
    <w:rsid w:val="4EAB7E41"/>
    <w:rsid w:val="4EB909E9"/>
    <w:rsid w:val="4EEB7B73"/>
    <w:rsid w:val="4F0A4DE8"/>
    <w:rsid w:val="4F534AF8"/>
    <w:rsid w:val="4F5F4C64"/>
    <w:rsid w:val="4F714FA1"/>
    <w:rsid w:val="4F763D0A"/>
    <w:rsid w:val="4FC26BC9"/>
    <w:rsid w:val="4FE53EE9"/>
    <w:rsid w:val="502C0328"/>
    <w:rsid w:val="505059C1"/>
    <w:rsid w:val="507111E9"/>
    <w:rsid w:val="50744D49"/>
    <w:rsid w:val="50827466"/>
    <w:rsid w:val="508302FA"/>
    <w:rsid w:val="50A10CF0"/>
    <w:rsid w:val="50B22158"/>
    <w:rsid w:val="50D73662"/>
    <w:rsid w:val="50F25458"/>
    <w:rsid w:val="50F73284"/>
    <w:rsid w:val="50F97086"/>
    <w:rsid w:val="512B026F"/>
    <w:rsid w:val="51542485"/>
    <w:rsid w:val="51A34050"/>
    <w:rsid w:val="51AB5F03"/>
    <w:rsid w:val="51BA2F76"/>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5C0C76"/>
    <w:rsid w:val="556D1D67"/>
    <w:rsid w:val="55FE3F68"/>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F76DBB"/>
    <w:rsid w:val="5B1E2446"/>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5FF25578"/>
    <w:rsid w:val="60384AA2"/>
    <w:rsid w:val="60654D7F"/>
    <w:rsid w:val="60BA6EBD"/>
    <w:rsid w:val="610417D1"/>
    <w:rsid w:val="614F7E1C"/>
    <w:rsid w:val="61706E67"/>
    <w:rsid w:val="617B022B"/>
    <w:rsid w:val="61B42238"/>
    <w:rsid w:val="62233ED9"/>
    <w:rsid w:val="62247EF5"/>
    <w:rsid w:val="62CF4061"/>
    <w:rsid w:val="62ED73D8"/>
    <w:rsid w:val="631430B3"/>
    <w:rsid w:val="63273ECC"/>
    <w:rsid w:val="637C5F97"/>
    <w:rsid w:val="638A11D4"/>
    <w:rsid w:val="63AD6B5B"/>
    <w:rsid w:val="63D32145"/>
    <w:rsid w:val="63F41F58"/>
    <w:rsid w:val="63F76584"/>
    <w:rsid w:val="644C3BBB"/>
    <w:rsid w:val="64E9780B"/>
    <w:rsid w:val="64F32289"/>
    <w:rsid w:val="651E0F77"/>
    <w:rsid w:val="654752D4"/>
    <w:rsid w:val="65965996"/>
    <w:rsid w:val="659730E5"/>
    <w:rsid w:val="65C82F60"/>
    <w:rsid w:val="65CE0D2C"/>
    <w:rsid w:val="65DF0AD0"/>
    <w:rsid w:val="65DF280D"/>
    <w:rsid w:val="663E0D58"/>
    <w:rsid w:val="66846410"/>
    <w:rsid w:val="66A24F5B"/>
    <w:rsid w:val="66A6332B"/>
    <w:rsid w:val="66BE56FC"/>
    <w:rsid w:val="66F85A07"/>
    <w:rsid w:val="671F6E1E"/>
    <w:rsid w:val="67453492"/>
    <w:rsid w:val="67A02C6C"/>
    <w:rsid w:val="67E71B6D"/>
    <w:rsid w:val="67FF20E2"/>
    <w:rsid w:val="68306BC4"/>
    <w:rsid w:val="688073EB"/>
    <w:rsid w:val="68842FD3"/>
    <w:rsid w:val="689C2C37"/>
    <w:rsid w:val="68A2014F"/>
    <w:rsid w:val="68BB130F"/>
    <w:rsid w:val="68BF6DF6"/>
    <w:rsid w:val="68C43E52"/>
    <w:rsid w:val="68D20E70"/>
    <w:rsid w:val="68F55EA4"/>
    <w:rsid w:val="690A194F"/>
    <w:rsid w:val="690B1A91"/>
    <w:rsid w:val="69201173"/>
    <w:rsid w:val="692B215E"/>
    <w:rsid w:val="698C3515"/>
    <w:rsid w:val="698E432E"/>
    <w:rsid w:val="69D41F5D"/>
    <w:rsid w:val="6A82545E"/>
    <w:rsid w:val="6A9040D6"/>
    <w:rsid w:val="6AC50223"/>
    <w:rsid w:val="6AD26CD2"/>
    <w:rsid w:val="6AD27780"/>
    <w:rsid w:val="6B016D82"/>
    <w:rsid w:val="6B2D6EEB"/>
    <w:rsid w:val="6B5243A0"/>
    <w:rsid w:val="6B5F5D4D"/>
    <w:rsid w:val="6B685053"/>
    <w:rsid w:val="6BAF4A30"/>
    <w:rsid w:val="6BB93969"/>
    <w:rsid w:val="6BC06C3D"/>
    <w:rsid w:val="6C0D4AD4"/>
    <w:rsid w:val="6C3D5F2F"/>
    <w:rsid w:val="6C47110C"/>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02B34"/>
    <w:rsid w:val="6EA57E47"/>
    <w:rsid w:val="6EB736CD"/>
    <w:rsid w:val="6ECE2BD2"/>
    <w:rsid w:val="6ED468F0"/>
    <w:rsid w:val="6EFF182A"/>
    <w:rsid w:val="6F011A46"/>
    <w:rsid w:val="6F33171B"/>
    <w:rsid w:val="6F7044D6"/>
    <w:rsid w:val="6F965673"/>
    <w:rsid w:val="6F9E54E7"/>
    <w:rsid w:val="6FBB10C2"/>
    <w:rsid w:val="6FDB730A"/>
    <w:rsid w:val="6FDD7DBD"/>
    <w:rsid w:val="700A4B8C"/>
    <w:rsid w:val="70111A6E"/>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793845"/>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AC61BF"/>
    <w:rsid w:val="7EB33EA8"/>
    <w:rsid w:val="7ED6280D"/>
    <w:rsid w:val="7F1C70BC"/>
    <w:rsid w:val="7F4406D0"/>
    <w:rsid w:val="7F5F4F71"/>
    <w:rsid w:val="7FC93EBA"/>
    <w:rsid w:val="7FE90EB3"/>
    <w:rsid w:val="F76F9E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 w:type="character" w:customStyle="1" w:styleId="593">
    <w:name w:val="font91"/>
    <w:basedOn w:val="63"/>
    <w:qFormat/>
    <w:uiPriority w:val="0"/>
    <w:rPr>
      <w:rFonts w:hint="default" w:ascii="Times New Roman" w:hAnsi="Times New Roman" w:cs="Times New Roman"/>
      <w:color w:val="000000"/>
      <w:sz w:val="18"/>
      <w:szCs w:val="18"/>
      <w:u w:val="none"/>
    </w:rPr>
  </w:style>
  <w:style w:type="character" w:customStyle="1" w:styleId="594">
    <w:name w:val="font71"/>
    <w:basedOn w:val="63"/>
    <w:qFormat/>
    <w:uiPriority w:val="0"/>
    <w:rPr>
      <w:rFonts w:hint="eastAsia" w:ascii="宋体" w:hAnsi="宋体" w:eastAsia="宋体" w:cs="宋体"/>
      <w:color w:val="FF0000"/>
      <w:sz w:val="20"/>
      <w:szCs w:val="20"/>
      <w:u w:val="none"/>
    </w:rPr>
  </w:style>
  <w:style w:type="character" w:customStyle="1" w:styleId="595">
    <w:name w:val="font61"/>
    <w:basedOn w:val="63"/>
    <w:qFormat/>
    <w:uiPriority w:val="0"/>
    <w:rPr>
      <w:rFonts w:hint="eastAsia" w:ascii="宋体" w:hAnsi="宋体" w:eastAsia="宋体" w:cs="宋体"/>
      <w:color w:val="000000"/>
      <w:sz w:val="16"/>
      <w:szCs w:val="16"/>
      <w:u w:val="none"/>
    </w:rPr>
  </w:style>
  <w:style w:type="character" w:customStyle="1" w:styleId="596">
    <w:name w:val="font121"/>
    <w:basedOn w:val="63"/>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10180</Words>
  <Characters>10811</Characters>
  <Lines>69</Lines>
  <Paragraphs>19</Paragraphs>
  <TotalTime>23</TotalTime>
  <ScaleCrop>false</ScaleCrop>
  <LinksUpToDate>false</LinksUpToDate>
  <CharactersWithSpaces>11836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2022-10-31T16:50:00Z</dcterms:created>
  <dc:creator>Windows 用户</dc:creator>
  <cp:lastModifiedBy>海风温柔吹</cp:lastModifiedBy>
  <cp:lastPrinted>2023-12-14T09:03:00Z</cp:lastPrinted>
  <dcterms:modified xsi:type="dcterms:W3CDTF">2025-03-17T02:44:59Z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D2D3E499164141239CE5D6B145258568_13</vt:lpwstr>
  </property>
  <property fmtid="{D5CDD505-2E9C-101B-9397-08002B2CF9AE}" pid="4" name="KSOTemplateDocerSaveRecord">
    <vt:lpwstr>eyJoZGlkIjoiNDAwYjZlMTE2MGVkOWY1ZjMwNDkxYTg1M2FlMWYzM2YiLCJ1c2VySWQiOiI1MDM3OTU2NDYifQ==</vt:lpwstr>
  </property>
</Properties>
</file>