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5AB23B">
      <w:pPr>
        <w:spacing w:line="480" w:lineRule="exact"/>
        <w:rPr>
          <w:rFonts w:ascii="宋体"/>
          <w:color w:val="000000" w:themeColor="text1"/>
          <w:sz w:val="44"/>
          <w:szCs w:val="44"/>
          <w14:textFill>
            <w14:solidFill>
              <w14:schemeClr w14:val="tx1"/>
            </w14:solidFill>
          </w14:textFill>
        </w:rPr>
      </w:pPr>
    </w:p>
    <w:p w14:paraId="19A3A244">
      <w:pPr>
        <w:pStyle w:val="84"/>
        <w:spacing w:before="120"/>
        <w:ind w:left="0" w:leftChars="0" w:firstLine="0" w:firstLineChars="0"/>
        <w:jc w:val="center"/>
        <w:rPr>
          <w:rFonts w:hint="default" w:ascii="仿宋_GB2312" w:hAnsi="宋体" w:eastAsia="仿宋_GB2312"/>
          <w:b/>
          <w:color w:val="000000" w:themeColor="text1"/>
          <w:sz w:val="48"/>
          <w:szCs w:val="48"/>
          <w:highlight w:val="none"/>
          <w:lang w:val="en-US"/>
          <w14:textFill>
            <w14:solidFill>
              <w14:schemeClr w14:val="tx1"/>
            </w14:solidFill>
          </w14:textFill>
        </w:rPr>
      </w:pPr>
      <w:r>
        <w:rPr>
          <w:rFonts w:hint="eastAsia" w:ascii="仿宋_GB2312" w:hAnsi="宋体" w:eastAsia="仿宋_GB2312"/>
          <w:b/>
          <w:color w:val="000000" w:themeColor="text1"/>
          <w:sz w:val="48"/>
          <w:szCs w:val="48"/>
          <w:highlight w:val="none"/>
          <w:lang w:eastAsia="zh-CN"/>
          <w14:textFill>
            <w14:solidFill>
              <w14:schemeClr w14:val="tx1"/>
            </w14:solidFill>
          </w14:textFill>
        </w:rPr>
        <w:t>安庆</w:t>
      </w:r>
      <w:r>
        <w:rPr>
          <w:rFonts w:hint="eastAsia" w:ascii="仿宋_GB2312" w:hAnsi="宋体" w:eastAsia="仿宋_GB2312"/>
          <w:b/>
          <w:color w:val="000000" w:themeColor="text1"/>
          <w:sz w:val="48"/>
          <w:szCs w:val="48"/>
          <w:highlight w:val="none"/>
          <w:lang w:val="en-US" w:eastAsia="zh-CN"/>
          <w14:textFill>
            <w14:solidFill>
              <w14:schemeClr w14:val="tx1"/>
            </w14:solidFill>
          </w14:textFill>
        </w:rPr>
        <w:t>市交通控股</w:t>
      </w:r>
      <w:r>
        <w:rPr>
          <w:rFonts w:hint="eastAsia" w:ascii="仿宋_GB2312" w:hAnsi="宋体" w:eastAsia="仿宋_GB2312"/>
          <w:b/>
          <w:color w:val="000000" w:themeColor="text1"/>
          <w:sz w:val="48"/>
          <w:szCs w:val="48"/>
          <w:highlight w:val="none"/>
          <w:lang w:eastAsia="zh-CN"/>
          <w14:textFill>
            <w14:solidFill>
              <w14:schemeClr w14:val="tx1"/>
            </w14:solidFill>
          </w14:textFill>
        </w:rPr>
        <w:t>集团电梯维保服务</w:t>
      </w:r>
    </w:p>
    <w:p w14:paraId="09D9CC78">
      <w:pPr>
        <w:pStyle w:val="84"/>
        <w:ind w:left="0" w:leftChars="0" w:firstLine="0" w:firstLineChars="0"/>
      </w:pPr>
    </w:p>
    <w:p w14:paraId="190F7509">
      <w:pPr>
        <w:pStyle w:val="84"/>
      </w:pPr>
    </w:p>
    <w:p w14:paraId="2C42F7A5">
      <w:pPr>
        <w:spacing w:line="480" w:lineRule="exact"/>
        <w:jc w:val="center"/>
        <w:rPr>
          <w:rFonts w:ascii="宋体" w:hAnsi="宋体" w:cs="宋体"/>
          <w:b/>
          <w:bCs/>
          <w:color w:val="000000" w:themeColor="text1"/>
          <w:sz w:val="48"/>
          <w:szCs w:val="48"/>
          <w14:textFill>
            <w14:solidFill>
              <w14:schemeClr w14:val="tx1"/>
            </w14:solidFill>
          </w14:textFill>
        </w:rPr>
      </w:pPr>
      <w:r>
        <w:rPr>
          <w:rFonts w:hint="eastAsia" w:ascii="宋体" w:hAnsi="宋体" w:cs="宋体"/>
          <w:b/>
          <w:bCs/>
          <w:color w:val="000000" w:themeColor="text1"/>
          <w:sz w:val="48"/>
          <w:szCs w:val="48"/>
          <w14:textFill>
            <w14:solidFill>
              <w14:schemeClr w14:val="tx1"/>
            </w14:solidFill>
          </w14:textFill>
        </w:rPr>
        <w:t>比 选 文 件</w:t>
      </w:r>
    </w:p>
    <w:p w14:paraId="41BB69D2">
      <w:pPr>
        <w:pStyle w:val="84"/>
        <w:spacing w:before="120"/>
        <w:ind w:firstLine="350"/>
        <w:rPr>
          <w:color w:val="000000" w:themeColor="text1"/>
          <w14:textFill>
            <w14:solidFill>
              <w14:schemeClr w14:val="tx1"/>
            </w14:solidFill>
          </w14:textFill>
        </w:rPr>
      </w:pPr>
    </w:p>
    <w:p w14:paraId="7DCD351D">
      <w:pPr>
        <w:pStyle w:val="84"/>
        <w:spacing w:before="120"/>
        <w:ind w:firstLine="350"/>
        <w:rPr>
          <w:color w:val="000000" w:themeColor="text1"/>
          <w14:textFill>
            <w14:solidFill>
              <w14:schemeClr w14:val="tx1"/>
            </w14:solidFill>
          </w14:textFill>
        </w:rPr>
      </w:pPr>
    </w:p>
    <w:p w14:paraId="27D85288">
      <w:pPr>
        <w:spacing w:line="480" w:lineRule="exact"/>
        <w:jc w:val="center"/>
        <w:rPr>
          <w:rFonts w:ascii="宋体" w:cs="宋体"/>
          <w:b/>
          <w:bCs/>
          <w:color w:val="000000" w:themeColor="text1"/>
          <w:sz w:val="48"/>
          <w:szCs w:val="48"/>
          <w14:textFill>
            <w14:solidFill>
              <w14:schemeClr w14:val="tx1"/>
            </w14:solidFill>
          </w14:textFill>
        </w:rPr>
      </w:pPr>
    </w:p>
    <w:p w14:paraId="7754322A">
      <w:pPr>
        <w:pStyle w:val="84"/>
      </w:pPr>
    </w:p>
    <w:p w14:paraId="3BF1273C">
      <w:pPr>
        <w:spacing w:line="480" w:lineRule="exact"/>
        <w:jc w:val="center"/>
        <w:rPr>
          <w:rFonts w:hint="eastAsia" w:ascii="宋体" w:hAnsi="宋体" w:eastAsia="宋体" w:cs="仿宋_GB2312"/>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项目编号：</w:t>
      </w:r>
      <w:r>
        <w:rPr>
          <w:rFonts w:hint="eastAsia" w:ascii="宋体" w:hAnsi="宋体" w:cs="宋体"/>
          <w:b/>
          <w:bCs/>
          <w:color w:val="000000" w:themeColor="text1"/>
          <w:sz w:val="28"/>
          <w:szCs w:val="28"/>
          <w:lang w:val="en-US" w:eastAsia="zh-CN"/>
          <w14:textFill>
            <w14:solidFill>
              <w14:schemeClr w14:val="tx1"/>
            </w14:solidFill>
          </w14:textFill>
        </w:rPr>
        <w:t>AQJK-CG-2025-008</w:t>
      </w:r>
    </w:p>
    <w:p w14:paraId="4D8F6AC6">
      <w:pPr>
        <w:spacing w:line="480" w:lineRule="exact"/>
        <w:rPr>
          <w:rFonts w:ascii="宋体" w:hAnsi="宋体" w:cs="仿宋_GB2312"/>
          <w:color w:val="000000" w:themeColor="text1"/>
          <w:szCs w:val="21"/>
          <w14:textFill>
            <w14:solidFill>
              <w14:schemeClr w14:val="tx1"/>
            </w14:solidFill>
          </w14:textFill>
        </w:rPr>
      </w:pPr>
    </w:p>
    <w:p w14:paraId="22019C7A">
      <w:pPr>
        <w:pStyle w:val="84"/>
        <w:spacing w:before="120"/>
        <w:ind w:firstLine="350"/>
        <w:rPr>
          <w:color w:val="000000" w:themeColor="text1"/>
          <w14:textFill>
            <w14:solidFill>
              <w14:schemeClr w14:val="tx1"/>
            </w14:solidFill>
          </w14:textFill>
        </w:rPr>
      </w:pPr>
    </w:p>
    <w:p w14:paraId="6131FB16">
      <w:pPr>
        <w:pStyle w:val="84"/>
        <w:spacing w:before="120"/>
        <w:ind w:firstLine="350"/>
        <w:rPr>
          <w:color w:val="000000" w:themeColor="text1"/>
          <w14:textFill>
            <w14:solidFill>
              <w14:schemeClr w14:val="tx1"/>
            </w14:solidFill>
          </w14:textFill>
        </w:rPr>
      </w:pPr>
    </w:p>
    <w:p w14:paraId="06C57E8C">
      <w:pPr>
        <w:pStyle w:val="84"/>
        <w:spacing w:before="120"/>
        <w:rPr>
          <w:color w:val="000000" w:themeColor="text1"/>
          <w14:textFill>
            <w14:solidFill>
              <w14:schemeClr w14:val="tx1"/>
            </w14:solidFill>
          </w14:textFill>
        </w:rPr>
      </w:pPr>
    </w:p>
    <w:p w14:paraId="6D33A42A">
      <w:pPr>
        <w:pStyle w:val="84"/>
        <w:spacing w:before="120"/>
        <w:ind w:left="0" w:leftChars="0" w:firstLine="0" w:firstLineChars="0"/>
        <w:rPr>
          <w:color w:val="000000" w:themeColor="text1"/>
          <w14:textFill>
            <w14:solidFill>
              <w14:schemeClr w14:val="tx1"/>
            </w14:solidFill>
          </w14:textFill>
        </w:rPr>
      </w:pPr>
    </w:p>
    <w:p w14:paraId="7F711E7D">
      <w:pPr>
        <w:pStyle w:val="84"/>
        <w:spacing w:before="120"/>
        <w:ind w:left="0" w:leftChars="0" w:firstLine="0" w:firstLineChars="0"/>
        <w:rPr>
          <w:color w:val="000000" w:themeColor="text1"/>
          <w14:textFill>
            <w14:solidFill>
              <w14:schemeClr w14:val="tx1"/>
            </w14:solidFill>
          </w14:textFill>
        </w:rPr>
      </w:pPr>
    </w:p>
    <w:p w14:paraId="04F1E25F">
      <w:pPr>
        <w:pStyle w:val="84"/>
        <w:spacing w:before="120"/>
        <w:ind w:left="0" w:leftChars="0" w:firstLine="0" w:firstLineChars="0"/>
        <w:rPr>
          <w:color w:val="000000" w:themeColor="text1"/>
          <w14:textFill>
            <w14:solidFill>
              <w14:schemeClr w14:val="tx1"/>
            </w14:solidFill>
          </w14:textFill>
        </w:rPr>
      </w:pPr>
    </w:p>
    <w:p w14:paraId="67E07C62">
      <w:pPr>
        <w:spacing w:line="480" w:lineRule="exact"/>
        <w:rPr>
          <w:rFonts w:ascii="宋体" w:hAnsi="宋体" w:cs="仿宋_GB2312"/>
          <w:color w:val="000000" w:themeColor="text1"/>
          <w:szCs w:val="21"/>
          <w14:textFill>
            <w14:solidFill>
              <w14:schemeClr w14:val="tx1"/>
            </w14:solidFill>
          </w14:textFill>
        </w:rPr>
      </w:pPr>
    </w:p>
    <w:p w14:paraId="1E98F44A">
      <w:pPr>
        <w:spacing w:line="360" w:lineRule="auto"/>
        <w:ind w:firstLine="596" w:firstLineChars="198"/>
        <w:jc w:val="both"/>
        <w:rPr>
          <w:rFonts w:hint="default" w:ascii="宋体" w:hAnsi="宋体" w:cs="仿宋_GB2312"/>
          <w:b/>
          <w:color w:val="000000" w:themeColor="text1"/>
          <w:szCs w:val="21"/>
          <w:lang w:val="en-US"/>
          <w14:textFill>
            <w14:solidFill>
              <w14:schemeClr w14:val="tx1"/>
            </w14:solidFill>
          </w14:textFill>
        </w:rPr>
      </w:pPr>
      <w:r>
        <w:rPr>
          <w:rFonts w:hint="eastAsia" w:ascii="宋体" w:hAnsi="宋体" w:cs="仿宋_GB2312"/>
          <w:b/>
          <w:color w:val="000000" w:themeColor="text1"/>
          <w:sz w:val="30"/>
          <w:szCs w:val="30"/>
          <w14:textFill>
            <w14:solidFill>
              <w14:schemeClr w14:val="tx1"/>
            </w14:solidFill>
          </w14:textFill>
        </w:rPr>
        <w:t>采购人：</w:t>
      </w:r>
      <w:r>
        <w:rPr>
          <w:rFonts w:hint="eastAsia" w:ascii="宋体" w:hAnsi="宋体" w:cs="仿宋_GB2312"/>
          <w:b/>
          <w:color w:val="000000" w:themeColor="text1"/>
          <w:sz w:val="30"/>
          <w:szCs w:val="30"/>
          <w:u w:val="single"/>
          <w14:textFill>
            <w14:solidFill>
              <w14:schemeClr w14:val="tx1"/>
            </w14:solidFill>
          </w14:textFill>
        </w:rPr>
        <w:t xml:space="preserve">    </w:t>
      </w:r>
      <w:r>
        <w:rPr>
          <w:rFonts w:hint="eastAsia" w:ascii="宋体" w:hAnsi="宋体" w:cs="仿宋_GB2312"/>
          <w:b/>
          <w:color w:val="000000" w:themeColor="text1"/>
          <w:sz w:val="30"/>
          <w:szCs w:val="30"/>
          <w:u w:val="single"/>
          <w:lang w:val="en-US" w:eastAsia="zh-CN"/>
          <w14:textFill>
            <w14:solidFill>
              <w14:schemeClr w14:val="tx1"/>
            </w14:solidFill>
          </w14:textFill>
        </w:rPr>
        <w:t xml:space="preserve">  安庆市通和深龙城市运营服务有限公司        </w:t>
      </w:r>
    </w:p>
    <w:p w14:paraId="5D2143CB">
      <w:pPr>
        <w:spacing w:line="360" w:lineRule="auto"/>
        <w:rPr>
          <w:rFonts w:ascii="宋体" w:hAnsi="宋体" w:cs="仿宋_GB2312"/>
          <w:b/>
          <w:color w:val="000000" w:themeColor="text1"/>
          <w:sz w:val="24"/>
          <w14:textFill>
            <w14:solidFill>
              <w14:schemeClr w14:val="tx1"/>
            </w14:solidFill>
          </w14:textFill>
        </w:rPr>
      </w:pPr>
    </w:p>
    <w:p w14:paraId="353C07E7">
      <w:pPr>
        <w:spacing w:line="360" w:lineRule="auto"/>
        <w:rPr>
          <w:rFonts w:ascii="宋体" w:hAnsi="宋体" w:cs="仿宋_GB2312"/>
          <w:b/>
          <w:color w:val="000000" w:themeColor="text1"/>
          <w:sz w:val="24"/>
          <w14:textFill>
            <w14:solidFill>
              <w14:schemeClr w14:val="tx1"/>
            </w14:solidFill>
          </w14:textFill>
        </w:rPr>
      </w:pPr>
    </w:p>
    <w:p w14:paraId="79FC7109">
      <w:pPr>
        <w:pStyle w:val="84"/>
      </w:pPr>
    </w:p>
    <w:p w14:paraId="51758768">
      <w:pPr>
        <w:pStyle w:val="84"/>
      </w:pPr>
    </w:p>
    <w:p w14:paraId="14D5BA96">
      <w:pPr>
        <w:spacing w:line="360" w:lineRule="auto"/>
        <w:rPr>
          <w:rFonts w:ascii="宋体" w:hAnsi="宋体" w:cs="仿宋_GB2312"/>
          <w:b/>
          <w:color w:val="000000" w:themeColor="text1"/>
          <w:sz w:val="24"/>
          <w14:textFill>
            <w14:solidFill>
              <w14:schemeClr w14:val="tx1"/>
            </w14:solidFill>
          </w14:textFill>
        </w:rPr>
      </w:pPr>
    </w:p>
    <w:p w14:paraId="384EC767">
      <w:pPr>
        <w:spacing w:line="360" w:lineRule="auto"/>
        <w:jc w:val="center"/>
        <w:rPr>
          <w:rFonts w:ascii="宋体" w:hAnsi="宋体" w:cs="仿宋_GB2312"/>
          <w:b/>
          <w:color w:val="000000" w:themeColor="text1"/>
          <w:sz w:val="24"/>
          <w:u w:val="single"/>
          <w14:textFill>
            <w14:solidFill>
              <w14:schemeClr w14:val="tx1"/>
            </w14:solidFill>
          </w14:textFill>
        </w:rPr>
      </w:pPr>
      <w:r>
        <w:rPr>
          <w:rFonts w:hint="eastAsia" w:ascii="宋体" w:hAnsi="宋体" w:cs="仿宋_GB2312"/>
          <w:b/>
          <w:color w:val="000000" w:themeColor="text1"/>
          <w:sz w:val="30"/>
          <w:szCs w:val="30"/>
          <w14:textFill>
            <w14:solidFill>
              <w14:schemeClr w14:val="tx1"/>
            </w14:solidFill>
          </w14:textFill>
        </w:rPr>
        <w:t>安庆市交通控股集团有限公司集采中心</w:t>
      </w:r>
    </w:p>
    <w:p w14:paraId="15F330D4">
      <w:pPr>
        <w:spacing w:line="480" w:lineRule="exact"/>
        <w:rPr>
          <w:rFonts w:ascii="宋体" w:hAnsi="宋体" w:cs="仿宋_GB2312"/>
          <w:color w:val="000000" w:themeColor="text1"/>
          <w:szCs w:val="21"/>
          <w14:textFill>
            <w14:solidFill>
              <w14:schemeClr w14:val="tx1"/>
            </w14:solidFill>
          </w14:textFill>
        </w:rPr>
      </w:pPr>
    </w:p>
    <w:p w14:paraId="45CAF160">
      <w:pPr>
        <w:spacing w:line="480" w:lineRule="exact"/>
        <w:rPr>
          <w:rFonts w:ascii="宋体" w:hAnsi="宋体" w:cs="仿宋_GB2312"/>
          <w:color w:val="000000" w:themeColor="text1"/>
          <w:szCs w:val="21"/>
          <w14:textFill>
            <w14:solidFill>
              <w14:schemeClr w14:val="tx1"/>
            </w14:solidFill>
          </w14:textFill>
        </w:rPr>
      </w:pPr>
    </w:p>
    <w:p w14:paraId="6529EB8F">
      <w:pPr>
        <w:pStyle w:val="84"/>
        <w:ind w:left="0" w:leftChars="0" w:firstLine="0" w:firstLineChars="0"/>
        <w:rPr>
          <w:rFonts w:ascii="宋体" w:hAnsi="宋体" w:cs="仿宋_GB2312"/>
          <w:color w:val="000000" w:themeColor="text1"/>
          <w:szCs w:val="21"/>
          <w14:textFill>
            <w14:solidFill>
              <w14:schemeClr w14:val="tx1"/>
            </w14:solidFill>
          </w14:textFill>
        </w:rPr>
      </w:pPr>
    </w:p>
    <w:p w14:paraId="0C9D92D4">
      <w:pPr>
        <w:spacing w:line="480" w:lineRule="exact"/>
        <w:jc w:val="center"/>
        <w:rPr>
          <w:rFonts w:ascii="宋体" w:hAnsi="宋体" w:cs="仿宋_GB2312"/>
          <w:color w:val="000000" w:themeColor="text1"/>
          <w:sz w:val="32"/>
          <w:szCs w:val="32"/>
          <w14:textFill>
            <w14:solidFill>
              <w14:schemeClr w14:val="tx1"/>
            </w14:solidFill>
          </w14:textFill>
        </w:rPr>
        <w:sectPr>
          <w:headerReference r:id="rId4" w:type="first"/>
          <w:headerReference r:id="rId3" w:type="default"/>
          <w:footerReference r:id="rId5" w:type="default"/>
          <w:footerReference r:id="rId6" w:type="even"/>
          <w:pgSz w:w="11906" w:h="16838"/>
          <w:pgMar w:top="1418" w:right="1418" w:bottom="1418" w:left="1418" w:header="851" w:footer="680" w:gutter="0"/>
          <w:pgBorders>
            <w:top w:val="none" w:sz="0" w:space="0"/>
            <w:left w:val="none" w:sz="0" w:space="0"/>
            <w:bottom w:val="none" w:sz="0" w:space="0"/>
            <w:right w:val="none" w:sz="0" w:space="0"/>
          </w:pgBorders>
          <w:pgNumType w:start="1"/>
          <w:cols w:space="720" w:num="1"/>
          <w:titlePg/>
          <w:docGrid w:linePitch="290" w:charSpace="0"/>
        </w:sectPr>
      </w:pPr>
      <w:r>
        <w:rPr>
          <w:rFonts w:hint="eastAsia" w:ascii="宋体" w:hAnsi="宋体" w:cs="仿宋_GB2312"/>
          <w:color w:val="000000" w:themeColor="text1"/>
          <w:sz w:val="32"/>
          <w:szCs w:val="32"/>
          <w14:textFill>
            <w14:solidFill>
              <w14:schemeClr w14:val="tx1"/>
            </w14:solidFill>
          </w14:textFill>
        </w:rPr>
        <w:t>日期：二〇二</w:t>
      </w:r>
      <w:r>
        <w:rPr>
          <w:rFonts w:hint="eastAsia" w:ascii="宋体" w:hAnsi="宋体" w:cs="仿宋_GB2312"/>
          <w:color w:val="000000" w:themeColor="text1"/>
          <w:sz w:val="32"/>
          <w:szCs w:val="32"/>
          <w:lang w:val="en-US" w:eastAsia="zh-CN"/>
          <w14:textFill>
            <w14:solidFill>
              <w14:schemeClr w14:val="tx1"/>
            </w14:solidFill>
          </w14:textFill>
        </w:rPr>
        <w:t>五</w:t>
      </w:r>
      <w:r>
        <w:rPr>
          <w:rFonts w:hint="eastAsia" w:ascii="宋体" w:hAnsi="宋体" w:cs="仿宋_GB2312"/>
          <w:color w:val="000000" w:themeColor="text1"/>
          <w:sz w:val="32"/>
          <w:szCs w:val="32"/>
          <w14:textFill>
            <w14:solidFill>
              <w14:schemeClr w14:val="tx1"/>
            </w14:solidFill>
          </w14:textFill>
        </w:rPr>
        <w:t>年</w:t>
      </w:r>
      <w:r>
        <w:rPr>
          <w:rFonts w:hint="eastAsia" w:ascii="宋体" w:hAnsi="宋体" w:cs="仿宋_GB2312"/>
          <w:color w:val="000000" w:themeColor="text1"/>
          <w:sz w:val="32"/>
          <w:szCs w:val="32"/>
          <w:lang w:val="en-US" w:eastAsia="zh-CN"/>
          <w14:textFill>
            <w14:solidFill>
              <w14:schemeClr w14:val="tx1"/>
            </w14:solidFill>
          </w14:textFill>
        </w:rPr>
        <w:t>二</w:t>
      </w:r>
      <w:r>
        <w:rPr>
          <w:rFonts w:hint="eastAsia" w:ascii="宋体" w:hAnsi="宋体" w:cs="仿宋_GB2312"/>
          <w:color w:val="000000" w:themeColor="text1"/>
          <w:sz w:val="32"/>
          <w:szCs w:val="32"/>
          <w14:textFill>
            <w14:solidFill>
              <w14:schemeClr w14:val="tx1"/>
            </w14:solidFill>
          </w14:textFill>
        </w:rPr>
        <w:t>月</w:t>
      </w:r>
    </w:p>
    <w:p w14:paraId="5DD15DBD">
      <w:pPr>
        <w:widowControl/>
        <w:jc w:val="left"/>
        <w:rPr>
          <w:rFonts w:ascii="宋体" w:hAnsi="宋体" w:cs="宋体"/>
          <w:b/>
          <w:color w:val="000000" w:themeColor="text1"/>
          <w:sz w:val="36"/>
          <w:szCs w:val="36"/>
          <w14:textFill>
            <w14:solidFill>
              <w14:schemeClr w14:val="tx1"/>
            </w14:solidFill>
          </w14:textFill>
        </w:rPr>
      </w:pPr>
    </w:p>
    <w:p w14:paraId="60D28AE0">
      <w:pPr>
        <w:spacing w:line="480" w:lineRule="auto"/>
        <w:jc w:val="center"/>
        <w:rPr>
          <w:rFonts w:ascii="宋体" w:hAnsi="宋体" w:cs="宋体"/>
          <w:b/>
          <w:color w:val="000000" w:themeColor="text1"/>
          <w:sz w:val="36"/>
          <w:szCs w:val="36"/>
          <w:lang w:val="zh-CN"/>
          <w14:textFill>
            <w14:solidFill>
              <w14:schemeClr w14:val="tx1"/>
            </w14:solidFill>
          </w14:textFill>
        </w:rPr>
      </w:pPr>
      <w:r>
        <w:rPr>
          <w:rFonts w:hint="eastAsia" w:ascii="宋体" w:hAnsi="宋体" w:cs="宋体"/>
          <w:b/>
          <w:color w:val="000000" w:themeColor="text1"/>
          <w:sz w:val="36"/>
          <w:szCs w:val="36"/>
          <w:lang w:val="zh-CN"/>
          <w14:textFill>
            <w14:solidFill>
              <w14:schemeClr w14:val="tx1"/>
            </w14:solidFill>
          </w14:textFill>
        </w:rPr>
        <w:t>目</w:t>
      </w:r>
      <w:r>
        <w:rPr>
          <w:rFonts w:hint="eastAsia" w:ascii="宋体" w:hAnsi="宋体" w:cs="宋体"/>
          <w:b/>
          <w:color w:val="000000" w:themeColor="text1"/>
          <w:sz w:val="36"/>
          <w:szCs w:val="36"/>
          <w:lang w:val="en-US" w:eastAsia="zh-CN"/>
          <w14:textFill>
            <w14:solidFill>
              <w14:schemeClr w14:val="tx1"/>
            </w14:solidFill>
          </w14:textFill>
        </w:rPr>
        <w:t xml:space="preserve">  </w:t>
      </w:r>
      <w:r>
        <w:rPr>
          <w:rFonts w:hint="eastAsia" w:ascii="宋体" w:hAnsi="宋体" w:cs="宋体"/>
          <w:b/>
          <w:color w:val="000000" w:themeColor="text1"/>
          <w:sz w:val="36"/>
          <w:szCs w:val="36"/>
          <w:lang w:val="zh-CN"/>
          <w14:textFill>
            <w14:solidFill>
              <w14:schemeClr w14:val="tx1"/>
            </w14:solidFill>
          </w14:textFill>
        </w:rPr>
        <w:t>录</w:t>
      </w:r>
    </w:p>
    <w:p w14:paraId="766EF952">
      <w:pPr>
        <w:pStyle w:val="43"/>
        <w:tabs>
          <w:tab w:val="right" w:leader="dot" w:pos="9070"/>
        </w:tabs>
        <w:spacing w:line="480" w:lineRule="auto"/>
        <w:rPr>
          <w:color w:val="000000" w:themeColor="text1"/>
          <w:sz w:val="28"/>
          <w:szCs w:val="28"/>
          <w14:textFill>
            <w14:solidFill>
              <w14:schemeClr w14:val="tx1"/>
            </w14:solidFill>
          </w14:textFill>
        </w:rPr>
      </w:pPr>
      <w:bookmarkStart w:id="0" w:name="_Toc23467"/>
      <w:bookmarkStart w:id="1" w:name="_Toc54941328"/>
      <w:bookmarkStart w:id="2" w:name="_Toc21464"/>
      <w:bookmarkStart w:id="3" w:name="_Toc439316870"/>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TOC \o "1-1" \h \u </w:instrText>
      </w:r>
      <w:r>
        <w:rPr>
          <w:color w:val="000000" w:themeColor="text1"/>
          <w:sz w:val="28"/>
          <w:szCs w:val="28"/>
          <w14:textFill>
            <w14:solidFill>
              <w14:schemeClr w14:val="tx1"/>
            </w14:solidFill>
          </w14:textFill>
        </w:rPr>
        <w:fldChar w:fldCharType="separate"/>
      </w:r>
      <w:r>
        <w:fldChar w:fldCharType="begin"/>
      </w:r>
      <w:r>
        <w:instrText xml:space="preserve"> HYPERLINK \l "_Toc170" </w:instrText>
      </w:r>
      <w:r>
        <w:fldChar w:fldCharType="separate"/>
      </w:r>
      <w:r>
        <w:rPr>
          <w:rFonts w:hint="eastAsia"/>
          <w:bCs/>
          <w:iCs/>
          <w:color w:val="000000" w:themeColor="text1"/>
          <w:sz w:val="28"/>
          <w:szCs w:val="28"/>
          <w14:textFill>
            <w14:solidFill>
              <w14:schemeClr w14:val="tx1"/>
            </w14:solidFill>
          </w14:textFill>
        </w:rPr>
        <w:t>第一章 比选公告</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14:textFill>
            <w14:solidFill>
              <w14:schemeClr w14:val="tx1"/>
            </w14:solidFill>
          </w14:textFill>
        </w:rPr>
        <w:t>1</w:t>
      </w:r>
    </w:p>
    <w:p w14:paraId="724EE7E2">
      <w:pPr>
        <w:pStyle w:val="43"/>
        <w:tabs>
          <w:tab w:val="right" w:leader="dot" w:pos="9070"/>
        </w:tabs>
        <w:spacing w:line="480" w:lineRule="auto"/>
        <w:rPr>
          <w:color w:val="000000" w:themeColor="text1"/>
          <w:sz w:val="28"/>
          <w:szCs w:val="28"/>
          <w14:textFill>
            <w14:solidFill>
              <w14:schemeClr w14:val="tx1"/>
            </w14:solidFill>
          </w14:textFill>
        </w:rPr>
      </w:pPr>
      <w:r>
        <w:fldChar w:fldCharType="begin"/>
      </w:r>
      <w:r>
        <w:instrText xml:space="preserve"> HYPERLINK \l "_Toc11223" </w:instrText>
      </w:r>
      <w:r>
        <w:fldChar w:fldCharType="separate"/>
      </w:r>
      <w:r>
        <w:rPr>
          <w:rFonts w:hint="eastAsia" w:ascii="Arial" w:hAnsi="Arial"/>
          <w:color w:val="000000" w:themeColor="text1"/>
          <w:sz w:val="28"/>
          <w:szCs w:val="28"/>
          <w14:textFill>
            <w14:solidFill>
              <w14:schemeClr w14:val="tx1"/>
            </w14:solidFill>
          </w14:textFill>
        </w:rPr>
        <w:t>第二章 比选须知</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_Toc11223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7E5E79FB">
      <w:pPr>
        <w:pStyle w:val="43"/>
        <w:tabs>
          <w:tab w:val="right" w:leader="dot" w:pos="9070"/>
        </w:tabs>
        <w:spacing w:line="480" w:lineRule="auto"/>
        <w:rPr>
          <w:rFonts w:hint="eastAsia" w:eastAsia="宋体"/>
          <w:color w:val="000000" w:themeColor="text1"/>
          <w:sz w:val="28"/>
          <w:szCs w:val="28"/>
          <w:lang w:val="en-US" w:eastAsia="zh-CN"/>
          <w14:textFill>
            <w14:solidFill>
              <w14:schemeClr w14:val="tx1"/>
            </w14:solidFill>
          </w14:textFill>
        </w:rPr>
      </w:pPr>
      <w:r>
        <w:fldChar w:fldCharType="begin"/>
      </w:r>
      <w:r>
        <w:instrText xml:space="preserve"> HYPERLINK \l "_Toc260" </w:instrText>
      </w:r>
      <w:r>
        <w:fldChar w:fldCharType="separate"/>
      </w:r>
      <w:r>
        <w:rPr>
          <w:rFonts w:hint="eastAsia" w:ascii="Arial" w:hAnsi="Arial"/>
          <w:color w:val="000000" w:themeColor="text1"/>
          <w:sz w:val="28"/>
          <w:szCs w:val="28"/>
          <w14:textFill>
            <w14:solidFill>
              <w14:schemeClr w14:val="tx1"/>
            </w14:solidFill>
          </w14:textFill>
        </w:rPr>
        <w:t>第三章 服务及</w:t>
      </w:r>
      <w:r>
        <w:rPr>
          <w:rFonts w:hint="eastAsia" w:ascii="Arial" w:hAnsi="Arial"/>
          <w:color w:val="000000" w:themeColor="text1"/>
          <w:sz w:val="28"/>
          <w:szCs w:val="28"/>
          <w:lang w:val="zh-CN"/>
          <w14:textFill>
            <w14:solidFill>
              <w14:schemeClr w14:val="tx1"/>
            </w14:solidFill>
          </w14:textFill>
        </w:rPr>
        <w:t>技术要求</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5</w:t>
      </w:r>
    </w:p>
    <w:p w14:paraId="7001D4D5">
      <w:pPr>
        <w:pStyle w:val="43"/>
        <w:tabs>
          <w:tab w:val="right" w:leader="dot" w:pos="9070"/>
        </w:tabs>
        <w:spacing w:line="480" w:lineRule="auto"/>
        <w:rPr>
          <w:rFonts w:hint="eastAsia" w:eastAsia="宋体"/>
          <w:color w:val="000000" w:themeColor="text1"/>
          <w:lang w:val="en-US" w:eastAsia="zh-CN"/>
          <w14:textFill>
            <w14:solidFill>
              <w14:schemeClr w14:val="tx1"/>
            </w14:solidFill>
          </w14:textFill>
        </w:rPr>
      </w:pPr>
      <w:r>
        <w:fldChar w:fldCharType="begin"/>
      </w:r>
      <w:r>
        <w:instrText xml:space="preserve"> HYPERLINK \l "_Toc260" </w:instrText>
      </w:r>
      <w:r>
        <w:fldChar w:fldCharType="separate"/>
      </w:r>
      <w:r>
        <w:rPr>
          <w:rFonts w:hint="eastAsia" w:ascii="Arial" w:hAnsi="Arial"/>
          <w:color w:val="000000" w:themeColor="text1"/>
          <w:sz w:val="28"/>
          <w:szCs w:val="28"/>
          <w14:textFill>
            <w14:solidFill>
              <w14:schemeClr w14:val="tx1"/>
            </w14:solidFill>
          </w14:textFill>
        </w:rPr>
        <w:t>第四章 合同主要条款</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2</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2</w:t>
      </w:r>
    </w:p>
    <w:p w14:paraId="336EEA93">
      <w:pPr>
        <w:pStyle w:val="43"/>
        <w:tabs>
          <w:tab w:val="right" w:leader="dot" w:pos="9070"/>
        </w:tabs>
        <w:spacing w:line="480" w:lineRule="auto"/>
        <w:rPr>
          <w:rFonts w:hint="default" w:eastAsia="宋体"/>
          <w:color w:val="000000" w:themeColor="text1"/>
          <w:sz w:val="28"/>
          <w:szCs w:val="28"/>
          <w:lang w:val="en-US" w:eastAsia="zh-CN"/>
          <w14:textFill>
            <w14:solidFill>
              <w14:schemeClr w14:val="tx1"/>
            </w14:solidFill>
          </w14:textFill>
        </w:rPr>
        <w:sectPr>
          <w:footerReference r:id="rId7" w:type="default"/>
          <w:pgSz w:w="11906" w:h="16838"/>
          <w:pgMar w:top="1418" w:right="1418" w:bottom="1418" w:left="1418" w:header="851" w:footer="680" w:gutter="0"/>
          <w:pgBorders>
            <w:top w:val="none" w:sz="0" w:space="0"/>
            <w:left w:val="none" w:sz="0" w:space="0"/>
            <w:bottom w:val="none" w:sz="0" w:space="0"/>
            <w:right w:val="none" w:sz="0" w:space="0"/>
          </w:pgBorders>
          <w:pgNumType w:start="0"/>
          <w:cols w:space="720" w:num="1"/>
          <w:docGrid w:linePitch="290" w:charSpace="0"/>
        </w:sectPr>
      </w:pPr>
      <w:r>
        <w:fldChar w:fldCharType="begin"/>
      </w:r>
      <w:r>
        <w:instrText xml:space="preserve"> HYPERLINK \l "_Toc25399" </w:instrText>
      </w:r>
      <w:r>
        <w:fldChar w:fldCharType="separate"/>
      </w:r>
      <w:r>
        <w:rPr>
          <w:rFonts w:hint="eastAsia" w:ascii="Arial" w:hAnsi="Arial"/>
          <w:color w:val="000000" w:themeColor="text1"/>
          <w:sz w:val="28"/>
          <w:szCs w:val="28"/>
          <w:lang w:val="zh-CN"/>
          <w14:textFill>
            <w14:solidFill>
              <w14:schemeClr w14:val="tx1"/>
            </w14:solidFill>
          </w14:textFill>
        </w:rPr>
        <w:t>第</w:t>
      </w:r>
      <w:r>
        <w:rPr>
          <w:rFonts w:hint="eastAsia" w:ascii="Arial" w:hAnsi="Arial"/>
          <w:color w:val="000000" w:themeColor="text1"/>
          <w:sz w:val="28"/>
          <w:szCs w:val="28"/>
          <w14:textFill>
            <w14:solidFill>
              <w14:schemeClr w14:val="tx1"/>
            </w14:solidFill>
          </w14:textFill>
        </w:rPr>
        <w:t>五</w:t>
      </w:r>
      <w:r>
        <w:rPr>
          <w:rFonts w:hint="eastAsia" w:ascii="Arial" w:hAnsi="Arial"/>
          <w:color w:val="000000" w:themeColor="text1"/>
          <w:sz w:val="28"/>
          <w:szCs w:val="28"/>
          <w:lang w:val="zh-CN"/>
          <w14:textFill>
            <w14:solidFill>
              <w14:schemeClr w14:val="tx1"/>
            </w14:solidFill>
          </w14:textFill>
        </w:rPr>
        <w:t>章</w:t>
      </w:r>
      <w:r>
        <w:rPr>
          <w:rFonts w:hint="eastAsia" w:ascii="Arial" w:hAnsi="Arial"/>
          <w:color w:val="000000" w:themeColor="text1"/>
          <w:sz w:val="28"/>
          <w:szCs w:val="28"/>
          <w14:textFill>
            <w14:solidFill>
              <w14:schemeClr w14:val="tx1"/>
            </w14:solidFill>
          </w14:textFill>
        </w:rPr>
        <w:t xml:space="preserve"> 参选文件格式</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24</w:t>
      </w:r>
    </w:p>
    <w:p w14:paraId="173496EC">
      <w:pPr>
        <w:pStyle w:val="32"/>
        <w:tabs>
          <w:tab w:val="right" w:leader="dot" w:pos="9060"/>
        </w:tabs>
        <w:spacing w:line="360" w:lineRule="auto"/>
        <w:ind w:left="0"/>
        <w:jc w:val="center"/>
        <w:rPr>
          <w:rFonts w:hint="eastAsia" w:ascii="Arial" w:hAnsi="Arial" w:eastAsia="黑体"/>
          <w:b/>
          <w:i w:val="0"/>
          <w:color w:val="000000" w:themeColor="text1"/>
          <w:sz w:val="30"/>
          <w:szCs w:val="30"/>
          <w:highlight w:val="yellow"/>
          <w:lang w:val="en-US" w:eastAsia="zh-CN"/>
          <w14:textFill>
            <w14:solidFill>
              <w14:schemeClr w14:val="tx1"/>
            </w14:solidFill>
          </w14:textFill>
        </w:rPr>
      </w:pPr>
      <w:r>
        <w:rPr>
          <w:color w:val="000000" w:themeColor="text1"/>
          <w:sz w:val="28"/>
          <w:szCs w:val="28"/>
          <w14:textFill>
            <w14:solidFill>
              <w14:schemeClr w14:val="tx1"/>
            </w14:solidFill>
          </w14:textFill>
        </w:rPr>
        <w:fldChar w:fldCharType="end"/>
      </w:r>
      <w:bookmarkEnd w:id="0"/>
      <w:bookmarkEnd w:id="1"/>
      <w:bookmarkEnd w:id="2"/>
      <w:r>
        <w:rPr>
          <w:rFonts w:hint="eastAsia" w:ascii="Arial" w:hAnsi="Arial" w:eastAsia="黑体"/>
          <w:b/>
          <w:i w:val="0"/>
          <w:color w:val="000000" w:themeColor="text1"/>
          <w:sz w:val="30"/>
          <w:szCs w:val="30"/>
          <w14:textFill>
            <w14:solidFill>
              <w14:schemeClr w14:val="tx1"/>
            </w14:solidFill>
          </w14:textFill>
        </w:rPr>
        <w:t>第一章</w:t>
      </w:r>
      <w:r>
        <w:rPr>
          <w:rFonts w:hint="eastAsia" w:ascii="Arial" w:hAnsi="Arial" w:eastAsia="黑体"/>
          <w:b/>
          <w:i w:val="0"/>
          <w:color w:val="000000" w:themeColor="text1"/>
          <w:sz w:val="30"/>
          <w:szCs w:val="30"/>
          <w:lang w:val="en-US" w:eastAsia="zh-CN"/>
          <w14:textFill>
            <w14:solidFill>
              <w14:schemeClr w14:val="tx1"/>
            </w14:solidFill>
          </w14:textFill>
        </w:rPr>
        <w:t xml:space="preserve">  </w:t>
      </w:r>
      <w:r>
        <w:rPr>
          <w:rFonts w:hint="eastAsia" w:ascii="Arial" w:hAnsi="Arial" w:eastAsia="黑体"/>
          <w:b/>
          <w:i w:val="0"/>
          <w:color w:val="000000" w:themeColor="text1"/>
          <w:sz w:val="30"/>
          <w:szCs w:val="30"/>
          <w:highlight w:val="none"/>
          <w:lang w:val="en-US" w:eastAsia="zh-CN"/>
          <w14:textFill>
            <w14:solidFill>
              <w14:schemeClr w14:val="tx1"/>
            </w14:solidFill>
          </w14:textFill>
        </w:rPr>
        <w:t>安庆市交通控股</w:t>
      </w:r>
      <w:r>
        <w:rPr>
          <w:rFonts w:hint="eastAsia" w:ascii="Arial" w:hAnsi="Arial" w:eastAsia="黑体"/>
          <w:b/>
          <w:i w:val="0"/>
          <w:color w:val="000000" w:themeColor="text1"/>
          <w:sz w:val="30"/>
          <w:szCs w:val="30"/>
          <w:highlight w:val="none"/>
          <w:lang w:eastAsia="zh-CN"/>
          <w14:textFill>
            <w14:solidFill>
              <w14:schemeClr w14:val="tx1"/>
            </w14:solidFill>
          </w14:textFill>
        </w:rPr>
        <w:t>集团电梯维保服务项目</w:t>
      </w:r>
    </w:p>
    <w:p w14:paraId="770BC0EA">
      <w:pPr>
        <w:pStyle w:val="32"/>
        <w:tabs>
          <w:tab w:val="right" w:leader="dot" w:pos="9060"/>
        </w:tabs>
        <w:spacing w:line="360" w:lineRule="auto"/>
        <w:ind w:left="0"/>
        <w:jc w:val="center"/>
        <w:rPr>
          <w:rFonts w:ascii="Arial" w:hAnsi="Arial" w:eastAsia="黑体"/>
          <w:b/>
          <w:i w:val="0"/>
          <w:color w:val="000000" w:themeColor="text1"/>
          <w:sz w:val="32"/>
          <w:szCs w:val="32"/>
          <w14:textFill>
            <w14:solidFill>
              <w14:schemeClr w14:val="tx1"/>
            </w14:solidFill>
          </w14:textFill>
        </w:rPr>
      </w:pPr>
      <w:r>
        <w:rPr>
          <w:rFonts w:hint="eastAsia" w:ascii="Arial" w:hAnsi="Arial" w:eastAsia="黑体"/>
          <w:b/>
          <w:i w:val="0"/>
          <w:color w:val="000000" w:themeColor="text1"/>
          <w:sz w:val="30"/>
          <w:szCs w:val="30"/>
          <w14:textFill>
            <w14:solidFill>
              <w14:schemeClr w14:val="tx1"/>
            </w14:solidFill>
          </w14:textFill>
        </w:rPr>
        <w:t>比选公告</w:t>
      </w:r>
    </w:p>
    <w:p w14:paraId="73C59284">
      <w:pPr>
        <w:spacing w:line="360" w:lineRule="auto"/>
        <w:ind w:firstLine="560" w:firstLineChars="200"/>
        <w:rPr>
          <w:rFonts w:hint="eastAsia" w:ascii="仿宋" w:hAnsi="仿宋" w:eastAsia="仿宋" w:cs="Times New Roman"/>
          <w:color w:val="000000" w:themeColor="text1"/>
          <w:sz w:val="28"/>
          <w:szCs w:val="28"/>
          <w:highlight w:val="none"/>
          <w14:textFill>
            <w14:solidFill>
              <w14:schemeClr w14:val="tx1"/>
            </w14:solidFill>
          </w14:textFill>
        </w:rPr>
      </w:pPr>
      <w:bookmarkStart w:id="4" w:name="_Toc28359089"/>
      <w:bookmarkStart w:id="5" w:name="_Toc35393629"/>
      <w:bookmarkStart w:id="6" w:name="_Toc35393798"/>
      <w:bookmarkStart w:id="7" w:name="_Toc28359012"/>
      <w:r>
        <w:rPr>
          <w:rFonts w:hint="eastAsia" w:ascii="仿宋" w:hAnsi="仿宋" w:eastAsia="仿宋" w:cs="Times New Roman"/>
          <w:color w:val="000000" w:themeColor="text1"/>
          <w:sz w:val="28"/>
          <w:szCs w:val="28"/>
          <w:highlight w:val="none"/>
          <w14:textFill>
            <w14:solidFill>
              <w14:schemeClr w14:val="tx1"/>
            </w14:solidFill>
          </w14:textFill>
        </w:rPr>
        <w:t>安庆市交通控股集团有限公司集采中心受</w:t>
      </w:r>
      <w:r>
        <w:rPr>
          <w:rFonts w:hint="eastAsia" w:ascii="仿宋" w:hAnsi="仿宋" w:eastAsia="仿宋" w:cs="Times New Roman"/>
          <w:color w:val="000000" w:themeColor="text1"/>
          <w:sz w:val="28"/>
          <w:szCs w:val="28"/>
          <w:highlight w:val="none"/>
          <w:lang w:eastAsia="zh-CN"/>
          <w14:textFill>
            <w14:solidFill>
              <w14:schemeClr w14:val="tx1"/>
            </w14:solidFill>
          </w14:textFill>
        </w:rPr>
        <w:t>安庆市通和深龙城市运营服务有限公司</w:t>
      </w:r>
      <w:r>
        <w:rPr>
          <w:rFonts w:hint="eastAsia" w:ascii="仿宋" w:hAnsi="仿宋" w:eastAsia="仿宋" w:cs="Times New Roman"/>
          <w:color w:val="000000" w:themeColor="text1"/>
          <w:sz w:val="28"/>
          <w:szCs w:val="28"/>
          <w:highlight w:val="none"/>
          <w14:textFill>
            <w14:solidFill>
              <w14:schemeClr w14:val="tx1"/>
            </w14:solidFill>
          </w14:textFill>
        </w:rPr>
        <w:t>委托，现对“</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安庆市交通控股</w:t>
      </w:r>
      <w:r>
        <w:rPr>
          <w:rFonts w:hint="eastAsia" w:ascii="仿宋" w:hAnsi="仿宋" w:eastAsia="仿宋" w:cs="Times New Roman"/>
          <w:color w:val="000000" w:themeColor="text1"/>
          <w:sz w:val="28"/>
          <w:szCs w:val="28"/>
          <w:highlight w:val="none"/>
          <w:lang w:eastAsia="zh-CN"/>
          <w14:textFill>
            <w14:solidFill>
              <w14:schemeClr w14:val="tx1"/>
            </w14:solidFill>
          </w14:textFill>
        </w:rPr>
        <w:t>集团电梯维保服务</w:t>
      </w:r>
      <w:r>
        <w:rPr>
          <w:rFonts w:hint="eastAsia" w:ascii="仿宋" w:hAnsi="仿宋" w:eastAsia="仿宋" w:cs="Times New Roman"/>
          <w:color w:val="000000" w:themeColor="text1"/>
          <w:sz w:val="28"/>
          <w:szCs w:val="28"/>
          <w:highlight w:val="none"/>
          <w14:textFill>
            <w14:solidFill>
              <w14:schemeClr w14:val="tx1"/>
            </w14:solidFill>
          </w14:textFill>
        </w:rPr>
        <w:t>项目”（项目编号：</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AQJK-CG-2025-008</w:t>
      </w:r>
      <w:r>
        <w:rPr>
          <w:rFonts w:hint="eastAsia" w:ascii="仿宋" w:hAnsi="仿宋" w:eastAsia="仿宋" w:cs="Times New Roman"/>
          <w:color w:val="000000" w:themeColor="text1"/>
          <w:sz w:val="28"/>
          <w:szCs w:val="28"/>
          <w:highlight w:val="none"/>
          <w14:textFill>
            <w14:solidFill>
              <w14:schemeClr w14:val="tx1"/>
            </w14:solidFill>
          </w14:textFill>
        </w:rPr>
        <w:t>）进行比选。</w:t>
      </w:r>
    </w:p>
    <w:p w14:paraId="775DCE65">
      <w:pPr>
        <w:spacing w:line="360" w:lineRule="auto"/>
        <w:ind w:firstLine="560" w:firstLineChars="200"/>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一、项目基本情况：</w:t>
      </w:r>
    </w:p>
    <w:p w14:paraId="188C207B">
      <w:pPr>
        <w:spacing w:line="360" w:lineRule="auto"/>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eastAsia="zh-CN"/>
          <w14:textFill>
            <w14:solidFill>
              <w14:schemeClr w14:val="tx1"/>
            </w14:solidFill>
          </w14:textFill>
        </w:rPr>
        <w:t>安庆市交通控股集团电梯维保服务</w:t>
      </w:r>
    </w:p>
    <w:p w14:paraId="5284004F">
      <w:pPr>
        <w:spacing w:line="360" w:lineRule="auto"/>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评标办法：最低</w:t>
      </w:r>
      <w:r>
        <w:rPr>
          <w:rFonts w:hint="eastAsia" w:ascii="仿宋" w:hAnsi="仿宋" w:eastAsia="仿宋"/>
          <w:color w:val="000000" w:themeColor="text1"/>
          <w:sz w:val="28"/>
          <w:szCs w:val="28"/>
          <w:highlight w:val="none"/>
          <w:lang w:val="en-US" w:eastAsia="zh-CN"/>
          <w14:textFill>
            <w14:solidFill>
              <w14:schemeClr w14:val="tx1"/>
            </w14:solidFill>
          </w14:textFill>
        </w:rPr>
        <w:t>投</w:t>
      </w:r>
      <w:r>
        <w:rPr>
          <w:rFonts w:hint="eastAsia" w:ascii="仿宋" w:hAnsi="仿宋" w:eastAsia="仿宋"/>
          <w:color w:val="000000" w:themeColor="text1"/>
          <w:sz w:val="28"/>
          <w:szCs w:val="28"/>
          <w:highlight w:val="none"/>
          <w14:textFill>
            <w14:solidFill>
              <w14:schemeClr w14:val="tx1"/>
            </w14:solidFill>
          </w14:textFill>
        </w:rPr>
        <w:t>标价法</w:t>
      </w:r>
    </w:p>
    <w:p w14:paraId="4DB3BB04">
      <w:pPr>
        <w:spacing w:line="360" w:lineRule="auto"/>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最高投标限价</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12000.00</w:t>
      </w:r>
      <w:r>
        <w:rPr>
          <w:rFonts w:hint="eastAsia" w:ascii="仿宋" w:hAnsi="仿宋" w:eastAsia="仿宋"/>
          <w:color w:val="000000" w:themeColor="text1"/>
          <w:sz w:val="28"/>
          <w:szCs w:val="28"/>
          <w:highlight w:val="none"/>
          <w:lang w:eastAsia="zh-CN"/>
          <w14:textFill>
            <w14:solidFill>
              <w14:schemeClr w14:val="tx1"/>
            </w14:solidFill>
          </w14:textFill>
        </w:rPr>
        <w:t>元（含税）</w:t>
      </w:r>
    </w:p>
    <w:p w14:paraId="1F07DF93">
      <w:pPr>
        <w:spacing w:line="360" w:lineRule="auto"/>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资金来源：企业自筹</w:t>
      </w:r>
    </w:p>
    <w:p w14:paraId="43557563">
      <w:pPr>
        <w:spacing w:line="360" w:lineRule="auto"/>
        <w:ind w:firstLine="560" w:firstLineChars="200"/>
        <w:rPr>
          <w:rFonts w:hint="eastAsia"/>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服务期：</w:t>
      </w:r>
      <w:r>
        <w:rPr>
          <w:rFonts w:hint="eastAsia" w:ascii="仿宋" w:hAnsi="仿宋" w:eastAsia="仿宋" w:cs="仿宋"/>
          <w:kern w:val="2"/>
          <w:sz w:val="28"/>
          <w:szCs w:val="28"/>
          <w:lang w:val="en-US" w:eastAsia="zh-CN" w:bidi="ar"/>
        </w:rPr>
        <w:t>自签订合同之日起一年。服务期满，成交人经采购人年度考核合格（80分及以上）后可续签二年合同（一年一签）。</w:t>
      </w:r>
    </w:p>
    <w:p w14:paraId="56899504">
      <w:pPr>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二、参选人的资格要求：</w:t>
      </w:r>
    </w:p>
    <w:bookmarkEnd w:id="4"/>
    <w:bookmarkEnd w:id="5"/>
    <w:bookmarkEnd w:id="6"/>
    <w:bookmarkEnd w:id="7"/>
    <w:p w14:paraId="4689D1CF">
      <w:pPr>
        <w:spacing w:line="360" w:lineRule="auto"/>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1.具有合法有效的营业执照。</w:t>
      </w:r>
    </w:p>
    <w:p w14:paraId="5E107764">
      <w:pPr>
        <w:spacing w:line="360" w:lineRule="auto"/>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2.本项目不接受联合体参选。</w:t>
      </w:r>
    </w:p>
    <w:p w14:paraId="4ED7ED22">
      <w:pPr>
        <w:spacing w:line="360" w:lineRule="auto"/>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参选人有以下情形不得参与本次比选活动：</w:t>
      </w:r>
    </w:p>
    <w:p w14:paraId="7ED8EC07">
      <w:pPr>
        <w:pStyle w:val="84"/>
        <w:spacing w:line="360" w:lineRule="auto"/>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3.1被列入安庆市交通控股集团有限公司黑名单管理系统；</w:t>
      </w:r>
    </w:p>
    <w:p w14:paraId="272A9B65">
      <w:pPr>
        <w:pStyle w:val="84"/>
        <w:spacing w:line="360" w:lineRule="auto"/>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3.2在安庆市交通控股集团有限公司处罚限制期限内的投标人或参选人；</w:t>
      </w:r>
    </w:p>
    <w:p w14:paraId="6484AB4D">
      <w:pPr>
        <w:pStyle w:val="84"/>
        <w:spacing w:line="360" w:lineRule="auto"/>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3.3前期参与安庆市交通控股集团有限公司组织的招标采购活动获得中标候选人资格而放弃中标资格不签订合同的投标人或参选人，在处罚期内的投标人或参选人不得参与本次比选活动。</w:t>
      </w:r>
    </w:p>
    <w:p w14:paraId="66A07C0C">
      <w:pPr>
        <w:spacing w:line="360" w:lineRule="auto"/>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三、比选文件获取：</w:t>
      </w:r>
    </w:p>
    <w:p w14:paraId="397A0BCC">
      <w:pPr>
        <w:spacing w:line="360" w:lineRule="auto"/>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1.潜在参选人于202</w:t>
      </w: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19</w:t>
      </w:r>
      <w:r>
        <w:rPr>
          <w:rFonts w:hint="eastAsia" w:ascii="仿宋" w:hAnsi="仿宋" w:eastAsia="仿宋"/>
          <w:color w:val="000000" w:themeColor="text1"/>
          <w:sz w:val="28"/>
          <w:szCs w:val="28"/>
          <w:highlight w:val="none"/>
          <w14:textFill>
            <w14:solidFill>
              <w14:schemeClr w14:val="tx1"/>
            </w14:solidFill>
          </w14:textFill>
        </w:rPr>
        <w:t>日17点30分前，每天上午8:00至12:00，下午14:30至17:30（北京时间，法定节假日除外）登录安庆市交通控股集团有限公司</w:t>
      </w:r>
      <w:r>
        <w:rPr>
          <w:rFonts w:hint="eastAsia" w:ascii="仿宋" w:hAnsi="仿宋" w:eastAsia="仿宋"/>
          <w:color w:val="000000" w:themeColor="text1"/>
          <w:sz w:val="28"/>
          <w:szCs w:val="28"/>
          <w:highlight w:val="none"/>
          <w:lang w:eastAsia="zh-CN"/>
          <w14:textFill>
            <w14:solidFill>
              <w14:schemeClr w14:val="tx1"/>
            </w14:solidFill>
          </w14:textFill>
        </w:rPr>
        <w:t>集采平台</w:t>
      </w:r>
      <w:r>
        <w:rPr>
          <w:rFonts w:hint="eastAsia" w:ascii="仿宋" w:hAnsi="仿宋" w:eastAsia="仿宋"/>
          <w:color w:val="000000" w:themeColor="text1"/>
          <w:sz w:val="28"/>
          <w:szCs w:val="28"/>
          <w:highlight w:val="none"/>
          <w14:textFill>
            <w14:solidFill>
              <w14:schemeClr w14:val="tx1"/>
            </w14:solidFill>
          </w14:textFill>
        </w:rPr>
        <w:t>（http://jc.zh0556.com/）获取比选文件。</w:t>
      </w:r>
    </w:p>
    <w:p w14:paraId="76C7C263">
      <w:pPr>
        <w:spacing w:line="360" w:lineRule="auto"/>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2.参选文件及相关资料工本费：不收取。</w:t>
      </w:r>
    </w:p>
    <w:p w14:paraId="7CAFF752">
      <w:pPr>
        <w:spacing w:line="360" w:lineRule="auto"/>
        <w:ind w:firstLine="560" w:firstLineChars="200"/>
        <w:rPr>
          <w:rFonts w:hint="eastAsia" w:ascii="仿宋" w:hAnsi="仿宋" w:eastAsia="仿宋"/>
          <w:color w:val="000000" w:themeColor="text1"/>
          <w:sz w:val="28"/>
          <w:szCs w:val="28"/>
          <w:highlight w:val="none"/>
          <w:u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3.报名方式：</w:t>
      </w:r>
      <w:r>
        <w:rPr>
          <w:rFonts w:hint="eastAsia" w:ascii="仿宋" w:hAnsi="仿宋" w:eastAsia="仿宋" w:cs="Times New Roman"/>
          <w:color w:val="000000" w:themeColor="text1"/>
          <w:sz w:val="28"/>
          <w:szCs w:val="28"/>
          <w:highlight w:val="none"/>
          <w14:textFill>
            <w14:solidFill>
              <w14:schemeClr w14:val="tx1"/>
            </w14:solidFill>
          </w14:textFill>
        </w:rPr>
        <w:fldChar w:fldCharType="begin"/>
      </w:r>
      <w:r>
        <w:rPr>
          <w:rFonts w:hint="eastAsia" w:ascii="仿宋" w:hAnsi="仿宋" w:eastAsia="仿宋" w:cs="Times New Roman"/>
          <w:color w:val="000000" w:themeColor="text1"/>
          <w:sz w:val="28"/>
          <w:szCs w:val="28"/>
          <w:highlight w:val="none"/>
          <w14:textFill>
            <w14:solidFill>
              <w14:schemeClr w14:val="tx1"/>
            </w14:solidFill>
          </w14:textFill>
        </w:rPr>
        <w:instrText xml:space="preserve"> HYPERLINK "mailto:将\“确定参与比选的函\”盖供应商公章在2024年4月18日17点30分前发邮箱1179928670@qq.com（报名截止后发送，报名无效。）" </w:instrText>
      </w:r>
      <w:r>
        <w:rPr>
          <w:rFonts w:hint="eastAsia" w:ascii="仿宋" w:hAnsi="仿宋" w:eastAsia="仿宋" w:cs="Times New Roman"/>
          <w:color w:val="000000" w:themeColor="text1"/>
          <w:sz w:val="28"/>
          <w:szCs w:val="28"/>
          <w:highlight w:val="none"/>
          <w14:textFill>
            <w14:solidFill>
              <w14:schemeClr w14:val="tx1"/>
            </w14:solidFill>
          </w14:textFill>
        </w:rPr>
        <w:fldChar w:fldCharType="separate"/>
      </w:r>
      <w:r>
        <w:rPr>
          <w:rFonts w:hint="eastAsia" w:ascii="仿宋" w:hAnsi="仿宋" w:eastAsia="仿宋" w:cs="Times New Roman"/>
          <w:color w:val="000000" w:themeColor="text1"/>
          <w:sz w:val="28"/>
          <w:szCs w:val="28"/>
          <w:highlight w:val="none"/>
          <w14:textFill>
            <w14:solidFill>
              <w14:schemeClr w14:val="tx1"/>
            </w14:solidFill>
          </w14:textFill>
        </w:rPr>
        <w:t>将“确定参与比选的函”盖供应商公章在202</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5</w:t>
      </w:r>
      <w:r>
        <w:rPr>
          <w:rFonts w:hint="eastAsia" w:ascii="仿宋" w:hAnsi="仿宋" w:eastAsia="仿宋" w:cs="Times New Roman"/>
          <w:color w:val="000000" w:themeColor="text1"/>
          <w:sz w:val="28"/>
          <w:szCs w:val="28"/>
          <w:highlight w:val="none"/>
          <w14:textFill>
            <w14:solidFill>
              <w14:schemeClr w14:val="tx1"/>
            </w14:solidFill>
          </w14:textFill>
        </w:rPr>
        <w:t>年</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2</w:t>
      </w:r>
      <w:r>
        <w:rPr>
          <w:rFonts w:hint="eastAsia" w:ascii="仿宋" w:hAnsi="仿宋" w:eastAsia="仿宋" w:cs="Times New Roman"/>
          <w:color w:val="000000" w:themeColor="text1"/>
          <w:sz w:val="28"/>
          <w:szCs w:val="28"/>
          <w:highlight w:val="none"/>
          <w14:textFill>
            <w14:solidFill>
              <w14:schemeClr w14:val="tx1"/>
            </w14:solidFill>
          </w14:textFill>
        </w:rPr>
        <w:t>月</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19</w:t>
      </w:r>
      <w:r>
        <w:rPr>
          <w:rFonts w:hint="eastAsia" w:ascii="仿宋" w:hAnsi="仿宋" w:eastAsia="仿宋" w:cs="Times New Roman"/>
          <w:color w:val="000000" w:themeColor="text1"/>
          <w:sz w:val="28"/>
          <w:szCs w:val="28"/>
          <w:highlight w:val="none"/>
          <w14:textFill>
            <w14:solidFill>
              <w14:schemeClr w14:val="tx1"/>
            </w14:solidFill>
          </w14:textFill>
        </w:rPr>
        <w:t>日17点30分前发邮箱</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1179928670</w:t>
      </w:r>
      <w:r>
        <w:rPr>
          <w:rFonts w:hint="eastAsia" w:ascii="仿宋" w:hAnsi="仿宋" w:eastAsia="仿宋" w:cs="Times New Roman"/>
          <w:color w:val="000000" w:themeColor="text1"/>
          <w:sz w:val="28"/>
          <w:szCs w:val="28"/>
          <w:highlight w:val="none"/>
          <w14:textFill>
            <w14:solidFill>
              <w14:schemeClr w14:val="tx1"/>
            </w14:solidFill>
          </w14:textFill>
        </w:rPr>
        <w:t>@qq.com（报名截止后发送，报名无效。）</w:t>
      </w:r>
      <w:r>
        <w:rPr>
          <w:rFonts w:hint="eastAsia" w:ascii="仿宋" w:hAnsi="仿宋" w:eastAsia="仿宋" w:cs="Times New Roman"/>
          <w:color w:val="000000" w:themeColor="text1"/>
          <w:sz w:val="28"/>
          <w:szCs w:val="28"/>
          <w:highlight w:val="none"/>
          <w14:textFill>
            <w14:solidFill>
              <w14:schemeClr w14:val="tx1"/>
            </w14:solidFill>
          </w14:textFill>
        </w:rPr>
        <w:fldChar w:fldCharType="end"/>
      </w:r>
    </w:p>
    <w:p w14:paraId="734C33C9">
      <w:pPr>
        <w:spacing w:line="360" w:lineRule="auto"/>
        <w:ind w:firstLine="560" w:firstLineChars="200"/>
        <w:rPr>
          <w:rFonts w:hint="eastAsia" w:eastAsia="仿宋"/>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.已发确认参与函，而放弃参加比选的参选人，须在比选时间截止日前一天以公司名义向1179928670@qq.com发送放弃参与函（格式自拟）。否则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管理人将予拉入集团黑名单处理</w:t>
      </w:r>
      <w:r>
        <w:rPr>
          <w:rFonts w:hint="eastAsia" w:ascii="仿宋" w:hAnsi="仿宋" w:eastAsia="仿宋"/>
          <w:color w:val="000000" w:themeColor="text1"/>
          <w:sz w:val="28"/>
          <w:szCs w:val="28"/>
          <w:highlight w:val="none"/>
          <w:lang w:eastAsia="zh-CN"/>
          <w14:textFill>
            <w14:solidFill>
              <w14:schemeClr w14:val="tx1"/>
            </w14:solidFill>
          </w14:textFill>
        </w:rPr>
        <w:t>。</w:t>
      </w:r>
    </w:p>
    <w:p w14:paraId="51E130E0">
      <w:pPr>
        <w:spacing w:line="360" w:lineRule="auto"/>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四、比选时间及地点：</w:t>
      </w:r>
    </w:p>
    <w:p w14:paraId="671FB106">
      <w:pPr>
        <w:spacing w:line="360" w:lineRule="auto"/>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时间：202</w:t>
      </w: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20</w:t>
      </w:r>
      <w:r>
        <w:rPr>
          <w:rFonts w:hint="eastAsia" w:ascii="仿宋" w:hAnsi="仿宋" w:eastAsia="仿宋"/>
          <w:color w:val="000000" w:themeColor="text1"/>
          <w:sz w:val="28"/>
          <w:szCs w:val="28"/>
          <w:highlight w:val="none"/>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9</w:t>
      </w:r>
      <w:r>
        <w:rPr>
          <w:rFonts w:hint="eastAsia" w:ascii="仿宋" w:hAnsi="仿宋" w:eastAsia="仿宋"/>
          <w:color w:val="000000" w:themeColor="text1"/>
          <w:sz w:val="28"/>
          <w:szCs w:val="28"/>
          <w:highlight w:val="none"/>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0分</w:t>
      </w:r>
    </w:p>
    <w:p w14:paraId="7BF2AE10">
      <w:pPr>
        <w:spacing w:line="360" w:lineRule="auto"/>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地点：安庆市大观区宜园路16号</w:t>
      </w:r>
      <w:r>
        <w:rPr>
          <w:rFonts w:hint="eastAsia" w:ascii="仿宋" w:hAnsi="仿宋" w:eastAsia="仿宋"/>
          <w:color w:val="000000" w:themeColor="text1"/>
          <w:sz w:val="28"/>
          <w:szCs w:val="28"/>
          <w:highlight w:val="none"/>
          <w:lang w:eastAsia="zh-CN"/>
          <w14:textFill>
            <w14:solidFill>
              <w14:schemeClr w14:val="tx1"/>
            </w14:solidFill>
          </w14:textFill>
        </w:rPr>
        <w:t>安庆市交通控股集团</w:t>
      </w:r>
      <w:r>
        <w:rPr>
          <w:rFonts w:hint="eastAsia" w:ascii="仿宋" w:hAnsi="仿宋" w:eastAsia="仿宋"/>
          <w:color w:val="000000" w:themeColor="text1"/>
          <w:sz w:val="28"/>
          <w:szCs w:val="28"/>
          <w:highlight w:val="none"/>
          <w14:textFill>
            <w14:solidFill>
              <w14:schemeClr w14:val="tx1"/>
            </w14:solidFill>
          </w14:textFill>
        </w:rPr>
        <w:t>二号楼一楼开标室</w:t>
      </w:r>
    </w:p>
    <w:p w14:paraId="33E5022F">
      <w:pPr>
        <w:spacing w:line="360" w:lineRule="auto"/>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五、其他补充事宜：</w:t>
      </w:r>
    </w:p>
    <w:p w14:paraId="15D091DC">
      <w:pPr>
        <w:spacing w:line="360" w:lineRule="auto"/>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1.参选人的联系人电话(手机)、电子邮箱等通讯方式在比选过程中必须保持畅通，否则因上述原因造成的后果，责任自负。</w:t>
      </w:r>
    </w:p>
    <w:p w14:paraId="03DE3C1D">
      <w:pPr>
        <w:spacing w:line="360" w:lineRule="auto"/>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2.本项目比选实行纸质参选，比选活动线下完成。比选时参选人需要按时到达比选现场进行签到</w:t>
      </w:r>
      <w:r>
        <w:rPr>
          <w:rFonts w:hint="eastAsia" w:ascii="仿宋" w:hAnsi="仿宋" w:eastAsia="仿宋"/>
          <w:color w:val="000000" w:themeColor="text1"/>
          <w:sz w:val="28"/>
          <w:szCs w:val="28"/>
          <w:highlight w:val="none"/>
          <w:lang w:val="en-US" w:eastAsia="zh-CN"/>
          <w14:textFill>
            <w14:solidFill>
              <w14:schemeClr w14:val="tx1"/>
            </w14:solidFill>
          </w14:textFill>
        </w:rPr>
        <w:t>并递交投标文件</w:t>
      </w:r>
      <w:r>
        <w:rPr>
          <w:rFonts w:hint="eastAsia" w:ascii="仿宋" w:hAnsi="仿宋" w:eastAsia="仿宋"/>
          <w:color w:val="000000" w:themeColor="text1"/>
          <w:sz w:val="28"/>
          <w:szCs w:val="28"/>
          <w:highlight w:val="none"/>
          <w14:textFill>
            <w14:solidFill>
              <w14:schemeClr w14:val="tx1"/>
            </w14:solidFill>
          </w14:textFill>
        </w:rPr>
        <w:t>，因参选人未按时</w:t>
      </w:r>
      <w:r>
        <w:rPr>
          <w:rFonts w:hint="eastAsia" w:ascii="仿宋" w:hAnsi="仿宋" w:eastAsia="仿宋"/>
          <w:color w:val="000000" w:themeColor="text1"/>
          <w:sz w:val="28"/>
          <w:szCs w:val="28"/>
          <w:highlight w:val="none"/>
          <w:lang w:eastAsia="zh-CN"/>
          <w14:textFill>
            <w14:solidFill>
              <w14:schemeClr w14:val="tx1"/>
            </w14:solidFill>
          </w14:textFill>
        </w:rPr>
        <w:t>到达</w:t>
      </w:r>
      <w:r>
        <w:rPr>
          <w:rFonts w:hint="eastAsia" w:ascii="仿宋" w:hAnsi="仿宋" w:eastAsia="仿宋"/>
          <w:color w:val="000000" w:themeColor="text1"/>
          <w:sz w:val="28"/>
          <w:szCs w:val="28"/>
          <w:highlight w:val="none"/>
          <w14:textFill>
            <w14:solidFill>
              <w14:schemeClr w14:val="tx1"/>
            </w14:solidFill>
          </w14:textFill>
        </w:rPr>
        <w:t>比选现场，则视为主动放弃，对比选造成的不利后果由其自行承担。</w:t>
      </w:r>
    </w:p>
    <w:p w14:paraId="6722302F">
      <w:pPr>
        <w:spacing w:line="360" w:lineRule="auto"/>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3.成交人应在采购人要求的时间内与采购人签订合同。</w:t>
      </w:r>
    </w:p>
    <w:p w14:paraId="4EEF32AB">
      <w:pPr>
        <w:spacing w:line="360" w:lineRule="auto"/>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若项目有业绩要求的，</w:t>
      </w:r>
      <w:r>
        <w:rPr>
          <w:rFonts w:hint="eastAsia" w:ascii="仿宋" w:hAnsi="仿宋" w:eastAsia="仿宋"/>
          <w:color w:val="000000" w:themeColor="text1"/>
          <w:sz w:val="28"/>
          <w:szCs w:val="28"/>
          <w:highlight w:val="none"/>
          <w14:textFill>
            <w14:solidFill>
              <w14:schemeClr w14:val="tx1"/>
            </w14:solidFill>
          </w14:textFill>
        </w:rPr>
        <w:t>中标人签合同需提供投标时的业绩原件给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人核查，核查发现存在虚假业绩或不符合</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文件要求，</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人有权取消中标资格，</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人可以按照评标委员会提出的中标候选人名单</w:t>
      </w:r>
      <w:r>
        <w:rPr>
          <w:rFonts w:hint="eastAsia" w:ascii="仿宋" w:hAnsi="仿宋" w:eastAsia="仿宋"/>
          <w:color w:val="000000" w:themeColor="text1"/>
          <w:sz w:val="28"/>
          <w:szCs w:val="28"/>
          <w:highlight w:val="none"/>
          <w:lang w:val="en-US" w:eastAsia="zh-CN"/>
          <w14:textFill>
            <w14:solidFill>
              <w14:schemeClr w14:val="tx1"/>
            </w14:solidFill>
          </w14:textFill>
        </w:rPr>
        <w:t>顺序</w:t>
      </w:r>
      <w:r>
        <w:rPr>
          <w:rFonts w:hint="eastAsia" w:ascii="仿宋" w:hAnsi="仿宋" w:eastAsia="仿宋"/>
          <w:color w:val="000000" w:themeColor="text1"/>
          <w:sz w:val="28"/>
          <w:szCs w:val="28"/>
          <w:highlight w:val="none"/>
          <w14:textFill>
            <w14:solidFill>
              <w14:schemeClr w14:val="tx1"/>
            </w14:solidFill>
          </w14:textFill>
        </w:rPr>
        <w:t>依次确定其他中标候选人为中标人，或重新</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w:t>
      </w:r>
    </w:p>
    <w:p w14:paraId="574D1EB8">
      <w:pPr>
        <w:spacing w:line="360" w:lineRule="auto"/>
        <w:ind w:firstLine="560" w:firstLineChars="200"/>
        <w:rPr>
          <w:rFonts w:ascii="黑体" w:hAnsi="黑体" w:eastAsia="黑体" w:cs="宋体"/>
          <w:bCs/>
          <w:color w:val="000000" w:themeColor="text1"/>
          <w:sz w:val="28"/>
          <w:szCs w:val="28"/>
          <w:highlight w:val="none"/>
          <w14:textFill>
            <w14:solidFill>
              <w14:schemeClr w14:val="tx1"/>
            </w14:solidFill>
          </w14:textFill>
        </w:rPr>
      </w:pPr>
      <w:bookmarkStart w:id="8" w:name="_Toc28359018"/>
      <w:bookmarkStart w:id="9" w:name="_Toc35393636"/>
      <w:bookmarkStart w:id="10" w:name="_Toc35393805"/>
      <w:bookmarkStart w:id="11" w:name="_Toc28359095"/>
      <w:r>
        <w:rPr>
          <w:rFonts w:hint="eastAsia" w:ascii="黑体" w:hAnsi="黑体" w:eastAsia="黑体" w:cs="宋体"/>
          <w:bCs/>
          <w:color w:val="000000" w:themeColor="text1"/>
          <w:sz w:val="28"/>
          <w:szCs w:val="28"/>
          <w:highlight w:val="none"/>
          <w:lang w:val="en-US" w:eastAsia="zh-CN"/>
          <w14:textFill>
            <w14:solidFill>
              <w14:schemeClr w14:val="tx1"/>
            </w14:solidFill>
          </w14:textFill>
        </w:rPr>
        <w:t>六</w:t>
      </w:r>
      <w:r>
        <w:rPr>
          <w:rFonts w:hint="eastAsia" w:ascii="黑体" w:hAnsi="黑体" w:eastAsia="黑体" w:cs="宋体"/>
          <w:bCs/>
          <w:color w:val="000000" w:themeColor="text1"/>
          <w:sz w:val="28"/>
          <w:szCs w:val="28"/>
          <w:highlight w:val="none"/>
          <w14:textFill>
            <w14:solidFill>
              <w14:schemeClr w14:val="tx1"/>
            </w14:solidFill>
          </w14:textFill>
        </w:rPr>
        <w:t>、凡对本次比选提出询问，请按以下方式联系</w:t>
      </w:r>
      <w:bookmarkEnd w:id="8"/>
      <w:bookmarkEnd w:id="9"/>
      <w:bookmarkEnd w:id="10"/>
      <w:bookmarkEnd w:id="11"/>
    </w:p>
    <w:p w14:paraId="1E822407">
      <w:pPr>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bookmarkStart w:id="12" w:name="_Toc35393806"/>
      <w:bookmarkStart w:id="13" w:name="_Toc35393637"/>
      <w:bookmarkStart w:id="14" w:name="_Toc28359096"/>
      <w:bookmarkStart w:id="15" w:name="_Toc28359019"/>
      <w:r>
        <w:rPr>
          <w:rFonts w:hint="eastAsia" w:ascii="仿宋" w:hAnsi="仿宋" w:eastAsia="仿宋"/>
          <w:color w:val="000000" w:themeColor="text1"/>
          <w:sz w:val="28"/>
          <w:szCs w:val="28"/>
          <w:highlight w:val="none"/>
          <w14:textFill>
            <w14:solidFill>
              <w14:schemeClr w14:val="tx1"/>
            </w14:solidFill>
          </w14:textFill>
        </w:rPr>
        <w:t>1.采购人信息</w:t>
      </w:r>
      <w:bookmarkEnd w:id="12"/>
      <w:bookmarkEnd w:id="13"/>
      <w:bookmarkEnd w:id="14"/>
      <w:bookmarkEnd w:id="15"/>
    </w:p>
    <w:p w14:paraId="7B96696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称：安庆市通和深龙城市运营服务有限公司</w:t>
      </w:r>
    </w:p>
    <w:p w14:paraId="65D9ED95">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w:t>
      </w:r>
    </w:p>
    <w:p w14:paraId="4657742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人：钱年生</w:t>
      </w:r>
    </w:p>
    <w:p w14:paraId="1ADCB55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联系方式：0556-5578871</w:t>
      </w:r>
    </w:p>
    <w:p w14:paraId="1EAA2DF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2.采购管理部门信息</w:t>
      </w:r>
    </w:p>
    <w:p w14:paraId="28FF8FF4">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称：安庆市交通控股集团有限公司集采中心</w:t>
      </w:r>
    </w:p>
    <w:p w14:paraId="2C63745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址：安庆市大观区宜园路16号2号楼一层</w:t>
      </w:r>
    </w:p>
    <w:p w14:paraId="00DB06DA">
      <w:pPr>
        <w:keepNext w:val="0"/>
        <w:keepLines w:val="0"/>
        <w:pageBreakBefore w:val="0"/>
        <w:kinsoku/>
        <w:wordWrap/>
        <w:overflowPunct/>
        <w:topLinePunct w:val="0"/>
        <w:autoSpaceDE/>
        <w:autoSpaceDN/>
        <w:bidi w:val="0"/>
        <w:adjustRightInd/>
        <w:snapToGrid/>
        <w:spacing w:line="360" w:lineRule="auto"/>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人：王欣怡</w:t>
      </w:r>
    </w:p>
    <w:p w14:paraId="05FC5A1D">
      <w:pPr>
        <w:keepNext w:val="0"/>
        <w:keepLines w:val="0"/>
        <w:pageBreakBefore w:val="0"/>
        <w:kinsoku/>
        <w:wordWrap/>
        <w:overflowPunct/>
        <w:topLinePunct w:val="0"/>
        <w:autoSpaceDE/>
        <w:autoSpaceDN/>
        <w:bidi w:val="0"/>
        <w:adjustRightInd/>
        <w:snapToGrid/>
        <w:spacing w:line="360" w:lineRule="auto"/>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联系方式：0556-5579198</w:t>
      </w:r>
    </w:p>
    <w:p w14:paraId="45911ED3">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45044CBB">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14:paraId="71DFF8D6">
      <w:pPr>
        <w:keepNext/>
        <w:keepLines/>
        <w:pageBreakBefore w:val="0"/>
        <w:widowControl w:val="0"/>
        <w:kinsoku/>
        <w:wordWrap/>
        <w:overflowPunct/>
        <w:topLinePunct w:val="0"/>
        <w:autoSpaceDE/>
        <w:autoSpaceDN/>
        <w:bidi w:val="0"/>
        <w:adjustRightInd/>
        <w:snapToGrid/>
        <w:spacing w:before="340" w:after="330" w:line="360" w:lineRule="auto"/>
        <w:jc w:val="center"/>
        <w:textAlignment w:val="auto"/>
        <w:outlineLvl w:val="0"/>
        <w:rPr>
          <w:rFonts w:hint="eastAsia" w:ascii="宋体" w:hAnsi="宋体" w:eastAsia="宋体" w:cs="宋体"/>
          <w:b/>
          <w:bCs/>
          <w:color w:val="auto"/>
          <w:kern w:val="44"/>
          <w:sz w:val="44"/>
          <w:szCs w:val="44"/>
          <w:highlight w:val="none"/>
          <w:lang w:val="en-US" w:eastAsia="zh-CN" w:bidi="ar-SA"/>
        </w:rPr>
      </w:pPr>
      <w:bookmarkStart w:id="16" w:name="_Toc13660"/>
      <w:r>
        <w:rPr>
          <w:rFonts w:hint="eastAsia" w:ascii="宋体" w:hAnsi="宋体" w:eastAsia="宋体" w:cs="宋体"/>
          <w:b/>
          <w:bCs/>
          <w:color w:val="auto"/>
          <w:kern w:val="44"/>
          <w:sz w:val="44"/>
          <w:szCs w:val="44"/>
          <w:highlight w:val="none"/>
          <w:lang w:val="en-US" w:eastAsia="zh-CN" w:bidi="ar-SA"/>
        </w:rPr>
        <w:t>确定参与比选的函</w:t>
      </w:r>
      <w:bookmarkEnd w:id="16"/>
    </w:p>
    <w:p w14:paraId="46141B6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14:paraId="714AC3FC">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安庆市交通控股集团电梯维保服务项目</w:t>
      </w:r>
      <w:r>
        <w:rPr>
          <w:rFonts w:hint="eastAsia" w:ascii="仿宋" w:hAnsi="仿宋" w:eastAsia="仿宋" w:cs="仿宋"/>
          <w:b w:val="0"/>
          <w:bCs w:val="0"/>
          <w:color w:val="auto"/>
          <w:sz w:val="32"/>
          <w:szCs w:val="32"/>
          <w:highlight w:val="none"/>
          <w:u w:val="none"/>
          <w:lang w:val="en-US" w:eastAsia="zh-CN"/>
        </w:rPr>
        <w:t>，并承诺按比选文件的要求，按时参与比选开标。</w:t>
      </w:r>
    </w:p>
    <w:p w14:paraId="4F036DC8">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14:paraId="11E9E957">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14:paraId="506AE873">
      <w:pPr>
        <w:ind w:firstLine="640"/>
        <w:jc w:val="both"/>
        <w:rPr>
          <w:rFonts w:hint="eastAsia" w:ascii="仿宋" w:hAnsi="仿宋" w:eastAsia="仿宋" w:cs="仿宋"/>
          <w:b w:val="0"/>
          <w:bCs w:val="0"/>
          <w:color w:val="auto"/>
          <w:sz w:val="32"/>
          <w:szCs w:val="32"/>
          <w:highlight w:val="none"/>
          <w:u w:val="none"/>
          <w:lang w:val="en-US" w:eastAsia="zh-CN"/>
        </w:rPr>
      </w:pPr>
    </w:p>
    <w:p w14:paraId="2AC33F5B">
      <w:pPr>
        <w:pStyle w:val="24"/>
        <w:rPr>
          <w:rFonts w:hint="eastAsia" w:ascii="仿宋" w:hAnsi="仿宋" w:eastAsia="仿宋" w:cs="仿宋"/>
          <w:b w:val="0"/>
          <w:bCs w:val="0"/>
          <w:color w:val="auto"/>
          <w:sz w:val="32"/>
          <w:szCs w:val="32"/>
          <w:highlight w:val="none"/>
          <w:u w:val="none"/>
          <w:lang w:val="en-US" w:eastAsia="zh-CN"/>
        </w:rPr>
      </w:pPr>
    </w:p>
    <w:p w14:paraId="2DCED925">
      <w:pPr>
        <w:pStyle w:val="24"/>
        <w:rPr>
          <w:rFonts w:hint="eastAsia" w:ascii="仿宋" w:hAnsi="仿宋" w:eastAsia="仿宋" w:cs="仿宋"/>
          <w:b w:val="0"/>
          <w:bCs w:val="0"/>
          <w:color w:val="auto"/>
          <w:sz w:val="32"/>
          <w:szCs w:val="32"/>
          <w:highlight w:val="none"/>
          <w:u w:val="none"/>
          <w:lang w:val="en-US" w:eastAsia="zh-CN"/>
        </w:rPr>
      </w:pPr>
    </w:p>
    <w:p w14:paraId="75CD1A1F">
      <w:pPr>
        <w:pStyle w:val="24"/>
        <w:rPr>
          <w:rFonts w:hint="eastAsia" w:ascii="仿宋" w:hAnsi="仿宋" w:eastAsia="仿宋" w:cs="仿宋"/>
          <w:b w:val="0"/>
          <w:bCs w:val="0"/>
          <w:color w:val="auto"/>
          <w:sz w:val="32"/>
          <w:szCs w:val="32"/>
          <w:highlight w:val="none"/>
          <w:u w:val="none"/>
          <w:lang w:val="en-US" w:eastAsia="zh-CN"/>
        </w:rPr>
      </w:pPr>
    </w:p>
    <w:p w14:paraId="047203D3">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default"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单位名称（盖章）      </w:t>
      </w:r>
    </w:p>
    <w:p w14:paraId="69567948">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14:paraId="7DFF93D8">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7D28714B">
      <w:pPr>
        <w:pStyle w:val="2"/>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17" w:name="_Toc54941329"/>
      <w:bookmarkStart w:id="18" w:name="_Toc26069"/>
      <w:bookmarkStart w:id="19" w:name="_Toc11223"/>
      <w:r>
        <w:rPr>
          <w:rFonts w:hint="eastAsia" w:ascii="Arial" w:hAnsi="Arial"/>
          <w:color w:val="000000" w:themeColor="text1"/>
          <w:kern w:val="2"/>
          <w:sz w:val="32"/>
          <w:szCs w:val="32"/>
          <w:highlight w:val="none"/>
          <w14:textFill>
            <w14:solidFill>
              <w14:schemeClr w14:val="tx1"/>
            </w14:solidFill>
          </w14:textFill>
        </w:rPr>
        <w:t>第二章  比选须知</w:t>
      </w:r>
      <w:bookmarkEnd w:id="3"/>
      <w:bookmarkEnd w:id="17"/>
      <w:bookmarkEnd w:id="18"/>
      <w:bookmarkEnd w:id="19"/>
    </w:p>
    <w:p w14:paraId="5DAB8D85">
      <w:pPr>
        <w:pStyle w:val="3"/>
        <w:rPr>
          <w:rFonts w:cs="Tahoma"/>
          <w:bCs/>
          <w:color w:val="000000" w:themeColor="text1"/>
          <w:kern w:val="0"/>
          <w:sz w:val="32"/>
          <w:szCs w:val="32"/>
          <w:highlight w:val="none"/>
          <w14:textFill>
            <w14:solidFill>
              <w14:schemeClr w14:val="tx1"/>
            </w14:solidFill>
          </w14:textFill>
        </w:rPr>
      </w:pPr>
      <w:bookmarkStart w:id="20" w:name="_Toc17862"/>
      <w:bookmarkStart w:id="21" w:name="_Toc439316871"/>
      <w:bookmarkStart w:id="22" w:name="_Toc54941330"/>
      <w:r>
        <w:rPr>
          <w:rFonts w:hint="eastAsia" w:cs="Tahoma"/>
          <w:bCs/>
          <w:color w:val="000000" w:themeColor="text1"/>
          <w:kern w:val="0"/>
          <w:sz w:val="32"/>
          <w:szCs w:val="32"/>
          <w:highlight w:val="none"/>
          <w14:textFill>
            <w14:solidFill>
              <w14:schemeClr w14:val="tx1"/>
            </w14:solidFill>
          </w14:textFill>
        </w:rPr>
        <w:t>（一）参选人须知前附表</w:t>
      </w:r>
      <w:bookmarkEnd w:id="20"/>
      <w:bookmarkEnd w:id="21"/>
      <w:bookmarkEnd w:id="22"/>
    </w:p>
    <w:tbl>
      <w:tblPr>
        <w:tblStyle w:val="63"/>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14:paraId="35A963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7B4A3AD2">
            <w:pPr>
              <w:keepNext w:val="0"/>
              <w:keepLines w:val="0"/>
              <w:pageBreakBefore w:val="0"/>
              <w:kinsoku/>
              <w:wordWrap/>
              <w:overflowPunct/>
              <w:topLinePunct w:val="0"/>
              <w:bidi w:val="0"/>
              <w:spacing w:line="420" w:lineRule="exact"/>
              <w:ind w:right="-358"/>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25" w:type="dxa"/>
            <w:tcBorders>
              <w:top w:val="single" w:color="auto" w:sz="4" w:space="0"/>
              <w:left w:val="single" w:color="auto" w:sz="4" w:space="0"/>
              <w:bottom w:val="single" w:color="auto" w:sz="4" w:space="0"/>
              <w:right w:val="single" w:color="auto" w:sz="4" w:space="0"/>
            </w:tcBorders>
          </w:tcPr>
          <w:p w14:paraId="1CFB8461">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356" w:type="dxa"/>
            <w:tcBorders>
              <w:top w:val="single" w:color="auto" w:sz="4" w:space="0"/>
              <w:left w:val="single" w:color="auto" w:sz="4" w:space="0"/>
              <w:bottom w:val="single" w:color="auto" w:sz="4" w:space="0"/>
            </w:tcBorders>
            <w:vAlign w:val="center"/>
          </w:tcPr>
          <w:p w14:paraId="56F261ED">
            <w:pPr>
              <w:keepNext w:val="0"/>
              <w:keepLines w:val="0"/>
              <w:pageBreakBefore w:val="0"/>
              <w:tabs>
                <w:tab w:val="left" w:pos="1180"/>
              </w:tabs>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14:paraId="14D0A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78310091">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2125" w:type="dxa"/>
            <w:tcBorders>
              <w:top w:val="single" w:color="auto" w:sz="4" w:space="0"/>
              <w:left w:val="single" w:color="auto" w:sz="4" w:space="0"/>
              <w:bottom w:val="single" w:color="auto" w:sz="4" w:space="0"/>
              <w:right w:val="single" w:color="auto" w:sz="4" w:space="0"/>
            </w:tcBorders>
            <w:vAlign w:val="center"/>
          </w:tcPr>
          <w:p w14:paraId="296EA2A9">
            <w:pPr>
              <w:keepNext w:val="0"/>
              <w:keepLines w:val="0"/>
              <w:pageBreakBefore w:val="0"/>
              <w:kinsoku/>
              <w:wordWrap/>
              <w:overflowPunct/>
              <w:topLinePunct w:val="0"/>
              <w:bidi w:val="0"/>
              <w:spacing w:line="420" w:lineRule="exact"/>
              <w:jc w:val="center"/>
              <w:textAlignment w:val="auto"/>
              <w:rPr>
                <w:rFonts w:asci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项目名称</w:t>
            </w:r>
          </w:p>
        </w:tc>
        <w:tc>
          <w:tcPr>
            <w:tcW w:w="6356" w:type="dxa"/>
            <w:tcBorders>
              <w:top w:val="single" w:color="auto" w:sz="4" w:space="0"/>
              <w:left w:val="single" w:color="auto" w:sz="4" w:space="0"/>
              <w:bottom w:val="single" w:color="auto" w:sz="4" w:space="0"/>
            </w:tcBorders>
            <w:vAlign w:val="center"/>
          </w:tcPr>
          <w:p w14:paraId="2B006AA3">
            <w:pPr>
              <w:keepNext w:val="0"/>
              <w:keepLines w:val="0"/>
              <w:pageBreakBefore w:val="0"/>
              <w:widowControl/>
              <w:kinsoku/>
              <w:wordWrap/>
              <w:overflowPunct/>
              <w:topLinePunct w:val="0"/>
              <w:bidi w:val="0"/>
              <w:snapToGrid w:val="0"/>
              <w:spacing w:line="420" w:lineRule="exact"/>
              <w:textAlignment w:val="auto"/>
              <w:rPr>
                <w:rFonts w:hint="default" w:eastAsia="宋体"/>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安庆市交通控股集团电梯维保服务</w:t>
            </w:r>
          </w:p>
        </w:tc>
      </w:tr>
      <w:tr w14:paraId="08009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3FE6620C">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2125" w:type="dxa"/>
            <w:tcBorders>
              <w:top w:val="single" w:color="auto" w:sz="4" w:space="0"/>
              <w:left w:val="single" w:color="auto" w:sz="4" w:space="0"/>
              <w:bottom w:val="single" w:color="auto" w:sz="4" w:space="0"/>
              <w:right w:val="single" w:color="auto" w:sz="4" w:space="0"/>
            </w:tcBorders>
            <w:vAlign w:val="center"/>
          </w:tcPr>
          <w:p w14:paraId="7195B719">
            <w:pPr>
              <w:keepNext w:val="0"/>
              <w:keepLines w:val="0"/>
              <w:pageBreakBefore w:val="0"/>
              <w:kinsoku/>
              <w:wordWrap/>
              <w:overflowPunct/>
              <w:topLinePunct w:val="0"/>
              <w:bidi w:val="0"/>
              <w:spacing w:line="420" w:lineRule="exact"/>
              <w:jc w:val="center"/>
              <w:textAlignment w:val="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eastAsia="宋体" w:cs="Times New Roman"/>
                <w:szCs w:val="21"/>
                <w:highlight w:val="none"/>
              </w:rPr>
              <w:t>项目编号</w:t>
            </w:r>
          </w:p>
        </w:tc>
        <w:tc>
          <w:tcPr>
            <w:tcW w:w="6356" w:type="dxa"/>
            <w:tcBorders>
              <w:top w:val="single" w:color="auto" w:sz="4" w:space="0"/>
              <w:left w:val="single" w:color="auto" w:sz="4" w:space="0"/>
              <w:bottom w:val="single" w:color="auto" w:sz="4" w:space="0"/>
            </w:tcBorders>
            <w:vAlign w:val="center"/>
          </w:tcPr>
          <w:p w14:paraId="77C791D2">
            <w:pPr>
              <w:keepNext w:val="0"/>
              <w:keepLines w:val="0"/>
              <w:pageBreakBefore w:val="0"/>
              <w:widowControl/>
              <w:kinsoku/>
              <w:wordWrap/>
              <w:overflowPunct/>
              <w:topLinePunct w:val="0"/>
              <w:bidi w:val="0"/>
              <w:snapToGrid w:val="0"/>
              <w:spacing w:line="420" w:lineRule="exact"/>
              <w:textAlignment w:val="auto"/>
              <w:rPr>
                <w:rFonts w:hint="default" w:ascii="宋体"/>
                <w:b w:val="0"/>
                <w:bCs w:val="0"/>
                <w:caps/>
                <w:smallCaps w:val="0"/>
                <w:color w:val="000000" w:themeColor="text1"/>
                <w:spacing w:val="0"/>
                <w:sz w:val="21"/>
                <w:szCs w:val="21"/>
                <w:highlight w:val="none"/>
                <w:lang w:val="en-US" w:eastAsia="zh-CN"/>
                <w14:textFill>
                  <w14:solidFill>
                    <w14:schemeClr w14:val="tx1"/>
                  </w14:solidFill>
                </w14:textFill>
              </w:rPr>
            </w:pPr>
            <w:r>
              <w:rPr>
                <w:rFonts w:hint="default" w:ascii="宋体"/>
                <w:b w:val="0"/>
                <w:bCs w:val="0"/>
                <w:caps/>
                <w:smallCaps w:val="0"/>
                <w:color w:val="000000" w:themeColor="text1"/>
                <w:spacing w:val="0"/>
                <w:sz w:val="21"/>
                <w:szCs w:val="21"/>
                <w:highlight w:val="none"/>
                <w:lang w:val="en-US" w:eastAsia="zh-CN"/>
                <w14:textFill>
                  <w14:solidFill>
                    <w14:schemeClr w14:val="tx1"/>
                  </w14:solidFill>
                </w14:textFill>
              </w:rPr>
              <w:t>AQJK-CG-2025-008</w:t>
            </w:r>
          </w:p>
        </w:tc>
      </w:tr>
      <w:tr w14:paraId="6390D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14:paraId="0A45CD1E">
            <w:pPr>
              <w:keepNext w:val="0"/>
              <w:keepLines w:val="0"/>
              <w:pageBreakBefore w:val="0"/>
              <w:kinsoku/>
              <w:wordWrap/>
              <w:overflowPunct/>
              <w:topLinePunct w:val="0"/>
              <w:bidi w:val="0"/>
              <w:spacing w:line="420" w:lineRule="exact"/>
              <w:jc w:val="center"/>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w:t>
            </w:r>
          </w:p>
        </w:tc>
        <w:tc>
          <w:tcPr>
            <w:tcW w:w="2125" w:type="dxa"/>
            <w:tcBorders>
              <w:top w:val="single" w:color="auto" w:sz="4" w:space="0"/>
              <w:left w:val="single" w:color="auto" w:sz="4" w:space="0"/>
              <w:bottom w:val="single" w:color="auto" w:sz="4" w:space="0"/>
              <w:right w:val="single" w:color="auto" w:sz="4" w:space="0"/>
            </w:tcBorders>
            <w:vAlign w:val="center"/>
          </w:tcPr>
          <w:p w14:paraId="7A32B134">
            <w:pPr>
              <w:keepNext w:val="0"/>
              <w:keepLines w:val="0"/>
              <w:pageBreakBefore w:val="0"/>
              <w:kinsoku/>
              <w:wordWrap/>
              <w:overflowPunct/>
              <w:topLinePunct w:val="0"/>
              <w:bidi w:val="0"/>
              <w:spacing w:line="420" w:lineRule="exact"/>
              <w:jc w:val="center"/>
              <w:textAlignment w:val="auto"/>
              <w:rPr>
                <w:rFonts w:hint="eastAsia" w:ascii="宋体" w:eastAsia="宋体"/>
                <w:b w:val="0"/>
                <w:bCs w:val="0"/>
                <w:color w:val="000000" w:themeColor="text1"/>
                <w:sz w:val="21"/>
                <w:szCs w:val="21"/>
                <w:highlight w:val="none"/>
                <w:lang w:eastAsia="zh-CN"/>
                <w14:textFill>
                  <w14:solidFill>
                    <w14:schemeClr w14:val="tx1"/>
                  </w14:solidFill>
                </w14:textFill>
              </w:rPr>
            </w:pPr>
            <w:r>
              <w:rPr>
                <w:rFonts w:hint="eastAsia" w:ascii="宋体" w:hAnsi="宋体"/>
                <w:b w:val="0"/>
                <w:bCs w:val="0"/>
                <w:color w:val="000000" w:themeColor="text1"/>
                <w:sz w:val="21"/>
                <w:szCs w:val="21"/>
                <w:highlight w:val="none"/>
                <w:lang w:eastAsia="zh-CN"/>
                <w14:textFill>
                  <w14:solidFill>
                    <w14:schemeClr w14:val="tx1"/>
                  </w14:solidFill>
                </w14:textFill>
              </w:rPr>
              <w:t>采购人</w:t>
            </w:r>
          </w:p>
        </w:tc>
        <w:tc>
          <w:tcPr>
            <w:tcW w:w="6356" w:type="dxa"/>
            <w:tcBorders>
              <w:top w:val="single" w:color="auto" w:sz="4" w:space="0"/>
              <w:left w:val="single" w:color="auto" w:sz="4" w:space="0"/>
              <w:bottom w:val="single" w:color="auto" w:sz="4" w:space="0"/>
            </w:tcBorders>
            <w:vAlign w:val="center"/>
          </w:tcPr>
          <w:p w14:paraId="3CFC8F44">
            <w:pPr>
              <w:keepNext w:val="0"/>
              <w:keepLines w:val="0"/>
              <w:pageBreakBefore w:val="0"/>
              <w:widowControl/>
              <w:kinsoku/>
              <w:wordWrap/>
              <w:overflowPunct/>
              <w:topLinePunct w:val="0"/>
              <w:bidi w:val="0"/>
              <w:snapToGrid w:val="0"/>
              <w:spacing w:line="420" w:lineRule="exact"/>
              <w:textAlignment w:val="auto"/>
              <w:rPr>
                <w:rFonts w:hint="eastAsia" w:eastAsia="宋体"/>
                <w:b w:val="0"/>
                <w:bCs w:val="0"/>
                <w:color w:val="000000" w:themeColor="text1"/>
                <w:sz w:val="21"/>
                <w:szCs w:val="21"/>
                <w:highlight w:val="none"/>
                <w:lang w:eastAsia="zh-CN"/>
                <w14:textFill>
                  <w14:solidFill>
                    <w14:schemeClr w14:val="tx1"/>
                  </w14:solidFill>
                </w14:textFill>
              </w:rPr>
            </w:pPr>
            <w:r>
              <w:rPr>
                <w:rFonts w:hint="eastAsia"/>
                <w:b w:val="0"/>
                <w:bCs w:val="0"/>
                <w:color w:val="000000" w:themeColor="text1"/>
                <w:sz w:val="21"/>
                <w:szCs w:val="21"/>
                <w:highlight w:val="none"/>
                <w:lang w:eastAsia="zh-CN"/>
                <w14:textFill>
                  <w14:solidFill>
                    <w14:schemeClr w14:val="tx1"/>
                  </w14:solidFill>
                </w14:textFill>
              </w:rPr>
              <w:t>安庆市通和深龙城市运营服务有限公司</w:t>
            </w:r>
          </w:p>
        </w:tc>
      </w:tr>
      <w:tr w14:paraId="5C702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9C569EE">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14:paraId="3A450363">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kern w:val="2"/>
                <w:sz w:val="21"/>
                <w:szCs w:val="21"/>
                <w:highlight w:val="none"/>
                <w:lang w:val="en-US" w:eastAsia="zh-CN" w:bidi="ar-SA"/>
              </w:rPr>
            </w:pPr>
            <w:r>
              <w:rPr>
                <w:rFonts w:hint="eastAsia" w:ascii="宋体" w:hAnsi="宋体" w:eastAsia="宋体" w:cs="宋体"/>
                <w:color w:val="auto"/>
                <w:szCs w:val="21"/>
                <w:highlight w:val="none"/>
                <w:lang w:val="en-US" w:eastAsia="zh-CN"/>
              </w:rPr>
              <w:t>采购管理</w:t>
            </w:r>
            <w:r>
              <w:rPr>
                <w:rFonts w:hint="eastAsia" w:ascii="宋体" w:hAnsi="宋体" w:cs="宋体"/>
                <w:color w:val="auto"/>
                <w:szCs w:val="21"/>
                <w:highlight w:val="none"/>
                <w:lang w:val="en-US" w:eastAsia="zh-CN"/>
              </w:rPr>
              <w:t>部门</w:t>
            </w:r>
          </w:p>
        </w:tc>
        <w:tc>
          <w:tcPr>
            <w:tcW w:w="6356" w:type="dxa"/>
            <w:tcBorders>
              <w:top w:val="single" w:color="auto" w:sz="4" w:space="0"/>
              <w:left w:val="single" w:color="auto" w:sz="4" w:space="0"/>
              <w:bottom w:val="single" w:color="auto" w:sz="4" w:space="0"/>
            </w:tcBorders>
            <w:vAlign w:val="center"/>
          </w:tcPr>
          <w:p w14:paraId="07361A40">
            <w:pPr>
              <w:keepNext w:val="0"/>
              <w:keepLines w:val="0"/>
              <w:pageBreakBefore w:val="0"/>
              <w:kinsoku/>
              <w:wordWrap/>
              <w:overflowPunct/>
              <w:topLinePunct w:val="0"/>
              <w:bidi w:val="0"/>
              <w:spacing w:line="420" w:lineRule="exact"/>
              <w:jc w:val="left"/>
              <w:textAlignment w:val="auto"/>
              <w:rPr>
                <w:rFonts w:hint="eastAsia" w:ascii="宋体" w:hAnsi="Times New Roman" w:eastAsia="宋体" w:cs="宋体"/>
                <w:kern w:val="0"/>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安庆市交通控股集团有限公司集采中心</w:t>
            </w:r>
          </w:p>
        </w:tc>
      </w:tr>
      <w:tr w14:paraId="01DC6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FA5A7B2">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14:paraId="5B0B93C0">
            <w:pPr>
              <w:keepNext w:val="0"/>
              <w:keepLines w:val="0"/>
              <w:pageBreakBefore w:val="0"/>
              <w:kinsoku/>
              <w:wordWrap/>
              <w:overflowPunct/>
              <w:topLinePunct w:val="0"/>
              <w:bidi w:val="0"/>
              <w:spacing w:line="42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6356" w:type="dxa"/>
            <w:tcBorders>
              <w:top w:val="single" w:color="auto" w:sz="4" w:space="0"/>
              <w:left w:val="single" w:color="auto" w:sz="4" w:space="0"/>
              <w:bottom w:val="single" w:color="auto" w:sz="4" w:space="0"/>
            </w:tcBorders>
            <w:vAlign w:val="center"/>
          </w:tcPr>
          <w:p w14:paraId="5185FEFF">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自筹</w:t>
            </w:r>
          </w:p>
        </w:tc>
      </w:tr>
      <w:tr w14:paraId="39936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14:paraId="344EB216">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6</w:t>
            </w:r>
          </w:p>
        </w:tc>
        <w:tc>
          <w:tcPr>
            <w:tcW w:w="2125" w:type="dxa"/>
            <w:tcBorders>
              <w:top w:val="single" w:color="auto" w:sz="4" w:space="0"/>
              <w:left w:val="single" w:color="auto" w:sz="4" w:space="0"/>
              <w:right w:val="single" w:color="auto" w:sz="4" w:space="0"/>
            </w:tcBorders>
            <w:vAlign w:val="center"/>
          </w:tcPr>
          <w:p w14:paraId="2E293654">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最高投标限价</w:t>
            </w:r>
          </w:p>
        </w:tc>
        <w:tc>
          <w:tcPr>
            <w:tcW w:w="6356" w:type="dxa"/>
            <w:tcBorders>
              <w:top w:val="single" w:color="auto" w:sz="4" w:space="0"/>
              <w:left w:val="single" w:color="auto" w:sz="4" w:space="0"/>
              <w:bottom w:val="single" w:color="auto" w:sz="4" w:space="0"/>
            </w:tcBorders>
            <w:vAlign w:val="center"/>
          </w:tcPr>
          <w:p w14:paraId="1BC40C59">
            <w:pPr>
              <w:keepNext w:val="0"/>
              <w:keepLines w:val="0"/>
              <w:pageBreakBefore w:val="0"/>
              <w:numPr>
                <w:ilvl w:val="0"/>
                <w:numId w:val="0"/>
              </w:numPr>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12000.00元（含税）</w:t>
            </w:r>
          </w:p>
        </w:tc>
      </w:tr>
      <w:tr w14:paraId="0EC45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1CC97293">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5278FB96">
            <w:pPr>
              <w:keepNext w:val="0"/>
              <w:keepLines w:val="0"/>
              <w:pageBreakBefore w:val="0"/>
              <w:kinsoku/>
              <w:wordWrap/>
              <w:overflowPunct/>
              <w:topLinePunct w:val="0"/>
              <w:bidi w:val="0"/>
              <w:spacing w:line="420" w:lineRule="exact"/>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资格条件</w:t>
            </w:r>
          </w:p>
        </w:tc>
        <w:tc>
          <w:tcPr>
            <w:tcW w:w="6356" w:type="dxa"/>
            <w:tcBorders>
              <w:top w:val="single" w:color="auto" w:sz="4" w:space="0"/>
              <w:left w:val="single" w:color="auto" w:sz="4" w:space="0"/>
              <w:bottom w:val="single" w:color="auto" w:sz="4" w:space="0"/>
            </w:tcBorders>
            <w:shd w:val="clear" w:color="auto" w:fill="auto"/>
            <w:vAlign w:val="center"/>
          </w:tcPr>
          <w:p w14:paraId="3E2D8A85">
            <w:pPr>
              <w:keepNext w:val="0"/>
              <w:keepLines w:val="0"/>
              <w:pageBreakBefore w:val="0"/>
              <w:kinsoku/>
              <w:wordWrap/>
              <w:overflowPunct/>
              <w:topLinePunct w:val="0"/>
              <w:bidi w:val="0"/>
              <w:spacing w:line="420" w:lineRule="exact"/>
              <w:textAlignment w:val="auto"/>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1.具有合法有效的营业执照。</w:t>
            </w:r>
          </w:p>
          <w:p w14:paraId="3D0E3158">
            <w:pPr>
              <w:keepNext w:val="0"/>
              <w:keepLines w:val="0"/>
              <w:pageBreakBefore w:val="0"/>
              <w:kinsoku/>
              <w:wordWrap/>
              <w:overflowPunct/>
              <w:topLinePunct w:val="0"/>
              <w:bidi w:val="0"/>
              <w:spacing w:line="420" w:lineRule="exact"/>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2.本项目不接受联合体。</w:t>
            </w:r>
          </w:p>
        </w:tc>
      </w:tr>
      <w:tr w14:paraId="62138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7D2D0C76">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8</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28B4A6AE">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356" w:type="dxa"/>
            <w:tcBorders>
              <w:top w:val="single" w:color="auto" w:sz="4" w:space="0"/>
              <w:left w:val="single" w:color="auto" w:sz="4" w:space="0"/>
              <w:bottom w:val="single" w:color="auto" w:sz="4" w:space="0"/>
            </w:tcBorders>
            <w:shd w:val="clear" w:color="auto" w:fill="auto"/>
            <w:vAlign w:val="center"/>
          </w:tcPr>
          <w:p w14:paraId="6C7D9673">
            <w:pPr>
              <w:keepNext w:val="0"/>
              <w:keepLines w:val="0"/>
              <w:pageBreakBefore w:val="0"/>
              <w:kinsoku/>
              <w:wordWrap/>
              <w:overflowPunct/>
              <w:topLinePunct w:val="0"/>
              <w:bidi w:val="0"/>
              <w:spacing w:line="420" w:lineRule="exact"/>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olor w:val="000000" w:themeColor="text1"/>
                <w:szCs w:val="21"/>
                <w:highlight w:val="none"/>
                <w14:textFill>
                  <w14:solidFill>
                    <w14:schemeClr w14:val="tx1"/>
                  </w14:solidFill>
                </w14:textFill>
              </w:rPr>
              <w:t>资格后审</w:t>
            </w:r>
          </w:p>
        </w:tc>
      </w:tr>
      <w:tr w14:paraId="198EA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7A53915">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9</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5BD03BA7">
            <w:pPr>
              <w:keepNext w:val="0"/>
              <w:keepLines w:val="0"/>
              <w:pageBreakBefore w:val="0"/>
              <w:kinsoku/>
              <w:wordWrap/>
              <w:overflowPunct/>
              <w:topLinePunct w:val="0"/>
              <w:bidi w:val="0"/>
              <w:spacing w:line="420" w:lineRule="exact"/>
              <w:jc w:val="center"/>
              <w:textAlignment w:val="auto"/>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招标方式</w:t>
            </w:r>
          </w:p>
        </w:tc>
        <w:tc>
          <w:tcPr>
            <w:tcW w:w="6356" w:type="dxa"/>
            <w:tcBorders>
              <w:top w:val="single" w:color="auto" w:sz="4" w:space="0"/>
              <w:left w:val="single" w:color="auto" w:sz="4" w:space="0"/>
              <w:bottom w:val="single" w:color="auto" w:sz="4" w:space="0"/>
            </w:tcBorders>
            <w:shd w:val="clear" w:color="auto" w:fill="auto"/>
            <w:vAlign w:val="center"/>
          </w:tcPr>
          <w:p w14:paraId="009FD374">
            <w:pPr>
              <w:keepNext w:val="0"/>
              <w:keepLines w:val="0"/>
              <w:pageBreakBefore w:val="0"/>
              <w:kinsoku/>
              <w:wordWrap/>
              <w:overflowPunct/>
              <w:topLinePunct w:val="0"/>
              <w:bidi w:val="0"/>
              <w:spacing w:line="420" w:lineRule="exact"/>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比选招标</w:t>
            </w:r>
          </w:p>
        </w:tc>
      </w:tr>
      <w:tr w14:paraId="6CE8F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B914CAE">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10</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1DD8A315">
            <w:pPr>
              <w:keepNext w:val="0"/>
              <w:keepLines w:val="0"/>
              <w:pageBreakBefore w:val="0"/>
              <w:kinsoku/>
              <w:wordWrap/>
              <w:overflowPunct/>
              <w:topLinePunct w:val="0"/>
              <w:bidi w:val="0"/>
              <w:spacing w:line="420" w:lineRule="exact"/>
              <w:jc w:val="center"/>
              <w:textAlignment w:val="auto"/>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有效期</w:t>
            </w:r>
          </w:p>
        </w:tc>
        <w:tc>
          <w:tcPr>
            <w:tcW w:w="6356" w:type="dxa"/>
            <w:tcBorders>
              <w:top w:val="single" w:color="auto" w:sz="4" w:space="0"/>
              <w:left w:val="single" w:color="auto" w:sz="4" w:space="0"/>
              <w:bottom w:val="single" w:color="auto" w:sz="4" w:space="0"/>
            </w:tcBorders>
            <w:shd w:val="clear" w:color="auto" w:fill="auto"/>
            <w:vAlign w:val="center"/>
          </w:tcPr>
          <w:p w14:paraId="10B4B22A">
            <w:pPr>
              <w:keepNext w:val="0"/>
              <w:keepLines w:val="0"/>
              <w:pageBreakBefore w:val="0"/>
              <w:kinsoku/>
              <w:wordWrap/>
              <w:overflowPunct/>
              <w:topLinePunct w:val="0"/>
              <w:bidi w:val="0"/>
              <w:spacing w:line="420" w:lineRule="exact"/>
              <w:ind w:left="-2" w:leftChars="-1" w:firstLine="2" w:firstLineChars="0"/>
              <w:textAlignment w:val="auto"/>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w:t>
            </w:r>
            <w:r>
              <w:rPr>
                <w:rFonts w:hint="eastAsia" w:ascii="宋体" w:hAnsi="宋体"/>
                <w:color w:val="000000" w:themeColor="text1"/>
                <w:szCs w:val="21"/>
                <w:highlight w:val="none"/>
                <w:u w:val="single"/>
                <w:lang w:eastAsia="zh-CN"/>
                <w14:textFill>
                  <w14:solidFill>
                    <w14:schemeClr w14:val="tx1"/>
                  </w14:solidFill>
                </w14:textFill>
              </w:rPr>
              <w:t>参选文件递交</w:t>
            </w:r>
            <w:r>
              <w:rPr>
                <w:rFonts w:hint="eastAsia" w:ascii="宋体" w:hAnsi="宋体"/>
                <w:color w:val="000000" w:themeColor="text1"/>
                <w:szCs w:val="21"/>
                <w:highlight w:val="none"/>
                <w:u w:val="single"/>
                <w14:textFill>
                  <w14:solidFill>
                    <w14:schemeClr w14:val="tx1"/>
                  </w14:solidFill>
                </w14:textFill>
              </w:rPr>
              <w:t>截止时间算起）</w:t>
            </w:r>
          </w:p>
        </w:tc>
      </w:tr>
      <w:tr w14:paraId="53E53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3FA32DD">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11</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2342C8BF">
            <w:pPr>
              <w:keepNext w:val="0"/>
              <w:keepLines w:val="0"/>
              <w:pageBreakBefore w:val="0"/>
              <w:kinsoku/>
              <w:wordWrap/>
              <w:overflowPunct/>
              <w:topLinePunct w:val="0"/>
              <w:bidi w:val="0"/>
              <w:spacing w:line="420" w:lineRule="exact"/>
              <w:jc w:val="center"/>
              <w:textAlignment w:val="auto"/>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保证金</w:t>
            </w:r>
          </w:p>
        </w:tc>
        <w:tc>
          <w:tcPr>
            <w:tcW w:w="6356" w:type="dxa"/>
            <w:tcBorders>
              <w:top w:val="single" w:color="auto" w:sz="4" w:space="0"/>
              <w:left w:val="single" w:color="auto" w:sz="4" w:space="0"/>
              <w:bottom w:val="single" w:color="auto" w:sz="4" w:space="0"/>
            </w:tcBorders>
            <w:shd w:val="clear" w:color="auto" w:fill="auto"/>
            <w:vAlign w:val="center"/>
          </w:tcPr>
          <w:p w14:paraId="7DBADDCA">
            <w:pPr>
              <w:keepNext w:val="0"/>
              <w:keepLines w:val="0"/>
              <w:pageBreakBefore w:val="0"/>
              <w:kinsoku/>
              <w:wordWrap/>
              <w:overflowPunct/>
              <w:topLinePunct w:val="0"/>
              <w:bidi w:val="0"/>
              <w:spacing w:line="420" w:lineRule="exact"/>
              <w:textAlignment w:val="auto"/>
              <w:rPr>
                <w:rFonts w:hint="default"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本项目不收取</w:t>
            </w:r>
          </w:p>
        </w:tc>
      </w:tr>
      <w:tr w14:paraId="4701B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C4A4D9E">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12</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6A4CAE4E">
            <w:pPr>
              <w:keepNext w:val="0"/>
              <w:keepLines w:val="0"/>
              <w:pageBreakBefore w:val="0"/>
              <w:kinsoku/>
              <w:wordWrap/>
              <w:overflowPunct/>
              <w:topLinePunct w:val="0"/>
              <w:bidi w:val="0"/>
              <w:spacing w:line="420" w:lineRule="exact"/>
              <w:jc w:val="center"/>
              <w:textAlignment w:val="auto"/>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cs="宋体"/>
                <w:color w:val="000000" w:themeColor="text1"/>
                <w:szCs w:val="21"/>
                <w:highlight w:val="none"/>
                <w:lang w:val="en-US" w:eastAsia="zh-CN"/>
                <w14:textFill>
                  <w14:solidFill>
                    <w14:schemeClr w14:val="tx1"/>
                  </w14:solidFill>
                </w14:textFill>
              </w:rPr>
              <w:t>参选文件</w:t>
            </w:r>
          </w:p>
        </w:tc>
        <w:tc>
          <w:tcPr>
            <w:tcW w:w="6356" w:type="dxa"/>
            <w:tcBorders>
              <w:top w:val="single" w:color="auto" w:sz="4" w:space="0"/>
              <w:left w:val="single" w:color="auto" w:sz="4" w:space="0"/>
              <w:bottom w:val="single" w:color="auto" w:sz="4" w:space="0"/>
            </w:tcBorders>
            <w:shd w:val="clear" w:color="auto" w:fill="auto"/>
            <w:vAlign w:val="center"/>
          </w:tcPr>
          <w:p w14:paraId="22E34FA7">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1.参选文件份数：壹份正本，贰份副本；</w:t>
            </w:r>
          </w:p>
          <w:p w14:paraId="0163C7A3">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2.参选人应将参选文件的正本和副本同时装于一个袋内。包装密封，并于密封袋上加盖单位公章。密封袋上须写明：项目名称、供应商名称、项目编号。</w:t>
            </w:r>
          </w:p>
          <w:p w14:paraId="509EAB2A">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.参选文件正本和副本均需胶装成册并标明页码，不得采用活页或容易拆解的装订形式。</w:t>
            </w:r>
          </w:p>
          <w:p w14:paraId="31D65610">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4.参选文件封面的需清楚地注明“正本”或“副本”。</w:t>
            </w:r>
          </w:p>
          <w:p w14:paraId="39F22E43">
            <w:pPr>
              <w:pStyle w:val="19"/>
              <w:widowControl/>
              <w:numPr>
                <w:ilvl w:val="0"/>
                <w:numId w:val="0"/>
              </w:numPr>
              <w:spacing w:line="420" w:lineRule="exact"/>
              <w:ind w:left="0" w:leftChars="0" w:firstLine="0" w:firstLineChars="0"/>
              <w:jc w:val="both"/>
              <w:rPr>
                <w:rFonts w:hint="default"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5.参选人须在递交参选文件截止时间前，到达比选地点现场递交参选文件。</w:t>
            </w:r>
          </w:p>
        </w:tc>
      </w:tr>
      <w:tr w14:paraId="554C4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0C61447">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7DD6D78F">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媒介发布</w:t>
            </w:r>
          </w:p>
        </w:tc>
        <w:tc>
          <w:tcPr>
            <w:tcW w:w="6356" w:type="dxa"/>
            <w:tcBorders>
              <w:top w:val="single" w:color="auto" w:sz="4" w:space="0"/>
              <w:left w:val="single" w:color="auto" w:sz="4" w:space="0"/>
              <w:bottom w:val="single" w:color="auto" w:sz="4" w:space="0"/>
            </w:tcBorders>
            <w:shd w:val="clear" w:color="auto" w:fill="auto"/>
            <w:vAlign w:val="center"/>
          </w:tcPr>
          <w:p w14:paraId="59F411C5">
            <w:pPr>
              <w:keepNext w:val="0"/>
              <w:keepLines w:val="0"/>
              <w:pageBreakBefore w:val="0"/>
              <w:kinsoku/>
              <w:wordWrap/>
              <w:overflowPunct/>
              <w:topLinePunct w:val="0"/>
              <w:autoSpaceDE w:val="0"/>
              <w:autoSpaceDN w:val="0"/>
              <w:bidi w:val="0"/>
              <w:adjustRightInd w:val="0"/>
              <w:spacing w:line="420" w:lineRule="exact"/>
              <w:jc w:val="left"/>
              <w:textAlignment w:val="auto"/>
              <w:rPr>
                <w:rFonts w:hint="default" w:ascii="宋体" w:hAnsi="宋体"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14:paraId="607ED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D24BE76">
            <w:pPr>
              <w:keepNext w:val="0"/>
              <w:keepLines w:val="0"/>
              <w:pageBreakBefore w:val="0"/>
              <w:kinsoku/>
              <w:wordWrap/>
              <w:overflowPunct/>
              <w:topLinePunct w:val="0"/>
              <w:bidi w:val="0"/>
              <w:spacing w:line="42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6E34752D">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参选截止</w:t>
            </w:r>
            <w:r>
              <w:rPr>
                <w:rFonts w:hint="eastAsia" w:ascii="宋体" w:hAnsi="宋体"/>
                <w:color w:val="000000" w:themeColor="text1"/>
                <w:szCs w:val="21"/>
                <w:highlight w:val="none"/>
                <w14:textFill>
                  <w14:solidFill>
                    <w14:schemeClr w14:val="tx1"/>
                  </w14:solidFill>
                </w14:textFill>
              </w:rPr>
              <w:t>时间和地点</w:t>
            </w:r>
          </w:p>
        </w:tc>
        <w:tc>
          <w:tcPr>
            <w:tcW w:w="6356" w:type="dxa"/>
            <w:tcBorders>
              <w:top w:val="single" w:color="auto" w:sz="4" w:space="0"/>
              <w:left w:val="single" w:color="auto" w:sz="4" w:space="0"/>
              <w:bottom w:val="single" w:color="auto" w:sz="4" w:space="0"/>
            </w:tcBorders>
            <w:shd w:val="clear" w:color="auto" w:fill="auto"/>
            <w:vAlign w:val="center"/>
          </w:tcPr>
          <w:p w14:paraId="5FBC4CF8">
            <w:pPr>
              <w:spacing w:line="42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时间:2025年2月20日9时30分</w:t>
            </w:r>
          </w:p>
          <w:p w14:paraId="688FBA9A">
            <w:pPr>
              <w:spacing w:line="420" w:lineRule="exac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w:t>
            </w:r>
            <w:r>
              <w:rPr>
                <w:rFonts w:hint="eastAsia" w:ascii="宋体" w:hAnsi="宋体" w:cs="宋体"/>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color w:val="000000" w:themeColor="text1"/>
                <w:sz w:val="21"/>
                <w:szCs w:val="21"/>
                <w:highlight w:val="none"/>
                <w:lang w:val="en-US" w:eastAsia="zh-CN"/>
                <w14:textFill>
                  <w14:solidFill>
                    <w14:schemeClr w14:val="tx1"/>
                  </w14:solidFill>
                </w14:textFill>
              </w:rPr>
              <w:t>交</w:t>
            </w:r>
            <w:r>
              <w:rPr>
                <w:rFonts w:hint="eastAsia" w:ascii="宋体" w:hAnsi="宋体" w:cs="宋体"/>
                <w:color w:val="000000" w:themeColor="text1"/>
                <w:sz w:val="21"/>
                <w:szCs w:val="21"/>
                <w:highlight w:val="none"/>
                <w:lang w:val="en-US" w:eastAsia="zh-CN"/>
                <w14:textFill>
                  <w14:solidFill>
                    <w14:schemeClr w14:val="tx1"/>
                  </w14:solidFill>
                </w14:textFill>
              </w:rPr>
              <w:t>通</w:t>
            </w:r>
            <w:r>
              <w:rPr>
                <w:rFonts w:hint="eastAsia" w:ascii="宋体" w:hAnsi="宋体" w:eastAsia="宋体" w:cs="宋体"/>
                <w:color w:val="000000" w:themeColor="text1"/>
                <w:sz w:val="21"/>
                <w:szCs w:val="21"/>
                <w:highlight w:val="none"/>
                <w:lang w:val="en-US" w:eastAsia="zh-CN"/>
                <w14:textFill>
                  <w14:solidFill>
                    <w14:schemeClr w14:val="tx1"/>
                  </w14:solidFill>
                </w14:textFill>
              </w:rPr>
              <w:t>控</w:t>
            </w:r>
            <w:r>
              <w:rPr>
                <w:rFonts w:hint="eastAsia" w:ascii="宋体" w:hAnsi="宋体" w:cs="宋体"/>
                <w:color w:val="000000" w:themeColor="text1"/>
                <w:sz w:val="21"/>
                <w:szCs w:val="21"/>
                <w:highlight w:val="none"/>
                <w:lang w:val="en-US" w:eastAsia="zh-CN"/>
                <w14:textFill>
                  <w14:solidFill>
                    <w14:schemeClr w14:val="tx1"/>
                  </w14:solidFill>
                </w14:textFill>
              </w:rPr>
              <w:t>股</w:t>
            </w:r>
            <w:r>
              <w:rPr>
                <w:rFonts w:hint="eastAsia" w:ascii="宋体" w:hAnsi="宋体" w:eastAsia="宋体" w:cs="宋体"/>
                <w:color w:val="000000" w:themeColor="text1"/>
                <w:sz w:val="21"/>
                <w:szCs w:val="21"/>
                <w:highlight w:val="none"/>
                <w:lang w:val="en-US" w:eastAsia="zh-CN"/>
                <w14:textFill>
                  <w14:solidFill>
                    <w14:schemeClr w14:val="tx1"/>
                  </w14:solidFill>
                </w14:textFill>
              </w:rPr>
              <w:t>集团</w:t>
            </w:r>
            <w:r>
              <w:rPr>
                <w:rFonts w:hint="eastAsia" w:ascii="宋体" w:hAnsi="宋体" w:cs="宋体"/>
                <w:color w:val="000000" w:themeColor="text1"/>
                <w:sz w:val="21"/>
                <w:szCs w:val="21"/>
                <w:highlight w:val="none"/>
                <w:lang w:val="en-US" w:eastAsia="zh-CN"/>
                <w14:textFill>
                  <w14:solidFill>
                    <w14:schemeClr w14:val="tx1"/>
                  </w14:solidFill>
                </w14:textFill>
              </w:rPr>
              <w:t>有限公司二号楼一楼开标室</w:t>
            </w:r>
          </w:p>
        </w:tc>
      </w:tr>
      <w:tr w14:paraId="0608B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78529696">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top"/>
          </w:tcPr>
          <w:p w14:paraId="0453A136">
            <w:pPr>
              <w:keepNext w:val="0"/>
              <w:keepLines w:val="0"/>
              <w:pageBreakBefore w:val="0"/>
              <w:kinsoku/>
              <w:wordWrap/>
              <w:overflowPunct/>
              <w:topLinePunct w:val="0"/>
              <w:bidi w:val="0"/>
              <w:spacing w:line="420" w:lineRule="exact"/>
              <w:jc w:val="center"/>
              <w:textAlignment w:val="auto"/>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6356" w:type="dxa"/>
            <w:tcBorders>
              <w:top w:val="single" w:color="auto" w:sz="4" w:space="0"/>
              <w:left w:val="single" w:color="auto" w:sz="4" w:space="0"/>
              <w:bottom w:val="single" w:color="auto" w:sz="4" w:space="0"/>
            </w:tcBorders>
            <w:shd w:val="clear" w:color="auto" w:fill="auto"/>
            <w:vAlign w:val="center"/>
          </w:tcPr>
          <w:p w14:paraId="2BE2A678">
            <w:pPr>
              <w:keepNext w:val="0"/>
              <w:keepLines w:val="0"/>
              <w:pageBreakBefore w:val="0"/>
              <w:kinsoku/>
              <w:wordWrap/>
              <w:overflowPunct/>
              <w:topLinePunct w:val="0"/>
              <w:bidi w:val="0"/>
              <w:spacing w:line="420" w:lineRule="exact"/>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Times New Roman" w:eastAsia="宋体" w:cs="Times New Roman"/>
                <w:szCs w:val="21"/>
                <w:highlight w:val="none"/>
                <w:lang w:val="en-US" w:eastAsia="zh-CN"/>
              </w:rPr>
              <w:t>最低</w:t>
            </w:r>
            <w:r>
              <w:rPr>
                <w:rFonts w:hint="eastAsia" w:ascii="宋体" w:cs="Times New Roman"/>
                <w:szCs w:val="21"/>
                <w:highlight w:val="none"/>
                <w:lang w:val="en-US" w:eastAsia="zh-CN"/>
              </w:rPr>
              <w:t>投</w:t>
            </w:r>
            <w:r>
              <w:rPr>
                <w:rFonts w:hint="eastAsia" w:ascii="宋体" w:hAnsi="Times New Roman" w:eastAsia="宋体" w:cs="Times New Roman"/>
                <w:szCs w:val="21"/>
                <w:highlight w:val="none"/>
                <w:lang w:val="en-US" w:eastAsia="zh-CN"/>
              </w:rPr>
              <w:t>标价法</w:t>
            </w:r>
          </w:p>
        </w:tc>
      </w:tr>
      <w:tr w14:paraId="611F4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2CCB0C1">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6</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20FBF721">
            <w:pPr>
              <w:keepNext w:val="0"/>
              <w:keepLines w:val="0"/>
              <w:pageBreakBefore w:val="0"/>
              <w:kinsoku/>
              <w:wordWrap/>
              <w:overflowPunct/>
              <w:topLinePunct w:val="0"/>
              <w:bidi w:val="0"/>
              <w:spacing w:line="420" w:lineRule="exact"/>
              <w:jc w:val="center"/>
              <w:textAlignment w:val="auto"/>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shd w:val="clear" w:color="auto" w:fill="auto"/>
            <w:vAlign w:val="center"/>
          </w:tcPr>
          <w:p w14:paraId="202B6661">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本项目不收取</w:t>
            </w:r>
          </w:p>
        </w:tc>
      </w:tr>
      <w:tr w14:paraId="535E2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04441CF">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top"/>
          </w:tcPr>
          <w:p w14:paraId="3A14FC0E">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专家评审费（元）</w:t>
            </w:r>
          </w:p>
        </w:tc>
        <w:tc>
          <w:tcPr>
            <w:tcW w:w="6356" w:type="dxa"/>
            <w:tcBorders>
              <w:top w:val="single" w:color="auto" w:sz="4" w:space="0"/>
              <w:left w:val="single" w:color="auto" w:sz="4" w:space="0"/>
              <w:bottom w:val="single" w:color="auto" w:sz="4" w:space="0"/>
            </w:tcBorders>
            <w:shd w:val="clear" w:color="auto" w:fill="auto"/>
            <w:vAlign w:val="center"/>
          </w:tcPr>
          <w:p w14:paraId="34501D65">
            <w:pPr>
              <w:keepNext w:val="0"/>
              <w:keepLines w:val="0"/>
              <w:pageBreakBefore w:val="0"/>
              <w:kinsoku/>
              <w:wordWrap/>
              <w:overflowPunct/>
              <w:topLinePunct w:val="0"/>
              <w:bidi w:val="0"/>
              <w:spacing w:line="420" w:lineRule="exact"/>
              <w:textAlignment w:val="auto"/>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szCs w:val="21"/>
                <w:highlight w:val="none"/>
                <w:lang w:val="en-US" w:eastAsia="zh-CN"/>
              </w:rPr>
              <w:t>由成交人承担</w:t>
            </w:r>
          </w:p>
        </w:tc>
      </w:tr>
      <w:tr w14:paraId="4755F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0DD51A8">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18</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542B9354">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付款方式</w:t>
            </w:r>
          </w:p>
        </w:tc>
        <w:tc>
          <w:tcPr>
            <w:tcW w:w="6356" w:type="dxa"/>
            <w:tcBorders>
              <w:top w:val="single" w:color="auto" w:sz="4" w:space="0"/>
              <w:left w:val="single" w:color="auto" w:sz="4" w:space="0"/>
              <w:bottom w:val="single" w:color="auto" w:sz="4" w:space="0"/>
            </w:tcBorders>
            <w:shd w:val="clear" w:color="auto" w:fill="auto"/>
            <w:vAlign w:val="center"/>
          </w:tcPr>
          <w:p w14:paraId="60887F9C">
            <w:pPr>
              <w:spacing w:line="36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维保费分期支付，每季度结束后10日内支付上一期维保费用。采购人付款前，成交人应向采购人开具等额有效的增值税发票，采购人未收到发票的，有权不予支付相应款项直至成交人提供合格发票，并不承担延迟付款责任。</w:t>
            </w:r>
          </w:p>
        </w:tc>
      </w:tr>
      <w:tr w14:paraId="21CAC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632221C">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19</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219495AA">
            <w:pPr>
              <w:keepNext w:val="0"/>
              <w:keepLines w:val="0"/>
              <w:pageBreakBefore w:val="0"/>
              <w:kinsoku/>
              <w:wordWrap/>
              <w:overflowPunct/>
              <w:topLinePunct w:val="0"/>
              <w:bidi w:val="0"/>
              <w:spacing w:line="420" w:lineRule="exact"/>
              <w:jc w:val="center"/>
              <w:textAlignment w:val="auto"/>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报价要求</w:t>
            </w:r>
          </w:p>
        </w:tc>
        <w:tc>
          <w:tcPr>
            <w:tcW w:w="6356" w:type="dxa"/>
            <w:tcBorders>
              <w:top w:val="single" w:color="auto" w:sz="4" w:space="0"/>
              <w:left w:val="single" w:color="auto" w:sz="4" w:space="0"/>
              <w:bottom w:val="single" w:color="auto" w:sz="4" w:space="0"/>
            </w:tcBorders>
            <w:shd w:val="clear" w:color="auto" w:fill="auto"/>
            <w:vAlign w:val="center"/>
          </w:tcPr>
          <w:p w14:paraId="578E464F">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1、报价应含参选人完成本项目所有工作内容。</w:t>
            </w:r>
          </w:p>
          <w:p w14:paraId="4BDBA2E4">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2、为完成本比选文件规定的义务，参选人认为有必要计入的其它费用。</w:t>
            </w:r>
          </w:p>
          <w:p w14:paraId="1F77AB44">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3、开具增值税专用发票。</w:t>
            </w:r>
          </w:p>
        </w:tc>
      </w:tr>
      <w:tr w14:paraId="715BC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65AC7D4">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20</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7FAF08A1">
            <w:pPr>
              <w:keepNext w:val="0"/>
              <w:keepLines w:val="0"/>
              <w:pageBreakBefore w:val="0"/>
              <w:kinsoku/>
              <w:wordWrap/>
              <w:overflowPunct/>
              <w:topLinePunct w:val="0"/>
              <w:bidi w:val="0"/>
              <w:spacing w:line="420" w:lineRule="exact"/>
              <w:jc w:val="center"/>
              <w:textAlignment w:val="auto"/>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6356" w:type="dxa"/>
            <w:tcBorders>
              <w:top w:val="single" w:color="auto" w:sz="4" w:space="0"/>
              <w:left w:val="single" w:color="auto" w:sz="4" w:space="0"/>
              <w:bottom w:val="single" w:color="auto" w:sz="4" w:space="0"/>
            </w:tcBorders>
            <w:shd w:val="clear" w:color="auto" w:fill="auto"/>
            <w:vAlign w:val="center"/>
          </w:tcPr>
          <w:p w14:paraId="45B761A9">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本比选文件的解释权归</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单位。</w:t>
            </w:r>
          </w:p>
          <w:p w14:paraId="69BCE38F">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必须具有</w:t>
            </w:r>
            <w:r>
              <w:rPr>
                <w:rFonts w:hint="eastAsia" w:ascii="宋体" w:hAnsi="宋体" w:eastAsia="宋体" w:cs="宋体"/>
                <w:color w:val="000000" w:themeColor="text1"/>
                <w:sz w:val="21"/>
                <w:szCs w:val="21"/>
                <w:highlight w:val="none"/>
                <w14:textFill>
                  <w14:solidFill>
                    <w14:schemeClr w14:val="tx1"/>
                  </w14:solidFill>
                </w14:textFill>
              </w:rPr>
              <w:t>相应资质，</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不得委托或分包</w:t>
            </w:r>
            <w:r>
              <w:rPr>
                <w:rFonts w:hint="eastAsia" w:ascii="宋体" w:hAnsi="宋体" w:eastAsia="宋体" w:cs="宋体"/>
                <w:color w:val="000000" w:themeColor="text1"/>
                <w:sz w:val="21"/>
                <w:szCs w:val="21"/>
                <w:highlight w:val="none"/>
                <w14:textFill>
                  <w14:solidFill>
                    <w14:schemeClr w14:val="tx1"/>
                  </w14:solidFill>
                </w14:textFill>
              </w:rPr>
              <w:t>。</w:t>
            </w:r>
          </w:p>
          <w:p w14:paraId="64D00E0D">
            <w:pPr>
              <w:spacing w:line="420" w:lineRule="exac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auto"/>
                <w:kern w:val="2"/>
                <w:sz w:val="21"/>
                <w:highlight w:val="none"/>
                <w:lang w:val="en-US" w:eastAsia="zh-CN" w:bidi="ar-SA"/>
              </w:rPr>
              <w:t>本次采购管理部门为安庆市交通控股集团有限公司集采中心，</w:t>
            </w:r>
            <w:r>
              <w:rPr>
                <w:rFonts w:hint="eastAsia" w:ascii="宋体" w:hAnsi="宋体" w:cs="宋体"/>
                <w:color w:val="000000" w:themeColor="text1"/>
                <w:sz w:val="21"/>
                <w:szCs w:val="21"/>
                <w:highlight w:val="none"/>
                <w:lang w:val="en-US" w:eastAsia="zh-CN"/>
                <w14:textFill>
                  <w14:solidFill>
                    <w14:schemeClr w14:val="tx1"/>
                  </w14:solidFill>
                </w14:textFill>
              </w:rPr>
              <w:t>具体合同签订</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主体为</w:t>
            </w:r>
            <w:r>
              <w:rPr>
                <w:rFonts w:hint="eastAsia" w:ascii="宋体" w:hAnsi="宋体" w:cs="宋体"/>
                <w:color w:val="000000" w:themeColor="text1"/>
                <w:sz w:val="21"/>
                <w:szCs w:val="21"/>
                <w:highlight w:val="none"/>
                <w:lang w:val="en-US" w:eastAsia="zh-CN"/>
                <w14:textFill>
                  <w14:solidFill>
                    <w14:schemeClr w14:val="tx1"/>
                  </w14:solidFill>
                </w14:textFill>
              </w:rPr>
              <w:t>安庆市通和深龙城市运营服务有限公司，特此说明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14:paraId="47CEA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445A291B">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21</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47EDCA3E">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73964167">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凡有意参加</w:t>
            </w:r>
            <w:r>
              <w:rPr>
                <w:rFonts w:hint="eastAsia"/>
                <w:color w:val="000000" w:themeColor="text1"/>
                <w:highlight w:val="none"/>
                <w:lang w:val="en-US" w:eastAsia="zh-CN"/>
                <w14:textFill>
                  <w14:solidFill>
                    <w14:schemeClr w14:val="tx1"/>
                  </w14:solidFill>
                </w14:textFill>
              </w:rPr>
              <w:t>比选</w:t>
            </w:r>
            <w:r>
              <w:rPr>
                <w:rFonts w:hint="eastAsia"/>
                <w:color w:val="000000" w:themeColor="text1"/>
                <w:highlight w:val="none"/>
                <w14:textFill>
                  <w14:solidFill>
                    <w14:schemeClr w14:val="tx1"/>
                  </w14:solidFill>
                </w14:textFill>
              </w:rPr>
              <w:t>的单位，在参与过程中，遇排斥潜在</w:t>
            </w:r>
            <w:r>
              <w:rPr>
                <w:rFonts w:hint="eastAsia"/>
                <w:color w:val="000000" w:themeColor="text1"/>
                <w:highlight w:val="none"/>
                <w:lang w:val="en-US" w:eastAsia="zh-CN"/>
                <w14:textFill>
                  <w14:solidFill>
                    <w14:schemeClr w14:val="tx1"/>
                  </w14:solidFill>
                </w14:textFill>
              </w:rPr>
              <w:t>参选</w:t>
            </w:r>
            <w:r>
              <w:rPr>
                <w:rFonts w:hint="eastAsia"/>
                <w:color w:val="000000" w:themeColor="text1"/>
                <w:highlight w:val="none"/>
                <w14:textFill>
                  <w14:solidFill>
                    <w14:schemeClr w14:val="tx1"/>
                  </w14:solidFill>
                </w14:textFill>
              </w:rPr>
              <w:t>人等现象，可在开标截止时间1日前向</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部门提出书面质疑。如对质疑答复不满，可在开标截止时间前不少于12小时将书面投诉材料送达至监察部门。</w:t>
            </w:r>
          </w:p>
          <w:p w14:paraId="526C423B">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地址：安庆市交通控股集团有限公司纪检监察室</w:t>
            </w:r>
          </w:p>
          <w:p w14:paraId="41CE0D76">
            <w:pPr>
              <w:spacing w:line="420" w:lineRule="exact"/>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电话：0556-5595102。</w:t>
            </w:r>
          </w:p>
        </w:tc>
      </w:tr>
    </w:tbl>
    <w:p w14:paraId="0193B95A">
      <w:pPr>
        <w:rPr>
          <w:rFonts w:ascii="宋体" w:hAnsi="宋体"/>
          <w:color w:val="000000" w:themeColor="text1"/>
          <w:kern w:val="0"/>
          <w:highlight w:val="none"/>
          <w:lang w:val="zh-CN"/>
          <w14:textFill>
            <w14:solidFill>
              <w14:schemeClr w14:val="tx1"/>
            </w14:solidFill>
          </w14:textFill>
        </w:rPr>
      </w:pPr>
      <w:bookmarkStart w:id="23" w:name="_Toc439316872"/>
      <w:r>
        <w:rPr>
          <w:color w:val="000000" w:themeColor="text1"/>
          <w:kern w:val="0"/>
          <w:highlight w:val="none"/>
          <w:lang w:val="zh-CN"/>
          <w14:textFill>
            <w14:solidFill>
              <w14:schemeClr w14:val="tx1"/>
            </w14:solidFill>
          </w14:textFill>
        </w:rPr>
        <w:br w:type="page"/>
      </w:r>
    </w:p>
    <w:bookmarkEnd w:id="23"/>
    <w:p w14:paraId="5DD3EF96">
      <w:pPr>
        <w:keepNext/>
        <w:keepLines/>
        <w:autoSpaceDE w:val="0"/>
        <w:autoSpaceDN w:val="0"/>
        <w:adjustRightInd w:val="0"/>
        <w:spacing w:before="120" w:line="360" w:lineRule="auto"/>
        <w:jc w:val="center"/>
        <w:outlineLvl w:val="1"/>
        <w:rPr>
          <w:rFonts w:ascii="Arial" w:hAnsi="Arial" w:eastAsia="宋体" w:cs="Times New Roman"/>
          <w:b/>
          <w:kern w:val="0"/>
          <w:sz w:val="32"/>
        </w:rPr>
      </w:pPr>
      <w:bookmarkStart w:id="24" w:name="_Toc4481592"/>
      <w:bookmarkStart w:id="25" w:name="_Toc28310"/>
      <w:r>
        <w:rPr>
          <w:rFonts w:hint="eastAsia" w:ascii="Arial" w:hAnsi="Arial" w:eastAsia="宋体" w:cs="Times New Roman"/>
          <w:b/>
          <w:kern w:val="0"/>
          <w:sz w:val="32"/>
        </w:rPr>
        <w:t>（二）总则</w:t>
      </w:r>
      <w:bookmarkEnd w:id="24"/>
    </w:p>
    <w:p w14:paraId="2C8BF6C0">
      <w:pPr>
        <w:spacing w:line="500" w:lineRule="exact"/>
        <w:ind w:firstLine="422" w:firstLineChars="200"/>
        <w:rPr>
          <w:rFonts w:ascii="宋体" w:hAnsi="宋体" w:eastAsia="宋体" w:cs="Times New Roman"/>
          <w:b/>
          <w:szCs w:val="21"/>
        </w:rPr>
      </w:pPr>
      <w:r>
        <w:rPr>
          <w:rFonts w:hint="eastAsia" w:ascii="宋体" w:hAnsi="宋体" w:eastAsia="宋体" w:cs="Times New Roman"/>
          <w:b/>
          <w:szCs w:val="21"/>
        </w:rPr>
        <w:t>1、定义</w:t>
      </w:r>
    </w:p>
    <w:p w14:paraId="2FC5D9F6">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1.1、采购单位是指采购人和采购管理部门。</w:t>
      </w:r>
    </w:p>
    <w:p w14:paraId="27A85B46">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1.2、参选人是指对“参选人须知前附表”序号2所指的项目表现出兴趣，按照规定的程序，从采购单位获取了比选文件，并实际参与了该项目投标活动的供应商。</w:t>
      </w:r>
    </w:p>
    <w:p w14:paraId="6749A784">
      <w:pPr>
        <w:spacing w:line="500" w:lineRule="exact"/>
        <w:ind w:firstLine="422" w:firstLineChars="200"/>
        <w:rPr>
          <w:rFonts w:ascii="宋体" w:hAnsi="宋体" w:eastAsia="宋体" w:cs="Times New Roman"/>
          <w:b/>
          <w:szCs w:val="21"/>
        </w:rPr>
      </w:pPr>
      <w:r>
        <w:rPr>
          <w:rFonts w:hint="eastAsia" w:ascii="宋体" w:hAnsi="宋体" w:eastAsia="宋体" w:cs="Times New Roman"/>
          <w:b/>
          <w:szCs w:val="21"/>
        </w:rPr>
        <w:t>2、参选人资格要求</w:t>
      </w:r>
    </w:p>
    <w:p w14:paraId="4FDDDD9F">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2.1、参与本项目的参选人必须满足的要求：详见参选人须知前附表。</w:t>
      </w:r>
    </w:p>
    <w:p w14:paraId="72BA688C">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2.2、参选人之间如果存在下列情形之一的，不得同时参加同一包别或者不分包别的同一项目投标：</w:t>
      </w:r>
    </w:p>
    <w:p w14:paraId="49DC5B64">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（1）法定代表人为同一个人的两个及两个以上法人；</w:t>
      </w:r>
    </w:p>
    <w:p w14:paraId="1B14676D">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（2）母公司、全资子公司及其控股公司；</w:t>
      </w:r>
    </w:p>
    <w:p w14:paraId="292DF0BA">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（3）法律和行政法规规定的其他情形。</w:t>
      </w:r>
    </w:p>
    <w:p w14:paraId="5D967835">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2.3、参选人必须确保自己信息真实、准确，否则，参选人因此蒙受损失，采购单位概不负责。</w:t>
      </w:r>
    </w:p>
    <w:p w14:paraId="783A6FC2">
      <w:pPr>
        <w:adjustRightInd w:val="0"/>
        <w:spacing w:line="500" w:lineRule="exact"/>
        <w:ind w:firstLine="413" w:firstLineChars="196"/>
        <w:rPr>
          <w:rFonts w:ascii="宋体" w:hAnsi="宋体" w:eastAsia="宋体" w:cs="Times New Roman"/>
          <w:b/>
          <w:szCs w:val="21"/>
        </w:rPr>
      </w:pPr>
      <w:r>
        <w:rPr>
          <w:rFonts w:hint="eastAsia" w:ascii="宋体" w:hAnsi="宋体" w:eastAsia="宋体" w:cs="Times New Roman"/>
          <w:b/>
          <w:szCs w:val="21"/>
        </w:rPr>
        <w:t>3、联合体投标</w:t>
      </w:r>
    </w:p>
    <w:p w14:paraId="040E5F7E">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本项目不接受联合体</w:t>
      </w:r>
    </w:p>
    <w:p w14:paraId="37AD0EFC">
      <w:pPr>
        <w:adjustRightInd w:val="0"/>
        <w:spacing w:line="500" w:lineRule="exact"/>
        <w:ind w:firstLine="413" w:firstLineChars="196"/>
        <w:rPr>
          <w:rFonts w:ascii="宋体" w:hAnsi="宋体" w:eastAsia="宋体" w:cs="Times New Roman"/>
          <w:bCs/>
          <w:szCs w:val="21"/>
        </w:rPr>
      </w:pPr>
      <w:r>
        <w:rPr>
          <w:rFonts w:hint="eastAsia" w:ascii="宋体" w:hAnsi="宋体" w:eastAsia="宋体" w:cs="Times New Roman"/>
          <w:b/>
          <w:szCs w:val="21"/>
        </w:rPr>
        <w:t>4、比选费用：</w:t>
      </w:r>
      <w:r>
        <w:rPr>
          <w:rFonts w:hint="eastAsia" w:ascii="宋体" w:hAnsi="宋体" w:eastAsia="宋体" w:cs="Times New Roman"/>
          <w:bCs/>
          <w:szCs w:val="21"/>
        </w:rPr>
        <w:t>参选人必须自行承担参加比选的所有费用。不论中标与否，采购单位在任何情况下均无义务和责任承担这些费用。</w:t>
      </w:r>
    </w:p>
    <w:p w14:paraId="3DE30F75">
      <w:pPr>
        <w:widowControl/>
        <w:spacing w:line="500" w:lineRule="exact"/>
        <w:ind w:firstLine="422" w:firstLineChars="200"/>
        <w:jc w:val="left"/>
        <w:rPr>
          <w:rFonts w:ascii="宋体" w:hAnsi="宋体" w:eastAsia="宋体" w:cs="Times New Roman"/>
          <w:b/>
          <w:szCs w:val="21"/>
        </w:rPr>
      </w:pPr>
      <w:r>
        <w:rPr>
          <w:rFonts w:hint="eastAsia" w:ascii="宋体" w:hAnsi="宋体" w:eastAsia="宋体" w:cs="Times New Roman"/>
          <w:b/>
          <w:szCs w:val="21"/>
        </w:rPr>
        <w:t>5、参选人有以下情形不得参与本次投标活动</w:t>
      </w:r>
    </w:p>
    <w:p w14:paraId="551A0B1E">
      <w:pPr>
        <w:widowControl/>
        <w:spacing w:line="500" w:lineRule="exact"/>
        <w:ind w:firstLine="420" w:firstLineChars="200"/>
        <w:jc w:val="left"/>
        <w:rPr>
          <w:rFonts w:ascii="宋体" w:hAnsi="宋体" w:eastAsia="宋体" w:cs="Times New Roman"/>
          <w:bCs/>
          <w:szCs w:val="21"/>
        </w:rPr>
      </w:pPr>
      <w:r>
        <w:rPr>
          <w:rFonts w:hint="eastAsia" w:ascii="宋体" w:hAnsi="宋体" w:eastAsia="宋体" w:cs="Times New Roman"/>
          <w:bCs/>
          <w:szCs w:val="21"/>
        </w:rPr>
        <w:t>5.1被列入安庆市交通控股集团有限公司黑名单管理系统。</w:t>
      </w:r>
    </w:p>
    <w:p w14:paraId="5828FBA5">
      <w:pPr>
        <w:widowControl/>
        <w:spacing w:line="500" w:lineRule="exact"/>
        <w:ind w:firstLine="420" w:firstLineChars="200"/>
        <w:jc w:val="left"/>
        <w:rPr>
          <w:rFonts w:ascii="宋体" w:hAnsi="宋体" w:eastAsia="宋体" w:cs="Times New Roman"/>
          <w:bCs/>
          <w:szCs w:val="21"/>
        </w:rPr>
      </w:pPr>
      <w:r>
        <w:rPr>
          <w:rFonts w:hint="eastAsia" w:ascii="宋体" w:hAnsi="宋体" w:eastAsia="宋体" w:cs="Times New Roman"/>
          <w:bCs/>
          <w:szCs w:val="21"/>
        </w:rPr>
        <w:t>5.2在安庆市交通控股集团有限公司处罚限制期限内的投标人。</w:t>
      </w:r>
    </w:p>
    <w:p w14:paraId="7882E286">
      <w:pPr>
        <w:widowControl/>
        <w:spacing w:line="500" w:lineRule="exact"/>
        <w:ind w:firstLine="420" w:firstLineChars="200"/>
        <w:jc w:val="left"/>
        <w:rPr>
          <w:rFonts w:ascii="宋体" w:hAnsi="宋体" w:eastAsia="宋体" w:cs="Times New Roman"/>
          <w:bCs/>
          <w:szCs w:val="21"/>
        </w:rPr>
      </w:pPr>
      <w:r>
        <w:rPr>
          <w:rFonts w:hint="eastAsia" w:ascii="宋体" w:hAnsi="宋体" w:eastAsia="宋体" w:cs="Times New Roman"/>
          <w:bCs/>
          <w:szCs w:val="21"/>
        </w:rPr>
        <w:t>5.3前期参与安庆市交通控股集团有限公司组织的招标采购活动获得中标候选人资格而放弃中标资格不签订合同的投标人，在处罚期内的投标人不得参与本次投标活动。</w:t>
      </w:r>
    </w:p>
    <w:p w14:paraId="30B7D7E1">
      <w:pPr>
        <w:widowControl/>
        <w:spacing w:line="500" w:lineRule="exact"/>
        <w:ind w:firstLine="420" w:firstLineChars="200"/>
        <w:jc w:val="left"/>
        <w:rPr>
          <w:rFonts w:ascii="宋体" w:hAnsi="宋体" w:eastAsia="宋体" w:cs="Times New Roman"/>
          <w:bCs/>
          <w:szCs w:val="21"/>
        </w:rPr>
      </w:pPr>
    </w:p>
    <w:p w14:paraId="5FBB5C4B">
      <w:pPr>
        <w:keepNext/>
        <w:keepLines/>
        <w:autoSpaceDE w:val="0"/>
        <w:autoSpaceDN w:val="0"/>
        <w:adjustRightInd w:val="0"/>
        <w:spacing w:before="120" w:line="360" w:lineRule="auto"/>
        <w:jc w:val="center"/>
        <w:outlineLvl w:val="1"/>
        <w:rPr>
          <w:rFonts w:ascii="Arial" w:hAnsi="Arial" w:eastAsia="宋体" w:cs="Times New Roman"/>
          <w:b/>
          <w:kern w:val="0"/>
          <w:sz w:val="32"/>
        </w:rPr>
      </w:pPr>
      <w:bookmarkStart w:id="26" w:name="_Toc4481593"/>
      <w:bookmarkStart w:id="27" w:name="_Toc479622044"/>
      <w:bookmarkStart w:id="28" w:name="_Toc8536"/>
      <w:r>
        <w:rPr>
          <w:rFonts w:hint="eastAsia" w:ascii="Arial" w:hAnsi="Arial" w:eastAsia="宋体" w:cs="Times New Roman"/>
          <w:b/>
          <w:kern w:val="0"/>
          <w:sz w:val="32"/>
        </w:rPr>
        <w:t>（三）</w:t>
      </w:r>
      <w:bookmarkEnd w:id="26"/>
      <w:bookmarkEnd w:id="27"/>
      <w:bookmarkEnd w:id="28"/>
      <w:r>
        <w:rPr>
          <w:rFonts w:hint="eastAsia" w:ascii="Arial" w:hAnsi="Arial" w:eastAsia="宋体" w:cs="Times New Roman"/>
          <w:b/>
          <w:kern w:val="0"/>
          <w:sz w:val="32"/>
        </w:rPr>
        <w:t>比选文件</w:t>
      </w:r>
    </w:p>
    <w:p w14:paraId="233C074E">
      <w:pPr>
        <w:spacing w:line="500" w:lineRule="exact"/>
        <w:ind w:firstLine="422" w:firstLineChars="200"/>
        <w:rPr>
          <w:rFonts w:ascii="宋体" w:hAnsi="宋体" w:eastAsia="宋体" w:cs="Times New Roman"/>
          <w:b/>
          <w:szCs w:val="21"/>
        </w:rPr>
      </w:pPr>
      <w:r>
        <w:rPr>
          <w:rFonts w:hint="eastAsia" w:ascii="宋体" w:hAnsi="宋体" w:eastAsia="宋体" w:cs="Times New Roman"/>
          <w:b/>
          <w:szCs w:val="21"/>
        </w:rPr>
        <w:t>6、比选文件的构成</w:t>
      </w:r>
    </w:p>
    <w:p w14:paraId="112FAC39">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6.1、比选文件包括：</w:t>
      </w:r>
    </w:p>
    <w:p w14:paraId="00179B96">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（1）第一章  比选公告；</w:t>
      </w:r>
    </w:p>
    <w:p w14:paraId="7045A827">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（2）第二章  参选人须知；</w:t>
      </w:r>
    </w:p>
    <w:p w14:paraId="53C97909">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（3）第三章  </w:t>
      </w:r>
      <w:r>
        <w:rPr>
          <w:rFonts w:hint="eastAsia" w:ascii="宋体" w:hAnsi="宋体" w:eastAsia="宋体" w:cs="Times New Roman"/>
          <w:szCs w:val="21"/>
          <w:lang w:eastAsia="zh-CN"/>
        </w:rPr>
        <w:t>服务及技术要求</w:t>
      </w:r>
      <w:r>
        <w:rPr>
          <w:rFonts w:hint="eastAsia" w:ascii="宋体" w:hAnsi="宋体" w:eastAsia="宋体" w:cs="Times New Roman"/>
          <w:szCs w:val="21"/>
        </w:rPr>
        <w:t>；</w:t>
      </w:r>
    </w:p>
    <w:p w14:paraId="460B338A">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（4）第四章</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合同主要条款；</w:t>
      </w:r>
    </w:p>
    <w:p w14:paraId="7A7AC01C">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（5）第五章  参选文件格式。</w:t>
      </w:r>
    </w:p>
    <w:p w14:paraId="1F77955A">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6.2、参选人应认真阅读和充分理解比选文件中所有的内容。如果参选人没有满足比选文件的有关要求，其风险由参选人自行承担。</w:t>
      </w:r>
    </w:p>
    <w:p w14:paraId="12FBF648">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6.3、参选人获取比选文件后，应仔细阅读比选文件的所有内容，如有残缺、文本不清晰、表述不一致等问题应在获得比选文件3 日内向采购单位提出，否则，由此引起的一切损失和后果由参选人自行承担。参选人同时应认真审阅比选文件中所有的事项、格式、条款和规范要求等，若参选人的参选文件没有按比选文件要求提交全部资料及自己理解产生的误差，其风险由参选人自行承担，并根据有关条款规定，该投标有可能被拒绝。</w:t>
      </w:r>
    </w:p>
    <w:p w14:paraId="1EB0D66E">
      <w:pPr>
        <w:spacing w:line="500" w:lineRule="exact"/>
        <w:ind w:firstLine="422" w:firstLineChars="200"/>
        <w:rPr>
          <w:rFonts w:ascii="宋体" w:hAnsi="宋体" w:eastAsia="宋体" w:cs="Times New Roman"/>
          <w:b/>
          <w:szCs w:val="21"/>
        </w:rPr>
      </w:pPr>
      <w:r>
        <w:rPr>
          <w:rFonts w:hint="eastAsia" w:ascii="宋体" w:hAnsi="宋体" w:eastAsia="宋体" w:cs="Times New Roman"/>
          <w:b/>
          <w:szCs w:val="21"/>
        </w:rPr>
        <w:t>7、比选文件的澄清</w:t>
      </w:r>
    </w:p>
    <w:p w14:paraId="2754D23C">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7.1、参选人可以要求采购单位对比选文件中的有关问题进行答疑或澄清。</w:t>
      </w:r>
    </w:p>
    <w:p w14:paraId="4DAF5010">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7.2、参选人对比选文件如有异议，应在投标截止日期前向采购单位提出。</w:t>
      </w:r>
    </w:p>
    <w:p w14:paraId="696A9E50">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7.3、如果参选人未在规定的时间内对比选文件有关条款提出异议，则视为充分理解比选文件所有内容。一旦提交参选文件，则认为该参选人接受比选文件的所有条款。</w:t>
      </w:r>
    </w:p>
    <w:p w14:paraId="0CCBAC94">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7.4、采购单位对在规定时间收到的且需要做出澄清的问题，将以8款所述方式进行答复，但不说明问题的来源。</w:t>
      </w:r>
    </w:p>
    <w:p w14:paraId="1FC94D1E">
      <w:pPr>
        <w:spacing w:line="500" w:lineRule="exact"/>
        <w:ind w:firstLine="422" w:firstLineChars="200"/>
        <w:rPr>
          <w:rFonts w:ascii="宋体" w:hAnsi="宋体" w:eastAsia="宋体" w:cs="Times New Roman"/>
          <w:b/>
          <w:szCs w:val="21"/>
        </w:rPr>
      </w:pPr>
      <w:r>
        <w:rPr>
          <w:rFonts w:hint="eastAsia" w:ascii="宋体" w:hAnsi="宋体" w:eastAsia="宋体" w:cs="Times New Roman"/>
          <w:b/>
          <w:szCs w:val="21"/>
        </w:rPr>
        <w:t>8、比选文件的修改</w:t>
      </w:r>
    </w:p>
    <w:p w14:paraId="3A98FB9C">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8.1、采购单位可以对比选文件进行修改。</w:t>
      </w:r>
    </w:p>
    <w:p w14:paraId="33B4C9A5">
      <w:pPr>
        <w:spacing w:line="500" w:lineRule="exact"/>
        <w:ind w:firstLine="422" w:firstLineChars="200"/>
        <w:rPr>
          <w:rFonts w:ascii="宋体" w:hAnsi="宋体" w:eastAsia="宋体" w:cs="Times New Roman"/>
          <w:b/>
          <w:bCs/>
          <w:szCs w:val="21"/>
        </w:rPr>
      </w:pPr>
      <w:r>
        <w:rPr>
          <w:rFonts w:hint="eastAsia" w:ascii="宋体" w:hAnsi="宋体" w:eastAsia="宋体" w:cs="Times New Roman"/>
          <w:b/>
          <w:bCs/>
          <w:szCs w:val="21"/>
        </w:rPr>
        <w:t>8.2、采购单位对参选人异议的答复和对比选文件的</w:t>
      </w:r>
      <w:r>
        <w:rPr>
          <w:rFonts w:ascii="宋体" w:hAnsi="宋体" w:eastAsia="宋体" w:cs="Times New Roman"/>
          <w:b/>
          <w:bCs/>
          <w:szCs w:val="21"/>
        </w:rPr>
        <w:t>澄</w:t>
      </w:r>
      <w:r>
        <w:rPr>
          <w:rFonts w:hint="eastAsia" w:ascii="宋体" w:hAnsi="宋体" w:eastAsia="宋体" w:cs="Times New Roman"/>
          <w:b/>
          <w:bCs/>
          <w:szCs w:val="21"/>
        </w:rPr>
        <w:t>清、修改、补充说明等内容均通过安庆市交通控股集团有限公司集采平台（http：//jc.zh0556.com/）招标采购栏目发布，该修改内容作为比选文件的组成部分，具有约束作用。</w:t>
      </w:r>
    </w:p>
    <w:p w14:paraId="74071788">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8.3、</w:t>
      </w:r>
      <w:bookmarkStart w:id="29" w:name="_Toc9821"/>
      <w:r>
        <w:rPr>
          <w:rFonts w:hint="eastAsia" w:ascii="宋体" w:hAnsi="宋体" w:eastAsia="宋体" w:cs="Times New Roman"/>
          <w:szCs w:val="21"/>
        </w:rPr>
        <w:t>当比选文件与对比选文件的澄清、修改、补充等在同一内容的表述上不一致时，以最后发出的为准。</w:t>
      </w:r>
    </w:p>
    <w:p w14:paraId="5199B9BE">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8.4、为使参选人有充分时间对比选文件的澄清、修改、补充部分进行研究，或是由于其他原因，采购单位可以决定顺延投标截止时间，具体时间通过</w:t>
      </w:r>
      <w:r>
        <w:rPr>
          <w:rFonts w:hint="eastAsia" w:ascii="宋体" w:hAnsi="宋体" w:eastAsia="宋体" w:cs="宋体"/>
          <w:szCs w:val="21"/>
        </w:rPr>
        <w:t>安庆市交通控股集团有限公司集采平台网站发布</w:t>
      </w:r>
      <w:r>
        <w:rPr>
          <w:rFonts w:hint="eastAsia" w:ascii="宋体" w:hAnsi="宋体" w:eastAsia="宋体" w:cs="Times New Roman"/>
          <w:szCs w:val="21"/>
        </w:rPr>
        <w:t>。</w:t>
      </w:r>
    </w:p>
    <w:bookmarkEnd w:id="29"/>
    <w:p w14:paraId="6D25D958">
      <w:pPr>
        <w:spacing w:line="500" w:lineRule="exact"/>
        <w:ind w:firstLine="422" w:firstLineChars="200"/>
        <w:rPr>
          <w:rFonts w:ascii="宋体" w:hAnsi="宋体" w:eastAsia="宋体" w:cs="Times New Roman"/>
          <w:b/>
          <w:szCs w:val="21"/>
        </w:rPr>
      </w:pPr>
      <w:r>
        <w:rPr>
          <w:rFonts w:hint="eastAsia" w:ascii="宋体" w:hAnsi="宋体" w:eastAsia="宋体" w:cs="Times New Roman"/>
          <w:b/>
          <w:szCs w:val="21"/>
        </w:rPr>
        <w:t>9、参选文件的构成</w:t>
      </w:r>
    </w:p>
    <w:p w14:paraId="088113BF">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9.1、参选文件应该按照“参选文件格式”规定的内容和顺序进行编写。</w:t>
      </w:r>
    </w:p>
    <w:p w14:paraId="492729D0">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9.2、参选人应提交“参选人须知前附表”中规定的参选文件。</w:t>
      </w:r>
    </w:p>
    <w:p w14:paraId="7329CD83">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9.3、参选人必须对其参选文件的真实性与准确性负责。参选人一旦中标，其参选文件将作为合同的重要组成部分。</w:t>
      </w:r>
    </w:p>
    <w:p w14:paraId="34C90D40">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9.4、参选人提供的货物能满足比选文件约定的实质性要求。否则，其参选文件在评标时有可能被认为是对比选文件未做出实质性的响应，而被评标委员会终止对其做进一步的评审。</w:t>
      </w:r>
    </w:p>
    <w:p w14:paraId="013D5968">
      <w:pPr>
        <w:spacing w:line="500" w:lineRule="exact"/>
        <w:ind w:firstLine="422" w:firstLineChars="200"/>
        <w:rPr>
          <w:rFonts w:ascii="宋体" w:hAnsi="宋体" w:eastAsia="宋体" w:cs="Times New Roman"/>
          <w:b/>
          <w:szCs w:val="21"/>
        </w:rPr>
      </w:pPr>
      <w:r>
        <w:rPr>
          <w:rFonts w:hint="eastAsia" w:ascii="宋体" w:hAnsi="宋体" w:eastAsia="宋体" w:cs="Times New Roman"/>
          <w:b/>
          <w:szCs w:val="21"/>
        </w:rPr>
        <w:t>10、投标报价</w:t>
      </w:r>
    </w:p>
    <w:p w14:paraId="3A99F392">
      <w:pPr>
        <w:spacing w:line="500" w:lineRule="exact"/>
        <w:ind w:firstLine="420" w:firstLineChars="200"/>
        <w:rPr>
          <w:rFonts w:hint="eastAsia" w:ascii="宋体" w:hAnsi="宋体" w:eastAsia="宋体" w:cs="Times New Roman"/>
          <w:szCs w:val="21"/>
        </w:rPr>
      </w:pPr>
      <w:r>
        <w:rPr>
          <w:rFonts w:hint="eastAsia" w:ascii="宋体" w:hAnsi="宋体" w:eastAsia="宋体" w:cs="Times New Roman"/>
          <w:szCs w:val="21"/>
        </w:rPr>
        <w:t>10.1、参选文件的货物报价表上应清楚地标明参选人拟提供货物的名称、价格等内容。</w:t>
      </w:r>
    </w:p>
    <w:p w14:paraId="68A2C6BE">
      <w:pPr>
        <w:spacing w:line="500" w:lineRule="exact"/>
        <w:ind w:firstLine="420" w:firstLineChars="200"/>
        <w:rPr>
          <w:rFonts w:hint="eastAsia" w:ascii="宋体" w:hAnsi="宋体" w:eastAsia="宋体" w:cs="Times New Roman"/>
          <w:szCs w:val="21"/>
        </w:rPr>
      </w:pPr>
      <w:r>
        <w:rPr>
          <w:rFonts w:hint="eastAsia" w:ascii="宋体" w:hAnsi="宋体" w:eastAsia="宋体" w:cs="Times New Roman"/>
          <w:szCs w:val="21"/>
        </w:rPr>
        <w:t>10.2、除非特别要求，每个项目（或每个包）只允许有一个方案、一个报价。多方案、多报价的参选文件将视为无效参选文件。</w:t>
      </w:r>
    </w:p>
    <w:p w14:paraId="2B109618">
      <w:pPr>
        <w:spacing w:line="500" w:lineRule="exact"/>
        <w:ind w:firstLine="420" w:firstLineChars="200"/>
        <w:rPr>
          <w:rFonts w:hint="eastAsia" w:ascii="宋体" w:hAnsi="宋体" w:eastAsia="宋体" w:cs="Times New Roman"/>
          <w:szCs w:val="21"/>
        </w:rPr>
      </w:pPr>
      <w:r>
        <w:rPr>
          <w:rFonts w:hint="eastAsia" w:ascii="宋体" w:hAnsi="宋体" w:eastAsia="宋体" w:cs="Times New Roman"/>
          <w:szCs w:val="21"/>
        </w:rPr>
        <w:t>10.3、参选人的报价应包含满足本次招标需求的所有费用（包括但不限于：人工费、材料费、运输费、保险、税金等）。</w:t>
      </w:r>
    </w:p>
    <w:p w14:paraId="0D6A52D2">
      <w:pPr>
        <w:spacing w:line="500" w:lineRule="exact"/>
        <w:ind w:firstLine="420" w:firstLineChars="200"/>
        <w:rPr>
          <w:rFonts w:hint="eastAsia" w:ascii="宋体" w:hAnsi="宋体" w:eastAsia="宋体" w:cs="Times New Roman"/>
          <w:szCs w:val="21"/>
        </w:rPr>
      </w:pPr>
      <w:r>
        <w:rPr>
          <w:rFonts w:hint="eastAsia" w:ascii="宋体" w:hAnsi="宋体" w:eastAsia="宋体" w:cs="Times New Roman"/>
          <w:szCs w:val="21"/>
        </w:rPr>
        <w:t>10.4、投标报价高于最高投标限价为投标无效。</w:t>
      </w:r>
    </w:p>
    <w:p w14:paraId="28C31976">
      <w:pPr>
        <w:spacing w:line="500" w:lineRule="exact"/>
        <w:ind w:firstLine="420" w:firstLineChars="200"/>
        <w:rPr>
          <w:rFonts w:hint="eastAsia" w:ascii="宋体" w:hAnsi="宋体" w:eastAsia="宋体" w:cs="Times New Roman"/>
          <w:szCs w:val="21"/>
        </w:rPr>
      </w:pPr>
      <w:r>
        <w:rPr>
          <w:rFonts w:hint="eastAsia" w:ascii="宋体" w:hAnsi="宋体" w:eastAsia="宋体" w:cs="Times New Roman"/>
          <w:szCs w:val="21"/>
        </w:rPr>
        <w:t>10.5、若参选报价函中报价的大写金额和小写金额不一致的，以大写金额为准；单价金额小数点有明显错位的，应以总价为准，并修正单价。</w:t>
      </w:r>
    </w:p>
    <w:p w14:paraId="780C1E7E">
      <w:pPr>
        <w:spacing w:line="500" w:lineRule="exact"/>
        <w:ind w:firstLine="420" w:firstLineChars="200"/>
        <w:rPr>
          <w:rFonts w:hint="eastAsia" w:ascii="宋体" w:hAnsi="宋体" w:eastAsia="宋体" w:cs="Times New Roman"/>
          <w:szCs w:val="21"/>
        </w:rPr>
      </w:pPr>
      <w:r>
        <w:rPr>
          <w:rFonts w:hint="eastAsia" w:ascii="宋体" w:hAnsi="宋体" w:eastAsia="宋体" w:cs="Times New Roman"/>
          <w:szCs w:val="21"/>
        </w:rPr>
        <w:t>10.6、投标函中报价与参选文件中相应内容不一致的，以投标函中报价为准。</w:t>
      </w:r>
    </w:p>
    <w:p w14:paraId="44062118">
      <w:pPr>
        <w:spacing w:line="500" w:lineRule="exact"/>
        <w:ind w:firstLine="422" w:firstLineChars="200"/>
        <w:rPr>
          <w:rFonts w:ascii="宋体" w:hAnsi="宋体" w:eastAsia="宋体" w:cs="Times New Roman"/>
          <w:szCs w:val="21"/>
        </w:rPr>
      </w:pPr>
      <w:r>
        <w:rPr>
          <w:rFonts w:hint="eastAsia" w:ascii="宋体" w:hAnsi="宋体" w:eastAsia="宋体" w:cs="Times New Roman"/>
          <w:b/>
          <w:szCs w:val="21"/>
        </w:rPr>
        <w:t>11、投标货币：</w:t>
      </w:r>
      <w:r>
        <w:rPr>
          <w:rFonts w:hint="eastAsia" w:ascii="宋体" w:hAnsi="宋体" w:eastAsia="宋体" w:cs="Times New Roman"/>
          <w:szCs w:val="21"/>
        </w:rPr>
        <w:t>人民币。</w:t>
      </w:r>
    </w:p>
    <w:p w14:paraId="4BA0E051">
      <w:pPr>
        <w:spacing w:line="500" w:lineRule="exact"/>
        <w:ind w:firstLine="422" w:firstLineChars="200"/>
        <w:rPr>
          <w:rFonts w:ascii="宋体" w:hAnsi="宋体" w:eastAsia="宋体" w:cs="Times New Roman"/>
          <w:b/>
          <w:szCs w:val="21"/>
        </w:rPr>
      </w:pPr>
      <w:r>
        <w:rPr>
          <w:rFonts w:hint="eastAsia" w:ascii="宋体" w:hAnsi="宋体" w:eastAsia="宋体" w:cs="Times New Roman"/>
          <w:b/>
          <w:szCs w:val="21"/>
        </w:rPr>
        <w:t>12、投标保证金：本项目不收取</w:t>
      </w:r>
    </w:p>
    <w:p w14:paraId="70C76AEB">
      <w:pPr>
        <w:spacing w:line="500" w:lineRule="exact"/>
        <w:ind w:firstLine="422" w:firstLineChars="200"/>
        <w:rPr>
          <w:rFonts w:ascii="宋体" w:hAnsi="宋体" w:eastAsia="宋体" w:cs="Times New Roman"/>
          <w:b/>
          <w:szCs w:val="21"/>
        </w:rPr>
      </w:pPr>
      <w:r>
        <w:rPr>
          <w:rFonts w:hint="eastAsia" w:ascii="宋体" w:hAnsi="宋体" w:eastAsia="宋体" w:cs="Times New Roman"/>
          <w:b/>
          <w:szCs w:val="21"/>
        </w:rPr>
        <w:t>13、投标有效期</w:t>
      </w:r>
    </w:p>
    <w:p w14:paraId="2304C442">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14.投标有效期见“参选人须知前附表”的规定。</w:t>
      </w:r>
    </w:p>
    <w:p w14:paraId="418BF5EA">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14.1、在投标有效期内，参选人不得要求撤销或修改其参选文件。</w:t>
      </w:r>
    </w:p>
    <w:p w14:paraId="649C7AF8">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14.2、投标有效期从投标截止之日算起。</w:t>
      </w:r>
    </w:p>
    <w:p w14:paraId="4A1EFE56">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14.3、在特殊情况下，采购单位可于原投标有效期满之前，向中标候选人提出延长投标有效期的要求。中标候选人可以拒绝采购单位的这种要求，但是对拒绝延长投标有效期的中标候选人，采购单位有权利拒绝其参选文件。同意延长投标有效期的中标候选人既不能要求也不允许修改比选文件和其参选文件所有内容。提出投标有效期的延长要求和中标候选人对该要求的答复均采用书面形式。</w:t>
      </w:r>
    </w:p>
    <w:p w14:paraId="112BD0C1">
      <w:pPr>
        <w:spacing w:line="500" w:lineRule="exact"/>
        <w:ind w:firstLine="422" w:firstLineChars="200"/>
        <w:rPr>
          <w:rFonts w:ascii="宋体" w:hAnsi="宋体" w:eastAsia="宋体" w:cs="Times New Roman"/>
          <w:b/>
          <w:kern w:val="0"/>
          <w:szCs w:val="21"/>
        </w:rPr>
      </w:pPr>
      <w:r>
        <w:rPr>
          <w:rFonts w:hint="eastAsia" w:ascii="宋体" w:hAnsi="宋体" w:eastAsia="宋体" w:cs="Times New Roman"/>
          <w:b/>
          <w:kern w:val="0"/>
          <w:szCs w:val="21"/>
        </w:rPr>
        <w:t>15、参选文件的签署</w:t>
      </w:r>
    </w:p>
    <w:p w14:paraId="0C473A11">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15.1、参选人应按“参选人须知前附表”约定的份数和比选文件约定的格式，编制并提交参选文件。</w:t>
      </w:r>
    </w:p>
    <w:p w14:paraId="558EFE40">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15.2、参选文件应由参选人的法定代表人或个体工商户经营者或授权委托人签署，并加盖单位公章。</w:t>
      </w:r>
    </w:p>
    <w:p w14:paraId="5A238561">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15.3、参选文件不得行间插字、涂改或增删。如有修改错漏处，必须由参选人的法定代表人或个体工商户经营者或授权委托人签字，并加盖单位公章。</w:t>
      </w:r>
    </w:p>
    <w:p w14:paraId="03D9BC2F">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15.4、参选文件的正本和副本均需打印，字迹应清晰易于辨认、不褪色（报价可采用不褪色的墨水笔书写），正本和副本如有不一致之处，以正本为准。参选文件因字迹潦草、表达不清或文本不清晰所引起的一切后果均由参选人负责。</w:t>
      </w:r>
    </w:p>
    <w:p w14:paraId="34B332C2">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15.5、参选文件封面、投标函、报价表、货物内容及质量要求均应加盖参选人公章并经法定代表人或个体工商户经营者或授权委托人签字或加盖印章。参选文件封面、投标函、报价表、货物内容及质量要求不符合比选文件要求的，视为无效标。由授权委托人签字或盖章的在参选文件中须同时提交授权书。</w:t>
      </w:r>
    </w:p>
    <w:p w14:paraId="5B9156F6">
      <w:pPr>
        <w:widowControl/>
        <w:spacing w:line="500" w:lineRule="exact"/>
        <w:ind w:firstLine="420" w:firstLineChars="200"/>
        <w:jc w:val="left"/>
        <w:rPr>
          <w:rFonts w:ascii="宋体" w:hAnsi="宋体" w:eastAsia="宋体" w:cs="Times New Roman"/>
          <w:szCs w:val="21"/>
        </w:rPr>
      </w:pPr>
    </w:p>
    <w:p w14:paraId="03AF61F7">
      <w:pPr>
        <w:keepNext/>
        <w:keepLines/>
        <w:autoSpaceDE w:val="0"/>
        <w:autoSpaceDN w:val="0"/>
        <w:adjustRightInd w:val="0"/>
        <w:spacing w:before="120" w:line="360" w:lineRule="auto"/>
        <w:jc w:val="center"/>
        <w:outlineLvl w:val="1"/>
        <w:rPr>
          <w:rFonts w:ascii="Arial" w:hAnsi="Arial" w:eastAsia="宋体" w:cs="Times New Roman"/>
          <w:b/>
          <w:kern w:val="0"/>
          <w:sz w:val="32"/>
        </w:rPr>
      </w:pPr>
      <w:bookmarkStart w:id="30" w:name="_Toc4481594"/>
      <w:bookmarkStart w:id="31" w:name="_Toc12503"/>
      <w:bookmarkStart w:id="32" w:name="_Toc479622046"/>
      <w:bookmarkStart w:id="33" w:name="_Toc25319"/>
      <w:r>
        <w:rPr>
          <w:rFonts w:hint="eastAsia" w:ascii="Arial" w:hAnsi="Arial" w:eastAsia="宋体" w:cs="Times New Roman"/>
          <w:b/>
          <w:kern w:val="0"/>
          <w:sz w:val="32"/>
        </w:rPr>
        <w:t>（四）参选文件的提交</w:t>
      </w:r>
      <w:bookmarkEnd w:id="30"/>
      <w:bookmarkEnd w:id="31"/>
      <w:bookmarkEnd w:id="32"/>
      <w:bookmarkEnd w:id="33"/>
    </w:p>
    <w:p w14:paraId="5A6C8C92">
      <w:pPr>
        <w:widowControl/>
        <w:spacing w:line="500" w:lineRule="exact"/>
        <w:ind w:firstLine="422" w:firstLineChars="200"/>
        <w:jc w:val="left"/>
        <w:rPr>
          <w:rFonts w:ascii="宋体" w:hAnsi="宋体" w:eastAsia="宋体" w:cs="Times New Roman"/>
          <w:b/>
          <w:bCs/>
          <w:szCs w:val="21"/>
        </w:rPr>
      </w:pPr>
      <w:r>
        <w:rPr>
          <w:rFonts w:hint="eastAsia" w:ascii="宋体" w:hAnsi="宋体" w:eastAsia="宋体" w:cs="Times New Roman"/>
          <w:b/>
          <w:bCs/>
          <w:szCs w:val="21"/>
        </w:rPr>
        <w:t>16、参选文件的装订、密封和标记</w:t>
      </w:r>
    </w:p>
    <w:p w14:paraId="159F682B">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16.1、参选文件正本和副本均需胶装成册并标明页码，不得采用活页或容易拆解的装订形式。</w:t>
      </w:r>
    </w:p>
    <w:p w14:paraId="54A51314">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16.2、参选人应将参选文件的正本和副本同时装于一个袋内。包装密封，并于密封袋上加盖单位公章。</w:t>
      </w:r>
    </w:p>
    <w:p w14:paraId="69C63A04">
      <w:pPr>
        <w:widowControl/>
        <w:spacing w:line="500" w:lineRule="exact"/>
        <w:ind w:firstLine="422" w:firstLineChars="200"/>
        <w:jc w:val="left"/>
        <w:rPr>
          <w:rFonts w:ascii="宋体" w:hAnsi="宋体" w:eastAsia="宋体" w:cs="Times New Roman"/>
          <w:b/>
          <w:bCs/>
          <w:szCs w:val="21"/>
        </w:rPr>
      </w:pPr>
      <w:r>
        <w:rPr>
          <w:rFonts w:hint="eastAsia" w:ascii="宋体" w:hAnsi="宋体" w:eastAsia="宋体" w:cs="Times New Roman"/>
          <w:b/>
          <w:bCs/>
          <w:szCs w:val="21"/>
        </w:rPr>
        <w:t>16.3、密封袋上应写明：项目名称、参选单位名称、项目编号（加盖单位公章），详见参选人须知前附表。</w:t>
      </w:r>
    </w:p>
    <w:p w14:paraId="1FC05F5E">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16.4、未按参选人须知要求装订、密封和标记的参选文件，将认定为投标无效。</w:t>
      </w:r>
    </w:p>
    <w:p w14:paraId="136A70C1">
      <w:pPr>
        <w:spacing w:line="360" w:lineRule="auto"/>
        <w:ind w:firstLine="422" w:firstLineChars="200"/>
        <w:rPr>
          <w:rFonts w:ascii="宋体" w:hAnsi="宋体" w:eastAsia="宋体" w:cs="Times New Roman"/>
          <w:b/>
          <w:bCs/>
          <w:szCs w:val="21"/>
        </w:rPr>
      </w:pPr>
      <w:r>
        <w:rPr>
          <w:rFonts w:hint="eastAsia" w:ascii="宋体" w:hAnsi="宋体" w:eastAsia="宋体" w:cs="Times New Roman"/>
          <w:b/>
          <w:bCs/>
          <w:szCs w:val="21"/>
        </w:rPr>
        <w:t>16.5、查验证件</w:t>
      </w:r>
    </w:p>
    <w:p w14:paraId="16038F2D">
      <w:pPr>
        <w:spacing w:line="360" w:lineRule="auto"/>
        <w:ind w:firstLine="422" w:firstLineChars="200"/>
        <w:rPr>
          <w:rFonts w:ascii="宋体" w:hAnsi="宋体" w:eastAsia="宋体" w:cs="Times New Roman"/>
          <w:b/>
          <w:bCs/>
          <w:szCs w:val="21"/>
        </w:rPr>
      </w:pPr>
      <w:r>
        <w:rPr>
          <w:rFonts w:hint="eastAsia" w:ascii="宋体" w:hAnsi="宋体" w:eastAsia="宋体" w:cs="Times New Roman"/>
          <w:b/>
          <w:bCs/>
          <w:szCs w:val="21"/>
        </w:rPr>
        <w:t>16.5.1、采购人审查参选人以下证件，若证件不全或不符合要求，则查验不合格。</w:t>
      </w:r>
    </w:p>
    <w:p w14:paraId="31CFD305">
      <w:pPr>
        <w:spacing w:line="360" w:lineRule="auto"/>
        <w:ind w:firstLine="422" w:firstLineChars="200"/>
        <w:rPr>
          <w:rFonts w:ascii="宋体" w:hAnsi="宋体" w:eastAsia="宋体" w:cs="Times New Roman"/>
          <w:b/>
          <w:bCs/>
          <w:szCs w:val="21"/>
        </w:rPr>
      </w:pPr>
      <w:r>
        <w:rPr>
          <w:rFonts w:hint="eastAsia" w:ascii="宋体" w:hAnsi="宋体" w:eastAsia="宋体" w:cs="Times New Roman"/>
          <w:b/>
          <w:bCs/>
          <w:szCs w:val="21"/>
        </w:rPr>
        <w:t>法定代表人或个体工商户经营者应出示有效二代居民身份证、授权委托人应出示有效二代居民身份证、授权书；（授权书格式见附件）。</w:t>
      </w:r>
    </w:p>
    <w:p w14:paraId="2E39E48D">
      <w:pPr>
        <w:spacing w:line="500" w:lineRule="exact"/>
        <w:ind w:firstLine="422" w:firstLineChars="200"/>
        <w:rPr>
          <w:rFonts w:ascii="宋体" w:hAnsi="宋体" w:eastAsia="宋体" w:cs="Times New Roman"/>
          <w:b/>
          <w:szCs w:val="21"/>
        </w:rPr>
      </w:pPr>
      <w:r>
        <w:rPr>
          <w:rFonts w:hint="eastAsia" w:ascii="宋体" w:hAnsi="宋体" w:eastAsia="宋体" w:cs="Times New Roman"/>
          <w:b/>
          <w:szCs w:val="21"/>
        </w:rPr>
        <w:t>17、投标截止时间</w:t>
      </w:r>
    </w:p>
    <w:p w14:paraId="27CA5B26">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17.1、参选人应在参选人须知前附表中约定的投标截止时间前将参选文件提交至指定地点。逾期送达的或者未按要求送达指定地点的参选文件，采购单位不予受理。</w:t>
      </w:r>
    </w:p>
    <w:p w14:paraId="6EED3817">
      <w:pPr>
        <w:widowControl/>
        <w:spacing w:line="500" w:lineRule="exact"/>
        <w:ind w:firstLine="420" w:firstLineChars="200"/>
        <w:jc w:val="left"/>
        <w:rPr>
          <w:rFonts w:ascii="宋体" w:hAnsi="宋体" w:eastAsia="宋体" w:cs="Times New Roman"/>
          <w:b/>
          <w:szCs w:val="21"/>
        </w:rPr>
      </w:pPr>
      <w:r>
        <w:rPr>
          <w:rFonts w:hint="eastAsia" w:ascii="宋体" w:hAnsi="宋体" w:eastAsia="宋体" w:cs="Times New Roman"/>
          <w:szCs w:val="21"/>
        </w:rPr>
        <w:t>17.2、采购人有权按本须知的约定，通过修改比选文件相关条款以延长投标截止时间。在此情况下，采购人和参选人受投标截止时间制约的所有权利和义务均应延长至新的投标截止时间。</w:t>
      </w:r>
    </w:p>
    <w:p w14:paraId="3C1E39CF">
      <w:pPr>
        <w:widowControl/>
        <w:spacing w:line="500" w:lineRule="exact"/>
        <w:ind w:firstLine="422" w:firstLineChars="200"/>
        <w:jc w:val="left"/>
        <w:rPr>
          <w:rFonts w:ascii="宋体" w:hAnsi="宋体" w:eastAsia="宋体" w:cs="Times New Roman"/>
          <w:b/>
          <w:szCs w:val="21"/>
        </w:rPr>
      </w:pPr>
      <w:r>
        <w:rPr>
          <w:rFonts w:hint="eastAsia" w:ascii="宋体" w:hAnsi="宋体" w:eastAsia="宋体" w:cs="Times New Roman"/>
          <w:b/>
          <w:szCs w:val="21"/>
        </w:rPr>
        <w:t>18、参选文件的修改与撤回</w:t>
      </w:r>
    </w:p>
    <w:p w14:paraId="6B3ACC46">
      <w:pPr>
        <w:widowControl/>
        <w:spacing w:line="500" w:lineRule="exact"/>
        <w:ind w:firstLine="420" w:firstLineChars="200"/>
        <w:jc w:val="left"/>
        <w:rPr>
          <w:rFonts w:ascii="宋体" w:hAnsi="宋体" w:eastAsia="宋体" w:cs="Times New Roman"/>
          <w:szCs w:val="21"/>
        </w:rPr>
      </w:pPr>
      <w:bookmarkStart w:id="34" w:name="_Toc23598"/>
      <w:bookmarkStart w:id="35" w:name="_Toc479622047"/>
      <w:r>
        <w:rPr>
          <w:rFonts w:hint="eastAsia" w:ascii="宋体" w:hAnsi="宋体" w:eastAsia="宋体" w:cs="Times New Roman"/>
          <w:szCs w:val="21"/>
        </w:rPr>
        <w:t>18.1、参选人提交参选文件以后，在约定的投标截止时间之前，可以以书面形式补充修改或撤回已提交的参选文件，并以书面形式通知采购人。补充、修改的内容为参选文件的组成部分。</w:t>
      </w:r>
    </w:p>
    <w:p w14:paraId="32CE5085">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18.2、参选人对参选文件的修改应按参选人须知规定编制、密封、标记和提交，并在参选文件密封袋上清楚标明“补充、修改”；参选文件的撤回应在开标前，由法定代表人或个体工商户经营者应出示有效二代居民身份证、营业执照复印件或授权委托人授权书后自行拿回。</w:t>
      </w:r>
    </w:p>
    <w:p w14:paraId="709951C6">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18.3、在投标截止时间之后，参选人不得对其参选文件做任何修改。</w:t>
      </w:r>
    </w:p>
    <w:p w14:paraId="100FA01E">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19、在规定的投标有效期内，参选人不得撤回其参选文件。</w:t>
      </w:r>
    </w:p>
    <w:p w14:paraId="273B5034">
      <w:pPr>
        <w:widowControl/>
        <w:spacing w:line="500" w:lineRule="exact"/>
        <w:ind w:firstLine="420" w:firstLineChars="200"/>
        <w:jc w:val="left"/>
        <w:rPr>
          <w:rFonts w:ascii="宋体" w:hAnsi="宋体" w:eastAsia="宋体" w:cs="Times New Roman"/>
          <w:szCs w:val="21"/>
        </w:rPr>
      </w:pPr>
    </w:p>
    <w:p w14:paraId="59C638B8">
      <w:pPr>
        <w:keepNext/>
        <w:keepLines/>
        <w:autoSpaceDE w:val="0"/>
        <w:autoSpaceDN w:val="0"/>
        <w:adjustRightInd w:val="0"/>
        <w:spacing w:before="120" w:line="360" w:lineRule="auto"/>
        <w:jc w:val="center"/>
        <w:outlineLvl w:val="1"/>
        <w:rPr>
          <w:rFonts w:ascii="Arial" w:hAnsi="Arial" w:eastAsia="宋体" w:cs="Times New Roman"/>
          <w:b/>
          <w:kern w:val="0"/>
          <w:sz w:val="32"/>
        </w:rPr>
      </w:pPr>
      <w:bookmarkStart w:id="36" w:name="_Toc4481595"/>
      <w:r>
        <w:rPr>
          <w:rFonts w:hint="eastAsia" w:ascii="Arial" w:hAnsi="Arial" w:eastAsia="宋体" w:cs="Times New Roman"/>
          <w:b/>
          <w:kern w:val="0"/>
          <w:sz w:val="32"/>
        </w:rPr>
        <w:t>（五）开标</w:t>
      </w:r>
      <w:bookmarkEnd w:id="34"/>
      <w:bookmarkEnd w:id="35"/>
      <w:bookmarkEnd w:id="36"/>
    </w:p>
    <w:p w14:paraId="3447F44C">
      <w:pPr>
        <w:widowControl/>
        <w:spacing w:line="500" w:lineRule="exact"/>
        <w:ind w:firstLine="422" w:firstLineChars="200"/>
        <w:jc w:val="left"/>
        <w:rPr>
          <w:rFonts w:ascii="宋体" w:hAnsi="宋体" w:eastAsia="宋体" w:cs="Times New Roman"/>
          <w:szCs w:val="21"/>
        </w:rPr>
      </w:pPr>
      <w:r>
        <w:rPr>
          <w:rFonts w:hint="eastAsia" w:ascii="宋体" w:hAnsi="宋体" w:eastAsia="宋体" w:cs="Times New Roman"/>
          <w:b/>
          <w:bCs/>
          <w:szCs w:val="21"/>
        </w:rPr>
        <w:t>20、开标时间和地点：</w:t>
      </w:r>
      <w:r>
        <w:rPr>
          <w:rFonts w:hint="eastAsia" w:ascii="宋体" w:hAnsi="宋体" w:eastAsia="宋体" w:cs="Times New Roman"/>
          <w:szCs w:val="21"/>
        </w:rPr>
        <w:t>采购单位将在监督人员监督下依据“参选人须知前附表”约定的时间和地点开标，所有参选人的法定代表人或个体工商户经营者或其授权委托人自愿参加现场开标，未参加现场开标的参选人应无条件认可整个开标过程。</w:t>
      </w:r>
    </w:p>
    <w:p w14:paraId="0A661B80">
      <w:pPr>
        <w:widowControl/>
        <w:spacing w:line="500" w:lineRule="exact"/>
        <w:ind w:firstLine="422" w:firstLineChars="200"/>
        <w:jc w:val="left"/>
        <w:rPr>
          <w:rFonts w:ascii="宋体" w:hAnsi="宋体" w:eastAsia="宋体" w:cs="Times New Roman"/>
          <w:szCs w:val="21"/>
        </w:rPr>
      </w:pPr>
      <w:r>
        <w:rPr>
          <w:rFonts w:hint="eastAsia" w:ascii="宋体" w:hAnsi="宋体" w:eastAsia="宋体" w:cs="Times New Roman"/>
          <w:b/>
          <w:bCs/>
          <w:szCs w:val="21"/>
        </w:rPr>
        <w:t>21、开标程序</w:t>
      </w:r>
    </w:p>
    <w:p w14:paraId="2AC7EC29">
      <w:pPr>
        <w:spacing w:line="360" w:lineRule="auto"/>
        <w:ind w:firstLine="420" w:firstLineChars="200"/>
        <w:rPr>
          <w:rFonts w:ascii="宋体" w:hAnsi="宋体" w:eastAsia="宋体" w:cs="宋体"/>
          <w:szCs w:val="21"/>
        </w:rPr>
      </w:pPr>
      <w:r>
        <w:rPr>
          <w:rFonts w:hint="eastAsia" w:ascii="宋体" w:hAnsi="宋体" w:eastAsia="宋体" w:cs="宋体"/>
          <w:szCs w:val="21"/>
        </w:rPr>
        <w:t>21.1、开标由采购单位代表主持，主持人按下列程序进行：</w:t>
      </w:r>
    </w:p>
    <w:p w14:paraId="142D0B78">
      <w:pPr>
        <w:spacing w:line="360" w:lineRule="auto"/>
        <w:ind w:firstLine="420" w:firstLineChars="200"/>
        <w:rPr>
          <w:rFonts w:ascii="宋体" w:hAnsi="宋体" w:eastAsia="宋体" w:cs="宋体"/>
          <w:szCs w:val="21"/>
        </w:rPr>
      </w:pPr>
      <w:r>
        <w:rPr>
          <w:rFonts w:hint="eastAsia" w:ascii="宋体" w:hAnsi="宋体" w:eastAsia="宋体" w:cs="宋体"/>
          <w:szCs w:val="21"/>
        </w:rPr>
        <w:t>21.1.1、宣布项目名称、介绍参会人员；</w:t>
      </w:r>
    </w:p>
    <w:p w14:paraId="3643E0F0">
      <w:pPr>
        <w:spacing w:line="360" w:lineRule="auto"/>
        <w:ind w:firstLine="420" w:firstLineChars="200"/>
        <w:rPr>
          <w:rFonts w:ascii="宋体" w:hAnsi="宋体" w:eastAsia="宋体" w:cs="宋体"/>
          <w:szCs w:val="21"/>
        </w:rPr>
      </w:pPr>
      <w:r>
        <w:rPr>
          <w:rFonts w:hint="eastAsia" w:ascii="宋体" w:hAnsi="宋体" w:eastAsia="宋体" w:cs="宋体"/>
          <w:szCs w:val="21"/>
        </w:rPr>
        <w:t>21.1.2、宣布开标纪律；</w:t>
      </w:r>
    </w:p>
    <w:p w14:paraId="5305FB11">
      <w:pPr>
        <w:spacing w:line="360" w:lineRule="auto"/>
        <w:ind w:firstLine="420" w:firstLineChars="200"/>
        <w:rPr>
          <w:rFonts w:ascii="宋体" w:hAnsi="宋体" w:eastAsia="宋体" w:cs="宋体"/>
          <w:szCs w:val="21"/>
        </w:rPr>
      </w:pPr>
      <w:r>
        <w:rPr>
          <w:rFonts w:hint="eastAsia" w:ascii="宋体" w:hAnsi="宋体" w:eastAsia="宋体" w:cs="宋体"/>
          <w:szCs w:val="21"/>
        </w:rPr>
        <w:t>21.1.3、由</w:t>
      </w:r>
      <w:r>
        <w:rPr>
          <w:rFonts w:hint="eastAsia" w:ascii="宋体" w:hAnsi="宋体" w:eastAsia="宋体" w:cs="Times New Roman"/>
          <w:szCs w:val="21"/>
        </w:rPr>
        <w:t>采购人</w:t>
      </w:r>
      <w:r>
        <w:rPr>
          <w:rFonts w:hint="eastAsia" w:ascii="宋体" w:hAnsi="宋体" w:eastAsia="宋体" w:cs="宋体"/>
          <w:szCs w:val="21"/>
        </w:rPr>
        <w:t>代表和监督人员查验参选人相关证件资料并宣布查验结果；</w:t>
      </w:r>
    </w:p>
    <w:p w14:paraId="73721984">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21.1.4、参与现场开标的各参选人互相检查参选文件的密封情况，并确认参选人是否存在异议； </w:t>
      </w:r>
    </w:p>
    <w:p w14:paraId="5280A6E4">
      <w:pPr>
        <w:spacing w:line="360" w:lineRule="auto"/>
        <w:ind w:firstLine="420" w:firstLineChars="200"/>
        <w:rPr>
          <w:rFonts w:ascii="宋体" w:hAnsi="宋体" w:eastAsia="宋体" w:cs="宋体"/>
          <w:szCs w:val="21"/>
        </w:rPr>
      </w:pPr>
      <w:r>
        <w:rPr>
          <w:rFonts w:hint="eastAsia" w:ascii="宋体" w:hAnsi="宋体" w:eastAsia="宋体" w:cs="宋体"/>
          <w:szCs w:val="21"/>
        </w:rPr>
        <w:t>21.1.5、依次当众开标，公布参选人名称、报价及参选报价函其他内容，并记录在案；</w:t>
      </w:r>
    </w:p>
    <w:p w14:paraId="6E4C226E">
      <w:pPr>
        <w:spacing w:line="360" w:lineRule="auto"/>
        <w:ind w:firstLine="420" w:firstLineChars="200"/>
        <w:rPr>
          <w:rFonts w:ascii="宋体" w:hAnsi="宋体" w:eastAsia="宋体" w:cs="宋体"/>
          <w:szCs w:val="21"/>
        </w:rPr>
      </w:pPr>
      <w:r>
        <w:rPr>
          <w:rFonts w:hint="eastAsia" w:ascii="宋体" w:hAnsi="宋体" w:eastAsia="宋体" w:cs="宋体"/>
          <w:szCs w:val="21"/>
        </w:rPr>
        <w:t>21.1.6、</w:t>
      </w:r>
      <w:r>
        <w:rPr>
          <w:rFonts w:hint="eastAsia" w:ascii="宋体" w:hAnsi="宋体" w:eastAsia="宋体" w:cs="Times New Roman"/>
          <w:szCs w:val="21"/>
        </w:rPr>
        <w:t>采购人</w:t>
      </w:r>
      <w:r>
        <w:rPr>
          <w:rFonts w:hint="eastAsia" w:ascii="宋体" w:hAnsi="宋体" w:eastAsia="宋体" w:cs="宋体"/>
          <w:szCs w:val="21"/>
        </w:rPr>
        <w:t>代表、监督人员、记录人等有关人员在开标记录表上签字确认；</w:t>
      </w:r>
    </w:p>
    <w:p w14:paraId="7393A68B">
      <w:pPr>
        <w:spacing w:line="360" w:lineRule="auto"/>
        <w:ind w:firstLine="420" w:firstLineChars="200"/>
        <w:rPr>
          <w:rFonts w:ascii="宋体" w:hAnsi="宋体" w:eastAsia="宋体" w:cs="宋体"/>
          <w:szCs w:val="21"/>
        </w:rPr>
      </w:pPr>
      <w:r>
        <w:rPr>
          <w:rFonts w:hint="eastAsia" w:ascii="宋体" w:hAnsi="宋体" w:eastAsia="宋体" w:cs="宋体"/>
          <w:szCs w:val="21"/>
        </w:rPr>
        <w:t>21.1.7、进入评审阶段；</w:t>
      </w:r>
    </w:p>
    <w:p w14:paraId="601428F5">
      <w:pPr>
        <w:spacing w:line="360" w:lineRule="auto"/>
        <w:ind w:firstLine="420" w:firstLineChars="200"/>
        <w:rPr>
          <w:rFonts w:ascii="宋体" w:hAnsi="宋体" w:eastAsia="宋体" w:cs="宋体"/>
          <w:b/>
          <w:szCs w:val="21"/>
        </w:rPr>
      </w:pPr>
      <w:r>
        <w:rPr>
          <w:rFonts w:hint="eastAsia" w:ascii="宋体" w:hAnsi="宋体" w:eastAsia="宋体" w:cs="宋体"/>
          <w:szCs w:val="21"/>
        </w:rPr>
        <w:t>21.1.8、宣布评审结果。</w:t>
      </w:r>
    </w:p>
    <w:p w14:paraId="3FAF4D8D">
      <w:pPr>
        <w:widowControl/>
        <w:spacing w:line="500" w:lineRule="exact"/>
        <w:ind w:firstLine="420" w:firstLineChars="200"/>
        <w:jc w:val="left"/>
        <w:rPr>
          <w:rFonts w:ascii="宋体" w:hAnsi="宋体" w:eastAsia="宋体" w:cs="Times New Roman"/>
          <w:szCs w:val="21"/>
        </w:rPr>
      </w:pPr>
      <w:r>
        <w:rPr>
          <w:rFonts w:hint="eastAsia" w:ascii="宋体" w:hAnsi="宋体" w:eastAsia="宋体" w:cs="宋体"/>
          <w:szCs w:val="21"/>
        </w:rPr>
        <w:t>21.2、参选</w:t>
      </w:r>
      <w:r>
        <w:rPr>
          <w:rFonts w:hint="eastAsia" w:ascii="宋体" w:hAnsi="宋体" w:eastAsia="宋体" w:cs="Times New Roman"/>
          <w:szCs w:val="21"/>
        </w:rPr>
        <w:t>人必须对其参选文件中所有资料的真实性负责。若发现参选人有弄虚作假行为的，投标无效，由相关管理部门按照比选文件相应条款对其做相应处罚。</w:t>
      </w:r>
    </w:p>
    <w:p w14:paraId="13930FDB">
      <w:pPr>
        <w:widowControl/>
        <w:spacing w:line="500" w:lineRule="exact"/>
        <w:ind w:firstLine="422" w:firstLineChars="200"/>
        <w:jc w:val="left"/>
        <w:rPr>
          <w:rFonts w:ascii="宋体" w:hAnsi="宋体" w:eastAsia="宋体" w:cs="Times New Roman"/>
          <w:szCs w:val="21"/>
        </w:rPr>
      </w:pPr>
      <w:r>
        <w:rPr>
          <w:rFonts w:hint="eastAsia" w:ascii="宋体" w:hAnsi="宋体" w:eastAsia="宋体" w:cs="Times New Roman"/>
          <w:b/>
          <w:bCs/>
          <w:szCs w:val="21"/>
        </w:rPr>
        <w:t>22、参选文件的有效性</w:t>
      </w:r>
    </w:p>
    <w:p w14:paraId="38B0EA9A">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 xml:space="preserve">22.1、参选文件有下列情形之一的，将不予受理： </w:t>
      </w:r>
    </w:p>
    <w:p w14:paraId="56FC32BB">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 xml:space="preserve">（1）逾期送达的或者未送达至指定地点的； </w:t>
      </w:r>
    </w:p>
    <w:p w14:paraId="37105B2C">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（2）未按比选文件要求包装、密封的。</w:t>
      </w:r>
    </w:p>
    <w:p w14:paraId="069A3793">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22.2、开标过程中发现有下列情况的，由评标委员会评审后，认定为投标无效：</w:t>
      </w:r>
    </w:p>
    <w:p w14:paraId="39262B05">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22.2.1、参选人未按要求参加开标会、未按要求出示材料供现场查验或经查验不合格的、参选文件份数少于比选文件要求；</w:t>
      </w:r>
    </w:p>
    <w:p w14:paraId="05556D65">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22.2.2、未按约定格式提供、填写参选文件封面、投标函、报价表、货物内容及质量要求或参选文件封面、投标函、报价表、货物内容及质量要求未加盖参选人公章并经法定代表人或个体工商户经营者或授权委托人签字或加盖印章；</w:t>
      </w:r>
    </w:p>
    <w:p w14:paraId="25A96E21">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22.2.3、参选报价高于最高投标限价的；</w:t>
      </w:r>
    </w:p>
    <w:p w14:paraId="3E0715BA">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22.2.4、法律法规及比选文件规定的其他情形。</w:t>
      </w:r>
    </w:p>
    <w:p w14:paraId="23CADA36">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22.3、参选人存在下列情形之一，经评标委员会评审后，为参选无效：</w:t>
      </w:r>
    </w:p>
    <w:p w14:paraId="6C7FE42C">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(1)被责令停业且处于有效期内的；</w:t>
      </w:r>
    </w:p>
    <w:p w14:paraId="628FB46F">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(2)被安庆市行政区域内公共资源交易监管部门限制参选资格且处于有效期内；</w:t>
      </w:r>
    </w:p>
    <w:p w14:paraId="626C5031">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(3)财产被接管或冻结可能影响本项目正常实施的；</w:t>
      </w:r>
    </w:p>
    <w:p w14:paraId="5959644D">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(4)法律法规规定及比选文件约定的其他情形。</w:t>
      </w:r>
    </w:p>
    <w:p w14:paraId="15A895C4">
      <w:pPr>
        <w:widowControl/>
        <w:spacing w:line="500" w:lineRule="exact"/>
        <w:ind w:firstLine="420" w:firstLineChars="200"/>
        <w:jc w:val="left"/>
        <w:rPr>
          <w:rFonts w:ascii="宋体" w:hAnsi="宋体" w:eastAsia="宋体" w:cs="Times New Roman"/>
          <w:szCs w:val="21"/>
        </w:rPr>
      </w:pPr>
    </w:p>
    <w:p w14:paraId="4C46802B">
      <w:pPr>
        <w:keepNext/>
        <w:keepLines/>
        <w:autoSpaceDE w:val="0"/>
        <w:autoSpaceDN w:val="0"/>
        <w:adjustRightInd w:val="0"/>
        <w:spacing w:before="120" w:line="360" w:lineRule="auto"/>
        <w:jc w:val="center"/>
        <w:outlineLvl w:val="1"/>
        <w:rPr>
          <w:rFonts w:ascii="Arial" w:hAnsi="Arial" w:eastAsia="宋体" w:cs="Times New Roman"/>
          <w:b/>
          <w:kern w:val="0"/>
          <w:sz w:val="32"/>
        </w:rPr>
      </w:pPr>
      <w:bookmarkStart w:id="37" w:name="_Toc4481596"/>
      <w:r>
        <w:rPr>
          <w:rFonts w:hint="eastAsia" w:ascii="Arial" w:hAnsi="Arial" w:eastAsia="宋体" w:cs="Times New Roman"/>
          <w:b/>
          <w:kern w:val="0"/>
          <w:sz w:val="32"/>
        </w:rPr>
        <w:t>（六）评标</w:t>
      </w:r>
      <w:bookmarkEnd w:id="25"/>
      <w:bookmarkEnd w:id="37"/>
    </w:p>
    <w:p w14:paraId="512BC218">
      <w:pPr>
        <w:widowControl/>
        <w:spacing w:line="500" w:lineRule="exact"/>
        <w:ind w:firstLine="422" w:firstLineChars="200"/>
        <w:jc w:val="left"/>
        <w:rPr>
          <w:rFonts w:ascii="宋体" w:hAnsi="宋体" w:eastAsia="宋体" w:cs="Times New Roman"/>
          <w:szCs w:val="21"/>
        </w:rPr>
      </w:pPr>
      <w:r>
        <w:rPr>
          <w:rFonts w:hint="eastAsia" w:ascii="宋体" w:hAnsi="宋体" w:eastAsia="宋体" w:cs="Times New Roman"/>
          <w:b/>
          <w:bCs/>
          <w:szCs w:val="21"/>
        </w:rPr>
        <w:t>23、评标委员会</w:t>
      </w:r>
      <w:r>
        <w:rPr>
          <w:rFonts w:hint="eastAsia" w:ascii="宋体" w:hAnsi="宋体" w:eastAsia="宋体" w:cs="Times New Roman"/>
          <w:szCs w:val="21"/>
        </w:rPr>
        <w:t>（以下简称“评委会”）：评委会依法组建。采购人代表不得担任评委会组长。评标由评委会进行，评委应坚持公正、公平、诚实守信、实事求是、独立评标的原则。</w:t>
      </w:r>
    </w:p>
    <w:p w14:paraId="31DF86F3">
      <w:pPr>
        <w:spacing w:line="360" w:lineRule="auto"/>
        <w:ind w:firstLine="422" w:firstLineChars="200"/>
        <w:rPr>
          <w:rFonts w:ascii="宋体" w:hAnsi="宋体" w:eastAsia="宋体" w:cs="Times New Roman"/>
          <w:b/>
          <w:szCs w:val="21"/>
        </w:rPr>
      </w:pPr>
      <w:r>
        <w:rPr>
          <w:rFonts w:hint="eastAsia" w:ascii="宋体" w:hAnsi="宋体" w:eastAsia="宋体" w:cs="Times New Roman"/>
          <w:b/>
          <w:szCs w:val="21"/>
        </w:rPr>
        <w:t>24、评标方法：</w:t>
      </w:r>
      <w:r>
        <w:rPr>
          <w:rFonts w:hint="eastAsia" w:ascii="宋体" w:hAnsi="宋体" w:eastAsia="宋体" w:cs="宋体"/>
          <w:szCs w:val="21"/>
        </w:rPr>
        <w:t>采用最低投标价法。</w:t>
      </w:r>
    </w:p>
    <w:p w14:paraId="14A87E54">
      <w:pPr>
        <w:spacing w:line="360" w:lineRule="auto"/>
        <w:ind w:firstLine="422" w:firstLineChars="200"/>
        <w:jc w:val="left"/>
        <w:rPr>
          <w:rFonts w:ascii="宋体" w:hAnsi="宋体" w:eastAsia="宋体" w:cs="宋体"/>
          <w:b/>
          <w:szCs w:val="21"/>
        </w:rPr>
      </w:pPr>
      <w:r>
        <w:rPr>
          <w:rFonts w:hint="eastAsia" w:ascii="宋体" w:hAnsi="宋体" w:eastAsia="宋体" w:cs="Times New Roman"/>
          <w:b/>
          <w:bCs/>
          <w:szCs w:val="21"/>
        </w:rPr>
        <w:t>25、评标程序</w:t>
      </w:r>
      <w:r>
        <w:rPr>
          <w:rFonts w:hint="eastAsia" w:ascii="宋体" w:hAnsi="宋体" w:eastAsia="宋体" w:cs="Times New Roman"/>
          <w:szCs w:val="21"/>
        </w:rPr>
        <w:t>：评标包括参选文件符合性审查、报价评审、澄清有关问题、失信核查和确定中标候选人排序。如有任一项未通过的则不进入下一项评审。首先对参选文件进行符合性审查，只有通过参选文件符合性审查的参选人才能进入比选。</w:t>
      </w:r>
    </w:p>
    <w:p w14:paraId="32BABAA2">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25.1、参选文件符合性审查，包括但不限于以下内容：</w:t>
      </w:r>
    </w:p>
    <w:p w14:paraId="0CE29B3E">
      <w:pPr>
        <w:spacing w:line="500" w:lineRule="exact"/>
        <w:ind w:firstLine="420" w:firstLineChars="200"/>
        <w:rPr>
          <w:rFonts w:ascii="宋体" w:hAnsi="宋体" w:eastAsia="宋体" w:cs="宋体"/>
          <w:szCs w:val="21"/>
        </w:rPr>
      </w:pPr>
      <w:r>
        <w:rPr>
          <w:rFonts w:hint="eastAsia" w:ascii="宋体" w:hAnsi="宋体" w:eastAsia="宋体" w:cs="Times New Roman"/>
          <w:szCs w:val="21"/>
        </w:rPr>
        <w:t>（</w:t>
      </w:r>
      <w:r>
        <w:rPr>
          <w:rFonts w:hint="eastAsia" w:ascii="宋体" w:hAnsi="宋体" w:eastAsia="宋体" w:cs="宋体"/>
          <w:szCs w:val="21"/>
        </w:rPr>
        <w:t>1）参选人资格是否符合比选文件要求；</w:t>
      </w:r>
    </w:p>
    <w:p w14:paraId="61E22427">
      <w:pPr>
        <w:spacing w:line="500" w:lineRule="exact"/>
        <w:ind w:firstLine="420" w:firstLineChars="200"/>
        <w:rPr>
          <w:rFonts w:ascii="宋体" w:hAnsi="宋体" w:eastAsia="宋体" w:cs="宋体"/>
          <w:szCs w:val="21"/>
        </w:rPr>
      </w:pPr>
      <w:r>
        <w:rPr>
          <w:rFonts w:hint="eastAsia" w:ascii="宋体" w:hAnsi="宋体" w:eastAsia="宋体" w:cs="宋体"/>
          <w:szCs w:val="21"/>
        </w:rPr>
        <w:t>（2）参选文件是否按比选文件的要求进行编制、盖章和标记；</w:t>
      </w:r>
    </w:p>
    <w:p w14:paraId="0AEABF70">
      <w:pPr>
        <w:spacing w:line="500" w:lineRule="exact"/>
        <w:ind w:firstLine="420" w:firstLineChars="200"/>
        <w:rPr>
          <w:rFonts w:ascii="宋体" w:hAnsi="宋体" w:eastAsia="宋体" w:cs="宋体"/>
          <w:szCs w:val="21"/>
        </w:rPr>
      </w:pPr>
      <w:r>
        <w:rPr>
          <w:rFonts w:hint="eastAsia" w:ascii="宋体" w:hAnsi="宋体" w:eastAsia="宋体" w:cs="宋体"/>
          <w:szCs w:val="21"/>
        </w:rPr>
        <w:t>（3）比选文件要求提交的各种资格证明文件是否真实、完整、合法、有效；</w:t>
      </w:r>
    </w:p>
    <w:p w14:paraId="02252B33">
      <w:pPr>
        <w:spacing w:line="500" w:lineRule="exact"/>
        <w:ind w:firstLine="420" w:firstLineChars="200"/>
        <w:rPr>
          <w:rFonts w:ascii="宋体" w:hAnsi="宋体" w:eastAsia="宋体" w:cs="宋体"/>
          <w:szCs w:val="21"/>
        </w:rPr>
      </w:pPr>
      <w:r>
        <w:rPr>
          <w:rFonts w:hint="eastAsia" w:ascii="宋体" w:hAnsi="宋体" w:eastAsia="宋体" w:cs="宋体"/>
          <w:szCs w:val="21"/>
        </w:rPr>
        <w:t>（4）货物内容及质量是否完全响应或优于比选文件要求；</w:t>
      </w:r>
    </w:p>
    <w:p w14:paraId="48501F1C">
      <w:pPr>
        <w:spacing w:line="500" w:lineRule="exact"/>
        <w:ind w:firstLine="420" w:firstLineChars="200"/>
        <w:rPr>
          <w:rFonts w:ascii="宋体" w:hAnsi="宋体" w:eastAsia="宋体" w:cs="宋体"/>
          <w:szCs w:val="21"/>
        </w:rPr>
      </w:pPr>
      <w:r>
        <w:rPr>
          <w:rFonts w:hint="eastAsia" w:ascii="宋体" w:hAnsi="宋体" w:eastAsia="宋体" w:cs="宋体"/>
          <w:szCs w:val="21"/>
        </w:rPr>
        <w:t>（5）参选文件对法律法规和比选文件其他明确要求的符合性；</w:t>
      </w:r>
    </w:p>
    <w:p w14:paraId="12BE2300">
      <w:pPr>
        <w:spacing w:line="500" w:lineRule="exact"/>
        <w:ind w:firstLine="420" w:firstLineChars="200"/>
        <w:rPr>
          <w:rFonts w:ascii="宋体" w:hAnsi="宋体" w:eastAsia="宋体" w:cs="宋体"/>
          <w:szCs w:val="21"/>
        </w:rPr>
      </w:pPr>
      <w:r>
        <w:rPr>
          <w:rFonts w:hint="eastAsia" w:ascii="宋体" w:hAnsi="宋体" w:eastAsia="宋体" w:cs="宋体"/>
          <w:szCs w:val="21"/>
        </w:rPr>
        <w:t>（6）参选文件是否附有采购人不能接受的条件；</w:t>
      </w:r>
    </w:p>
    <w:p w14:paraId="780B5541">
      <w:pPr>
        <w:spacing w:line="500" w:lineRule="exact"/>
        <w:ind w:firstLine="420" w:firstLineChars="200"/>
        <w:rPr>
          <w:rFonts w:ascii="宋体" w:hAnsi="宋体" w:eastAsia="宋体" w:cs="宋体"/>
          <w:szCs w:val="21"/>
        </w:rPr>
      </w:pPr>
      <w:r>
        <w:rPr>
          <w:rFonts w:hint="eastAsia" w:ascii="宋体" w:hAnsi="宋体" w:eastAsia="宋体" w:cs="宋体"/>
          <w:szCs w:val="21"/>
        </w:rPr>
        <w:t>（7）参选文件是否存在比选文件中</w:t>
      </w:r>
      <w:r>
        <w:rPr>
          <w:rFonts w:hint="eastAsia" w:ascii="宋体" w:hAnsi="宋体" w:eastAsia="宋体" w:cs="宋体"/>
          <w:kern w:val="0"/>
          <w:szCs w:val="21"/>
        </w:rPr>
        <w:t>约定</w:t>
      </w:r>
      <w:r>
        <w:rPr>
          <w:rFonts w:hint="eastAsia" w:ascii="宋体" w:hAnsi="宋体" w:eastAsia="宋体" w:cs="宋体"/>
          <w:szCs w:val="21"/>
        </w:rPr>
        <w:t>的无效参选文件的其他情形；</w:t>
      </w:r>
    </w:p>
    <w:p w14:paraId="0C1FF058">
      <w:pPr>
        <w:spacing w:line="500" w:lineRule="exact"/>
        <w:ind w:firstLine="420" w:firstLineChars="200"/>
        <w:rPr>
          <w:rFonts w:ascii="宋体" w:hAnsi="宋体" w:eastAsia="宋体" w:cs="宋体"/>
          <w:szCs w:val="21"/>
        </w:rPr>
      </w:pPr>
      <w:r>
        <w:rPr>
          <w:rFonts w:hint="eastAsia" w:ascii="宋体" w:hAnsi="宋体" w:eastAsia="宋体" w:cs="宋体"/>
          <w:szCs w:val="21"/>
        </w:rPr>
        <w:t>（8）参选文件是否符合比选文件的要求。</w:t>
      </w:r>
    </w:p>
    <w:p w14:paraId="0EFD3BF9">
      <w:pPr>
        <w:widowControl/>
        <w:spacing w:line="500" w:lineRule="exact"/>
        <w:ind w:firstLine="405"/>
        <w:jc w:val="left"/>
        <w:rPr>
          <w:rFonts w:ascii="宋体" w:hAnsi="宋体" w:eastAsia="宋体" w:cs="Times New Roman"/>
          <w:szCs w:val="21"/>
        </w:rPr>
      </w:pPr>
      <w:r>
        <w:rPr>
          <w:rFonts w:hint="eastAsia" w:ascii="宋体" w:hAnsi="宋体" w:eastAsia="宋体" w:cs="Times New Roman"/>
          <w:szCs w:val="21"/>
        </w:rPr>
        <w:t>25.2、</w:t>
      </w:r>
      <w:r>
        <w:rPr>
          <w:rFonts w:hint="eastAsia" w:ascii="宋体" w:hAnsi="宋体" w:eastAsia="宋体" w:cs="宋体"/>
          <w:b/>
          <w:bCs/>
          <w:szCs w:val="21"/>
        </w:rPr>
        <w:t>参选文件所有要求提供复印件或影印件的，若在参选文件中某一页未盖章或漏页，或参选人的报价明显低于其他通过符合性审查参选人的报价，有可能影响货物质量或者不能诚信履约等情况，评选委员会可要求参选人在30分钟内通过书面澄清、说明或者补正，并提供相关材料加盖公章。澄清文件将作为参选文件内容的一部分。由评委会认可的资料内容，成交人须在签订合同前将原件提交给采购人，否则视为成交人自动放弃成交资格。</w:t>
      </w:r>
    </w:p>
    <w:p w14:paraId="04B0817A">
      <w:pPr>
        <w:widowControl/>
        <w:spacing w:line="500" w:lineRule="exact"/>
        <w:ind w:firstLine="405"/>
        <w:jc w:val="left"/>
        <w:rPr>
          <w:rFonts w:ascii="宋体" w:hAnsi="宋体" w:eastAsia="宋体" w:cs="Times New Roman"/>
          <w:szCs w:val="21"/>
        </w:rPr>
      </w:pPr>
      <w:r>
        <w:rPr>
          <w:rFonts w:hint="eastAsia" w:ascii="宋体" w:hAnsi="宋体" w:eastAsia="宋体" w:cs="Times New Roman"/>
          <w:szCs w:val="21"/>
        </w:rPr>
        <w:t>25.3、报价评审：</w:t>
      </w:r>
      <w:r>
        <w:rPr>
          <w:rFonts w:hint="eastAsia" w:ascii="宋体" w:hAnsi="宋体" w:eastAsia="宋体" w:cs="Times New Roman"/>
          <w:b/>
          <w:bCs/>
          <w:szCs w:val="21"/>
        </w:rPr>
        <w:t>参选人报价不得高于最高投标限价，否则为无效报价，即报价评审不通过</w:t>
      </w:r>
      <w:r>
        <w:rPr>
          <w:rFonts w:hint="eastAsia" w:ascii="宋体" w:hAnsi="宋体" w:eastAsia="宋体" w:cs="Times New Roman"/>
          <w:szCs w:val="21"/>
        </w:rPr>
        <w:t>。</w:t>
      </w:r>
    </w:p>
    <w:p w14:paraId="3874E382">
      <w:pPr>
        <w:widowControl/>
        <w:spacing w:line="480" w:lineRule="exact"/>
        <w:ind w:firstLine="420" w:firstLineChars="200"/>
        <w:jc w:val="left"/>
        <w:rPr>
          <w:rFonts w:ascii="宋体" w:hAnsi="宋体" w:eastAsia="宋体" w:cs="Times New Roman"/>
          <w:szCs w:val="21"/>
        </w:rPr>
      </w:pPr>
      <w:r>
        <w:rPr>
          <w:rFonts w:hint="eastAsia" w:ascii="宋体" w:hAnsi="宋体" w:eastAsia="宋体" w:cs="Times New Roman"/>
          <w:szCs w:val="21"/>
        </w:rPr>
        <w:t>25.4、报价中包含单价与总价的，应审核总价金额与按单价汇总金额是否一致。</w:t>
      </w:r>
    </w:p>
    <w:p w14:paraId="1C449936">
      <w:pPr>
        <w:widowControl/>
        <w:spacing w:line="480" w:lineRule="exact"/>
        <w:ind w:firstLine="420" w:firstLineChars="200"/>
        <w:jc w:val="left"/>
        <w:rPr>
          <w:rFonts w:ascii="宋体" w:hAnsi="宋体" w:eastAsia="宋体" w:cs="Times New Roman"/>
          <w:szCs w:val="21"/>
        </w:rPr>
      </w:pPr>
      <w:r>
        <w:rPr>
          <w:rFonts w:hint="eastAsia" w:ascii="宋体" w:hAnsi="宋体" w:eastAsia="宋体" w:cs="Times New Roman"/>
          <w:szCs w:val="21"/>
        </w:rPr>
        <w:t>25.5、澄清有关问题：在评标期间，评委会有权以书面方式要求参选人对其参选文件中含义不明确、对同类问题表述不一致或者有明显文字和计算错误的内容作必要的澄清、说明或补正。参选人澄清、说明或补正应在评委会规定的时间内以书面方式进行，并不得超出参选文件范围或者改变参选文件的实质性内容。澄清文件将作为参选文件内容的一部分。</w:t>
      </w:r>
    </w:p>
    <w:p w14:paraId="6BAB40C4">
      <w:pPr>
        <w:widowControl/>
        <w:spacing w:line="500" w:lineRule="exact"/>
        <w:ind w:firstLine="420"/>
        <w:jc w:val="left"/>
        <w:rPr>
          <w:rFonts w:ascii="宋体" w:hAnsi="宋体" w:eastAsia="宋体" w:cs="Times New Roman"/>
          <w:szCs w:val="21"/>
        </w:rPr>
      </w:pPr>
      <w:r>
        <w:rPr>
          <w:rFonts w:hint="eastAsia" w:ascii="宋体" w:hAnsi="宋体" w:eastAsia="宋体" w:cs="Times New Roman"/>
          <w:szCs w:val="21"/>
        </w:rPr>
        <w:t>25.6、失信核查</w:t>
      </w:r>
    </w:p>
    <w:p w14:paraId="4D26B3E1">
      <w:pPr>
        <w:widowControl/>
        <w:spacing w:line="500" w:lineRule="exact"/>
        <w:ind w:firstLine="420"/>
        <w:jc w:val="left"/>
        <w:rPr>
          <w:rFonts w:ascii="宋体" w:hAnsi="宋体" w:eastAsia="宋体" w:cs="Times New Roman"/>
          <w:szCs w:val="21"/>
        </w:rPr>
      </w:pPr>
      <w:r>
        <w:rPr>
          <w:rFonts w:hint="eastAsia" w:ascii="宋体" w:hAnsi="宋体" w:eastAsia="宋体" w:cs="Times New Roman"/>
          <w:szCs w:val="21"/>
        </w:rPr>
        <w:t>评标委员会对推荐为中标候选人的参选人是否被列入“信用中国、中国政府采购网”政府采购严重违法失信名单进行网上核查（网址：</w:t>
      </w:r>
      <w:r>
        <w:rPr>
          <w:rFonts w:ascii="Times New Roman" w:hAnsi="Times New Roman" w:eastAsia="宋体" w:cs="Times New Roman"/>
        </w:rPr>
        <w:fldChar w:fldCharType="begin"/>
      </w:r>
      <w:r>
        <w:rPr>
          <w:rFonts w:ascii="Times New Roman" w:hAnsi="Times New Roman" w:eastAsia="宋体" w:cs="Times New Roman"/>
        </w:rPr>
        <w:instrText xml:space="preserve"> HYPERLINK "http://www.creditchina.gov.cn/" </w:instrText>
      </w:r>
      <w:r>
        <w:rPr>
          <w:rFonts w:ascii="Times New Roman" w:hAnsi="Times New Roman" w:eastAsia="宋体" w:cs="Times New Roman"/>
        </w:rPr>
        <w:fldChar w:fldCharType="separate"/>
      </w:r>
      <w:r>
        <w:rPr>
          <w:rStyle w:val="76"/>
          <w:rFonts w:hint="eastAsia" w:ascii="宋体" w:hAnsi="宋体" w:eastAsia="宋体" w:cs="Times New Roman"/>
          <w:color w:val="auto"/>
          <w:szCs w:val="21"/>
        </w:rPr>
        <w:t>http://www.creditchina.gov.cn/</w:t>
      </w:r>
      <w:r>
        <w:rPr>
          <w:rStyle w:val="76"/>
          <w:rFonts w:hint="eastAsia" w:ascii="宋体" w:hAnsi="宋体" w:eastAsia="宋体" w:cs="Times New Roman"/>
          <w:color w:val="auto"/>
          <w:szCs w:val="21"/>
        </w:rPr>
        <w:fldChar w:fldCharType="end"/>
      </w:r>
      <w:r>
        <w:rPr>
          <w:rFonts w:hint="eastAsia" w:ascii="宋体" w:hAnsi="宋体" w:eastAsia="宋体" w:cs="Times New Roman"/>
          <w:szCs w:val="21"/>
        </w:rPr>
        <w:t>、</w:t>
      </w:r>
      <w:r>
        <w:rPr>
          <w:rFonts w:ascii="Times New Roman" w:hAnsi="Times New Roman" w:eastAsia="宋体" w:cs="Times New Roman"/>
        </w:rPr>
        <w:fldChar w:fldCharType="begin"/>
      </w:r>
      <w:r>
        <w:rPr>
          <w:rFonts w:ascii="Times New Roman" w:hAnsi="Times New Roman" w:eastAsia="宋体" w:cs="Times New Roman"/>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rPr>
        <w:fldChar w:fldCharType="separate"/>
      </w:r>
      <w:r>
        <w:rPr>
          <w:rStyle w:val="76"/>
          <w:rFonts w:hint="eastAsia" w:ascii="宋体" w:hAnsi="Times New Roman" w:eastAsia="宋体" w:cs="Times New Roman"/>
          <w:color w:val="auto"/>
          <w:szCs w:val="21"/>
        </w:rPr>
        <w:t>http://www.ccgp.gov.cn/）</w:t>
      </w:r>
      <w:r>
        <w:rPr>
          <w:rStyle w:val="76"/>
          <w:rFonts w:hint="eastAsia" w:ascii="宋体" w:hAnsi="Times New Roman" w:eastAsia="宋体" w:cs="Times New Roman"/>
          <w:color w:val="auto"/>
          <w:szCs w:val="21"/>
          <w:u w:val="none"/>
        </w:rPr>
        <w:t>，若核查存在</w:t>
      </w:r>
      <w:r>
        <w:rPr>
          <w:rStyle w:val="76"/>
          <w:rFonts w:hint="eastAsia" w:ascii="宋体" w:hAnsi="宋体" w:eastAsia="宋体" w:cs="Times New Roman"/>
          <w:color w:val="auto"/>
          <w:szCs w:val="21"/>
          <w:u w:val="none"/>
        </w:rPr>
        <w:t>政府采购严重违法</w:t>
      </w:r>
      <w:r>
        <w:rPr>
          <w:rStyle w:val="76"/>
          <w:rFonts w:hint="eastAsia" w:ascii="宋体" w:hAnsi="Times New Roman" w:eastAsia="宋体" w:cs="Times New Roman"/>
          <w:color w:val="auto"/>
          <w:szCs w:val="21"/>
          <w:u w:val="none"/>
        </w:rPr>
        <w:t>失信名单记录的参选人，评标委员会不得将其推荐为中标候选人，依序递补，并再次对递补的参选人进行核查。</w:t>
      </w:r>
      <w:r>
        <w:rPr>
          <w:rStyle w:val="76"/>
          <w:rFonts w:hint="eastAsia" w:ascii="宋体" w:hAnsi="Times New Roman" w:eastAsia="宋体" w:cs="Times New Roman"/>
          <w:color w:val="auto"/>
          <w:szCs w:val="21"/>
          <w:u w:val="none"/>
        </w:rPr>
        <w:fldChar w:fldCharType="end"/>
      </w:r>
    </w:p>
    <w:p w14:paraId="11B2585B">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25.7、</w:t>
      </w:r>
      <w:r>
        <w:rPr>
          <w:rFonts w:hint="eastAsia" w:ascii="宋体" w:hAnsi="宋体" w:eastAsia="宋体" w:cs="宋体"/>
          <w:szCs w:val="21"/>
        </w:rPr>
        <w:t>确定中标候选人排序：评委会对通过参选文件</w:t>
      </w:r>
      <w:r>
        <w:rPr>
          <w:rFonts w:hint="eastAsia" w:ascii="宋体" w:hAnsi="宋体" w:eastAsia="宋体" w:cs="宋体"/>
          <w:bCs/>
          <w:szCs w:val="24"/>
        </w:rPr>
        <w:t>符合性审查</w:t>
      </w:r>
      <w:r>
        <w:rPr>
          <w:rFonts w:hint="eastAsia" w:ascii="宋体" w:hAnsi="宋体" w:eastAsia="宋体" w:cs="宋体"/>
          <w:szCs w:val="21"/>
        </w:rPr>
        <w:t>、报价评审和失信核查的参选人，根据最低价由低至高的顺序排列，报价最低者为第一中标候选人。若出现两家或两家以上参选人报价最低且相等，</w:t>
      </w:r>
      <w:r>
        <w:rPr>
          <w:rFonts w:hint="eastAsia" w:ascii="宋体" w:hAnsi="宋体" w:eastAsia="宋体" w:cs="Times New Roman"/>
          <w:szCs w:val="21"/>
        </w:rPr>
        <w:t>则由采购人采取现场随机抽取的方式确定中标候选人排序。</w:t>
      </w:r>
    </w:p>
    <w:p w14:paraId="6906D4F9">
      <w:pPr>
        <w:widowControl/>
        <w:spacing w:line="500" w:lineRule="exact"/>
        <w:ind w:firstLine="422" w:firstLineChars="200"/>
        <w:jc w:val="left"/>
        <w:rPr>
          <w:rFonts w:ascii="宋体" w:hAnsi="宋体" w:eastAsia="宋体" w:cs="Times New Roman"/>
          <w:b/>
          <w:bCs/>
          <w:szCs w:val="21"/>
        </w:rPr>
      </w:pPr>
      <w:r>
        <w:rPr>
          <w:rFonts w:hint="eastAsia" w:ascii="宋体" w:hAnsi="宋体" w:eastAsia="宋体" w:cs="Times New Roman"/>
          <w:b/>
          <w:bCs/>
          <w:szCs w:val="21"/>
        </w:rPr>
        <w:t>26、开标评标异常情况处理</w:t>
      </w:r>
    </w:p>
    <w:p w14:paraId="2E75240B">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26.1、在招标采购中，出现下列情况之一的，应予废标，采购单位重新组织采购：</w:t>
      </w:r>
    </w:p>
    <w:p w14:paraId="249FF074">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(1) 提交参选文件的参选人不足3家的；</w:t>
      </w:r>
    </w:p>
    <w:p w14:paraId="507407B7">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(2)出现影响采购公正的违法、违规行为的；</w:t>
      </w:r>
    </w:p>
    <w:p w14:paraId="478BF96D">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(3)参选人的报价均高于最高投标限价的；</w:t>
      </w:r>
    </w:p>
    <w:p w14:paraId="79367865">
      <w:pPr>
        <w:widowControl/>
        <w:spacing w:line="500" w:lineRule="exact"/>
        <w:ind w:firstLine="405"/>
        <w:jc w:val="left"/>
        <w:rPr>
          <w:rFonts w:ascii="宋体" w:hAnsi="宋体" w:eastAsia="宋体" w:cs="Times New Roman"/>
          <w:szCs w:val="21"/>
        </w:rPr>
      </w:pPr>
      <w:r>
        <w:rPr>
          <w:rFonts w:hint="eastAsia" w:ascii="宋体" w:hAnsi="宋体" w:eastAsia="宋体" w:cs="Times New Roman"/>
          <w:szCs w:val="21"/>
        </w:rPr>
        <w:t>(4)因重大变故，采购任务取消的。</w:t>
      </w:r>
    </w:p>
    <w:p w14:paraId="0F5665DA">
      <w:pPr>
        <w:widowControl/>
        <w:spacing w:line="500" w:lineRule="exact"/>
        <w:ind w:firstLine="405"/>
        <w:jc w:val="left"/>
        <w:rPr>
          <w:rFonts w:ascii="宋体" w:hAnsi="宋体" w:eastAsia="宋体" w:cs="Times New Roman"/>
          <w:b/>
          <w:szCs w:val="21"/>
        </w:rPr>
      </w:pPr>
      <w:r>
        <w:rPr>
          <w:rFonts w:hint="eastAsia" w:ascii="宋体" w:hAnsi="宋体" w:eastAsia="宋体" w:cs="Times New Roman"/>
          <w:b/>
          <w:szCs w:val="21"/>
        </w:rPr>
        <w:t>27、评标过程的保密性</w:t>
      </w:r>
    </w:p>
    <w:p w14:paraId="0FF5AD8F">
      <w:pPr>
        <w:widowControl/>
        <w:spacing w:line="500" w:lineRule="exact"/>
        <w:ind w:firstLine="405"/>
        <w:jc w:val="left"/>
        <w:rPr>
          <w:rFonts w:ascii="宋体" w:hAnsi="宋体" w:eastAsia="宋体" w:cs="Times New Roman"/>
          <w:szCs w:val="21"/>
        </w:rPr>
      </w:pPr>
      <w:r>
        <w:rPr>
          <w:rFonts w:hint="eastAsia" w:ascii="宋体" w:hAnsi="宋体" w:eastAsia="宋体" w:cs="Times New Roman"/>
          <w:szCs w:val="21"/>
        </w:rPr>
        <w:t>27.1、</w:t>
      </w:r>
      <w:bookmarkStart w:id="38" w:name="_Toc417655921"/>
      <w:bookmarkStart w:id="39" w:name="_Toc15032"/>
      <w:bookmarkStart w:id="40" w:name="_Toc418517858"/>
      <w:r>
        <w:rPr>
          <w:rFonts w:hint="eastAsia" w:ascii="宋体" w:hAnsi="宋体" w:eastAsia="宋体" w:cs="Times New Roman"/>
          <w:szCs w:val="21"/>
        </w:rPr>
        <w:t>开标后，直到授予中标人合同止，凡是与参选文件审查、澄清、评价、比较以及授标建议等评审方面的情况，均不得向参选人或其他无关的人员透露。</w:t>
      </w:r>
    </w:p>
    <w:p w14:paraId="042698B3">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27.2、在评标过程中，参选人如向评委会成员施加任何影响，都将会导致其参选文件被拒绝。</w:t>
      </w:r>
    </w:p>
    <w:p w14:paraId="5B1C4D33">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27.3、中标人确定后，采购单位不对未中标人就评标过程以及未能中标原因作出任何解释。参选人不得向评委会组成人员或其他有关人员询问评标过程的情况和要求提供材料。</w:t>
      </w:r>
    </w:p>
    <w:p w14:paraId="5A4AFC8E">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27.4、中标通知书</w:t>
      </w:r>
      <w:bookmarkEnd w:id="38"/>
      <w:bookmarkEnd w:id="39"/>
      <w:bookmarkEnd w:id="40"/>
    </w:p>
    <w:p w14:paraId="01066209">
      <w:pPr>
        <w:widowControl/>
        <w:spacing w:line="360" w:lineRule="auto"/>
        <w:ind w:firstLine="420" w:firstLineChars="200"/>
        <w:rPr>
          <w:rFonts w:ascii="宋体" w:hAnsi="宋体" w:eastAsia="宋体" w:cs="宋体"/>
          <w:kern w:val="0"/>
          <w:sz w:val="24"/>
          <w:szCs w:val="24"/>
        </w:rPr>
      </w:pPr>
      <w:r>
        <w:rPr>
          <w:rFonts w:hint="eastAsia" w:ascii="宋体" w:hAnsi="宋体" w:eastAsia="宋体" w:cs="宋体"/>
        </w:rPr>
        <w:t>中标候选人确定后，采购单位将在安庆市交通控股集团有限公司集采平台（http：//jc.zh0556.com/）上公示，参选人如有异议，必须在公示期内向有关部门提出。</w:t>
      </w:r>
    </w:p>
    <w:p w14:paraId="61BF3E51">
      <w:pPr>
        <w:spacing w:line="360" w:lineRule="auto"/>
        <w:ind w:firstLine="420" w:firstLineChars="200"/>
        <w:rPr>
          <w:rFonts w:ascii="Times New Roman" w:hAnsi="宋体" w:eastAsia="宋体" w:cs="宋体"/>
          <w:b/>
          <w:szCs w:val="24"/>
        </w:rPr>
      </w:pPr>
      <w:bookmarkStart w:id="41" w:name="_Toc478821422"/>
      <w:bookmarkStart w:id="42" w:name="_Toc456882340"/>
      <w:bookmarkStart w:id="43" w:name="_Toc19876"/>
      <w:bookmarkStart w:id="44" w:name="_Toc433721697"/>
      <w:bookmarkStart w:id="45" w:name="_Toc457998294"/>
      <w:bookmarkStart w:id="46" w:name="_Toc31095"/>
      <w:bookmarkStart w:id="47" w:name="_Toc10586"/>
      <w:bookmarkStart w:id="48" w:name="_Toc10987"/>
      <w:r>
        <w:rPr>
          <w:rFonts w:ascii="Times New Roman" w:hAnsi="宋体" w:eastAsia="宋体" w:cs="宋体"/>
          <w:szCs w:val="24"/>
        </w:rPr>
        <w:t>公示期满无异议，且未发现中标人在</w:t>
      </w:r>
      <w:r>
        <w:rPr>
          <w:rFonts w:hint="eastAsia" w:ascii="Times New Roman" w:hAnsi="宋体" w:eastAsia="宋体" w:cs="宋体"/>
          <w:szCs w:val="24"/>
        </w:rPr>
        <w:t>比选</w:t>
      </w:r>
      <w:r>
        <w:rPr>
          <w:rFonts w:ascii="Times New Roman" w:hAnsi="宋体" w:eastAsia="宋体" w:cs="宋体"/>
          <w:szCs w:val="24"/>
        </w:rPr>
        <w:t>活动中有违法行为的，</w:t>
      </w:r>
      <w:r>
        <w:rPr>
          <w:rFonts w:hint="eastAsia" w:ascii="Times New Roman" w:hAnsi="宋体" w:eastAsia="宋体" w:cs="宋体"/>
          <w:szCs w:val="24"/>
        </w:rPr>
        <w:t>采购人</w:t>
      </w:r>
      <w:r>
        <w:rPr>
          <w:rFonts w:ascii="Times New Roman" w:hAnsi="宋体" w:eastAsia="宋体" w:cs="宋体"/>
          <w:szCs w:val="24"/>
        </w:rPr>
        <w:t>将向中标人发出中标通知书。</w:t>
      </w:r>
      <w:bookmarkEnd w:id="41"/>
      <w:bookmarkEnd w:id="42"/>
      <w:bookmarkEnd w:id="43"/>
      <w:bookmarkEnd w:id="44"/>
      <w:bookmarkEnd w:id="45"/>
      <w:bookmarkEnd w:id="46"/>
      <w:bookmarkEnd w:id="47"/>
      <w:bookmarkEnd w:id="48"/>
    </w:p>
    <w:p w14:paraId="7B4C192A">
      <w:pPr>
        <w:keepNext/>
        <w:keepLines/>
        <w:autoSpaceDE w:val="0"/>
        <w:autoSpaceDN w:val="0"/>
        <w:adjustRightInd w:val="0"/>
        <w:spacing w:before="120" w:line="360" w:lineRule="auto"/>
        <w:jc w:val="center"/>
        <w:outlineLvl w:val="1"/>
        <w:rPr>
          <w:rFonts w:ascii="Arial" w:hAnsi="Arial" w:eastAsia="宋体" w:cs="Times New Roman"/>
          <w:b/>
          <w:kern w:val="0"/>
          <w:sz w:val="32"/>
        </w:rPr>
      </w:pPr>
      <w:bookmarkStart w:id="49" w:name="_Toc4481597"/>
      <w:r>
        <w:rPr>
          <w:rFonts w:hint="eastAsia" w:ascii="Arial" w:hAnsi="Arial" w:eastAsia="宋体" w:cs="Times New Roman"/>
          <w:b/>
          <w:kern w:val="0"/>
          <w:sz w:val="32"/>
        </w:rPr>
        <w:t>（七）合同授予</w:t>
      </w:r>
      <w:bookmarkEnd w:id="49"/>
    </w:p>
    <w:p w14:paraId="163D52B3">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28.1、</w:t>
      </w:r>
      <w:bookmarkStart w:id="50" w:name="_Toc21358"/>
      <w:bookmarkStart w:id="51" w:name="_Toc417655923"/>
      <w:bookmarkStart w:id="52" w:name="_Toc418517860"/>
      <w:r>
        <w:rPr>
          <w:rFonts w:hint="eastAsia" w:ascii="宋体" w:hAnsi="宋体" w:eastAsia="宋体" w:cs="Times New Roman"/>
          <w:szCs w:val="21"/>
        </w:rPr>
        <w:t>签订合同</w:t>
      </w:r>
      <w:bookmarkEnd w:id="50"/>
      <w:bookmarkEnd w:id="51"/>
      <w:bookmarkEnd w:id="52"/>
    </w:p>
    <w:p w14:paraId="37482FA2">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28.1.1、中标人的中标价即为合同价款。</w:t>
      </w:r>
    </w:p>
    <w:p w14:paraId="64A07EFF">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28.1.2、中标人在收到中标通知书起30天内，与采购人签订合同。</w:t>
      </w:r>
    </w:p>
    <w:p w14:paraId="1A001FE6">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28.1.3、中标人（中标候选人）被取消中标资格的，采购人可以按照评标委员会提出的中标候选人名单排序依次确定其他中标候选人为中标人，或重新组织采购。</w:t>
      </w:r>
    </w:p>
    <w:p w14:paraId="4DF85BEC">
      <w:pPr>
        <w:widowControl/>
        <w:spacing w:line="440" w:lineRule="exact"/>
        <w:ind w:firstLine="420"/>
        <w:jc w:val="left"/>
        <w:rPr>
          <w:rFonts w:ascii="宋体" w:cs="宋体"/>
          <w:b/>
          <w:bCs/>
          <w:snapToGrid w:val="0"/>
          <w:color w:val="000000" w:themeColor="text1"/>
          <w:kern w:val="0"/>
          <w:sz w:val="32"/>
          <w:szCs w:val="32"/>
          <w:highlight w:val="none"/>
          <w14:textFill>
            <w14:solidFill>
              <w14:schemeClr w14:val="tx1"/>
            </w14:solidFill>
          </w14:textFill>
        </w:rPr>
      </w:pPr>
      <w:r>
        <w:rPr>
          <w:rFonts w:ascii="宋体" w:cs="宋体"/>
          <w:b/>
          <w:bCs/>
          <w:snapToGrid w:val="0"/>
          <w:color w:val="000000" w:themeColor="text1"/>
          <w:kern w:val="0"/>
          <w:sz w:val="32"/>
          <w:szCs w:val="32"/>
          <w:highlight w:val="none"/>
          <w14:textFill>
            <w14:solidFill>
              <w14:schemeClr w14:val="tx1"/>
            </w14:solidFill>
          </w14:textFill>
        </w:rPr>
        <w:br w:type="page"/>
      </w:r>
    </w:p>
    <w:p w14:paraId="60A2CE8A">
      <w:pPr>
        <w:pStyle w:val="2"/>
        <w:numPr>
          <w:ilvl w:val="0"/>
          <w:numId w:val="6"/>
        </w:numPr>
        <w:spacing w:before="62" w:beforeLines="20" w:after="62" w:afterLines="20" w:line="48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bookmarkStart w:id="53" w:name="_Toc11149"/>
      <w:bookmarkStart w:id="54" w:name="_Toc54941340"/>
      <w:bookmarkStart w:id="55" w:name="_Toc10569"/>
      <w:r>
        <w:rPr>
          <w:rFonts w:hint="eastAsia" w:ascii="Arial" w:hAnsi="Arial"/>
          <w:color w:val="000000" w:themeColor="text1"/>
          <w:kern w:val="2"/>
          <w:sz w:val="32"/>
          <w:szCs w:val="32"/>
          <w:highlight w:val="none"/>
          <w14:textFill>
            <w14:solidFill>
              <w14:schemeClr w14:val="tx1"/>
            </w14:solidFill>
          </w14:textFill>
        </w:rPr>
        <w:t xml:space="preserve"> 服务及</w:t>
      </w:r>
      <w:r>
        <w:rPr>
          <w:rFonts w:hint="eastAsia" w:ascii="Arial" w:hAnsi="Arial"/>
          <w:color w:val="000000" w:themeColor="text1"/>
          <w:kern w:val="2"/>
          <w:sz w:val="32"/>
          <w:szCs w:val="32"/>
          <w:highlight w:val="none"/>
          <w:lang w:val="zh-CN"/>
          <w14:textFill>
            <w14:solidFill>
              <w14:schemeClr w14:val="tx1"/>
            </w14:solidFill>
          </w14:textFill>
        </w:rPr>
        <w:t>技术要求</w:t>
      </w:r>
    </w:p>
    <w:p w14:paraId="2740EADB">
      <w:pPr>
        <w:rPr>
          <w:rFonts w:hint="eastAsia"/>
        </w:rPr>
      </w:pPr>
    </w:p>
    <w:p w14:paraId="39BB1CC5">
      <w:pPr>
        <w:spacing w:line="360" w:lineRule="auto"/>
        <w:ind w:firstLine="422" w:firstLineChars="200"/>
      </w:pPr>
      <w:r>
        <w:rPr>
          <w:rFonts w:hint="eastAsia" w:ascii="宋体" w:hAnsi="宋体"/>
          <w:b/>
          <w:bCs/>
          <w:szCs w:val="21"/>
        </w:rPr>
        <w:t>一、商务要求：</w:t>
      </w:r>
    </w:p>
    <w:tbl>
      <w:tblPr>
        <w:tblStyle w:val="63"/>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78E0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noWrap w:val="0"/>
            <w:vAlign w:val="center"/>
          </w:tcPr>
          <w:p w14:paraId="3C397B31">
            <w:pPr>
              <w:pStyle w:val="3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cs="Wingdings"/>
                <w:b/>
                <w:sz w:val="24"/>
              </w:rPr>
            </w:pPr>
            <w:r>
              <w:rPr>
                <w:rFonts w:hint="eastAsia" w:hAnsi="宋体" w:cs="Wingdings"/>
                <w:b/>
                <w:sz w:val="24"/>
              </w:rPr>
              <w:t>序号</w:t>
            </w:r>
          </w:p>
        </w:tc>
        <w:tc>
          <w:tcPr>
            <w:tcW w:w="2391" w:type="dxa"/>
            <w:noWrap w:val="0"/>
            <w:vAlign w:val="center"/>
          </w:tcPr>
          <w:p w14:paraId="43A9225B">
            <w:pPr>
              <w:pStyle w:val="3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pPr>
            <w:r>
              <w:rPr>
                <w:rFonts w:hint="eastAsia" w:hAnsi="宋体"/>
                <w:b/>
                <w:bCs/>
                <w:sz w:val="24"/>
                <w:szCs w:val="24"/>
              </w:rPr>
              <w:t>条款名称</w:t>
            </w:r>
          </w:p>
        </w:tc>
        <w:tc>
          <w:tcPr>
            <w:tcW w:w="5170" w:type="dxa"/>
            <w:noWrap w:val="0"/>
            <w:vAlign w:val="center"/>
          </w:tcPr>
          <w:p w14:paraId="06F81403">
            <w:pPr>
              <w:pStyle w:val="3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cs="Wingdings"/>
                <w:b/>
                <w:sz w:val="24"/>
              </w:rPr>
            </w:pPr>
            <w:r>
              <w:rPr>
                <w:rFonts w:hint="eastAsia" w:hAnsi="宋体" w:cs="Wingdings"/>
                <w:b/>
                <w:sz w:val="24"/>
              </w:rPr>
              <w:t>具体要求内容</w:t>
            </w:r>
          </w:p>
        </w:tc>
      </w:tr>
      <w:tr w14:paraId="3CCD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8" w:type="dxa"/>
            <w:noWrap w:val="0"/>
            <w:vAlign w:val="center"/>
          </w:tcPr>
          <w:p w14:paraId="759FCD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rPr>
            </w:pPr>
            <w:r>
              <w:rPr>
                <w:rFonts w:ascii="宋体" w:hAnsi="宋体"/>
                <w:sz w:val="24"/>
              </w:rPr>
              <w:t>1</w:t>
            </w:r>
          </w:p>
        </w:tc>
        <w:tc>
          <w:tcPr>
            <w:tcW w:w="2391" w:type="dxa"/>
            <w:noWrap w:val="0"/>
            <w:vAlign w:val="center"/>
          </w:tcPr>
          <w:p w14:paraId="5BCDCF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rPr>
            </w:pPr>
            <w:r>
              <w:rPr>
                <w:rFonts w:ascii="宋体" w:hAnsi="宋体"/>
                <w:sz w:val="24"/>
              </w:rPr>
              <w:t>付款方式</w:t>
            </w:r>
          </w:p>
        </w:tc>
        <w:tc>
          <w:tcPr>
            <w:tcW w:w="5170" w:type="dxa"/>
            <w:noWrap w:val="0"/>
            <w:vAlign w:val="center"/>
          </w:tcPr>
          <w:p w14:paraId="3DA661F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维保费分期支付，每季度结束后10日内支付上一期维保费用。采购人付款前，成交人应向采购人开具等额有效的增值税发票，采购人未收到发票的，有权不予支付相应款项直至成交人提供合格发票，并不承担延迟付款责任。</w:t>
            </w:r>
          </w:p>
        </w:tc>
      </w:tr>
      <w:tr w14:paraId="7DAC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8" w:type="dxa"/>
            <w:noWrap w:val="0"/>
            <w:vAlign w:val="center"/>
          </w:tcPr>
          <w:p w14:paraId="3F1904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rPr>
            </w:pPr>
            <w:r>
              <w:rPr>
                <w:rFonts w:hint="eastAsia" w:ascii="宋体" w:hAnsi="宋体"/>
                <w:sz w:val="24"/>
              </w:rPr>
              <w:t>2</w:t>
            </w:r>
          </w:p>
        </w:tc>
        <w:tc>
          <w:tcPr>
            <w:tcW w:w="2391" w:type="dxa"/>
            <w:noWrap w:val="0"/>
            <w:vAlign w:val="center"/>
          </w:tcPr>
          <w:p w14:paraId="0491E6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rPr>
            </w:pPr>
            <w:r>
              <w:rPr>
                <w:rFonts w:hint="eastAsia" w:ascii="宋体" w:hAnsi="宋体"/>
                <w:sz w:val="24"/>
              </w:rPr>
              <w:t>服务地点</w:t>
            </w:r>
          </w:p>
        </w:tc>
        <w:tc>
          <w:tcPr>
            <w:tcW w:w="5170" w:type="dxa"/>
            <w:noWrap w:val="0"/>
            <w:vAlign w:val="center"/>
          </w:tcPr>
          <w:p w14:paraId="572DED3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采购人指定地点</w:t>
            </w:r>
          </w:p>
        </w:tc>
      </w:tr>
      <w:tr w14:paraId="00E2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noWrap w:val="0"/>
            <w:vAlign w:val="center"/>
          </w:tcPr>
          <w:p w14:paraId="09DB70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rPr>
            </w:pPr>
            <w:r>
              <w:rPr>
                <w:rFonts w:hint="eastAsia" w:ascii="宋体" w:hAnsi="宋体"/>
                <w:sz w:val="24"/>
              </w:rPr>
              <w:t>3</w:t>
            </w:r>
          </w:p>
        </w:tc>
        <w:tc>
          <w:tcPr>
            <w:tcW w:w="2391" w:type="dxa"/>
            <w:noWrap w:val="0"/>
            <w:vAlign w:val="center"/>
          </w:tcPr>
          <w:p w14:paraId="7BB99A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rPr>
            </w:pPr>
            <w:r>
              <w:rPr>
                <w:rFonts w:hint="eastAsia" w:ascii="宋体" w:hAnsi="宋体"/>
                <w:sz w:val="24"/>
              </w:rPr>
              <w:t>服务期限</w:t>
            </w:r>
          </w:p>
        </w:tc>
        <w:tc>
          <w:tcPr>
            <w:tcW w:w="5170" w:type="dxa"/>
            <w:noWrap w:val="0"/>
            <w:vAlign w:val="center"/>
          </w:tcPr>
          <w:p w14:paraId="2E21BB1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自签订合同之日起</w:t>
            </w:r>
            <w:r>
              <w:rPr>
                <w:rFonts w:hint="eastAsia" w:ascii="宋体" w:hAnsi="宋体" w:eastAsia="宋体" w:cs="宋体"/>
                <w:szCs w:val="21"/>
                <w:highlight w:val="none"/>
                <w:lang w:val="en-US" w:eastAsia="zh-CN"/>
              </w:rPr>
              <w:t>一年</w:t>
            </w:r>
            <w:r>
              <w:rPr>
                <w:rFonts w:hint="eastAsia" w:ascii="宋体" w:hAnsi="宋体" w:eastAsia="宋体" w:cs="宋体"/>
                <w:szCs w:val="21"/>
                <w:highlight w:val="none"/>
              </w:rPr>
              <w:t>。服务期满，成交人经采购人年度考核合格（80分及以上）后可续签二年合同（一年一签）</w:t>
            </w:r>
            <w:r>
              <w:rPr>
                <w:rFonts w:hint="eastAsia" w:ascii="宋体" w:hAnsi="宋体" w:eastAsia="宋体" w:cs="宋体"/>
                <w:szCs w:val="21"/>
                <w:highlight w:val="none"/>
                <w:lang w:eastAsia="zh-CN"/>
              </w:rPr>
              <w:t>。</w:t>
            </w:r>
          </w:p>
        </w:tc>
      </w:tr>
    </w:tbl>
    <w:p w14:paraId="56DBB53D">
      <w:pPr>
        <w:spacing w:line="360" w:lineRule="auto"/>
        <w:ind w:firstLine="422" w:firstLineChars="200"/>
        <w:rPr>
          <w:rFonts w:ascii="宋体" w:hAnsi="宋体"/>
          <w:b/>
          <w:bCs/>
          <w:szCs w:val="21"/>
        </w:rPr>
      </w:pPr>
    </w:p>
    <w:p w14:paraId="6180ED31">
      <w:pPr>
        <w:pStyle w:val="5"/>
        <w:autoSpaceDE/>
        <w:autoSpaceDN/>
        <w:adjustRightInd/>
        <w:spacing w:line="360" w:lineRule="auto"/>
        <w:ind w:firstLine="413" w:firstLineChars="196"/>
        <w:rPr>
          <w:rFonts w:hint="eastAsia"/>
          <w:bCs/>
          <w:szCs w:val="24"/>
          <w:highlight w:val="none"/>
        </w:rPr>
      </w:pPr>
      <w:r>
        <w:rPr>
          <w:rFonts w:hint="eastAsia" w:hAnsi="宋体"/>
          <w:bCs/>
          <w:szCs w:val="24"/>
          <w:highlight w:val="none"/>
        </w:rPr>
        <w:t>二、</w:t>
      </w:r>
      <w:r>
        <w:rPr>
          <w:rFonts w:hint="eastAsia"/>
          <w:bCs/>
          <w:szCs w:val="24"/>
          <w:highlight w:val="none"/>
        </w:rPr>
        <w:t>项目概况</w:t>
      </w:r>
    </w:p>
    <w:p w14:paraId="589E57F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采购人拟选定一家维保单位对辖区电梯进行日常维护保养，电梯信息如下：</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557"/>
        <w:gridCol w:w="2001"/>
        <w:gridCol w:w="2240"/>
        <w:gridCol w:w="1414"/>
      </w:tblGrid>
      <w:tr w14:paraId="18D8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4" w:type="dxa"/>
            <w:noWrap w:val="0"/>
            <w:vAlign w:val="center"/>
          </w:tcPr>
          <w:p w14:paraId="02F5742C">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cs="宋体"/>
                <w:bCs/>
                <w:szCs w:val="21"/>
                <w:highlight w:val="none"/>
              </w:rPr>
            </w:pPr>
            <w:r>
              <w:rPr>
                <w:rFonts w:hint="eastAsia" w:ascii="宋体" w:hAnsi="宋体" w:cs="宋体"/>
                <w:bCs/>
                <w:szCs w:val="21"/>
                <w:highlight w:val="none"/>
              </w:rPr>
              <w:t>序号</w:t>
            </w:r>
          </w:p>
        </w:tc>
        <w:tc>
          <w:tcPr>
            <w:tcW w:w="2557" w:type="dxa"/>
            <w:noWrap w:val="0"/>
            <w:vAlign w:val="center"/>
          </w:tcPr>
          <w:p w14:paraId="544A9C79">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cs="宋体"/>
                <w:bCs/>
                <w:szCs w:val="21"/>
                <w:highlight w:val="none"/>
              </w:rPr>
            </w:pPr>
            <w:r>
              <w:rPr>
                <w:rFonts w:hint="eastAsia" w:ascii="宋体" w:hAnsi="宋体" w:cs="宋体"/>
                <w:bCs/>
                <w:szCs w:val="21"/>
                <w:highlight w:val="none"/>
              </w:rPr>
              <w:t>设备地址</w:t>
            </w:r>
          </w:p>
        </w:tc>
        <w:tc>
          <w:tcPr>
            <w:tcW w:w="2001" w:type="dxa"/>
            <w:noWrap w:val="0"/>
            <w:vAlign w:val="center"/>
          </w:tcPr>
          <w:p w14:paraId="14CDB446">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cs="宋体"/>
                <w:bCs/>
                <w:szCs w:val="21"/>
                <w:highlight w:val="none"/>
              </w:rPr>
            </w:pPr>
            <w:r>
              <w:rPr>
                <w:rFonts w:hint="eastAsia" w:ascii="宋体" w:hAnsi="宋体" w:cs="宋体"/>
                <w:bCs/>
                <w:szCs w:val="21"/>
                <w:highlight w:val="none"/>
              </w:rPr>
              <w:t>型号</w:t>
            </w:r>
          </w:p>
        </w:tc>
        <w:tc>
          <w:tcPr>
            <w:tcW w:w="2240" w:type="dxa"/>
            <w:noWrap w:val="0"/>
            <w:vAlign w:val="center"/>
          </w:tcPr>
          <w:p w14:paraId="4064A6DE">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cs="宋体"/>
                <w:bCs/>
                <w:szCs w:val="21"/>
                <w:highlight w:val="none"/>
              </w:rPr>
            </w:pPr>
            <w:r>
              <w:rPr>
                <w:rFonts w:hint="eastAsia" w:ascii="宋体" w:hAnsi="宋体" w:cs="宋体"/>
                <w:bCs/>
                <w:szCs w:val="21"/>
                <w:highlight w:val="none"/>
              </w:rPr>
              <w:t>层站门数</w:t>
            </w:r>
          </w:p>
        </w:tc>
        <w:tc>
          <w:tcPr>
            <w:tcW w:w="1414" w:type="dxa"/>
            <w:noWrap w:val="0"/>
            <w:vAlign w:val="center"/>
          </w:tcPr>
          <w:p w14:paraId="744BD89B">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cs="宋体"/>
                <w:bCs/>
                <w:szCs w:val="21"/>
                <w:highlight w:val="none"/>
              </w:rPr>
            </w:pPr>
            <w:r>
              <w:rPr>
                <w:rFonts w:hint="eastAsia" w:ascii="宋体" w:hAnsi="宋体" w:cs="宋体"/>
                <w:bCs/>
                <w:szCs w:val="21"/>
                <w:highlight w:val="none"/>
              </w:rPr>
              <w:t>数量（部）</w:t>
            </w:r>
          </w:p>
        </w:tc>
      </w:tr>
      <w:tr w14:paraId="51B4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noWrap w:val="0"/>
            <w:vAlign w:val="center"/>
          </w:tcPr>
          <w:p w14:paraId="30FB4DC6">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cs="宋体"/>
                <w:bCs/>
                <w:szCs w:val="21"/>
                <w:highlight w:val="none"/>
              </w:rPr>
            </w:pPr>
            <w:r>
              <w:rPr>
                <w:rFonts w:hint="eastAsia" w:ascii="宋体" w:hAnsi="宋体" w:cs="宋体"/>
                <w:bCs/>
                <w:szCs w:val="21"/>
                <w:highlight w:val="none"/>
              </w:rPr>
              <w:t>1</w:t>
            </w:r>
          </w:p>
        </w:tc>
        <w:tc>
          <w:tcPr>
            <w:tcW w:w="2557" w:type="dxa"/>
            <w:vMerge w:val="restart"/>
            <w:noWrap w:val="0"/>
            <w:vAlign w:val="center"/>
          </w:tcPr>
          <w:p w14:paraId="3AEABAD2">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安庆市大观区宜园路16号安庆市交通控股集团</w:t>
            </w:r>
          </w:p>
        </w:tc>
        <w:tc>
          <w:tcPr>
            <w:tcW w:w="2001" w:type="dxa"/>
            <w:noWrap w:val="0"/>
            <w:vAlign w:val="center"/>
          </w:tcPr>
          <w:p w14:paraId="3E1D0CEB">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cs="宋体"/>
                <w:bCs/>
                <w:szCs w:val="21"/>
                <w:highlight w:val="none"/>
              </w:rPr>
            </w:pPr>
            <w:r>
              <w:rPr>
                <w:rFonts w:hint="eastAsia" w:ascii="宋体" w:hAnsi="宋体" w:cs="宋体"/>
                <w:bCs/>
                <w:szCs w:val="21"/>
                <w:highlight w:val="none"/>
              </w:rPr>
              <w:t>REXIA-T</w:t>
            </w:r>
          </w:p>
        </w:tc>
        <w:tc>
          <w:tcPr>
            <w:tcW w:w="2240" w:type="dxa"/>
            <w:noWrap w:val="0"/>
            <w:vAlign w:val="center"/>
          </w:tcPr>
          <w:p w14:paraId="1A73C21E">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cs="宋体"/>
                <w:bCs/>
                <w:szCs w:val="21"/>
                <w:highlight w:val="none"/>
              </w:rPr>
            </w:pPr>
            <w:r>
              <w:rPr>
                <w:rFonts w:hint="eastAsia" w:ascii="宋体" w:hAnsi="宋体" w:cs="宋体"/>
                <w:bCs/>
                <w:szCs w:val="21"/>
                <w:highlight w:val="none"/>
                <w:lang w:val="en-US" w:eastAsia="zh-CN"/>
              </w:rPr>
              <w:t>4</w:t>
            </w:r>
            <w:r>
              <w:rPr>
                <w:rFonts w:hint="eastAsia" w:ascii="宋体" w:hAnsi="宋体" w:cs="宋体"/>
                <w:bCs/>
                <w:szCs w:val="21"/>
                <w:highlight w:val="none"/>
              </w:rPr>
              <w:t>层</w:t>
            </w:r>
            <w:r>
              <w:rPr>
                <w:rFonts w:hint="eastAsia" w:ascii="宋体" w:hAnsi="宋体" w:cs="宋体"/>
                <w:bCs/>
                <w:szCs w:val="21"/>
                <w:highlight w:val="none"/>
                <w:lang w:val="en-US" w:eastAsia="zh-CN"/>
              </w:rPr>
              <w:t>4</w:t>
            </w:r>
            <w:r>
              <w:rPr>
                <w:rFonts w:hint="eastAsia" w:ascii="宋体" w:hAnsi="宋体" w:cs="宋体"/>
                <w:bCs/>
                <w:szCs w:val="21"/>
                <w:highlight w:val="none"/>
              </w:rPr>
              <w:t>站</w:t>
            </w:r>
            <w:r>
              <w:rPr>
                <w:rFonts w:hint="eastAsia" w:ascii="宋体" w:hAnsi="宋体" w:cs="宋体"/>
                <w:bCs/>
                <w:szCs w:val="21"/>
                <w:highlight w:val="none"/>
                <w:lang w:val="en-US" w:eastAsia="zh-CN"/>
              </w:rPr>
              <w:t>4</w:t>
            </w:r>
            <w:r>
              <w:rPr>
                <w:rFonts w:hint="eastAsia" w:ascii="宋体" w:hAnsi="宋体" w:cs="宋体"/>
                <w:bCs/>
                <w:szCs w:val="21"/>
                <w:highlight w:val="none"/>
              </w:rPr>
              <w:t>门</w:t>
            </w:r>
          </w:p>
        </w:tc>
        <w:tc>
          <w:tcPr>
            <w:tcW w:w="1414" w:type="dxa"/>
            <w:noWrap w:val="0"/>
            <w:vAlign w:val="center"/>
          </w:tcPr>
          <w:p w14:paraId="4E82B09F">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Cs/>
                <w:szCs w:val="21"/>
                <w:highlight w:val="none"/>
                <w:lang w:eastAsia="zh-CN"/>
              </w:rPr>
            </w:pPr>
            <w:r>
              <w:rPr>
                <w:rFonts w:hint="eastAsia" w:ascii="宋体" w:hAnsi="宋体" w:cs="宋体"/>
                <w:bCs/>
                <w:szCs w:val="21"/>
                <w:highlight w:val="none"/>
                <w:lang w:val="en-US" w:eastAsia="zh-CN"/>
              </w:rPr>
              <w:t>2</w:t>
            </w:r>
          </w:p>
        </w:tc>
      </w:tr>
      <w:tr w14:paraId="7204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noWrap w:val="0"/>
            <w:vAlign w:val="center"/>
          </w:tcPr>
          <w:p w14:paraId="2AB1DB63">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Cs/>
                <w:szCs w:val="21"/>
                <w:highlight w:val="none"/>
                <w:lang w:val="en-US" w:eastAsia="zh-CN"/>
              </w:rPr>
            </w:pPr>
            <w:r>
              <w:rPr>
                <w:rFonts w:hint="eastAsia" w:ascii="宋体" w:hAnsi="宋体" w:cs="宋体"/>
                <w:bCs/>
                <w:szCs w:val="21"/>
                <w:highlight w:val="none"/>
                <w:lang w:val="en-US" w:eastAsia="zh-CN"/>
              </w:rPr>
              <w:t>2</w:t>
            </w:r>
          </w:p>
        </w:tc>
        <w:tc>
          <w:tcPr>
            <w:tcW w:w="2557" w:type="dxa"/>
            <w:vMerge w:val="continue"/>
            <w:noWrap w:val="0"/>
            <w:vAlign w:val="center"/>
          </w:tcPr>
          <w:p w14:paraId="04B34229">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cs="宋体"/>
                <w:bCs/>
                <w:szCs w:val="21"/>
                <w:highlight w:val="none"/>
                <w:lang w:val="en-US" w:eastAsia="zh-CN"/>
              </w:rPr>
            </w:pPr>
          </w:p>
        </w:tc>
        <w:tc>
          <w:tcPr>
            <w:tcW w:w="2001" w:type="dxa"/>
            <w:noWrap w:val="0"/>
            <w:vAlign w:val="center"/>
          </w:tcPr>
          <w:p w14:paraId="57ABFC8C">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cs="宋体"/>
                <w:bCs/>
                <w:szCs w:val="21"/>
                <w:highlight w:val="none"/>
              </w:rPr>
            </w:pPr>
            <w:r>
              <w:rPr>
                <w:rFonts w:hint="eastAsia" w:ascii="宋体" w:hAnsi="宋体" w:cs="宋体"/>
                <w:bCs/>
                <w:szCs w:val="21"/>
                <w:highlight w:val="none"/>
              </w:rPr>
              <w:t>ZEXIA</w:t>
            </w:r>
          </w:p>
        </w:tc>
        <w:tc>
          <w:tcPr>
            <w:tcW w:w="2240" w:type="dxa"/>
            <w:noWrap w:val="0"/>
            <w:vAlign w:val="center"/>
          </w:tcPr>
          <w:p w14:paraId="553A979C">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6</w:t>
            </w:r>
            <w:r>
              <w:rPr>
                <w:rFonts w:hint="eastAsia" w:ascii="宋体" w:hAnsi="宋体" w:cs="宋体"/>
                <w:bCs/>
                <w:szCs w:val="21"/>
                <w:highlight w:val="none"/>
              </w:rPr>
              <w:t>层</w:t>
            </w:r>
            <w:r>
              <w:rPr>
                <w:rFonts w:hint="eastAsia" w:ascii="宋体" w:hAnsi="宋体" w:cs="宋体"/>
                <w:bCs/>
                <w:szCs w:val="21"/>
                <w:highlight w:val="none"/>
                <w:lang w:val="en-US" w:eastAsia="zh-CN"/>
              </w:rPr>
              <w:t>6</w:t>
            </w:r>
            <w:r>
              <w:rPr>
                <w:rFonts w:hint="eastAsia" w:ascii="宋体" w:hAnsi="宋体" w:cs="宋体"/>
                <w:bCs/>
                <w:szCs w:val="21"/>
                <w:highlight w:val="none"/>
              </w:rPr>
              <w:t>站</w:t>
            </w:r>
            <w:r>
              <w:rPr>
                <w:rFonts w:hint="eastAsia" w:ascii="宋体" w:hAnsi="宋体" w:cs="宋体"/>
                <w:bCs/>
                <w:szCs w:val="21"/>
                <w:highlight w:val="none"/>
                <w:lang w:val="en-US" w:eastAsia="zh-CN"/>
              </w:rPr>
              <w:t>6</w:t>
            </w:r>
            <w:r>
              <w:rPr>
                <w:rFonts w:hint="eastAsia" w:ascii="宋体" w:hAnsi="宋体" w:cs="宋体"/>
                <w:bCs/>
                <w:szCs w:val="21"/>
                <w:highlight w:val="none"/>
              </w:rPr>
              <w:t>门</w:t>
            </w:r>
          </w:p>
        </w:tc>
        <w:tc>
          <w:tcPr>
            <w:tcW w:w="1414" w:type="dxa"/>
            <w:noWrap w:val="0"/>
            <w:vAlign w:val="center"/>
          </w:tcPr>
          <w:p w14:paraId="09CFF8A3">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1</w:t>
            </w:r>
          </w:p>
        </w:tc>
      </w:tr>
      <w:tr w14:paraId="2628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noWrap w:val="0"/>
            <w:vAlign w:val="center"/>
          </w:tcPr>
          <w:p w14:paraId="5212665B">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3</w:t>
            </w:r>
          </w:p>
        </w:tc>
        <w:tc>
          <w:tcPr>
            <w:tcW w:w="2557" w:type="dxa"/>
            <w:vMerge w:val="continue"/>
            <w:noWrap w:val="0"/>
            <w:vAlign w:val="center"/>
          </w:tcPr>
          <w:p w14:paraId="305FAA18">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cs="宋体"/>
                <w:bCs/>
                <w:szCs w:val="21"/>
                <w:highlight w:val="none"/>
                <w:lang w:val="en-US" w:eastAsia="zh-CN"/>
              </w:rPr>
            </w:pPr>
          </w:p>
        </w:tc>
        <w:tc>
          <w:tcPr>
            <w:tcW w:w="2001" w:type="dxa"/>
            <w:noWrap w:val="0"/>
            <w:vAlign w:val="center"/>
          </w:tcPr>
          <w:p w14:paraId="59DDA618">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cs="宋体"/>
                <w:bCs/>
                <w:szCs w:val="21"/>
                <w:highlight w:val="none"/>
              </w:rPr>
            </w:pPr>
            <w:r>
              <w:rPr>
                <w:rFonts w:hint="eastAsia" w:ascii="宋体" w:hAnsi="宋体" w:cs="宋体"/>
                <w:bCs/>
                <w:szCs w:val="21"/>
                <w:highlight w:val="none"/>
              </w:rPr>
              <w:t>REXIA-D</w:t>
            </w:r>
          </w:p>
        </w:tc>
        <w:tc>
          <w:tcPr>
            <w:tcW w:w="2240" w:type="dxa"/>
            <w:noWrap w:val="0"/>
            <w:vAlign w:val="center"/>
          </w:tcPr>
          <w:p w14:paraId="5DD332AA">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5</w:t>
            </w:r>
            <w:r>
              <w:rPr>
                <w:rFonts w:hint="eastAsia" w:ascii="宋体" w:hAnsi="宋体" w:cs="宋体"/>
                <w:bCs/>
                <w:szCs w:val="21"/>
                <w:highlight w:val="none"/>
              </w:rPr>
              <w:t>层</w:t>
            </w:r>
            <w:r>
              <w:rPr>
                <w:rFonts w:hint="eastAsia" w:ascii="宋体" w:hAnsi="宋体" w:cs="宋体"/>
                <w:bCs/>
                <w:szCs w:val="21"/>
                <w:highlight w:val="none"/>
                <w:lang w:val="en-US" w:eastAsia="zh-CN"/>
              </w:rPr>
              <w:t>5</w:t>
            </w:r>
            <w:r>
              <w:rPr>
                <w:rFonts w:hint="eastAsia" w:ascii="宋体" w:hAnsi="宋体" w:cs="宋体"/>
                <w:bCs/>
                <w:szCs w:val="21"/>
                <w:highlight w:val="none"/>
              </w:rPr>
              <w:t>站</w:t>
            </w:r>
            <w:r>
              <w:rPr>
                <w:rFonts w:hint="eastAsia" w:ascii="宋体" w:hAnsi="宋体" w:cs="宋体"/>
                <w:bCs/>
                <w:szCs w:val="21"/>
                <w:highlight w:val="none"/>
                <w:lang w:val="en-US" w:eastAsia="zh-CN"/>
              </w:rPr>
              <w:t>5</w:t>
            </w:r>
            <w:r>
              <w:rPr>
                <w:rFonts w:hint="eastAsia" w:ascii="宋体" w:hAnsi="宋体" w:cs="宋体"/>
                <w:bCs/>
                <w:szCs w:val="21"/>
                <w:highlight w:val="none"/>
              </w:rPr>
              <w:t>门</w:t>
            </w:r>
          </w:p>
        </w:tc>
        <w:tc>
          <w:tcPr>
            <w:tcW w:w="1414" w:type="dxa"/>
            <w:noWrap w:val="0"/>
            <w:vAlign w:val="center"/>
          </w:tcPr>
          <w:p w14:paraId="2977C2B5">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1</w:t>
            </w:r>
          </w:p>
        </w:tc>
      </w:tr>
      <w:tr w14:paraId="7F64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noWrap w:val="0"/>
            <w:vAlign w:val="center"/>
          </w:tcPr>
          <w:p w14:paraId="0E4FF934">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cs="宋体"/>
                <w:bCs/>
                <w:szCs w:val="21"/>
                <w:highlight w:val="none"/>
              </w:rPr>
            </w:pPr>
          </w:p>
        </w:tc>
        <w:tc>
          <w:tcPr>
            <w:tcW w:w="6798" w:type="dxa"/>
            <w:gridSpan w:val="3"/>
            <w:noWrap w:val="0"/>
            <w:vAlign w:val="center"/>
          </w:tcPr>
          <w:p w14:paraId="060BF378">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合计</w:t>
            </w:r>
          </w:p>
        </w:tc>
        <w:tc>
          <w:tcPr>
            <w:tcW w:w="1414" w:type="dxa"/>
            <w:noWrap w:val="0"/>
            <w:vAlign w:val="center"/>
          </w:tcPr>
          <w:p w14:paraId="677F42E9">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4</w:t>
            </w:r>
          </w:p>
        </w:tc>
      </w:tr>
      <w:tr w14:paraId="2E93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shd w:val="clear" w:color="auto" w:fill="auto"/>
            <w:noWrap w:val="0"/>
            <w:vAlign w:val="center"/>
          </w:tcPr>
          <w:p w14:paraId="7E081484">
            <w:pPr>
              <w:keepNext w:val="0"/>
              <w:keepLines w:val="0"/>
              <w:pageBreakBefore w:val="0"/>
              <w:kinsoku/>
              <w:wordWrap w:val="0"/>
              <w:overflowPunct/>
              <w:topLinePunct w:val="0"/>
              <w:autoSpaceDE/>
              <w:autoSpaceDN/>
              <w:bidi w:val="0"/>
              <w:adjustRightInd w:val="0"/>
              <w:snapToGrid w:val="0"/>
              <w:spacing w:line="240" w:lineRule="auto"/>
              <w:jc w:val="left"/>
              <w:textAlignment w:val="auto"/>
              <w:rPr>
                <w:rFonts w:hint="default" w:ascii="宋体" w:hAnsi="宋体" w:eastAsia="宋体" w:cs="宋体"/>
                <w:bCs/>
                <w:kern w:val="2"/>
                <w:sz w:val="21"/>
                <w:szCs w:val="21"/>
                <w:highlight w:val="none"/>
                <w:lang w:val="en-US" w:eastAsia="zh-CN" w:bidi="ar-SA"/>
              </w:rPr>
            </w:pPr>
            <w:r>
              <w:rPr>
                <w:rFonts w:hint="eastAsia" w:ascii="宋体" w:hAnsi="宋体" w:cs="宋体"/>
                <w:b/>
                <w:bCs w:val="0"/>
                <w:kern w:val="2"/>
                <w:sz w:val="21"/>
                <w:szCs w:val="21"/>
                <w:highlight w:val="none"/>
                <w:lang w:val="en-US" w:eastAsia="zh-CN" w:bidi="ar-SA"/>
              </w:rPr>
              <w:t>备注：</w:t>
            </w:r>
          </w:p>
        </w:tc>
        <w:tc>
          <w:tcPr>
            <w:tcW w:w="8212" w:type="dxa"/>
            <w:gridSpan w:val="4"/>
            <w:shd w:val="clear" w:color="auto" w:fill="auto"/>
            <w:noWrap w:val="0"/>
            <w:vAlign w:val="center"/>
          </w:tcPr>
          <w:p w14:paraId="4C343D40">
            <w:pPr>
              <w:keepNext w:val="0"/>
              <w:keepLines w:val="0"/>
              <w:pageBreakBefore w:val="0"/>
              <w:widowControl/>
              <w:kinsoku/>
              <w:overflowPunct/>
              <w:topLinePunct w:val="0"/>
              <w:autoSpaceDE/>
              <w:autoSpaceDN/>
              <w:bidi w:val="0"/>
              <w:adjustRightInd w:val="0"/>
              <w:snapToGrid w:val="0"/>
              <w:spacing w:line="240" w:lineRule="auto"/>
              <w:jc w:val="left"/>
              <w:textAlignment w:val="auto"/>
              <w:rPr>
                <w:rFonts w:hint="eastAsia" w:ascii="宋体" w:hAnsi="宋体" w:eastAsia="宋体" w:cs="宋体"/>
                <w:b/>
                <w:bCs/>
                <w:color w:val="000000"/>
                <w:kern w:val="0"/>
                <w:sz w:val="21"/>
                <w:szCs w:val="21"/>
                <w:highlight w:val="none"/>
                <w:lang w:val="en-US" w:eastAsia="zh-CN" w:bidi="ar"/>
              </w:rPr>
            </w:pPr>
            <w:r>
              <w:rPr>
                <w:rFonts w:hint="eastAsia" w:ascii="宋体" w:hAnsi="宋体" w:cs="宋体"/>
                <w:b/>
                <w:bCs/>
                <w:color w:val="000000"/>
                <w:kern w:val="0"/>
                <w:szCs w:val="21"/>
                <w:highlight w:val="none"/>
                <w:lang w:bidi="ar"/>
              </w:rPr>
              <w:t>此电梯清单仅供参考，具体以现场踏勘为准，成交人不得以现场实际电梯型号、规格、参数等与竞争性谈判文件电梯清单型号、规格、参数等不符为由要求增加任何费用。</w:t>
            </w:r>
          </w:p>
        </w:tc>
      </w:tr>
    </w:tbl>
    <w:p w14:paraId="2F509169">
      <w:pPr>
        <w:spacing w:line="360" w:lineRule="auto"/>
        <w:rPr>
          <w:rFonts w:hint="eastAsia" w:ascii="宋体" w:hAnsi="宋体" w:cs="宋体"/>
          <w:b/>
          <w:szCs w:val="21"/>
          <w:highlight w:val="none"/>
        </w:rPr>
      </w:pPr>
    </w:p>
    <w:p w14:paraId="3A712F91">
      <w:pPr>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三、服务内容</w:t>
      </w:r>
    </w:p>
    <w:p w14:paraId="0E5B0C9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维保方式：本次电梯维保服务项目为半包服务，要求按国家相关规范及辖区内电梯实际运行需求落实电梯日常维修、维护、保养、应急演练、日常安全管理、年度检测、检测校验、配合采购人做好档案管理等服务。成交人提供维保所需工具和劳务，并免费提供单价在人民币</w:t>
      </w:r>
      <w:r>
        <w:rPr>
          <w:rFonts w:hint="eastAsia" w:ascii="宋体" w:hAnsi="宋体" w:cs="宋体"/>
          <w:szCs w:val="21"/>
          <w:highlight w:val="none"/>
          <w:lang w:val="en-US" w:eastAsia="zh-CN"/>
        </w:rPr>
        <w:t>3</w:t>
      </w:r>
      <w:r>
        <w:rPr>
          <w:rFonts w:hint="eastAsia" w:ascii="宋体" w:hAnsi="宋体" w:cs="宋体"/>
          <w:szCs w:val="21"/>
          <w:highlight w:val="none"/>
        </w:rPr>
        <w:t>00元以下电梯零部件。</w:t>
      </w:r>
    </w:p>
    <w:p w14:paraId="2792224A">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2、维保标准：成交人在日常维护工作中必须严格按照国家电梯使用管理与维护保养规则及地方标准执行，作业过程中应服从采购人现场安全管理，严格落实现场安全防护措施，保证作业安全。</w:t>
      </w:r>
    </w:p>
    <w:p w14:paraId="31A2FF4B">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①TSG T5002-2017  《电梯维护保养规则》；</w:t>
      </w:r>
    </w:p>
    <w:p w14:paraId="0AF7D56F">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②GB/T 18775-2009  《电梯、自动扶梯和自动人行道维修规范》；</w:t>
      </w:r>
    </w:p>
    <w:p w14:paraId="53AE6B39">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③TSG T7001-2009  《电梯监督检验和定期检验规则—曳引与强制驱动电梯》；</w:t>
      </w:r>
    </w:p>
    <w:p w14:paraId="7421EBD3">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④电梯安装使用维护说明书；</w:t>
      </w:r>
    </w:p>
    <w:p w14:paraId="1F149351">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⑤安庆市电梯安全监察办法；</w:t>
      </w:r>
    </w:p>
    <w:p w14:paraId="23F4BBDE">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⑥本次磋商文件、投标文件、合同。</w:t>
      </w:r>
    </w:p>
    <w:p w14:paraId="3738F4B3">
      <w:pPr>
        <w:pStyle w:val="23"/>
        <w:tabs>
          <w:tab w:val="left" w:pos="567"/>
        </w:tabs>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包括但不限于以上标准规范，若服务期内出台新的标准和规范，成交人须无条件执行。</w:t>
      </w:r>
    </w:p>
    <w:p w14:paraId="551B4922">
      <w:pPr>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四、服务要求</w:t>
      </w:r>
    </w:p>
    <w:p w14:paraId="3B38C4DF">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1、成交人负责电梯日常维护保养，按规范及采购人要求完成电梯每半月、每季度、每半年的维保项目，及时处理电梯故障及困人事件，确保电梯安全、舒适、可靠的运行。</w:t>
      </w:r>
    </w:p>
    <w:p w14:paraId="45D3E9F0">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电梯的日检查保养项目：检查电动机温升、油位、油色和电动机的声音是否正常,有无异味、异常响声和振动,风机是否运转良好,做好外部清洁工作。检查减速器传动有无异常声音和振动,联结轴是否渗油,做好外部清洁工作。检查制动器线圈温升是否正常,检查制动轮、闸瓦、传动臂是否工作正常。检查继电器、接触器动作是否正常,有无异味及异常响声。检查曳引轮、曳引绳、限速器、导向轮、抗绳轮、反绳轮、涨绳轮运行是否正常,有无异常声响,有无曳引绳断丝等。检查变压器、电阻器、电抗器有无过热。检查机房温度是否符合规定需求,保持机房清洁状况良好,机房不得堆放易燃和腐蚀性物品,消防器材齐备良好,去往进房的通道应畅通,通讯设施良好,机房照明是否正常。对自动扶梯上下部机房、安全装置、扶手驱动装置进行检查、调整、润滑和清洁。包括但不限于以上日检内容及要求。如有不正常现象应立即停梯进行修理,调整或更换。暂时不能处理而又允许暂缓处理的应跟踪运行,观察其发展情况,防止发生事故，</w:t>
      </w:r>
      <w:r>
        <w:rPr>
          <w:rFonts w:hint="eastAsia" w:ascii="宋体" w:hAnsi="宋体" w:eastAsia="宋体" w:cs="宋体"/>
          <w:kern w:val="2"/>
          <w:sz w:val="21"/>
          <w:szCs w:val="21"/>
          <w:highlight w:val="none"/>
          <w:lang w:val="en-US" w:eastAsia="zh-CN" w:bidi="ar-SA"/>
        </w:rPr>
        <w:fldChar w:fldCharType="begin"/>
      </w:r>
      <w:r>
        <w:rPr>
          <w:rFonts w:hint="eastAsia" w:ascii="宋体" w:hAnsi="宋体" w:eastAsia="宋体" w:cs="宋体"/>
          <w:kern w:val="2"/>
          <w:sz w:val="21"/>
          <w:szCs w:val="21"/>
          <w:highlight w:val="none"/>
          <w:lang w:val="en-US" w:eastAsia="zh-CN" w:bidi="ar-SA"/>
        </w:rPr>
        <w:instrText xml:space="preserve"> HYPERLINK "http://www.fdcew.com/gw/List_202.html" </w:instrText>
      </w:r>
      <w:r>
        <w:rPr>
          <w:rFonts w:hint="eastAsia" w:ascii="宋体" w:hAnsi="宋体" w:eastAsia="宋体" w:cs="宋体"/>
          <w:kern w:val="2"/>
          <w:sz w:val="21"/>
          <w:szCs w:val="21"/>
          <w:highlight w:val="none"/>
          <w:lang w:val="en-US" w:eastAsia="zh-CN" w:bidi="ar-SA"/>
        </w:rPr>
        <w:fldChar w:fldCharType="separate"/>
      </w:r>
      <w:r>
        <w:rPr>
          <w:rFonts w:hint="eastAsia" w:ascii="宋体" w:hAnsi="宋体" w:eastAsia="宋体" w:cs="宋体"/>
          <w:kern w:val="2"/>
          <w:sz w:val="21"/>
          <w:szCs w:val="21"/>
          <w:highlight w:val="none"/>
          <w:lang w:val="en-US" w:eastAsia="zh-CN" w:bidi="ar-SA"/>
        </w:rPr>
        <w:t>若发现严重现象应立即报告招</w:t>
      </w:r>
      <w:r>
        <w:rPr>
          <w:rFonts w:hint="eastAsia" w:ascii="宋体" w:hAnsi="宋体" w:eastAsia="宋体" w:cs="宋体"/>
          <w:kern w:val="2"/>
          <w:sz w:val="21"/>
          <w:szCs w:val="21"/>
          <w:highlight w:val="none"/>
          <w:lang w:val="en-US" w:eastAsia="zh-CN" w:bidi="ar-SA"/>
        </w:rPr>
        <w:fldChar w:fldCharType="end"/>
      </w:r>
      <w:r>
        <w:rPr>
          <w:rFonts w:hint="eastAsia" w:ascii="宋体" w:hAnsi="宋体" w:eastAsia="宋体" w:cs="宋体"/>
          <w:kern w:val="2"/>
          <w:sz w:val="21"/>
          <w:szCs w:val="21"/>
          <w:highlight w:val="none"/>
          <w:lang w:val="en-US" w:eastAsia="zh-CN" w:bidi="ar-SA"/>
        </w:rPr>
        <w:t>标人主管部门进行停梯修理。</w:t>
      </w:r>
    </w:p>
    <w:p w14:paraId="6378453B">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3、电梯的周检查保养项目：检查抱闸间隙,抱闸间隙应保证在 0.7mm 之内且均匀,间隙过大时应予以调整,紧固连接螺栓。检查安全装置的工作情况,发现问题及时处理。检查调整电梯的平层装置。检查轿内按钮动作情况。检查轿内信号(指示器、蜂鸣器、对讲系统等)。检查轿门开关工作情况及完好性。检查轿内风扇及照明工作情况及完好性。检查曳引绳的工作情况及连接情况是否正常。</w:t>
      </w:r>
    </w:p>
    <w:p w14:paraId="6EA22A02">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包括但不限于以上周检内容及要求。如有不正常现象应立即停梯进行修理,调整或更换。暂时不能处理而又允许暂缓处理的应跟踪运行,观察其发展情况,防止发生事故，</w:t>
      </w:r>
      <w:r>
        <w:rPr>
          <w:rFonts w:hint="eastAsia" w:ascii="宋体" w:hAnsi="宋体" w:eastAsia="宋体" w:cs="宋体"/>
          <w:kern w:val="2"/>
          <w:sz w:val="21"/>
          <w:szCs w:val="21"/>
          <w:highlight w:val="none"/>
          <w:lang w:val="en-US" w:eastAsia="zh-CN" w:bidi="ar-SA"/>
        </w:rPr>
        <w:fldChar w:fldCharType="begin"/>
      </w:r>
      <w:r>
        <w:rPr>
          <w:rFonts w:hint="eastAsia" w:ascii="宋体" w:hAnsi="宋体" w:eastAsia="宋体" w:cs="宋体"/>
          <w:kern w:val="2"/>
          <w:sz w:val="21"/>
          <w:szCs w:val="21"/>
          <w:highlight w:val="none"/>
          <w:lang w:val="en-US" w:eastAsia="zh-CN" w:bidi="ar-SA"/>
        </w:rPr>
        <w:instrText xml:space="preserve"> HYPERLINK "http://www.fdcew.com/gw/List_202.html" </w:instrText>
      </w:r>
      <w:r>
        <w:rPr>
          <w:rFonts w:hint="eastAsia" w:ascii="宋体" w:hAnsi="宋体" w:eastAsia="宋体" w:cs="宋体"/>
          <w:kern w:val="2"/>
          <w:sz w:val="21"/>
          <w:szCs w:val="21"/>
          <w:highlight w:val="none"/>
          <w:lang w:val="en-US" w:eastAsia="zh-CN" w:bidi="ar-SA"/>
        </w:rPr>
        <w:fldChar w:fldCharType="separate"/>
      </w:r>
      <w:r>
        <w:rPr>
          <w:rFonts w:hint="eastAsia" w:ascii="宋体" w:hAnsi="宋体" w:eastAsia="宋体" w:cs="宋体"/>
          <w:kern w:val="2"/>
          <w:sz w:val="21"/>
          <w:szCs w:val="21"/>
          <w:highlight w:val="none"/>
          <w:lang w:val="en-US" w:eastAsia="zh-CN" w:bidi="ar-SA"/>
        </w:rPr>
        <w:t>若发现严重现象应立即报告招</w:t>
      </w:r>
      <w:r>
        <w:rPr>
          <w:rFonts w:hint="eastAsia" w:ascii="宋体" w:hAnsi="宋体" w:eastAsia="宋体" w:cs="宋体"/>
          <w:kern w:val="2"/>
          <w:sz w:val="21"/>
          <w:szCs w:val="21"/>
          <w:highlight w:val="none"/>
          <w:lang w:val="en-US" w:eastAsia="zh-CN" w:bidi="ar-SA"/>
        </w:rPr>
        <w:fldChar w:fldCharType="end"/>
      </w:r>
      <w:r>
        <w:rPr>
          <w:rFonts w:hint="eastAsia" w:ascii="宋体" w:hAnsi="宋体" w:eastAsia="宋体" w:cs="宋体"/>
          <w:kern w:val="2"/>
          <w:sz w:val="21"/>
          <w:szCs w:val="21"/>
          <w:highlight w:val="none"/>
          <w:lang w:val="en-US" w:eastAsia="zh-CN" w:bidi="ar-SA"/>
        </w:rPr>
        <w:t>标人主管部门进行停梯修理。</w:t>
      </w:r>
    </w:p>
    <w:p w14:paraId="0D4207A6">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4、电梯的月检查保养项目：对电梯减速器作一次仔细检查。对限速器作一次仔细检查。对安全钳作一次仔细检查。对缓冲器作一次仔细检查。对厅门锁作一次仔细检查。对自动门重新开启进 行检查。对门的导轨进行检查清洗。对曳引机、电动机油位进行检查。检查接触器触头,衔铁是否良好。检查导向轮、反绳轮、选层器的润滑情况。对井道设施做一次检查。对各润滑系统进行一次检查。对各安全开关操作检查一次。 包括但不限于以上月检内容及要求。 如有不正常现象应立即停梯进行修理,调整或更换。暂时不能处理而又允许暂缓处理的应跟踪运行,观察其发展情况,防止发生事故，</w:t>
      </w:r>
      <w:r>
        <w:rPr>
          <w:rFonts w:hint="eastAsia" w:ascii="宋体" w:hAnsi="宋体" w:eastAsia="宋体" w:cs="宋体"/>
          <w:kern w:val="2"/>
          <w:sz w:val="21"/>
          <w:szCs w:val="21"/>
          <w:highlight w:val="none"/>
          <w:lang w:val="en-US" w:eastAsia="zh-CN" w:bidi="ar-SA"/>
        </w:rPr>
        <w:fldChar w:fldCharType="begin"/>
      </w:r>
      <w:r>
        <w:rPr>
          <w:rFonts w:hint="eastAsia" w:ascii="宋体" w:hAnsi="宋体" w:eastAsia="宋体" w:cs="宋体"/>
          <w:kern w:val="2"/>
          <w:sz w:val="21"/>
          <w:szCs w:val="21"/>
          <w:highlight w:val="none"/>
          <w:lang w:val="en-US" w:eastAsia="zh-CN" w:bidi="ar-SA"/>
        </w:rPr>
        <w:instrText xml:space="preserve"> HYPERLINK "http://www.fdcew.com/gw/List_202.html" </w:instrText>
      </w:r>
      <w:r>
        <w:rPr>
          <w:rFonts w:hint="eastAsia" w:ascii="宋体" w:hAnsi="宋体" w:eastAsia="宋体" w:cs="宋体"/>
          <w:kern w:val="2"/>
          <w:sz w:val="21"/>
          <w:szCs w:val="21"/>
          <w:highlight w:val="none"/>
          <w:lang w:val="en-US" w:eastAsia="zh-CN" w:bidi="ar-SA"/>
        </w:rPr>
        <w:fldChar w:fldCharType="separate"/>
      </w:r>
      <w:r>
        <w:rPr>
          <w:rFonts w:hint="eastAsia" w:ascii="宋体" w:hAnsi="宋体" w:eastAsia="宋体" w:cs="宋体"/>
          <w:kern w:val="2"/>
          <w:sz w:val="21"/>
          <w:szCs w:val="21"/>
          <w:highlight w:val="none"/>
          <w:lang w:val="en-US" w:eastAsia="zh-CN" w:bidi="ar-SA"/>
        </w:rPr>
        <w:t>若发现严重现象应立即报告招</w:t>
      </w:r>
      <w:r>
        <w:rPr>
          <w:rFonts w:hint="eastAsia" w:ascii="宋体" w:hAnsi="宋体" w:eastAsia="宋体" w:cs="宋体"/>
          <w:kern w:val="2"/>
          <w:sz w:val="21"/>
          <w:szCs w:val="21"/>
          <w:highlight w:val="none"/>
          <w:lang w:val="en-US" w:eastAsia="zh-CN" w:bidi="ar-SA"/>
        </w:rPr>
        <w:fldChar w:fldCharType="end"/>
      </w:r>
      <w:r>
        <w:rPr>
          <w:rFonts w:hint="eastAsia" w:ascii="宋体" w:hAnsi="宋体" w:eastAsia="宋体" w:cs="宋体"/>
          <w:kern w:val="2"/>
          <w:sz w:val="21"/>
          <w:szCs w:val="21"/>
          <w:highlight w:val="none"/>
          <w:lang w:val="en-US" w:eastAsia="zh-CN" w:bidi="ar-SA"/>
        </w:rPr>
        <w:t>标人主管部门进行停梯修理。</w:t>
      </w:r>
    </w:p>
    <w:p w14:paraId="1418251A">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5、电梯的季检查保养项目：蜗轮蜗杆减速箱及电动机轴承是否有油。制动器动作是否正常, 制动瓦与制动盘之间的间隙是否正常。曳引绳是否渗油,是否打滑。限速器钢丝绳,选层器钢带是否正常。继电器、接触器、选层器工作是否正常,触头是否清洁,固定是否牢固。检查门的操作、调节及清洁门驱动装置部件。清洁轿门、厅门地坎和门导轨。检查全部门滚轮与开门刀之间的间隙。调整全部厅门及附件。清洁全部厅门锁开关触点。检查补偿链是否完好。检查轿厢及对重导靴磨损情况。检查安全钳与导轨间隙。检查曳引绳的张力。检查轿厢操纵盘和各按钮的工作情况。检查轿厢紧急照明工作情况。检查自动门的重新开启是否正常。检查轿厢照明、信号、指示、蜂鸣器等功能是否正常。检查电梯启动、运行、减速和制停。检查电梯平层准确度。检查厅外呼梯按钮和指示器工作情况。电梯消防功能的检查。包括但不限于以上季检内容及要求。如有不正常现象应立即停梯进行修理,调整或更换。暂时不能处理而又允许暂缓处理的应跟踪运行,观察其发展情况,防止发生事故，</w:t>
      </w:r>
      <w:r>
        <w:rPr>
          <w:rFonts w:hint="eastAsia" w:ascii="宋体" w:hAnsi="宋体" w:eastAsia="宋体" w:cs="宋体"/>
          <w:kern w:val="2"/>
          <w:sz w:val="21"/>
          <w:szCs w:val="21"/>
          <w:highlight w:val="none"/>
          <w:lang w:val="en-US" w:eastAsia="zh-CN" w:bidi="ar-SA"/>
        </w:rPr>
        <w:fldChar w:fldCharType="begin"/>
      </w:r>
      <w:r>
        <w:rPr>
          <w:rFonts w:hint="eastAsia" w:ascii="宋体" w:hAnsi="宋体" w:eastAsia="宋体" w:cs="宋体"/>
          <w:kern w:val="2"/>
          <w:sz w:val="21"/>
          <w:szCs w:val="21"/>
          <w:highlight w:val="none"/>
          <w:lang w:val="en-US" w:eastAsia="zh-CN" w:bidi="ar-SA"/>
        </w:rPr>
        <w:instrText xml:space="preserve"> HYPERLINK "http://www.fdcew.com/gw/List_202.html" </w:instrText>
      </w:r>
      <w:r>
        <w:rPr>
          <w:rFonts w:hint="eastAsia" w:ascii="宋体" w:hAnsi="宋体" w:eastAsia="宋体" w:cs="宋体"/>
          <w:kern w:val="2"/>
          <w:sz w:val="21"/>
          <w:szCs w:val="21"/>
          <w:highlight w:val="none"/>
          <w:lang w:val="en-US" w:eastAsia="zh-CN" w:bidi="ar-SA"/>
        </w:rPr>
        <w:fldChar w:fldCharType="separate"/>
      </w:r>
      <w:r>
        <w:rPr>
          <w:rFonts w:hint="eastAsia" w:ascii="宋体" w:hAnsi="宋体" w:eastAsia="宋体" w:cs="宋体"/>
          <w:kern w:val="2"/>
          <w:sz w:val="21"/>
          <w:szCs w:val="21"/>
          <w:highlight w:val="none"/>
          <w:lang w:val="en-US" w:eastAsia="zh-CN" w:bidi="ar-SA"/>
        </w:rPr>
        <w:t>若发现严重现象应立即报告招</w:t>
      </w:r>
      <w:r>
        <w:rPr>
          <w:rFonts w:hint="eastAsia" w:ascii="宋体" w:hAnsi="宋体" w:eastAsia="宋体" w:cs="宋体"/>
          <w:kern w:val="2"/>
          <w:sz w:val="21"/>
          <w:szCs w:val="21"/>
          <w:highlight w:val="none"/>
          <w:lang w:val="en-US" w:eastAsia="zh-CN" w:bidi="ar-SA"/>
        </w:rPr>
        <w:fldChar w:fldCharType="end"/>
      </w:r>
      <w:r>
        <w:rPr>
          <w:rFonts w:hint="eastAsia" w:ascii="宋体" w:hAnsi="宋体" w:eastAsia="宋体" w:cs="宋体"/>
          <w:kern w:val="2"/>
          <w:sz w:val="21"/>
          <w:szCs w:val="21"/>
          <w:highlight w:val="none"/>
          <w:lang w:val="en-US" w:eastAsia="zh-CN" w:bidi="ar-SA"/>
        </w:rPr>
        <w:t>标人主管部门进行停车修理。</w:t>
      </w:r>
    </w:p>
    <w:p w14:paraId="72CB0323">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6、每月由维保单位的专业人员对所保养的电梯进行 2 次常规检查和例行保养，并形成记录，确保电梯安全正常运行；维保单位应对合同范围内的电梯认真做好半月维保，每季度进行一次“安全检查”及“负荷调整试验”，确保设备得到必要的检查、测试、调整和校验。“年度安全检查” 结合政府部门的“年检”同时进行，每年配合采购人制作应急预案并进行电梯应急演练 1 次。维保单位须客观认真填写《电梯保养及维修报告书》交采购人管理人员签字确认。</w:t>
      </w:r>
    </w:p>
    <w:p w14:paraId="37DB8647">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7、成交人维保、维修及改造等相关工作中必须严格按照国家特种设备管理办法及地方标准执行。</w:t>
      </w:r>
    </w:p>
    <w:p w14:paraId="15AAE725">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8、成交人在日常维护工作中必须严格按照国家电梯使用管理与维护保养规则及地方标准执行，作业过程中应服从采购人现场安全管理，严格落实现场安全防护措施，保证作业安全。</w:t>
      </w:r>
    </w:p>
    <w:p w14:paraId="15E199D9">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9、成交人实施日常维护保养后的电梯应当符合《电梯维修规范》、《电梯制造与安装安全规范》和《中华人民共和国特种设备安全法》的相关规定。</w:t>
      </w:r>
    </w:p>
    <w:p w14:paraId="21D12E59">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10、成交人对其维保电梯的安全性能负责。对承担维保的电梯是否符合国家安全技术规范要求进行确认，维保后的电梯应当符合相应的安全技术规范，并且保证所维保的电梯均处于安全正常运行状态。</w:t>
      </w:r>
    </w:p>
    <w:p w14:paraId="0CA39CEB">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11、签订合同时，成交人须提供2人维护保养驻点服务，按照相关要求向采购人提供驻点人员有效的《特种设备作业人员证》复印件并加盖成交人公章。</w:t>
      </w:r>
    </w:p>
    <w:p w14:paraId="3E2CED39">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12、成交人需提供 24 小时的应急响应服务，且能在接到采购人故障或事故报警后 20 分钟内到达现场，并能提供正常连续的服务直至故障或事故排除。对电梯困人事故要求在到达现场后 20 分钟内把乘客从轿厢中救出。对非电子板原因的常见事故要求在 2 小时内排除，对电子板原因的故障应在普遍认可的合理时间内解决。</w:t>
      </w:r>
    </w:p>
    <w:p w14:paraId="7FB14E22">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13、采购人维护维修过程中，现场需采取停梯措施时，应及时通知采购人确认后实施。</w:t>
      </w:r>
    </w:p>
    <w:p w14:paraId="693FAFC6">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14、成交人按规范整理电梯维保一梯一档资料，配合采购人接受上级主管部门随时抽查和定期检测工作。</w:t>
      </w:r>
    </w:p>
    <w:p w14:paraId="572BBB0F">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15、维保人员必须持证上岗着工作服，自行配备工作所需的工具及设备，严格按照电梯规范的技术操作规程进行，保养维修时需设置现场安全警示标志，严禁短接线路进行维修及保养，电梯保养单位需随时听取采购人的反馈信息，对电梯不正常的运行状况做出认真分析及纠正，有事实证明或政府职能部门证明由于维护保养工作人员过失而造成的直接的可预见的延误、人身伤亡或经济损失，由维护保养单位承担全部责任。</w:t>
      </w:r>
    </w:p>
    <w:p w14:paraId="5DE9F921">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16、成交人须保证所有电梯通过质量监督、特种设备等相关监管部门规定的定检、校验，并负责代办电梯的年度检验，所有年检及检验费用由采购人支付。成交人应按电梯监督检验和定期检验规则等规范要求按时间、频次、数量等落实电梯定期年检、限速器校验、125%制动试验等，并出具专业有效的检验合格报告给采购人存档备查。</w:t>
      </w:r>
    </w:p>
    <w:p w14:paraId="13DE0589">
      <w:pPr>
        <w:spacing w:line="360" w:lineRule="auto"/>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五、技术规格要求</w:t>
      </w:r>
    </w:p>
    <w:p w14:paraId="67420032">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（一）维修更换配件的要求</w:t>
      </w:r>
    </w:p>
    <w:p w14:paraId="016919C9">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1、成交人必须配齐常用配件，以备及时更换。如因配件更换导致停梯时间超过 5 日历天或已影响到采购人日常工作，采购人有权委托第三方单位予以维修更换，因此产生的所有费用从维保费内予以扣除。</w:t>
      </w:r>
    </w:p>
    <w:p w14:paraId="64A08056">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2、成交人提供的电梯更换配件必须是原厂生产的、全新的、未使用过的合格产品，达到电梯设备要求的性能规格，所有更换配件需提供检验合格证书或其他必须的证明文件交予采购人验收。</w:t>
      </w:r>
    </w:p>
    <w:p w14:paraId="7DE831B8">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3、由于配件货源供货渠道问题造成的损失，由成交人自行承担。</w:t>
      </w:r>
    </w:p>
    <w:p w14:paraId="504DEC96">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电梯零配件（设备）原则上以维修为主，涉及确实需要维修及更换单价的材料（设备），成交人须立即通知采购人，并提供书面的原因分析和处理方案，更换下的零配件属于采购人财产，由采购人负责处置；对于印板类部件，在采购人、成交人双方专业工程师的监督下销毁、拍照存档，成交人可取回有部件号的部分作为销毁凭证备案。更换配件时，成交人不再另外收取安装费、运输费及人工费等（电梯维保费采购人中已包含安装费及人工费）。</w:t>
      </w:r>
    </w:p>
    <w:p w14:paraId="5A8335AE">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（二）对维保服务的监督与整改：</w:t>
      </w:r>
    </w:p>
    <w:p w14:paraId="565A36F1">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1、成交人在维保服务期间因维保不当等原因导致的安全责任均由成交人负责，包括由于电梯故障及损坏造成乘梯人员伤亡或财产损失等， 由成交人承担所有的法律责任及由此产生的所有费用。</w:t>
      </w:r>
    </w:p>
    <w:p w14:paraId="0F0FF13B">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成交人应随时听取采购人的反馈，对不正常情况做到认真分析纠正，年检前1个月进行自检，配合特种设备安全监督管理部门对电梯年检，因维护保养原因导致电梯年检不合格的，由成交人进行整改完成并承担复检费用。</w:t>
      </w:r>
    </w:p>
    <w:p w14:paraId="47E70B32">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如因成交人维修不及时或因技术问题导致电梯连续出现故障或在维保期间出现重大安全事故，采购人有权请第三方介入维修并单方面中止合同，扣除保证金及剩余维保款，成交人应承担由此造成的所有责任，包括经济及法律责任。</w:t>
      </w:r>
    </w:p>
    <w:p w14:paraId="6B08F49C">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4、成交人负责与前期和后期维保单位的交接工作，与后期维保单位维保交接时必须保证所有电梯运行正常，并交接清楚，否则扣除履约保证金。</w:t>
      </w:r>
    </w:p>
    <w:p w14:paraId="61B35AB1">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5、采购人维保过程中发现任何问题，采购人有权在包括但不限于本磋商文件中规定的相关情况或维保服务缺陷予以监管扣款，视情况每次予以 500 元及以上罚款。</w:t>
      </w:r>
    </w:p>
    <w:p w14:paraId="40189B68">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采购人现场督查或行业主管部门检查过程中，出现相关不合格以及需整改的问题，采购人有权扣除1%及以上的年度服务费用，并视情节轻重追究相关责任。合同期内出现三次及以上的，采购人有权按上述内容扣除相关服务费用后，并有权提前与成交人解除合同。因成交人原因导致采购人被行业主管部门通报甚至处罚或出现其他具有恶劣影响情形以及安全事故的，采购人有权在追究成交人责任后与成交人提前解除合同。</w:t>
      </w:r>
    </w:p>
    <w:p w14:paraId="202568EA">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t>六、报价方式</w:t>
      </w:r>
    </w:p>
    <w:p w14:paraId="518048C9">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1、本次采购最高限价为1.2万元/年，成交人的成交价在合同期内固定不变。响应人的报价不得超过最高限价，否则作无效标处理。</w:t>
      </w:r>
    </w:p>
    <w:p w14:paraId="4E32988F">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综合单价为完成本项目所需的全部费用，包括但不限于电梯年检费用、电梯零部件、维保费、人工费、管理费、培训费、风险、合理的利润等一切费用，发生任何损坏均由成交人承担(不可抗力因素、人为损坏除外），成交人后期不得以任何理由要求采购人增加费用。成交后，如采购人要求需要维保的电梯数量减少时，按实际维保电梯数量结算电梯维保费用；其他情况不调整。</w:t>
      </w:r>
    </w:p>
    <w:p w14:paraId="36AB1249">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备注：响应人应按照比选文件要求提供证明材料。若响应人提供了比选文件未要求的证明材料，评审小组将不予评审。</w:t>
      </w:r>
    </w:p>
    <w:p w14:paraId="737E131B">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响应人提供的证明材料须清晰地反映评审内容，如因材料模糊不清，导致评审小组无法辨认的，评审小组可以不予认可，一切后果由响应人自行承担。 </w:t>
      </w:r>
    </w:p>
    <w:p w14:paraId="1C5517F0">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br w:type="textWrapping"/>
      </w:r>
    </w:p>
    <w:p w14:paraId="50BD25B1">
      <w:pPr>
        <w:rPr>
          <w:rFonts w:hint="eastAsia"/>
          <w:lang w:val="en-US" w:eastAsia="zh-CN"/>
        </w:rPr>
      </w:pPr>
      <w:r>
        <w:rPr>
          <w:rFonts w:hint="eastAsia" w:ascii="宋体" w:hAnsi="宋体" w:eastAsia="宋体" w:cs="宋体"/>
          <w:kern w:val="2"/>
          <w:sz w:val="21"/>
          <w:szCs w:val="21"/>
          <w:highlight w:val="none"/>
          <w:lang w:val="en-US" w:eastAsia="zh-CN" w:bidi="ar-SA"/>
        </w:rPr>
        <w:br w:type="page"/>
      </w:r>
    </w:p>
    <w:p w14:paraId="7CB59791">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附：</w:t>
      </w:r>
    </w:p>
    <w:p w14:paraId="206A1AB4">
      <w:pPr>
        <w:pStyle w:val="23"/>
        <w:widowControl/>
        <w:tabs>
          <w:tab w:val="left" w:pos="567"/>
        </w:tabs>
        <w:kinsoku w:val="0"/>
        <w:autoSpaceDE w:val="0"/>
        <w:autoSpaceDN w:val="0"/>
        <w:adjustRightInd w:val="0"/>
        <w:snapToGrid w:val="0"/>
        <w:spacing w:line="360" w:lineRule="auto"/>
        <w:jc w:val="center"/>
        <w:textAlignment w:val="baseline"/>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电梯维护保养月工作质量考核标准</w:t>
      </w:r>
    </w:p>
    <w:p w14:paraId="7AB56B61">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p>
    <w:p w14:paraId="5D6C1A7D">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项目名称：</w:t>
      </w:r>
    </w:p>
    <w:p w14:paraId="117CC8FC">
      <w:pPr>
        <w:pStyle w:val="23"/>
        <w:widowControl/>
        <w:tabs>
          <w:tab w:val="left" w:pos="567"/>
        </w:tabs>
        <w:kinsoku w:val="0"/>
        <w:autoSpaceDE w:val="0"/>
        <w:autoSpaceDN w:val="0"/>
        <w:adjustRightInd w:val="0"/>
        <w:snapToGrid w:val="0"/>
        <w:spacing w:line="360" w:lineRule="auto"/>
        <w:ind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维保单位：</w:t>
      </w:r>
    </w:p>
    <w:tbl>
      <w:tblPr>
        <w:tblStyle w:val="63"/>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3423"/>
        <w:gridCol w:w="1173"/>
        <w:gridCol w:w="2195"/>
        <w:gridCol w:w="1168"/>
      </w:tblGrid>
      <w:tr w14:paraId="6E99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noWrap w:val="0"/>
            <w:vAlign w:val="center"/>
          </w:tcPr>
          <w:p w14:paraId="57AF3BA8">
            <w:pPr>
              <w:pStyle w:val="23"/>
              <w:keepNext w:val="0"/>
              <w:keepLines w:val="0"/>
              <w:pageBreakBefore w:val="0"/>
              <w:widowControl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类别</w:t>
            </w:r>
          </w:p>
        </w:tc>
        <w:tc>
          <w:tcPr>
            <w:tcW w:w="3423" w:type="dxa"/>
            <w:noWrap w:val="0"/>
            <w:vAlign w:val="center"/>
          </w:tcPr>
          <w:p w14:paraId="6904F218">
            <w:pPr>
              <w:pStyle w:val="23"/>
              <w:keepNext w:val="0"/>
              <w:keepLines w:val="0"/>
              <w:pageBreakBefore w:val="0"/>
              <w:widowControl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考核内容</w:t>
            </w:r>
          </w:p>
        </w:tc>
        <w:tc>
          <w:tcPr>
            <w:tcW w:w="1173" w:type="dxa"/>
            <w:noWrap w:val="0"/>
            <w:vAlign w:val="center"/>
          </w:tcPr>
          <w:p w14:paraId="7D763F32">
            <w:pPr>
              <w:pStyle w:val="23"/>
              <w:keepNext w:val="0"/>
              <w:keepLines w:val="0"/>
              <w:pageBreakBefore w:val="0"/>
              <w:widowControl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标准分</w:t>
            </w:r>
          </w:p>
        </w:tc>
        <w:tc>
          <w:tcPr>
            <w:tcW w:w="2195" w:type="dxa"/>
            <w:noWrap w:val="0"/>
            <w:vAlign w:val="center"/>
          </w:tcPr>
          <w:p w14:paraId="770E34E1">
            <w:pPr>
              <w:pStyle w:val="23"/>
              <w:keepNext w:val="0"/>
              <w:keepLines w:val="0"/>
              <w:pageBreakBefore w:val="0"/>
              <w:widowControl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考核方法</w:t>
            </w:r>
          </w:p>
        </w:tc>
        <w:tc>
          <w:tcPr>
            <w:tcW w:w="1168" w:type="dxa"/>
            <w:noWrap w:val="0"/>
            <w:vAlign w:val="center"/>
          </w:tcPr>
          <w:p w14:paraId="524BFEA8">
            <w:pPr>
              <w:pStyle w:val="23"/>
              <w:keepNext w:val="0"/>
              <w:keepLines w:val="0"/>
              <w:pageBreakBefore w:val="0"/>
              <w:widowControl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分值</w:t>
            </w:r>
          </w:p>
        </w:tc>
      </w:tr>
      <w:tr w14:paraId="4773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8" w:type="dxa"/>
            <w:vMerge w:val="restart"/>
            <w:noWrap w:val="0"/>
            <w:vAlign w:val="center"/>
          </w:tcPr>
          <w:p w14:paraId="1EAE4364">
            <w:pPr>
              <w:pStyle w:val="23"/>
              <w:tabs>
                <w:tab w:val="left" w:pos="567"/>
              </w:tabs>
              <w:spacing w:line="360" w:lineRule="auto"/>
              <w:jc w:val="center"/>
              <w:rPr>
                <w:rFonts w:hint="eastAsia" w:ascii="宋体" w:hAnsi="宋体" w:eastAsia="宋体" w:cs="宋体"/>
                <w:sz w:val="21"/>
                <w:szCs w:val="21"/>
              </w:rPr>
            </w:pPr>
            <w:r>
              <w:rPr>
                <w:rFonts w:hint="eastAsia" w:ascii="宋体" w:hAnsi="宋体" w:eastAsia="宋体" w:cs="宋体"/>
                <w:sz w:val="21"/>
                <w:szCs w:val="21"/>
              </w:rPr>
              <w:t>机房20分</w:t>
            </w:r>
          </w:p>
        </w:tc>
        <w:tc>
          <w:tcPr>
            <w:tcW w:w="3423" w:type="dxa"/>
            <w:noWrap w:val="0"/>
            <w:vAlign w:val="center"/>
          </w:tcPr>
          <w:p w14:paraId="657CE55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Cs w:val="21"/>
              </w:rPr>
            </w:pPr>
            <w:r>
              <w:rPr>
                <w:rFonts w:hint="eastAsia" w:ascii="宋体" w:hAnsi="宋体" w:eastAsia="宋体" w:cs="宋体"/>
                <w:color w:val="000000"/>
                <w:kern w:val="0"/>
                <w:szCs w:val="21"/>
                <w:lang w:bidi="ar"/>
              </w:rPr>
              <w:t>1.机房环境：机房内应保持清洁，无杂物，门窗应可靠牢固。</w:t>
            </w:r>
          </w:p>
        </w:tc>
        <w:tc>
          <w:tcPr>
            <w:tcW w:w="1173" w:type="dxa"/>
            <w:noWrap w:val="0"/>
            <w:vAlign w:val="center"/>
          </w:tcPr>
          <w:p w14:paraId="5397B5C8">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3分</w:t>
            </w:r>
          </w:p>
        </w:tc>
        <w:tc>
          <w:tcPr>
            <w:tcW w:w="2195" w:type="dxa"/>
            <w:noWrap w:val="0"/>
            <w:vAlign w:val="center"/>
          </w:tcPr>
          <w:p w14:paraId="63B14F01">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不符合：0 分；</w:t>
            </w:r>
          </w:p>
          <w:p w14:paraId="55D9CF28">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基本符合：1 分；</w:t>
            </w:r>
          </w:p>
          <w:p w14:paraId="2848E6F4">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符合：3 分</w:t>
            </w:r>
          </w:p>
        </w:tc>
        <w:tc>
          <w:tcPr>
            <w:tcW w:w="1168" w:type="dxa"/>
            <w:noWrap w:val="0"/>
            <w:vAlign w:val="center"/>
          </w:tcPr>
          <w:p w14:paraId="0BBA4178">
            <w:pPr>
              <w:pStyle w:val="23"/>
              <w:tabs>
                <w:tab w:val="left" w:pos="567"/>
              </w:tabs>
              <w:spacing w:line="360" w:lineRule="auto"/>
              <w:jc w:val="center"/>
              <w:rPr>
                <w:rFonts w:hint="eastAsia" w:ascii="宋体" w:hAnsi="宋体" w:eastAsia="宋体" w:cs="宋体"/>
                <w:sz w:val="21"/>
                <w:szCs w:val="21"/>
              </w:rPr>
            </w:pPr>
          </w:p>
        </w:tc>
      </w:tr>
      <w:tr w14:paraId="5353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continue"/>
            <w:noWrap w:val="0"/>
            <w:vAlign w:val="center"/>
          </w:tcPr>
          <w:p w14:paraId="519AEACE">
            <w:pPr>
              <w:pStyle w:val="23"/>
              <w:tabs>
                <w:tab w:val="left" w:pos="567"/>
              </w:tabs>
              <w:spacing w:line="360" w:lineRule="auto"/>
              <w:jc w:val="center"/>
              <w:rPr>
                <w:rFonts w:hint="eastAsia" w:ascii="宋体" w:hAnsi="宋体" w:eastAsia="宋体" w:cs="宋体"/>
                <w:sz w:val="21"/>
                <w:szCs w:val="21"/>
              </w:rPr>
            </w:pPr>
          </w:p>
        </w:tc>
        <w:tc>
          <w:tcPr>
            <w:tcW w:w="3423" w:type="dxa"/>
            <w:noWrap w:val="0"/>
            <w:vAlign w:val="center"/>
          </w:tcPr>
          <w:p w14:paraId="4059879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Cs w:val="21"/>
              </w:rPr>
            </w:pPr>
            <w:r>
              <w:rPr>
                <w:rFonts w:hint="eastAsia" w:ascii="宋体" w:hAnsi="宋体" w:eastAsia="宋体" w:cs="宋体"/>
                <w:color w:val="000000"/>
                <w:kern w:val="0"/>
                <w:szCs w:val="21"/>
                <w:lang w:bidi="ar"/>
              </w:rPr>
              <w:t>2.控制屏：控制柜内各电子元件及微机设备内无灰尘，无异味等异常情况，各种标识应清晰有效。</w:t>
            </w:r>
          </w:p>
        </w:tc>
        <w:tc>
          <w:tcPr>
            <w:tcW w:w="1173" w:type="dxa"/>
            <w:noWrap w:val="0"/>
            <w:vAlign w:val="center"/>
          </w:tcPr>
          <w:p w14:paraId="3042076F">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3分</w:t>
            </w:r>
          </w:p>
        </w:tc>
        <w:tc>
          <w:tcPr>
            <w:tcW w:w="2195" w:type="dxa"/>
            <w:noWrap w:val="0"/>
            <w:vAlign w:val="center"/>
          </w:tcPr>
          <w:p w14:paraId="4FB04C88">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不符合：0 分；</w:t>
            </w:r>
          </w:p>
          <w:p w14:paraId="0B7ED868">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基本符合：1 分；</w:t>
            </w:r>
          </w:p>
          <w:p w14:paraId="738C7663">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符合：3 分</w:t>
            </w:r>
          </w:p>
        </w:tc>
        <w:tc>
          <w:tcPr>
            <w:tcW w:w="1168" w:type="dxa"/>
            <w:noWrap w:val="0"/>
            <w:vAlign w:val="center"/>
          </w:tcPr>
          <w:p w14:paraId="4F9484F1">
            <w:pPr>
              <w:pStyle w:val="23"/>
              <w:tabs>
                <w:tab w:val="left" w:pos="567"/>
              </w:tabs>
              <w:spacing w:line="360" w:lineRule="auto"/>
              <w:jc w:val="center"/>
              <w:rPr>
                <w:rFonts w:hint="eastAsia" w:ascii="宋体" w:hAnsi="宋体" w:eastAsia="宋体" w:cs="宋体"/>
                <w:sz w:val="21"/>
                <w:szCs w:val="21"/>
              </w:rPr>
            </w:pPr>
          </w:p>
        </w:tc>
      </w:tr>
      <w:tr w14:paraId="4593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continue"/>
            <w:noWrap w:val="0"/>
            <w:vAlign w:val="center"/>
          </w:tcPr>
          <w:p w14:paraId="0CBEC240">
            <w:pPr>
              <w:pStyle w:val="23"/>
              <w:tabs>
                <w:tab w:val="left" w:pos="567"/>
              </w:tabs>
              <w:spacing w:line="360" w:lineRule="auto"/>
              <w:jc w:val="center"/>
              <w:rPr>
                <w:rFonts w:hint="eastAsia" w:ascii="宋体" w:hAnsi="宋体" w:eastAsia="宋体" w:cs="宋体"/>
                <w:sz w:val="21"/>
                <w:szCs w:val="21"/>
              </w:rPr>
            </w:pPr>
          </w:p>
        </w:tc>
        <w:tc>
          <w:tcPr>
            <w:tcW w:w="3423" w:type="dxa"/>
            <w:noWrap w:val="0"/>
            <w:vAlign w:val="center"/>
          </w:tcPr>
          <w:p w14:paraId="27C0233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Cs w:val="21"/>
              </w:rPr>
            </w:pPr>
            <w:r>
              <w:rPr>
                <w:rFonts w:hint="eastAsia" w:ascii="宋体" w:hAnsi="宋体" w:eastAsia="宋体" w:cs="宋体"/>
                <w:color w:val="000000"/>
                <w:kern w:val="0"/>
                <w:szCs w:val="21"/>
                <w:lang w:bidi="ar"/>
              </w:rPr>
              <w:t>3.主机：运行时应无异常噪音、无异常气味、无漏油现象。</w:t>
            </w:r>
          </w:p>
          <w:p w14:paraId="61AFDAF7">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p>
        </w:tc>
        <w:tc>
          <w:tcPr>
            <w:tcW w:w="1173" w:type="dxa"/>
            <w:noWrap w:val="0"/>
            <w:vAlign w:val="center"/>
          </w:tcPr>
          <w:p w14:paraId="71456DA8">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5分</w:t>
            </w:r>
          </w:p>
        </w:tc>
        <w:tc>
          <w:tcPr>
            <w:tcW w:w="2195" w:type="dxa"/>
            <w:noWrap w:val="0"/>
            <w:vAlign w:val="center"/>
          </w:tcPr>
          <w:p w14:paraId="2ED28840">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不符合：0 分；</w:t>
            </w:r>
          </w:p>
          <w:p w14:paraId="7FFEF1A0">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基本符合：2 分；</w:t>
            </w:r>
          </w:p>
          <w:p w14:paraId="0717516A">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符合：5 分</w:t>
            </w:r>
          </w:p>
        </w:tc>
        <w:tc>
          <w:tcPr>
            <w:tcW w:w="1168" w:type="dxa"/>
            <w:noWrap w:val="0"/>
            <w:vAlign w:val="center"/>
          </w:tcPr>
          <w:p w14:paraId="509B8197">
            <w:pPr>
              <w:pStyle w:val="23"/>
              <w:tabs>
                <w:tab w:val="left" w:pos="567"/>
              </w:tabs>
              <w:spacing w:line="360" w:lineRule="auto"/>
              <w:jc w:val="center"/>
              <w:rPr>
                <w:rFonts w:hint="eastAsia" w:ascii="宋体" w:hAnsi="宋体" w:eastAsia="宋体" w:cs="宋体"/>
                <w:sz w:val="21"/>
                <w:szCs w:val="21"/>
              </w:rPr>
            </w:pPr>
          </w:p>
        </w:tc>
      </w:tr>
      <w:tr w14:paraId="155E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continue"/>
            <w:noWrap w:val="0"/>
            <w:vAlign w:val="center"/>
          </w:tcPr>
          <w:p w14:paraId="1A31772D">
            <w:pPr>
              <w:pStyle w:val="23"/>
              <w:tabs>
                <w:tab w:val="left" w:pos="567"/>
              </w:tabs>
              <w:spacing w:line="360" w:lineRule="auto"/>
              <w:jc w:val="center"/>
              <w:rPr>
                <w:rFonts w:hint="eastAsia" w:ascii="宋体" w:hAnsi="宋体" w:eastAsia="宋体" w:cs="宋体"/>
                <w:sz w:val="21"/>
                <w:szCs w:val="21"/>
              </w:rPr>
            </w:pPr>
          </w:p>
        </w:tc>
        <w:tc>
          <w:tcPr>
            <w:tcW w:w="3423" w:type="dxa"/>
            <w:noWrap w:val="0"/>
            <w:vAlign w:val="center"/>
          </w:tcPr>
          <w:p w14:paraId="450AFCF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Cs w:val="21"/>
              </w:rPr>
            </w:pPr>
            <w:r>
              <w:rPr>
                <w:rFonts w:hint="eastAsia" w:ascii="宋体" w:hAnsi="宋体" w:eastAsia="宋体" w:cs="宋体"/>
                <w:color w:val="000000"/>
                <w:kern w:val="0"/>
                <w:szCs w:val="21"/>
                <w:lang w:bidi="ar"/>
              </w:rPr>
              <w:t>4.机房内各个转动部位应有明显的标记。</w:t>
            </w:r>
          </w:p>
          <w:p w14:paraId="47A4540B">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p>
        </w:tc>
        <w:tc>
          <w:tcPr>
            <w:tcW w:w="1173" w:type="dxa"/>
            <w:noWrap w:val="0"/>
            <w:vAlign w:val="center"/>
          </w:tcPr>
          <w:p w14:paraId="2F0C1FCE">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2分</w:t>
            </w:r>
          </w:p>
        </w:tc>
        <w:tc>
          <w:tcPr>
            <w:tcW w:w="2195" w:type="dxa"/>
            <w:noWrap w:val="0"/>
            <w:vAlign w:val="center"/>
          </w:tcPr>
          <w:p w14:paraId="2409AEAF">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不符合：0 分；</w:t>
            </w:r>
          </w:p>
          <w:p w14:paraId="5B63D56E">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基本符合：1 分；</w:t>
            </w:r>
          </w:p>
          <w:p w14:paraId="236925AD">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符合：2 分</w:t>
            </w:r>
          </w:p>
        </w:tc>
        <w:tc>
          <w:tcPr>
            <w:tcW w:w="1168" w:type="dxa"/>
            <w:noWrap w:val="0"/>
            <w:vAlign w:val="center"/>
          </w:tcPr>
          <w:p w14:paraId="3C28A606">
            <w:pPr>
              <w:pStyle w:val="23"/>
              <w:tabs>
                <w:tab w:val="left" w:pos="567"/>
              </w:tabs>
              <w:spacing w:line="360" w:lineRule="auto"/>
              <w:jc w:val="center"/>
              <w:rPr>
                <w:rFonts w:hint="eastAsia" w:ascii="宋体" w:hAnsi="宋体" w:eastAsia="宋体" w:cs="宋体"/>
                <w:sz w:val="21"/>
                <w:szCs w:val="21"/>
              </w:rPr>
            </w:pPr>
          </w:p>
        </w:tc>
      </w:tr>
      <w:tr w14:paraId="7BA5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continue"/>
            <w:noWrap w:val="0"/>
            <w:vAlign w:val="center"/>
          </w:tcPr>
          <w:p w14:paraId="7FFC8E00">
            <w:pPr>
              <w:pStyle w:val="23"/>
              <w:tabs>
                <w:tab w:val="left" w:pos="567"/>
              </w:tabs>
              <w:spacing w:line="360" w:lineRule="auto"/>
              <w:jc w:val="center"/>
              <w:rPr>
                <w:rFonts w:hint="eastAsia" w:ascii="宋体" w:hAnsi="宋体" w:eastAsia="宋体" w:cs="宋体"/>
                <w:sz w:val="21"/>
                <w:szCs w:val="21"/>
              </w:rPr>
            </w:pPr>
          </w:p>
        </w:tc>
        <w:tc>
          <w:tcPr>
            <w:tcW w:w="3423" w:type="dxa"/>
            <w:noWrap w:val="0"/>
            <w:vAlign w:val="center"/>
          </w:tcPr>
          <w:p w14:paraId="6E2C1AD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Cs w:val="21"/>
              </w:rPr>
            </w:pPr>
            <w:r>
              <w:rPr>
                <w:rFonts w:hint="eastAsia" w:ascii="宋体" w:hAnsi="宋体" w:eastAsia="宋体" w:cs="宋体"/>
                <w:color w:val="000000"/>
                <w:kern w:val="0"/>
                <w:szCs w:val="21"/>
                <w:lang w:bidi="ar"/>
              </w:rPr>
              <w:t>5.限速器：夹绳口的污垢应及时清除，使夹绳动作可靠。</w:t>
            </w:r>
          </w:p>
          <w:p w14:paraId="6481F474">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p>
        </w:tc>
        <w:tc>
          <w:tcPr>
            <w:tcW w:w="1173" w:type="dxa"/>
            <w:noWrap w:val="0"/>
            <w:vAlign w:val="center"/>
          </w:tcPr>
          <w:p w14:paraId="6FA4D73C">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5分</w:t>
            </w:r>
          </w:p>
        </w:tc>
        <w:tc>
          <w:tcPr>
            <w:tcW w:w="2195" w:type="dxa"/>
            <w:noWrap w:val="0"/>
            <w:vAlign w:val="center"/>
          </w:tcPr>
          <w:p w14:paraId="647B46E2">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不符合：0 分；</w:t>
            </w:r>
          </w:p>
          <w:p w14:paraId="644728A3">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基本符合：2 分；</w:t>
            </w:r>
          </w:p>
          <w:p w14:paraId="2F741F1E">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符合：5 分</w:t>
            </w:r>
          </w:p>
        </w:tc>
        <w:tc>
          <w:tcPr>
            <w:tcW w:w="1168" w:type="dxa"/>
            <w:noWrap w:val="0"/>
            <w:vAlign w:val="center"/>
          </w:tcPr>
          <w:p w14:paraId="44D9D04A">
            <w:pPr>
              <w:pStyle w:val="23"/>
              <w:tabs>
                <w:tab w:val="left" w:pos="567"/>
              </w:tabs>
              <w:spacing w:line="360" w:lineRule="auto"/>
              <w:jc w:val="center"/>
              <w:rPr>
                <w:rFonts w:hint="eastAsia" w:ascii="宋体" w:hAnsi="宋体" w:eastAsia="宋体" w:cs="宋体"/>
                <w:sz w:val="21"/>
                <w:szCs w:val="21"/>
              </w:rPr>
            </w:pPr>
          </w:p>
        </w:tc>
      </w:tr>
      <w:tr w14:paraId="2A6C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continue"/>
            <w:noWrap w:val="0"/>
            <w:vAlign w:val="center"/>
          </w:tcPr>
          <w:p w14:paraId="25D823AB">
            <w:pPr>
              <w:pStyle w:val="23"/>
              <w:tabs>
                <w:tab w:val="left" w:pos="567"/>
              </w:tabs>
              <w:spacing w:line="360" w:lineRule="auto"/>
              <w:jc w:val="center"/>
              <w:rPr>
                <w:rFonts w:hint="eastAsia" w:ascii="宋体" w:hAnsi="宋体" w:eastAsia="宋体" w:cs="宋体"/>
                <w:sz w:val="21"/>
                <w:szCs w:val="21"/>
              </w:rPr>
            </w:pPr>
          </w:p>
        </w:tc>
        <w:tc>
          <w:tcPr>
            <w:tcW w:w="3423" w:type="dxa"/>
            <w:noWrap w:val="0"/>
            <w:vAlign w:val="center"/>
          </w:tcPr>
          <w:p w14:paraId="1FADBC0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Cs w:val="21"/>
              </w:rPr>
            </w:pPr>
            <w:r>
              <w:rPr>
                <w:rFonts w:hint="eastAsia" w:ascii="宋体" w:hAnsi="宋体" w:eastAsia="宋体" w:cs="宋体"/>
                <w:color w:val="000000"/>
                <w:kern w:val="0"/>
                <w:szCs w:val="21"/>
                <w:lang w:bidi="ar"/>
              </w:rPr>
              <w:t>6.机房内应有救援说明、救援工具应齐全、有效。</w:t>
            </w:r>
          </w:p>
          <w:p w14:paraId="3F3839EB">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p>
        </w:tc>
        <w:tc>
          <w:tcPr>
            <w:tcW w:w="1173" w:type="dxa"/>
            <w:noWrap w:val="0"/>
            <w:vAlign w:val="center"/>
          </w:tcPr>
          <w:p w14:paraId="543D506E">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2分</w:t>
            </w:r>
          </w:p>
        </w:tc>
        <w:tc>
          <w:tcPr>
            <w:tcW w:w="2195" w:type="dxa"/>
            <w:noWrap w:val="0"/>
            <w:vAlign w:val="center"/>
          </w:tcPr>
          <w:p w14:paraId="77A7881B">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不符合：0 分；</w:t>
            </w:r>
          </w:p>
          <w:p w14:paraId="6347D1FA">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基本符合：1 分；</w:t>
            </w:r>
          </w:p>
          <w:p w14:paraId="27371D69">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符合：2 分</w:t>
            </w:r>
          </w:p>
        </w:tc>
        <w:tc>
          <w:tcPr>
            <w:tcW w:w="1168" w:type="dxa"/>
            <w:noWrap w:val="0"/>
            <w:vAlign w:val="center"/>
          </w:tcPr>
          <w:p w14:paraId="3696668A">
            <w:pPr>
              <w:pStyle w:val="23"/>
              <w:tabs>
                <w:tab w:val="left" w:pos="567"/>
              </w:tabs>
              <w:spacing w:line="360" w:lineRule="auto"/>
              <w:jc w:val="center"/>
              <w:rPr>
                <w:rFonts w:hint="eastAsia" w:ascii="宋体" w:hAnsi="宋体" w:eastAsia="宋体" w:cs="宋体"/>
                <w:sz w:val="21"/>
                <w:szCs w:val="21"/>
              </w:rPr>
            </w:pPr>
          </w:p>
        </w:tc>
      </w:tr>
      <w:tr w14:paraId="4AED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restart"/>
            <w:noWrap w:val="0"/>
            <w:vAlign w:val="center"/>
          </w:tcPr>
          <w:p w14:paraId="15A375A0">
            <w:pPr>
              <w:pStyle w:val="23"/>
              <w:tabs>
                <w:tab w:val="left" w:pos="567"/>
              </w:tabs>
              <w:spacing w:line="360" w:lineRule="auto"/>
              <w:jc w:val="center"/>
              <w:rPr>
                <w:rFonts w:hint="eastAsia" w:ascii="宋体" w:hAnsi="宋体" w:eastAsia="宋体" w:cs="宋体"/>
                <w:sz w:val="21"/>
                <w:szCs w:val="21"/>
              </w:rPr>
            </w:pPr>
            <w:r>
              <w:rPr>
                <w:rFonts w:hint="eastAsia" w:ascii="宋体" w:hAnsi="宋体" w:eastAsia="宋体" w:cs="宋体"/>
                <w:sz w:val="21"/>
                <w:szCs w:val="21"/>
              </w:rPr>
              <w:t>井道11分</w:t>
            </w:r>
          </w:p>
        </w:tc>
        <w:tc>
          <w:tcPr>
            <w:tcW w:w="3423" w:type="dxa"/>
            <w:noWrap w:val="0"/>
            <w:vAlign w:val="center"/>
          </w:tcPr>
          <w:p w14:paraId="1CC2429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Cs w:val="21"/>
              </w:rPr>
            </w:pPr>
            <w:r>
              <w:rPr>
                <w:rFonts w:hint="eastAsia" w:ascii="宋体" w:hAnsi="宋体" w:eastAsia="宋体" w:cs="宋体"/>
                <w:color w:val="000000"/>
                <w:kern w:val="0"/>
                <w:szCs w:val="21"/>
                <w:lang w:bidi="ar"/>
              </w:rPr>
              <w:t>1.各层厅门电气开关、门锁应动作灵活、可靠。</w:t>
            </w:r>
          </w:p>
          <w:p w14:paraId="6C7090EA">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p>
        </w:tc>
        <w:tc>
          <w:tcPr>
            <w:tcW w:w="1173" w:type="dxa"/>
            <w:noWrap w:val="0"/>
            <w:vAlign w:val="center"/>
          </w:tcPr>
          <w:p w14:paraId="41B07D85">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3分</w:t>
            </w:r>
          </w:p>
        </w:tc>
        <w:tc>
          <w:tcPr>
            <w:tcW w:w="2195" w:type="dxa"/>
            <w:noWrap w:val="0"/>
            <w:vAlign w:val="center"/>
          </w:tcPr>
          <w:p w14:paraId="70E975BD">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不符合：0 分；</w:t>
            </w:r>
          </w:p>
          <w:p w14:paraId="56F1EF08">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基本符合：1 分；</w:t>
            </w:r>
          </w:p>
          <w:p w14:paraId="3E663CBD">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符合：3 分</w:t>
            </w:r>
          </w:p>
        </w:tc>
        <w:tc>
          <w:tcPr>
            <w:tcW w:w="1168" w:type="dxa"/>
            <w:noWrap w:val="0"/>
            <w:vAlign w:val="center"/>
          </w:tcPr>
          <w:p w14:paraId="7B3F2F19">
            <w:pPr>
              <w:pStyle w:val="23"/>
              <w:tabs>
                <w:tab w:val="left" w:pos="567"/>
              </w:tabs>
              <w:spacing w:line="360" w:lineRule="auto"/>
              <w:jc w:val="center"/>
              <w:rPr>
                <w:rFonts w:hint="eastAsia" w:ascii="宋体" w:hAnsi="宋体" w:eastAsia="宋体" w:cs="宋体"/>
                <w:sz w:val="21"/>
                <w:szCs w:val="21"/>
              </w:rPr>
            </w:pPr>
          </w:p>
        </w:tc>
      </w:tr>
      <w:tr w14:paraId="6267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continue"/>
            <w:noWrap w:val="0"/>
            <w:vAlign w:val="center"/>
          </w:tcPr>
          <w:p w14:paraId="7DE42411">
            <w:pPr>
              <w:pStyle w:val="23"/>
              <w:tabs>
                <w:tab w:val="left" w:pos="567"/>
              </w:tabs>
              <w:spacing w:line="360" w:lineRule="auto"/>
              <w:jc w:val="center"/>
              <w:rPr>
                <w:rFonts w:hint="eastAsia" w:ascii="宋体" w:hAnsi="宋体" w:eastAsia="宋体" w:cs="宋体"/>
                <w:sz w:val="21"/>
                <w:szCs w:val="21"/>
              </w:rPr>
            </w:pPr>
          </w:p>
        </w:tc>
        <w:tc>
          <w:tcPr>
            <w:tcW w:w="3423" w:type="dxa"/>
            <w:noWrap w:val="0"/>
            <w:vAlign w:val="center"/>
          </w:tcPr>
          <w:p w14:paraId="59D6380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Cs w:val="21"/>
              </w:rPr>
            </w:pPr>
            <w:r>
              <w:rPr>
                <w:rFonts w:hint="eastAsia" w:ascii="宋体" w:hAnsi="宋体" w:eastAsia="宋体" w:cs="宋体"/>
                <w:color w:val="000000"/>
                <w:kern w:val="0"/>
                <w:szCs w:val="21"/>
                <w:lang w:bidi="ar"/>
              </w:rPr>
              <w:t>2.各厅门门头、门扇、地坎、门槽应无垃圾、砂石、油污等。</w:t>
            </w:r>
          </w:p>
          <w:p w14:paraId="4ECF13FF">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p>
        </w:tc>
        <w:tc>
          <w:tcPr>
            <w:tcW w:w="1173" w:type="dxa"/>
            <w:noWrap w:val="0"/>
            <w:vAlign w:val="center"/>
          </w:tcPr>
          <w:p w14:paraId="71C2E9F5">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2分</w:t>
            </w:r>
          </w:p>
        </w:tc>
        <w:tc>
          <w:tcPr>
            <w:tcW w:w="2195" w:type="dxa"/>
            <w:noWrap w:val="0"/>
            <w:vAlign w:val="center"/>
          </w:tcPr>
          <w:p w14:paraId="758C37FD">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不符合：0 分；</w:t>
            </w:r>
          </w:p>
          <w:p w14:paraId="2285A850">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基本符合：1 分；</w:t>
            </w:r>
          </w:p>
          <w:p w14:paraId="4190D50F">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符合：2 分</w:t>
            </w:r>
          </w:p>
        </w:tc>
        <w:tc>
          <w:tcPr>
            <w:tcW w:w="1168" w:type="dxa"/>
            <w:noWrap w:val="0"/>
            <w:vAlign w:val="center"/>
          </w:tcPr>
          <w:p w14:paraId="498B4409">
            <w:pPr>
              <w:pStyle w:val="23"/>
              <w:tabs>
                <w:tab w:val="left" w:pos="567"/>
              </w:tabs>
              <w:spacing w:line="360" w:lineRule="auto"/>
              <w:jc w:val="center"/>
              <w:rPr>
                <w:rFonts w:hint="eastAsia" w:ascii="宋体" w:hAnsi="宋体" w:eastAsia="宋体" w:cs="宋体"/>
                <w:sz w:val="21"/>
                <w:szCs w:val="21"/>
              </w:rPr>
            </w:pPr>
          </w:p>
        </w:tc>
      </w:tr>
      <w:tr w14:paraId="169D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continue"/>
            <w:noWrap w:val="0"/>
            <w:vAlign w:val="center"/>
          </w:tcPr>
          <w:p w14:paraId="38000EC7">
            <w:pPr>
              <w:pStyle w:val="23"/>
              <w:tabs>
                <w:tab w:val="left" w:pos="567"/>
              </w:tabs>
              <w:spacing w:line="360" w:lineRule="auto"/>
              <w:jc w:val="center"/>
              <w:rPr>
                <w:rFonts w:hint="eastAsia" w:ascii="宋体" w:hAnsi="宋体" w:eastAsia="宋体" w:cs="宋体"/>
                <w:sz w:val="21"/>
                <w:szCs w:val="21"/>
              </w:rPr>
            </w:pPr>
          </w:p>
        </w:tc>
        <w:tc>
          <w:tcPr>
            <w:tcW w:w="3423" w:type="dxa"/>
            <w:noWrap w:val="0"/>
            <w:vAlign w:val="center"/>
          </w:tcPr>
          <w:p w14:paraId="308EA1D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Cs w:val="21"/>
              </w:rPr>
            </w:pPr>
            <w:r>
              <w:rPr>
                <w:rFonts w:hint="eastAsia" w:ascii="宋体" w:hAnsi="宋体" w:eastAsia="宋体" w:cs="宋体"/>
                <w:color w:val="000000"/>
                <w:kern w:val="0"/>
                <w:szCs w:val="21"/>
                <w:lang w:bidi="ar"/>
              </w:rPr>
              <w:t>3.钢丝绳有无断股断丝现象，并检查钢丝绳的受力均匀情况。</w:t>
            </w:r>
          </w:p>
          <w:p w14:paraId="34DD0A04">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p>
        </w:tc>
        <w:tc>
          <w:tcPr>
            <w:tcW w:w="1173" w:type="dxa"/>
            <w:noWrap w:val="0"/>
            <w:vAlign w:val="center"/>
          </w:tcPr>
          <w:p w14:paraId="729C3129">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2分</w:t>
            </w:r>
          </w:p>
        </w:tc>
        <w:tc>
          <w:tcPr>
            <w:tcW w:w="2195" w:type="dxa"/>
            <w:noWrap w:val="0"/>
            <w:vAlign w:val="center"/>
          </w:tcPr>
          <w:p w14:paraId="6FC2BDD4">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不符合：0 分；</w:t>
            </w:r>
          </w:p>
          <w:p w14:paraId="694F26DA">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基本符合：1 分；</w:t>
            </w:r>
          </w:p>
          <w:p w14:paraId="7C3F1191">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符合：2 分</w:t>
            </w:r>
          </w:p>
        </w:tc>
        <w:tc>
          <w:tcPr>
            <w:tcW w:w="1168" w:type="dxa"/>
            <w:noWrap w:val="0"/>
            <w:vAlign w:val="center"/>
          </w:tcPr>
          <w:p w14:paraId="0F2BB290">
            <w:pPr>
              <w:pStyle w:val="23"/>
              <w:tabs>
                <w:tab w:val="left" w:pos="567"/>
              </w:tabs>
              <w:spacing w:line="360" w:lineRule="auto"/>
              <w:jc w:val="center"/>
              <w:rPr>
                <w:rFonts w:hint="eastAsia" w:ascii="宋体" w:hAnsi="宋体" w:eastAsia="宋体" w:cs="宋体"/>
                <w:sz w:val="21"/>
                <w:szCs w:val="21"/>
              </w:rPr>
            </w:pPr>
          </w:p>
        </w:tc>
      </w:tr>
      <w:tr w14:paraId="387E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continue"/>
            <w:noWrap w:val="0"/>
            <w:vAlign w:val="center"/>
          </w:tcPr>
          <w:p w14:paraId="776A8076">
            <w:pPr>
              <w:pStyle w:val="23"/>
              <w:tabs>
                <w:tab w:val="left" w:pos="567"/>
              </w:tabs>
              <w:spacing w:line="360" w:lineRule="auto"/>
              <w:jc w:val="center"/>
              <w:rPr>
                <w:rFonts w:hint="eastAsia" w:ascii="宋体" w:hAnsi="宋体" w:eastAsia="宋体" w:cs="宋体"/>
                <w:sz w:val="21"/>
                <w:szCs w:val="21"/>
              </w:rPr>
            </w:pPr>
          </w:p>
        </w:tc>
        <w:tc>
          <w:tcPr>
            <w:tcW w:w="3423" w:type="dxa"/>
            <w:noWrap w:val="0"/>
            <w:vAlign w:val="center"/>
          </w:tcPr>
          <w:p w14:paraId="2D012DE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Cs w:val="21"/>
              </w:rPr>
            </w:pPr>
            <w:r>
              <w:rPr>
                <w:rFonts w:hint="eastAsia" w:ascii="宋体" w:hAnsi="宋体" w:eastAsia="宋体" w:cs="宋体"/>
                <w:color w:val="000000"/>
                <w:kern w:val="0"/>
                <w:szCs w:val="21"/>
                <w:lang w:bidi="ar"/>
              </w:rPr>
              <w:t>4.检查各层厅门的门导轨、门触点是否符合标准。</w:t>
            </w:r>
          </w:p>
          <w:p w14:paraId="3EE10344">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p>
        </w:tc>
        <w:tc>
          <w:tcPr>
            <w:tcW w:w="1173" w:type="dxa"/>
            <w:noWrap w:val="0"/>
            <w:vAlign w:val="center"/>
          </w:tcPr>
          <w:p w14:paraId="39B859E7">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2分</w:t>
            </w:r>
          </w:p>
        </w:tc>
        <w:tc>
          <w:tcPr>
            <w:tcW w:w="2195" w:type="dxa"/>
            <w:noWrap w:val="0"/>
            <w:vAlign w:val="center"/>
          </w:tcPr>
          <w:p w14:paraId="41FF5DCA">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不符合：0 分；</w:t>
            </w:r>
          </w:p>
          <w:p w14:paraId="39E3F60A">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基本符合：1 分；</w:t>
            </w:r>
          </w:p>
          <w:p w14:paraId="1351BBF6">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符合：2 分</w:t>
            </w:r>
          </w:p>
        </w:tc>
        <w:tc>
          <w:tcPr>
            <w:tcW w:w="1168" w:type="dxa"/>
            <w:noWrap w:val="0"/>
            <w:vAlign w:val="center"/>
          </w:tcPr>
          <w:p w14:paraId="0596C479">
            <w:pPr>
              <w:pStyle w:val="23"/>
              <w:tabs>
                <w:tab w:val="left" w:pos="567"/>
              </w:tabs>
              <w:spacing w:line="360" w:lineRule="auto"/>
              <w:jc w:val="center"/>
              <w:rPr>
                <w:rFonts w:hint="eastAsia" w:ascii="宋体" w:hAnsi="宋体" w:eastAsia="宋体" w:cs="宋体"/>
                <w:sz w:val="21"/>
                <w:szCs w:val="21"/>
              </w:rPr>
            </w:pPr>
          </w:p>
        </w:tc>
      </w:tr>
      <w:tr w14:paraId="54CA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continue"/>
            <w:noWrap w:val="0"/>
            <w:vAlign w:val="center"/>
          </w:tcPr>
          <w:p w14:paraId="3EFA6A67">
            <w:pPr>
              <w:pStyle w:val="23"/>
              <w:tabs>
                <w:tab w:val="left" w:pos="567"/>
              </w:tabs>
              <w:spacing w:line="360" w:lineRule="auto"/>
              <w:jc w:val="center"/>
              <w:rPr>
                <w:rFonts w:hint="eastAsia" w:ascii="宋体" w:hAnsi="宋体" w:eastAsia="宋体" w:cs="宋体"/>
                <w:sz w:val="21"/>
                <w:szCs w:val="21"/>
              </w:rPr>
            </w:pPr>
          </w:p>
        </w:tc>
        <w:tc>
          <w:tcPr>
            <w:tcW w:w="3423" w:type="dxa"/>
            <w:noWrap w:val="0"/>
            <w:vAlign w:val="center"/>
          </w:tcPr>
          <w:p w14:paraId="4AD7691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Cs w:val="21"/>
              </w:rPr>
            </w:pPr>
            <w:r>
              <w:rPr>
                <w:rFonts w:hint="eastAsia" w:ascii="宋体" w:hAnsi="宋体" w:eastAsia="宋体" w:cs="宋体"/>
                <w:color w:val="000000"/>
                <w:kern w:val="0"/>
                <w:szCs w:val="21"/>
                <w:lang w:bidi="ar"/>
              </w:rPr>
              <w:t>5.强迫换速开关、限位开关、极限开关应动作灵活可靠。</w:t>
            </w:r>
          </w:p>
        </w:tc>
        <w:tc>
          <w:tcPr>
            <w:tcW w:w="1173" w:type="dxa"/>
            <w:noWrap w:val="0"/>
            <w:vAlign w:val="center"/>
          </w:tcPr>
          <w:p w14:paraId="4551B4CA">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2分</w:t>
            </w:r>
          </w:p>
        </w:tc>
        <w:tc>
          <w:tcPr>
            <w:tcW w:w="2195" w:type="dxa"/>
            <w:noWrap w:val="0"/>
            <w:vAlign w:val="center"/>
          </w:tcPr>
          <w:p w14:paraId="159D6DCA">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不符合：0 分；</w:t>
            </w:r>
          </w:p>
          <w:p w14:paraId="4B6AEF24">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基本符合：1 分；</w:t>
            </w:r>
          </w:p>
          <w:p w14:paraId="012A43EF">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符合：2 分</w:t>
            </w:r>
          </w:p>
        </w:tc>
        <w:tc>
          <w:tcPr>
            <w:tcW w:w="1168" w:type="dxa"/>
            <w:noWrap w:val="0"/>
            <w:vAlign w:val="center"/>
          </w:tcPr>
          <w:p w14:paraId="69D76465">
            <w:pPr>
              <w:pStyle w:val="23"/>
              <w:tabs>
                <w:tab w:val="left" w:pos="567"/>
              </w:tabs>
              <w:spacing w:line="360" w:lineRule="auto"/>
              <w:jc w:val="center"/>
              <w:rPr>
                <w:rFonts w:hint="eastAsia" w:ascii="宋体" w:hAnsi="宋体" w:eastAsia="宋体" w:cs="宋体"/>
                <w:sz w:val="21"/>
                <w:szCs w:val="21"/>
              </w:rPr>
            </w:pPr>
          </w:p>
        </w:tc>
      </w:tr>
      <w:tr w14:paraId="00DF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restart"/>
            <w:noWrap w:val="0"/>
            <w:vAlign w:val="center"/>
          </w:tcPr>
          <w:p w14:paraId="6B60A1C5">
            <w:pPr>
              <w:pStyle w:val="23"/>
              <w:tabs>
                <w:tab w:val="left" w:pos="567"/>
              </w:tabs>
              <w:spacing w:line="360" w:lineRule="auto"/>
              <w:jc w:val="center"/>
              <w:rPr>
                <w:rFonts w:hint="eastAsia" w:ascii="宋体" w:hAnsi="宋体" w:eastAsia="宋体" w:cs="宋体"/>
                <w:sz w:val="21"/>
                <w:szCs w:val="21"/>
              </w:rPr>
            </w:pPr>
            <w:r>
              <w:rPr>
                <w:rFonts w:hint="eastAsia" w:ascii="宋体" w:hAnsi="宋体" w:eastAsia="宋体" w:cs="宋体"/>
                <w:sz w:val="21"/>
                <w:szCs w:val="21"/>
              </w:rPr>
              <w:t>轿顶9分</w:t>
            </w:r>
          </w:p>
        </w:tc>
        <w:tc>
          <w:tcPr>
            <w:tcW w:w="3423" w:type="dxa"/>
            <w:noWrap w:val="0"/>
            <w:vAlign w:val="center"/>
          </w:tcPr>
          <w:p w14:paraId="4DC1512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Cs w:val="21"/>
              </w:rPr>
            </w:pPr>
            <w:r>
              <w:rPr>
                <w:rFonts w:hint="eastAsia" w:ascii="宋体" w:hAnsi="宋体" w:eastAsia="宋体" w:cs="宋体"/>
                <w:color w:val="000000"/>
                <w:kern w:val="0"/>
                <w:szCs w:val="21"/>
                <w:lang w:bidi="ar"/>
              </w:rPr>
              <w:t>1.安全窗、安全钳、钢带等电气开关应动作可靠有效。</w:t>
            </w:r>
          </w:p>
          <w:p w14:paraId="1D78767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Cs w:val="21"/>
                <w:lang w:bidi="ar"/>
              </w:rPr>
            </w:pPr>
          </w:p>
        </w:tc>
        <w:tc>
          <w:tcPr>
            <w:tcW w:w="1173" w:type="dxa"/>
            <w:noWrap w:val="0"/>
            <w:vAlign w:val="center"/>
          </w:tcPr>
          <w:p w14:paraId="7B5890CE">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4分</w:t>
            </w:r>
          </w:p>
        </w:tc>
        <w:tc>
          <w:tcPr>
            <w:tcW w:w="2195" w:type="dxa"/>
            <w:noWrap w:val="0"/>
            <w:vAlign w:val="center"/>
          </w:tcPr>
          <w:p w14:paraId="4D9EFECC">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不符合：0 分；</w:t>
            </w:r>
          </w:p>
          <w:p w14:paraId="069DAF63">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基本符合：2 分；</w:t>
            </w:r>
          </w:p>
          <w:p w14:paraId="6038A149">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符合：4 分</w:t>
            </w:r>
          </w:p>
        </w:tc>
        <w:tc>
          <w:tcPr>
            <w:tcW w:w="1168" w:type="dxa"/>
            <w:noWrap w:val="0"/>
            <w:vAlign w:val="center"/>
          </w:tcPr>
          <w:p w14:paraId="751832C1">
            <w:pPr>
              <w:pStyle w:val="23"/>
              <w:tabs>
                <w:tab w:val="left" w:pos="567"/>
              </w:tabs>
              <w:spacing w:line="360" w:lineRule="auto"/>
              <w:jc w:val="center"/>
              <w:rPr>
                <w:rFonts w:hint="eastAsia" w:ascii="宋体" w:hAnsi="宋体" w:eastAsia="宋体" w:cs="宋体"/>
                <w:sz w:val="21"/>
                <w:szCs w:val="21"/>
              </w:rPr>
            </w:pPr>
          </w:p>
        </w:tc>
      </w:tr>
      <w:tr w14:paraId="11C2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continue"/>
            <w:noWrap w:val="0"/>
            <w:vAlign w:val="center"/>
          </w:tcPr>
          <w:p w14:paraId="2D1DCE1B">
            <w:pPr>
              <w:pStyle w:val="23"/>
              <w:tabs>
                <w:tab w:val="left" w:pos="567"/>
              </w:tabs>
              <w:spacing w:line="360" w:lineRule="auto"/>
              <w:jc w:val="center"/>
              <w:rPr>
                <w:rFonts w:hint="eastAsia" w:ascii="宋体" w:hAnsi="宋体" w:eastAsia="宋体" w:cs="宋体"/>
                <w:sz w:val="21"/>
                <w:szCs w:val="21"/>
              </w:rPr>
            </w:pPr>
          </w:p>
        </w:tc>
        <w:tc>
          <w:tcPr>
            <w:tcW w:w="3423" w:type="dxa"/>
            <w:noWrap w:val="0"/>
            <w:vAlign w:val="center"/>
          </w:tcPr>
          <w:p w14:paraId="5F096F6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2.导轨润滑要良好，油杯油量应适当，不宜过多，也不宜过少。</w:t>
            </w:r>
          </w:p>
        </w:tc>
        <w:tc>
          <w:tcPr>
            <w:tcW w:w="1173" w:type="dxa"/>
            <w:noWrap w:val="0"/>
            <w:vAlign w:val="center"/>
          </w:tcPr>
          <w:p w14:paraId="77925073">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2分</w:t>
            </w:r>
          </w:p>
        </w:tc>
        <w:tc>
          <w:tcPr>
            <w:tcW w:w="2195" w:type="dxa"/>
            <w:noWrap w:val="0"/>
            <w:vAlign w:val="center"/>
          </w:tcPr>
          <w:p w14:paraId="215C8DA7">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不符合：0 分；</w:t>
            </w:r>
          </w:p>
          <w:p w14:paraId="708614F2">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基本符合：1 分；</w:t>
            </w:r>
          </w:p>
          <w:p w14:paraId="0DEA9104">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符合：2 分</w:t>
            </w:r>
          </w:p>
        </w:tc>
        <w:tc>
          <w:tcPr>
            <w:tcW w:w="1168" w:type="dxa"/>
            <w:noWrap w:val="0"/>
            <w:vAlign w:val="center"/>
          </w:tcPr>
          <w:p w14:paraId="50CE18D0">
            <w:pPr>
              <w:pStyle w:val="23"/>
              <w:tabs>
                <w:tab w:val="left" w:pos="567"/>
              </w:tabs>
              <w:spacing w:line="360" w:lineRule="auto"/>
              <w:jc w:val="center"/>
              <w:rPr>
                <w:rFonts w:hint="eastAsia" w:ascii="宋体" w:hAnsi="宋体" w:eastAsia="宋体" w:cs="宋体"/>
                <w:sz w:val="21"/>
                <w:szCs w:val="21"/>
              </w:rPr>
            </w:pPr>
          </w:p>
        </w:tc>
      </w:tr>
      <w:tr w14:paraId="1B4C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continue"/>
            <w:noWrap w:val="0"/>
            <w:vAlign w:val="center"/>
          </w:tcPr>
          <w:p w14:paraId="6B0532B1">
            <w:pPr>
              <w:pStyle w:val="23"/>
              <w:tabs>
                <w:tab w:val="left" w:pos="567"/>
              </w:tabs>
              <w:spacing w:line="360" w:lineRule="auto"/>
              <w:jc w:val="center"/>
              <w:rPr>
                <w:rFonts w:hint="eastAsia" w:ascii="宋体" w:hAnsi="宋体" w:eastAsia="宋体" w:cs="宋体"/>
                <w:sz w:val="21"/>
                <w:szCs w:val="21"/>
              </w:rPr>
            </w:pPr>
          </w:p>
        </w:tc>
        <w:tc>
          <w:tcPr>
            <w:tcW w:w="3423" w:type="dxa"/>
            <w:noWrap w:val="0"/>
            <w:vAlign w:val="center"/>
          </w:tcPr>
          <w:p w14:paraId="1D54152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Cs w:val="21"/>
              </w:rPr>
            </w:pPr>
            <w:r>
              <w:rPr>
                <w:rFonts w:hint="eastAsia" w:ascii="宋体" w:hAnsi="宋体" w:eastAsia="宋体" w:cs="宋体"/>
                <w:color w:val="000000"/>
                <w:kern w:val="0"/>
                <w:szCs w:val="21"/>
                <w:lang w:bidi="ar"/>
              </w:rPr>
              <w:t>3.轿顶应保持清洁，没有油污和杂物。</w:t>
            </w:r>
          </w:p>
          <w:p w14:paraId="443E6AD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Cs w:val="21"/>
                <w:lang w:bidi="ar"/>
              </w:rPr>
            </w:pPr>
          </w:p>
        </w:tc>
        <w:tc>
          <w:tcPr>
            <w:tcW w:w="1173" w:type="dxa"/>
            <w:noWrap w:val="0"/>
            <w:vAlign w:val="center"/>
          </w:tcPr>
          <w:p w14:paraId="4F33AB81">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3分</w:t>
            </w:r>
          </w:p>
        </w:tc>
        <w:tc>
          <w:tcPr>
            <w:tcW w:w="2195" w:type="dxa"/>
            <w:noWrap w:val="0"/>
            <w:vAlign w:val="center"/>
          </w:tcPr>
          <w:p w14:paraId="689E004B">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不符合：0 分；</w:t>
            </w:r>
          </w:p>
          <w:p w14:paraId="380C3919">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基本符合：1 分；</w:t>
            </w:r>
          </w:p>
          <w:p w14:paraId="2A9F0040">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符合：3 分</w:t>
            </w:r>
          </w:p>
        </w:tc>
        <w:tc>
          <w:tcPr>
            <w:tcW w:w="1168" w:type="dxa"/>
            <w:noWrap w:val="0"/>
            <w:vAlign w:val="center"/>
          </w:tcPr>
          <w:p w14:paraId="040BC287">
            <w:pPr>
              <w:pStyle w:val="23"/>
              <w:tabs>
                <w:tab w:val="left" w:pos="567"/>
              </w:tabs>
              <w:spacing w:line="360" w:lineRule="auto"/>
              <w:jc w:val="center"/>
              <w:rPr>
                <w:rFonts w:hint="eastAsia" w:ascii="宋体" w:hAnsi="宋体" w:eastAsia="宋体" w:cs="宋体"/>
                <w:sz w:val="21"/>
                <w:szCs w:val="21"/>
              </w:rPr>
            </w:pPr>
          </w:p>
        </w:tc>
      </w:tr>
      <w:tr w14:paraId="0440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restart"/>
            <w:noWrap w:val="0"/>
            <w:vAlign w:val="center"/>
          </w:tcPr>
          <w:p w14:paraId="433EA652">
            <w:pPr>
              <w:pStyle w:val="23"/>
              <w:tabs>
                <w:tab w:val="left" w:pos="567"/>
              </w:tabs>
              <w:spacing w:line="360" w:lineRule="auto"/>
              <w:jc w:val="center"/>
              <w:rPr>
                <w:rFonts w:hint="eastAsia" w:ascii="宋体" w:hAnsi="宋体" w:eastAsia="宋体" w:cs="宋体"/>
                <w:sz w:val="21"/>
                <w:szCs w:val="21"/>
              </w:rPr>
            </w:pPr>
            <w:r>
              <w:rPr>
                <w:rFonts w:hint="eastAsia" w:ascii="宋体" w:hAnsi="宋体" w:eastAsia="宋体" w:cs="宋体"/>
                <w:sz w:val="21"/>
                <w:szCs w:val="21"/>
              </w:rPr>
              <w:t>轿厢内10分</w:t>
            </w:r>
          </w:p>
        </w:tc>
        <w:tc>
          <w:tcPr>
            <w:tcW w:w="3423" w:type="dxa"/>
            <w:noWrap w:val="0"/>
            <w:vAlign w:val="center"/>
          </w:tcPr>
          <w:p w14:paraId="4DF6A55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Cs w:val="21"/>
              </w:rPr>
            </w:pPr>
            <w:r>
              <w:rPr>
                <w:rFonts w:hint="eastAsia" w:ascii="宋体" w:hAnsi="宋体" w:eastAsia="宋体" w:cs="宋体"/>
                <w:color w:val="000000"/>
                <w:kern w:val="0"/>
                <w:szCs w:val="21"/>
                <w:lang w:bidi="ar"/>
              </w:rPr>
              <w:t>1.操纵箱内各个开关按钮应动作灵活，有效。</w:t>
            </w:r>
          </w:p>
          <w:p w14:paraId="24D45AE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Cs w:val="21"/>
                <w:lang w:bidi="ar"/>
              </w:rPr>
            </w:pPr>
          </w:p>
        </w:tc>
        <w:tc>
          <w:tcPr>
            <w:tcW w:w="1173" w:type="dxa"/>
            <w:noWrap w:val="0"/>
            <w:vAlign w:val="center"/>
          </w:tcPr>
          <w:p w14:paraId="1A58CFF3">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4分</w:t>
            </w:r>
          </w:p>
        </w:tc>
        <w:tc>
          <w:tcPr>
            <w:tcW w:w="2195" w:type="dxa"/>
            <w:noWrap w:val="0"/>
            <w:vAlign w:val="center"/>
          </w:tcPr>
          <w:p w14:paraId="31DFC433">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不符合：0 分；</w:t>
            </w:r>
          </w:p>
          <w:p w14:paraId="1E0E80D8">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基本符合：2 分；</w:t>
            </w:r>
          </w:p>
          <w:p w14:paraId="791E3009">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符合：4 分</w:t>
            </w:r>
          </w:p>
        </w:tc>
        <w:tc>
          <w:tcPr>
            <w:tcW w:w="1168" w:type="dxa"/>
            <w:noWrap w:val="0"/>
            <w:vAlign w:val="center"/>
          </w:tcPr>
          <w:p w14:paraId="79BBE3FB">
            <w:pPr>
              <w:pStyle w:val="23"/>
              <w:tabs>
                <w:tab w:val="left" w:pos="567"/>
              </w:tabs>
              <w:spacing w:line="360" w:lineRule="auto"/>
              <w:jc w:val="center"/>
              <w:rPr>
                <w:rFonts w:hint="eastAsia" w:ascii="宋体" w:hAnsi="宋体" w:eastAsia="宋体" w:cs="宋体"/>
                <w:sz w:val="21"/>
                <w:szCs w:val="21"/>
              </w:rPr>
            </w:pPr>
          </w:p>
        </w:tc>
      </w:tr>
      <w:tr w14:paraId="0A58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continue"/>
            <w:noWrap w:val="0"/>
            <w:vAlign w:val="center"/>
          </w:tcPr>
          <w:p w14:paraId="7D905ECC">
            <w:pPr>
              <w:pStyle w:val="23"/>
              <w:tabs>
                <w:tab w:val="left" w:pos="567"/>
              </w:tabs>
              <w:spacing w:line="360" w:lineRule="auto"/>
              <w:jc w:val="center"/>
              <w:rPr>
                <w:rFonts w:hint="eastAsia" w:ascii="宋体" w:hAnsi="宋体" w:eastAsia="宋体" w:cs="宋体"/>
                <w:sz w:val="21"/>
                <w:szCs w:val="21"/>
              </w:rPr>
            </w:pPr>
          </w:p>
        </w:tc>
        <w:tc>
          <w:tcPr>
            <w:tcW w:w="3423" w:type="dxa"/>
            <w:noWrap w:val="0"/>
            <w:vAlign w:val="center"/>
          </w:tcPr>
          <w:p w14:paraId="387656A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2.轿内照明、风扇应良好。</w:t>
            </w:r>
          </w:p>
        </w:tc>
        <w:tc>
          <w:tcPr>
            <w:tcW w:w="1173" w:type="dxa"/>
            <w:noWrap w:val="0"/>
            <w:vAlign w:val="center"/>
          </w:tcPr>
          <w:p w14:paraId="4E48E158">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2分</w:t>
            </w:r>
          </w:p>
        </w:tc>
        <w:tc>
          <w:tcPr>
            <w:tcW w:w="2195" w:type="dxa"/>
            <w:noWrap w:val="0"/>
            <w:vAlign w:val="center"/>
          </w:tcPr>
          <w:p w14:paraId="50A9B6FD">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不符合：0 分；</w:t>
            </w:r>
          </w:p>
          <w:p w14:paraId="2676DA89">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基本符合：1 分；</w:t>
            </w:r>
          </w:p>
          <w:p w14:paraId="2392D943">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符合：2 分</w:t>
            </w:r>
          </w:p>
        </w:tc>
        <w:tc>
          <w:tcPr>
            <w:tcW w:w="1168" w:type="dxa"/>
            <w:noWrap w:val="0"/>
            <w:vAlign w:val="center"/>
          </w:tcPr>
          <w:p w14:paraId="0169BC16">
            <w:pPr>
              <w:pStyle w:val="23"/>
              <w:tabs>
                <w:tab w:val="left" w:pos="567"/>
              </w:tabs>
              <w:spacing w:line="360" w:lineRule="auto"/>
              <w:jc w:val="center"/>
              <w:rPr>
                <w:rFonts w:hint="eastAsia" w:ascii="宋体" w:hAnsi="宋体" w:eastAsia="宋体" w:cs="宋体"/>
                <w:sz w:val="21"/>
                <w:szCs w:val="21"/>
              </w:rPr>
            </w:pPr>
          </w:p>
        </w:tc>
      </w:tr>
      <w:tr w14:paraId="2E39A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continue"/>
            <w:noWrap w:val="0"/>
            <w:vAlign w:val="center"/>
          </w:tcPr>
          <w:p w14:paraId="4BCB3A81">
            <w:pPr>
              <w:pStyle w:val="23"/>
              <w:tabs>
                <w:tab w:val="left" w:pos="567"/>
              </w:tabs>
              <w:spacing w:line="360" w:lineRule="auto"/>
              <w:jc w:val="center"/>
              <w:rPr>
                <w:rFonts w:hint="eastAsia" w:ascii="宋体" w:hAnsi="宋体" w:eastAsia="宋体" w:cs="宋体"/>
                <w:sz w:val="21"/>
                <w:szCs w:val="21"/>
              </w:rPr>
            </w:pPr>
          </w:p>
        </w:tc>
        <w:tc>
          <w:tcPr>
            <w:tcW w:w="3423" w:type="dxa"/>
            <w:noWrap w:val="0"/>
            <w:vAlign w:val="center"/>
          </w:tcPr>
          <w:p w14:paraId="1AEB559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3.安全触板动作应有效。</w:t>
            </w:r>
          </w:p>
        </w:tc>
        <w:tc>
          <w:tcPr>
            <w:tcW w:w="1173" w:type="dxa"/>
            <w:noWrap w:val="0"/>
            <w:vAlign w:val="center"/>
          </w:tcPr>
          <w:p w14:paraId="43AFC1DA">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4分</w:t>
            </w:r>
          </w:p>
        </w:tc>
        <w:tc>
          <w:tcPr>
            <w:tcW w:w="2195" w:type="dxa"/>
            <w:noWrap w:val="0"/>
            <w:vAlign w:val="center"/>
          </w:tcPr>
          <w:p w14:paraId="28B402C5">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不符合：0 分；</w:t>
            </w:r>
          </w:p>
          <w:p w14:paraId="4ED5E6EE">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基本符合：2 分；</w:t>
            </w:r>
          </w:p>
          <w:p w14:paraId="7AD01C99">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符合：4 分</w:t>
            </w:r>
          </w:p>
        </w:tc>
        <w:tc>
          <w:tcPr>
            <w:tcW w:w="1168" w:type="dxa"/>
            <w:noWrap w:val="0"/>
            <w:vAlign w:val="center"/>
          </w:tcPr>
          <w:p w14:paraId="5982F1F9">
            <w:pPr>
              <w:pStyle w:val="23"/>
              <w:tabs>
                <w:tab w:val="left" w:pos="567"/>
              </w:tabs>
              <w:spacing w:line="360" w:lineRule="auto"/>
              <w:jc w:val="center"/>
              <w:rPr>
                <w:rFonts w:hint="eastAsia" w:ascii="宋体" w:hAnsi="宋体" w:eastAsia="宋体" w:cs="宋体"/>
                <w:sz w:val="21"/>
                <w:szCs w:val="21"/>
              </w:rPr>
            </w:pPr>
          </w:p>
        </w:tc>
      </w:tr>
      <w:tr w14:paraId="60BD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restart"/>
            <w:noWrap w:val="0"/>
            <w:vAlign w:val="center"/>
          </w:tcPr>
          <w:p w14:paraId="1DBDCEEE">
            <w:pPr>
              <w:pStyle w:val="23"/>
              <w:tabs>
                <w:tab w:val="left" w:pos="567"/>
              </w:tabs>
              <w:spacing w:line="360" w:lineRule="auto"/>
              <w:jc w:val="center"/>
              <w:rPr>
                <w:rFonts w:hint="eastAsia" w:ascii="宋体" w:hAnsi="宋体" w:eastAsia="宋体" w:cs="宋体"/>
                <w:sz w:val="21"/>
                <w:szCs w:val="21"/>
              </w:rPr>
            </w:pPr>
            <w:r>
              <w:rPr>
                <w:rFonts w:hint="eastAsia" w:ascii="宋体" w:hAnsi="宋体" w:eastAsia="宋体" w:cs="宋体"/>
                <w:sz w:val="21"/>
                <w:szCs w:val="21"/>
              </w:rPr>
              <w:t>底坑10分</w:t>
            </w:r>
          </w:p>
        </w:tc>
        <w:tc>
          <w:tcPr>
            <w:tcW w:w="3423" w:type="dxa"/>
            <w:noWrap w:val="0"/>
            <w:vAlign w:val="center"/>
          </w:tcPr>
          <w:p w14:paraId="3259985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1.底坑环境：要定期清理轿厢底部砂石，灰尘及底坑积水、垃圾。</w:t>
            </w:r>
          </w:p>
        </w:tc>
        <w:tc>
          <w:tcPr>
            <w:tcW w:w="1173" w:type="dxa"/>
            <w:noWrap w:val="0"/>
            <w:vAlign w:val="center"/>
          </w:tcPr>
          <w:p w14:paraId="7D3C6CEC">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2分</w:t>
            </w:r>
          </w:p>
        </w:tc>
        <w:tc>
          <w:tcPr>
            <w:tcW w:w="2195" w:type="dxa"/>
            <w:noWrap w:val="0"/>
            <w:vAlign w:val="center"/>
          </w:tcPr>
          <w:p w14:paraId="6AAA7759">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不符合：0 分；</w:t>
            </w:r>
          </w:p>
          <w:p w14:paraId="39FC95A9">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基本符合：1 分；</w:t>
            </w:r>
          </w:p>
          <w:p w14:paraId="66F3FBA1">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符合：2 分</w:t>
            </w:r>
          </w:p>
        </w:tc>
        <w:tc>
          <w:tcPr>
            <w:tcW w:w="1168" w:type="dxa"/>
            <w:noWrap w:val="0"/>
            <w:vAlign w:val="center"/>
          </w:tcPr>
          <w:p w14:paraId="6D1A5D4E">
            <w:pPr>
              <w:pStyle w:val="23"/>
              <w:tabs>
                <w:tab w:val="left" w:pos="567"/>
              </w:tabs>
              <w:spacing w:line="360" w:lineRule="auto"/>
              <w:jc w:val="center"/>
              <w:rPr>
                <w:rFonts w:hint="eastAsia" w:ascii="宋体" w:hAnsi="宋体" w:eastAsia="宋体" w:cs="宋体"/>
                <w:sz w:val="21"/>
                <w:szCs w:val="21"/>
              </w:rPr>
            </w:pPr>
          </w:p>
        </w:tc>
      </w:tr>
      <w:tr w14:paraId="731B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continue"/>
            <w:noWrap w:val="0"/>
            <w:vAlign w:val="center"/>
          </w:tcPr>
          <w:p w14:paraId="41D37551">
            <w:pPr>
              <w:pStyle w:val="23"/>
              <w:tabs>
                <w:tab w:val="left" w:pos="567"/>
              </w:tabs>
              <w:spacing w:line="360" w:lineRule="auto"/>
              <w:jc w:val="center"/>
              <w:rPr>
                <w:rFonts w:hint="eastAsia" w:ascii="宋体" w:hAnsi="宋体" w:eastAsia="宋体" w:cs="宋体"/>
                <w:sz w:val="21"/>
                <w:szCs w:val="21"/>
              </w:rPr>
            </w:pPr>
          </w:p>
        </w:tc>
        <w:tc>
          <w:tcPr>
            <w:tcW w:w="3423" w:type="dxa"/>
            <w:noWrap w:val="0"/>
            <w:vAlign w:val="center"/>
          </w:tcPr>
          <w:p w14:paraId="1D31432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2.张紧装置的开关位置应符合标准。</w:t>
            </w:r>
          </w:p>
        </w:tc>
        <w:tc>
          <w:tcPr>
            <w:tcW w:w="1173" w:type="dxa"/>
            <w:noWrap w:val="0"/>
            <w:vAlign w:val="center"/>
          </w:tcPr>
          <w:p w14:paraId="24CF50F2">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4分</w:t>
            </w:r>
          </w:p>
        </w:tc>
        <w:tc>
          <w:tcPr>
            <w:tcW w:w="2195" w:type="dxa"/>
            <w:noWrap w:val="0"/>
            <w:vAlign w:val="center"/>
          </w:tcPr>
          <w:p w14:paraId="1C61B667">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不符合：0 分；</w:t>
            </w:r>
          </w:p>
          <w:p w14:paraId="634C6241">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基本符合：2 分；</w:t>
            </w:r>
          </w:p>
          <w:p w14:paraId="242E1B32">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符合：4 分</w:t>
            </w:r>
          </w:p>
        </w:tc>
        <w:tc>
          <w:tcPr>
            <w:tcW w:w="1168" w:type="dxa"/>
            <w:noWrap w:val="0"/>
            <w:vAlign w:val="center"/>
          </w:tcPr>
          <w:p w14:paraId="197FFAB5">
            <w:pPr>
              <w:pStyle w:val="23"/>
              <w:tabs>
                <w:tab w:val="left" w:pos="567"/>
              </w:tabs>
              <w:spacing w:line="360" w:lineRule="auto"/>
              <w:jc w:val="center"/>
              <w:rPr>
                <w:rFonts w:hint="eastAsia" w:ascii="宋体" w:hAnsi="宋体" w:eastAsia="宋体" w:cs="宋体"/>
                <w:sz w:val="21"/>
                <w:szCs w:val="21"/>
              </w:rPr>
            </w:pPr>
          </w:p>
        </w:tc>
      </w:tr>
      <w:tr w14:paraId="2907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continue"/>
            <w:noWrap w:val="0"/>
            <w:vAlign w:val="center"/>
          </w:tcPr>
          <w:p w14:paraId="0B23F155">
            <w:pPr>
              <w:pStyle w:val="23"/>
              <w:tabs>
                <w:tab w:val="left" w:pos="567"/>
              </w:tabs>
              <w:spacing w:line="360" w:lineRule="auto"/>
              <w:jc w:val="center"/>
              <w:rPr>
                <w:rFonts w:hint="eastAsia" w:ascii="宋体" w:hAnsi="宋体" w:eastAsia="宋体" w:cs="宋体"/>
                <w:sz w:val="21"/>
                <w:szCs w:val="21"/>
              </w:rPr>
            </w:pPr>
          </w:p>
        </w:tc>
        <w:tc>
          <w:tcPr>
            <w:tcW w:w="3423" w:type="dxa"/>
            <w:noWrap w:val="0"/>
            <w:vAlign w:val="center"/>
          </w:tcPr>
          <w:p w14:paraId="4421A6D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3.缓冲器开关应动作灵活。</w:t>
            </w:r>
          </w:p>
        </w:tc>
        <w:tc>
          <w:tcPr>
            <w:tcW w:w="1173" w:type="dxa"/>
            <w:noWrap w:val="0"/>
            <w:vAlign w:val="center"/>
          </w:tcPr>
          <w:p w14:paraId="50BB2206">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4分</w:t>
            </w:r>
          </w:p>
        </w:tc>
        <w:tc>
          <w:tcPr>
            <w:tcW w:w="2195" w:type="dxa"/>
            <w:noWrap w:val="0"/>
            <w:vAlign w:val="center"/>
          </w:tcPr>
          <w:p w14:paraId="085DFDBB">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不符合：0 分；</w:t>
            </w:r>
          </w:p>
          <w:p w14:paraId="1B51E6A0">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基本符合：2 分；</w:t>
            </w:r>
          </w:p>
          <w:p w14:paraId="5C2BD338">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符合：4 分</w:t>
            </w:r>
          </w:p>
        </w:tc>
        <w:tc>
          <w:tcPr>
            <w:tcW w:w="1168" w:type="dxa"/>
            <w:noWrap w:val="0"/>
            <w:vAlign w:val="center"/>
          </w:tcPr>
          <w:p w14:paraId="19066F1B">
            <w:pPr>
              <w:pStyle w:val="23"/>
              <w:tabs>
                <w:tab w:val="left" w:pos="567"/>
              </w:tabs>
              <w:spacing w:line="360" w:lineRule="auto"/>
              <w:jc w:val="center"/>
              <w:rPr>
                <w:rFonts w:hint="eastAsia" w:ascii="宋体" w:hAnsi="宋体" w:eastAsia="宋体" w:cs="宋体"/>
                <w:sz w:val="21"/>
                <w:szCs w:val="21"/>
              </w:rPr>
            </w:pPr>
          </w:p>
        </w:tc>
      </w:tr>
      <w:tr w14:paraId="29A4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restart"/>
            <w:noWrap w:val="0"/>
            <w:vAlign w:val="center"/>
          </w:tcPr>
          <w:p w14:paraId="68FED09B">
            <w:pPr>
              <w:pStyle w:val="23"/>
              <w:tabs>
                <w:tab w:val="left" w:pos="567"/>
              </w:tabs>
              <w:spacing w:line="360" w:lineRule="auto"/>
              <w:jc w:val="center"/>
              <w:rPr>
                <w:rFonts w:hint="eastAsia" w:ascii="宋体" w:hAnsi="宋体" w:eastAsia="宋体" w:cs="宋体"/>
                <w:sz w:val="21"/>
                <w:szCs w:val="21"/>
              </w:rPr>
            </w:pPr>
            <w:r>
              <w:rPr>
                <w:rFonts w:hint="eastAsia" w:ascii="宋体" w:hAnsi="宋体" w:eastAsia="宋体" w:cs="宋体"/>
                <w:sz w:val="21"/>
                <w:szCs w:val="21"/>
              </w:rPr>
              <w:t>基础管理40分</w:t>
            </w:r>
          </w:p>
        </w:tc>
        <w:tc>
          <w:tcPr>
            <w:tcW w:w="3423" w:type="dxa"/>
            <w:noWrap w:val="0"/>
            <w:vAlign w:val="center"/>
          </w:tcPr>
          <w:p w14:paraId="6D4E0DF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1.维修人员的工作态度：工作热情主动、积极、责任心强，工作效率高，工作质量优良，仪容仪表，严守工作纪律，工作作风严谨，业务技术过硬。</w:t>
            </w:r>
          </w:p>
        </w:tc>
        <w:tc>
          <w:tcPr>
            <w:tcW w:w="1173" w:type="dxa"/>
            <w:noWrap w:val="0"/>
            <w:vAlign w:val="center"/>
          </w:tcPr>
          <w:p w14:paraId="53B2EDBB">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5分</w:t>
            </w:r>
          </w:p>
        </w:tc>
        <w:tc>
          <w:tcPr>
            <w:tcW w:w="2195" w:type="dxa"/>
            <w:noWrap w:val="0"/>
            <w:vAlign w:val="center"/>
          </w:tcPr>
          <w:p w14:paraId="21ED54D1">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不符合：0 分；</w:t>
            </w:r>
          </w:p>
          <w:p w14:paraId="34CAAE51">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基本符合：3 分；</w:t>
            </w:r>
          </w:p>
          <w:p w14:paraId="37170333">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符合：5 分</w:t>
            </w:r>
          </w:p>
        </w:tc>
        <w:tc>
          <w:tcPr>
            <w:tcW w:w="1168" w:type="dxa"/>
            <w:noWrap w:val="0"/>
            <w:vAlign w:val="center"/>
          </w:tcPr>
          <w:p w14:paraId="57271576">
            <w:pPr>
              <w:pStyle w:val="23"/>
              <w:tabs>
                <w:tab w:val="left" w:pos="567"/>
              </w:tabs>
              <w:spacing w:line="360" w:lineRule="auto"/>
              <w:jc w:val="center"/>
              <w:rPr>
                <w:rFonts w:hint="eastAsia" w:ascii="宋体" w:hAnsi="宋体" w:eastAsia="宋体" w:cs="宋体"/>
                <w:sz w:val="21"/>
                <w:szCs w:val="21"/>
              </w:rPr>
            </w:pPr>
          </w:p>
        </w:tc>
      </w:tr>
      <w:tr w14:paraId="2FC2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continue"/>
            <w:noWrap w:val="0"/>
            <w:vAlign w:val="center"/>
          </w:tcPr>
          <w:p w14:paraId="48AE9915">
            <w:pPr>
              <w:pStyle w:val="23"/>
              <w:tabs>
                <w:tab w:val="left" w:pos="567"/>
              </w:tabs>
              <w:spacing w:line="360" w:lineRule="auto"/>
              <w:jc w:val="center"/>
              <w:rPr>
                <w:rFonts w:hint="eastAsia" w:ascii="宋体" w:hAnsi="宋体" w:eastAsia="宋体" w:cs="宋体"/>
                <w:sz w:val="21"/>
                <w:szCs w:val="21"/>
              </w:rPr>
            </w:pPr>
          </w:p>
        </w:tc>
        <w:tc>
          <w:tcPr>
            <w:tcW w:w="3423" w:type="dxa"/>
            <w:noWrap w:val="0"/>
            <w:vAlign w:val="center"/>
          </w:tcPr>
          <w:p w14:paraId="5F378CE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2.故障处理：（1）故障处理及时，从报修到维修人员，到达现场一般不超过 20 分钟；（2）一般故障修复不超过 1 小时。</w:t>
            </w:r>
          </w:p>
        </w:tc>
        <w:tc>
          <w:tcPr>
            <w:tcW w:w="1173" w:type="dxa"/>
            <w:noWrap w:val="0"/>
            <w:vAlign w:val="center"/>
          </w:tcPr>
          <w:p w14:paraId="46B0505F">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5分</w:t>
            </w:r>
          </w:p>
        </w:tc>
        <w:tc>
          <w:tcPr>
            <w:tcW w:w="2195" w:type="dxa"/>
            <w:noWrap w:val="0"/>
            <w:vAlign w:val="center"/>
          </w:tcPr>
          <w:p w14:paraId="25CB9499">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不符合：0 分；</w:t>
            </w:r>
          </w:p>
          <w:p w14:paraId="753ED303">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基本符合：3 分；</w:t>
            </w:r>
          </w:p>
          <w:p w14:paraId="21602B3A">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符合：5 分</w:t>
            </w:r>
          </w:p>
        </w:tc>
        <w:tc>
          <w:tcPr>
            <w:tcW w:w="1168" w:type="dxa"/>
            <w:noWrap w:val="0"/>
            <w:vAlign w:val="center"/>
          </w:tcPr>
          <w:p w14:paraId="46CA91A8">
            <w:pPr>
              <w:pStyle w:val="23"/>
              <w:tabs>
                <w:tab w:val="left" w:pos="567"/>
              </w:tabs>
              <w:spacing w:line="360" w:lineRule="auto"/>
              <w:jc w:val="center"/>
              <w:rPr>
                <w:rFonts w:hint="eastAsia" w:ascii="宋体" w:hAnsi="宋体" w:eastAsia="宋体" w:cs="宋体"/>
                <w:sz w:val="21"/>
                <w:szCs w:val="21"/>
              </w:rPr>
            </w:pPr>
          </w:p>
        </w:tc>
      </w:tr>
      <w:tr w14:paraId="5B92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continue"/>
            <w:noWrap w:val="0"/>
            <w:vAlign w:val="center"/>
          </w:tcPr>
          <w:p w14:paraId="73E70DA7">
            <w:pPr>
              <w:pStyle w:val="23"/>
              <w:tabs>
                <w:tab w:val="left" w:pos="567"/>
              </w:tabs>
              <w:spacing w:line="360" w:lineRule="auto"/>
              <w:jc w:val="center"/>
              <w:rPr>
                <w:rFonts w:hint="eastAsia" w:ascii="宋体" w:hAnsi="宋体" w:eastAsia="宋体" w:cs="宋体"/>
                <w:sz w:val="21"/>
                <w:szCs w:val="21"/>
              </w:rPr>
            </w:pPr>
          </w:p>
        </w:tc>
        <w:tc>
          <w:tcPr>
            <w:tcW w:w="3423" w:type="dxa"/>
            <w:noWrap w:val="0"/>
            <w:vAlign w:val="center"/>
          </w:tcPr>
          <w:p w14:paraId="420DBA8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Cs w:val="21"/>
              </w:rPr>
            </w:pPr>
            <w:r>
              <w:rPr>
                <w:rFonts w:hint="eastAsia" w:ascii="宋体" w:hAnsi="宋体" w:eastAsia="宋体" w:cs="宋体"/>
                <w:color w:val="000000"/>
                <w:kern w:val="0"/>
                <w:szCs w:val="21"/>
                <w:lang w:bidi="ar"/>
              </w:rPr>
              <w:t>3.工作记录：维修过程按要求详细记录。</w:t>
            </w:r>
          </w:p>
          <w:p w14:paraId="5D9CC24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Cs w:val="21"/>
                <w:lang w:bidi="ar"/>
              </w:rPr>
            </w:pPr>
          </w:p>
        </w:tc>
        <w:tc>
          <w:tcPr>
            <w:tcW w:w="1173" w:type="dxa"/>
            <w:noWrap w:val="0"/>
            <w:vAlign w:val="center"/>
          </w:tcPr>
          <w:p w14:paraId="70D1B11F">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15分</w:t>
            </w:r>
          </w:p>
        </w:tc>
        <w:tc>
          <w:tcPr>
            <w:tcW w:w="2195" w:type="dxa"/>
            <w:noWrap w:val="0"/>
            <w:vAlign w:val="center"/>
          </w:tcPr>
          <w:p w14:paraId="3B9EE318">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不符合：0 分；</w:t>
            </w:r>
          </w:p>
          <w:p w14:paraId="36E55AF5">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基本符合：10 分；</w:t>
            </w:r>
          </w:p>
          <w:p w14:paraId="0F032A78">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符合：15 分</w:t>
            </w:r>
          </w:p>
        </w:tc>
        <w:tc>
          <w:tcPr>
            <w:tcW w:w="1168" w:type="dxa"/>
            <w:noWrap w:val="0"/>
            <w:vAlign w:val="center"/>
          </w:tcPr>
          <w:p w14:paraId="5C5C08DB">
            <w:pPr>
              <w:pStyle w:val="23"/>
              <w:tabs>
                <w:tab w:val="left" w:pos="567"/>
              </w:tabs>
              <w:spacing w:line="360" w:lineRule="auto"/>
              <w:jc w:val="center"/>
              <w:rPr>
                <w:rFonts w:hint="eastAsia" w:ascii="宋体" w:hAnsi="宋体" w:eastAsia="宋体" w:cs="宋体"/>
                <w:sz w:val="21"/>
                <w:szCs w:val="21"/>
              </w:rPr>
            </w:pPr>
          </w:p>
        </w:tc>
      </w:tr>
      <w:tr w14:paraId="15BE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continue"/>
            <w:noWrap w:val="0"/>
            <w:vAlign w:val="center"/>
          </w:tcPr>
          <w:p w14:paraId="0FBB33A4">
            <w:pPr>
              <w:pStyle w:val="23"/>
              <w:tabs>
                <w:tab w:val="left" w:pos="567"/>
              </w:tabs>
              <w:spacing w:line="360" w:lineRule="auto"/>
              <w:jc w:val="center"/>
              <w:rPr>
                <w:rFonts w:hint="eastAsia" w:ascii="宋体" w:hAnsi="宋体" w:eastAsia="宋体" w:cs="宋体"/>
                <w:sz w:val="21"/>
                <w:szCs w:val="21"/>
              </w:rPr>
            </w:pPr>
          </w:p>
        </w:tc>
        <w:tc>
          <w:tcPr>
            <w:tcW w:w="3423" w:type="dxa"/>
            <w:noWrap w:val="0"/>
            <w:vAlign w:val="center"/>
          </w:tcPr>
          <w:p w14:paraId="5BD7ADE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4.工作计划与完成情况按当月工作计划进行维修保养工作。</w:t>
            </w:r>
          </w:p>
        </w:tc>
        <w:tc>
          <w:tcPr>
            <w:tcW w:w="1173" w:type="dxa"/>
            <w:noWrap w:val="0"/>
            <w:vAlign w:val="center"/>
          </w:tcPr>
          <w:p w14:paraId="7F49975A">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5分</w:t>
            </w:r>
          </w:p>
        </w:tc>
        <w:tc>
          <w:tcPr>
            <w:tcW w:w="2195" w:type="dxa"/>
            <w:noWrap w:val="0"/>
            <w:vAlign w:val="center"/>
          </w:tcPr>
          <w:p w14:paraId="6E82F7FA">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不符合：0 分；</w:t>
            </w:r>
          </w:p>
          <w:p w14:paraId="3FBC415D">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基本符合：3 分；</w:t>
            </w:r>
          </w:p>
          <w:p w14:paraId="57B1B6BD">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符合：5 分</w:t>
            </w:r>
          </w:p>
        </w:tc>
        <w:tc>
          <w:tcPr>
            <w:tcW w:w="1168" w:type="dxa"/>
            <w:noWrap w:val="0"/>
            <w:vAlign w:val="center"/>
          </w:tcPr>
          <w:p w14:paraId="2082FBD6">
            <w:pPr>
              <w:pStyle w:val="23"/>
              <w:tabs>
                <w:tab w:val="left" w:pos="567"/>
              </w:tabs>
              <w:spacing w:line="360" w:lineRule="auto"/>
              <w:jc w:val="center"/>
              <w:rPr>
                <w:rFonts w:hint="eastAsia" w:ascii="宋体" w:hAnsi="宋体" w:eastAsia="宋体" w:cs="宋体"/>
                <w:sz w:val="21"/>
                <w:szCs w:val="21"/>
              </w:rPr>
            </w:pPr>
          </w:p>
        </w:tc>
      </w:tr>
      <w:tr w14:paraId="61BA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continue"/>
            <w:noWrap w:val="0"/>
            <w:vAlign w:val="center"/>
          </w:tcPr>
          <w:p w14:paraId="522BA851">
            <w:pPr>
              <w:pStyle w:val="23"/>
              <w:tabs>
                <w:tab w:val="left" w:pos="567"/>
              </w:tabs>
              <w:spacing w:line="360" w:lineRule="auto"/>
              <w:jc w:val="center"/>
              <w:rPr>
                <w:rFonts w:hint="eastAsia" w:ascii="宋体" w:hAnsi="宋体" w:eastAsia="宋体" w:cs="宋体"/>
                <w:sz w:val="21"/>
                <w:szCs w:val="21"/>
              </w:rPr>
            </w:pPr>
          </w:p>
        </w:tc>
        <w:tc>
          <w:tcPr>
            <w:tcW w:w="3423" w:type="dxa"/>
            <w:noWrap w:val="0"/>
            <w:vAlign w:val="center"/>
          </w:tcPr>
          <w:p w14:paraId="6FC6734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5、安全情况：工作时无违反安全操作规程。</w:t>
            </w:r>
          </w:p>
        </w:tc>
        <w:tc>
          <w:tcPr>
            <w:tcW w:w="1173" w:type="dxa"/>
            <w:noWrap w:val="0"/>
            <w:vAlign w:val="center"/>
          </w:tcPr>
          <w:p w14:paraId="45F40414">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10分</w:t>
            </w:r>
          </w:p>
        </w:tc>
        <w:tc>
          <w:tcPr>
            <w:tcW w:w="2195" w:type="dxa"/>
            <w:noWrap w:val="0"/>
            <w:vAlign w:val="center"/>
          </w:tcPr>
          <w:p w14:paraId="31D4F8B3">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不符合：0 分；</w:t>
            </w:r>
          </w:p>
          <w:p w14:paraId="5F718C7C">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color w:val="000000"/>
                <w:kern w:val="0"/>
                <w:szCs w:val="21"/>
                <w:lang w:bidi="ar"/>
              </w:rPr>
              <w:t>基本符合：5 分；</w:t>
            </w:r>
          </w:p>
          <w:p w14:paraId="0BC052A7">
            <w:pPr>
              <w:pStyle w:val="23"/>
              <w:keepNext w:val="0"/>
              <w:keepLines w:val="0"/>
              <w:pageBreakBefore w:val="0"/>
              <w:tabs>
                <w:tab w:val="left" w:pos="567"/>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符合：10 分</w:t>
            </w:r>
          </w:p>
        </w:tc>
        <w:tc>
          <w:tcPr>
            <w:tcW w:w="1168" w:type="dxa"/>
            <w:noWrap w:val="0"/>
            <w:vAlign w:val="center"/>
          </w:tcPr>
          <w:p w14:paraId="7026D9BD">
            <w:pPr>
              <w:pStyle w:val="23"/>
              <w:tabs>
                <w:tab w:val="left" w:pos="567"/>
              </w:tabs>
              <w:spacing w:line="360" w:lineRule="auto"/>
              <w:jc w:val="center"/>
              <w:rPr>
                <w:rFonts w:hint="eastAsia" w:ascii="宋体" w:hAnsi="宋体" w:eastAsia="宋体" w:cs="宋体"/>
                <w:sz w:val="21"/>
                <w:szCs w:val="21"/>
              </w:rPr>
            </w:pPr>
          </w:p>
        </w:tc>
      </w:tr>
      <w:tr w14:paraId="22F7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407" w:type="dxa"/>
            <w:gridSpan w:val="5"/>
            <w:noWrap w:val="0"/>
            <w:vAlign w:val="center"/>
          </w:tcPr>
          <w:p w14:paraId="55EFE3DB">
            <w:pPr>
              <w:pStyle w:val="23"/>
              <w:tabs>
                <w:tab w:val="left" w:pos="567"/>
              </w:tabs>
              <w:spacing w:line="240" w:lineRule="auto"/>
              <w:jc w:val="left"/>
              <w:rPr>
                <w:rFonts w:hint="eastAsia" w:ascii="宋体" w:hAnsi="宋体" w:eastAsia="宋体" w:cs="宋体"/>
                <w:sz w:val="21"/>
                <w:szCs w:val="21"/>
              </w:rPr>
            </w:pPr>
            <w:r>
              <w:rPr>
                <w:rFonts w:hint="eastAsia" w:ascii="宋体" w:hAnsi="宋体" w:eastAsia="宋体" w:cs="宋体"/>
                <w:sz w:val="21"/>
                <w:szCs w:val="21"/>
              </w:rPr>
              <w:t>总分：</w:t>
            </w:r>
          </w:p>
        </w:tc>
      </w:tr>
      <w:tr w14:paraId="2039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9407" w:type="dxa"/>
            <w:gridSpan w:val="5"/>
            <w:noWrap w:val="0"/>
            <w:vAlign w:val="center"/>
          </w:tcPr>
          <w:p w14:paraId="060CC1E1">
            <w:pPr>
              <w:pStyle w:val="23"/>
              <w:tabs>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考核部门</w:t>
            </w:r>
            <w:r>
              <w:rPr>
                <w:rFonts w:hint="eastAsia" w:ascii="宋体" w:hAnsi="宋体" w:eastAsia="宋体" w:cs="宋体"/>
                <w:sz w:val="21"/>
                <w:szCs w:val="21"/>
              </w:rPr>
              <w:t>：                                                    日期：</w:t>
            </w:r>
          </w:p>
          <w:p w14:paraId="039A21B2">
            <w:pPr>
              <w:pStyle w:val="23"/>
              <w:tabs>
                <w:tab w:val="left" w:pos="567"/>
              </w:tabs>
              <w:spacing w:line="360" w:lineRule="auto"/>
              <w:jc w:val="left"/>
              <w:rPr>
                <w:rFonts w:hint="eastAsia" w:ascii="宋体" w:hAnsi="宋体" w:eastAsia="宋体" w:cs="宋体"/>
                <w:sz w:val="21"/>
                <w:szCs w:val="21"/>
              </w:rPr>
            </w:pPr>
          </w:p>
          <w:p w14:paraId="4F5D1665">
            <w:pPr>
              <w:pStyle w:val="23"/>
              <w:tabs>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维保负责人（单位）：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日期：</w:t>
            </w:r>
          </w:p>
        </w:tc>
      </w:tr>
    </w:tbl>
    <w:p w14:paraId="30598E5B">
      <w:pPr>
        <w:pStyle w:val="23"/>
        <w:tabs>
          <w:tab w:val="left" w:pos="567"/>
        </w:tabs>
        <w:spacing w:line="360" w:lineRule="auto"/>
        <w:rPr>
          <w:rFonts w:hint="eastAsia" w:cs="宋体"/>
          <w:sz w:val="21"/>
          <w:szCs w:val="21"/>
        </w:rPr>
        <w:sectPr>
          <w:headerReference r:id="rId8" w:type="default"/>
          <w:footerReference r:id="rId9" w:type="default"/>
          <w:pgSz w:w="11910" w:h="16845"/>
          <w:pgMar w:top="1417" w:right="1322" w:bottom="1417" w:left="1397" w:header="685" w:footer="676" w:gutter="0"/>
          <w:pgNumType w:fmt="decimal" w:start="1"/>
          <w:cols w:space="720" w:num="1"/>
        </w:sectPr>
      </w:pPr>
      <w:r>
        <w:rPr>
          <w:rFonts w:hint="eastAsia" w:ascii="宋体" w:hAnsi="宋体" w:eastAsia="宋体" w:cs="宋体"/>
          <w:sz w:val="21"/>
          <w:szCs w:val="21"/>
        </w:rPr>
        <w:t>备注：80分及以上为合格，年度平均综合考核得分80分及以上方可续签下一年度合同。</w:t>
      </w:r>
    </w:p>
    <w:p w14:paraId="3114BA1B">
      <w:pPr>
        <w:pStyle w:val="2"/>
        <w:tabs>
          <w:tab w:val="clear" w:pos="1440"/>
          <w:tab w:val="clear" w:pos="5670"/>
        </w:tabs>
        <w:spacing w:beforeLines="0" w:afterLines="0"/>
        <w:ind w:firstLine="0" w:firstLineChars="0"/>
        <w:jc w:val="center"/>
        <w:rPr>
          <w:rFonts w:hint="eastAsia" w:ascii="Arial" w:hAnsi="Arial"/>
          <w:color w:val="000000" w:themeColor="text1"/>
          <w:kern w:val="2"/>
          <w:sz w:val="32"/>
          <w:szCs w:val="32"/>
          <w:highlight w:val="none"/>
          <w:lang w:eastAsia="zh-CN"/>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第四章</w:t>
      </w:r>
      <w:bookmarkStart w:id="56" w:name="_Toc10479"/>
      <w:bookmarkStart w:id="57" w:name="_Toc476584431"/>
      <w:r>
        <w:rPr>
          <w:rFonts w:hint="eastAsia" w:ascii="Arial" w:hAnsi="Arial"/>
          <w:color w:val="000000" w:themeColor="text1"/>
          <w:kern w:val="2"/>
          <w:sz w:val="32"/>
          <w:szCs w:val="32"/>
          <w:highlight w:val="none"/>
          <w14:textFill>
            <w14:solidFill>
              <w14:schemeClr w14:val="tx1"/>
            </w14:solidFill>
          </w14:textFill>
        </w:rPr>
        <w:t xml:space="preserve"> 合同主要条款</w:t>
      </w:r>
      <w:bookmarkEnd w:id="53"/>
      <w:bookmarkEnd w:id="54"/>
      <w:bookmarkEnd w:id="55"/>
      <w:bookmarkEnd w:id="56"/>
      <w:bookmarkEnd w:id="57"/>
    </w:p>
    <w:p w14:paraId="3F34A9EB">
      <w:pPr>
        <w:rPr>
          <w:rFonts w:hint="eastAsia"/>
          <w:lang w:eastAsia="zh-CN"/>
        </w:rPr>
      </w:pPr>
    </w:p>
    <w:p w14:paraId="5D8E6D9A">
      <w:pPr>
        <w:tabs>
          <w:tab w:val="left" w:pos="3640"/>
        </w:tabs>
        <w:autoSpaceDE w:val="0"/>
        <w:autoSpaceDN w:val="0"/>
        <w:spacing w:line="360" w:lineRule="auto"/>
        <w:rPr>
          <w:rFonts w:ascii="宋体" w:hAnsi="Times New Roman" w:eastAsia="宋体" w:cs="宋体"/>
          <w:color w:val="36363D"/>
          <w:szCs w:val="21"/>
          <w:highlight w:val="none"/>
          <w:u w:val="single"/>
        </w:rPr>
      </w:pPr>
      <w:bookmarkStart w:id="58" w:name="_Toc8981"/>
      <w:bookmarkStart w:id="59" w:name="_Toc25399"/>
      <w:bookmarkStart w:id="60" w:name="_Toc439316880"/>
      <w:bookmarkStart w:id="61" w:name="_Toc54941341"/>
      <w:r>
        <w:rPr>
          <w:rFonts w:hint="eastAsia" w:ascii="宋体" w:hAnsi="宋体" w:eastAsia="宋体" w:cs="宋体"/>
          <w:color w:val="36363D"/>
          <w:szCs w:val="21"/>
          <w:highlight w:val="none"/>
        </w:rPr>
        <w:t>买方（</w:t>
      </w:r>
      <w:r>
        <w:rPr>
          <w:rFonts w:hint="eastAsia" w:ascii="宋体" w:hAnsi="宋体" w:cs="宋体"/>
          <w:color w:val="36363D"/>
          <w:szCs w:val="21"/>
          <w:highlight w:val="none"/>
          <w:lang w:val="en-US" w:eastAsia="zh-CN"/>
        </w:rPr>
        <w:t>采购</w:t>
      </w:r>
      <w:r>
        <w:rPr>
          <w:rFonts w:hint="eastAsia" w:ascii="宋体" w:hAnsi="宋体" w:eastAsia="宋体" w:cs="宋体"/>
          <w:color w:val="36363D"/>
          <w:szCs w:val="21"/>
          <w:highlight w:val="none"/>
          <w:lang w:eastAsia="zh-CN"/>
        </w:rPr>
        <w:t>人</w:t>
      </w:r>
      <w:r>
        <w:rPr>
          <w:rFonts w:hint="eastAsia" w:ascii="宋体" w:hAnsi="宋体" w:eastAsia="宋体" w:cs="宋体"/>
          <w:color w:val="36363D"/>
          <w:szCs w:val="21"/>
          <w:highlight w:val="none"/>
        </w:rPr>
        <w:t>）：</w:t>
      </w:r>
      <w:r>
        <w:rPr>
          <w:rFonts w:ascii="宋体" w:hAnsi="宋体" w:eastAsia="宋体" w:cs="宋体"/>
          <w:color w:val="36363D"/>
          <w:szCs w:val="21"/>
          <w:highlight w:val="none"/>
          <w:u w:val="single"/>
        </w:rPr>
        <w:t xml:space="preserve">                           </w:t>
      </w:r>
    </w:p>
    <w:p w14:paraId="5B01FB05">
      <w:pPr>
        <w:tabs>
          <w:tab w:val="left" w:pos="3640"/>
        </w:tabs>
        <w:autoSpaceDE w:val="0"/>
        <w:autoSpaceDN w:val="0"/>
        <w:spacing w:line="360" w:lineRule="auto"/>
        <w:rPr>
          <w:rFonts w:ascii="宋体" w:hAnsi="Times New Roman" w:eastAsia="宋体" w:cs="宋体"/>
          <w:color w:val="36363D"/>
          <w:szCs w:val="21"/>
          <w:highlight w:val="none"/>
          <w:u w:val="single"/>
        </w:rPr>
      </w:pPr>
      <w:r>
        <w:rPr>
          <w:rFonts w:hint="eastAsia" w:ascii="宋体" w:hAnsi="宋体" w:eastAsia="宋体" w:cs="宋体"/>
          <w:color w:val="36363D"/>
          <w:szCs w:val="21"/>
          <w:highlight w:val="none"/>
        </w:rPr>
        <w:t>卖方（</w:t>
      </w:r>
      <w:r>
        <w:rPr>
          <w:rFonts w:hint="eastAsia" w:ascii="宋体" w:hAnsi="宋体" w:eastAsia="宋体" w:cs="宋体"/>
          <w:color w:val="36363D"/>
          <w:szCs w:val="21"/>
          <w:highlight w:val="none"/>
          <w:lang w:eastAsia="zh-CN"/>
        </w:rPr>
        <w:t>参选人</w:t>
      </w:r>
      <w:r>
        <w:rPr>
          <w:rFonts w:hint="eastAsia" w:ascii="宋体" w:hAnsi="宋体" w:eastAsia="宋体" w:cs="宋体"/>
          <w:color w:val="36363D"/>
          <w:szCs w:val="21"/>
          <w:highlight w:val="none"/>
        </w:rPr>
        <w:t>）：</w:t>
      </w:r>
      <w:r>
        <w:rPr>
          <w:rFonts w:ascii="宋体" w:hAnsi="宋体" w:eastAsia="宋体" w:cs="宋体"/>
          <w:color w:val="36363D"/>
          <w:szCs w:val="21"/>
          <w:highlight w:val="none"/>
          <w:u w:val="single"/>
        </w:rPr>
        <w:t xml:space="preserve">                           </w:t>
      </w:r>
    </w:p>
    <w:p w14:paraId="72BED877">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r>
        <w:rPr>
          <w:rFonts w:hint="eastAsia" w:ascii="宋体" w:hAnsi="宋体" w:eastAsia="宋体" w:cs="宋体"/>
          <w:color w:val="36363D"/>
          <w:szCs w:val="21"/>
          <w:highlight w:val="none"/>
        </w:rPr>
        <w:t>根据《中华人民共和国民法典》及</w:t>
      </w:r>
      <w:r>
        <w:rPr>
          <w:rFonts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lang w:eastAsia="zh-CN"/>
        </w:rPr>
        <w:t>比选</w:t>
      </w:r>
      <w:r>
        <w:rPr>
          <w:rFonts w:hint="eastAsia" w:ascii="宋体" w:hAnsi="宋体" w:eastAsia="宋体" w:cs="宋体"/>
          <w:color w:val="36363D"/>
          <w:szCs w:val="21"/>
          <w:highlight w:val="none"/>
        </w:rPr>
        <w:t>文件，买、卖双方经协商一致，签订如下合同条款，并共同遵守。</w:t>
      </w:r>
    </w:p>
    <w:p w14:paraId="3B653179">
      <w:pPr>
        <w:numPr>
          <w:ilvl w:val="0"/>
          <w:numId w:val="0"/>
        </w:numPr>
        <w:tabs>
          <w:tab w:val="left" w:pos="3335"/>
          <w:tab w:val="left" w:pos="3640"/>
        </w:tabs>
        <w:autoSpaceDE w:val="0"/>
        <w:autoSpaceDN w:val="0"/>
        <w:spacing w:line="360" w:lineRule="auto"/>
        <w:ind w:firstLine="422" w:firstLineChars="200"/>
        <w:rPr>
          <w:rFonts w:ascii="宋体" w:hAnsi="Times New Roman" w:eastAsia="宋体" w:cs="宋体"/>
          <w:b/>
          <w:color w:val="36363D"/>
          <w:spacing w:val="8"/>
          <w:szCs w:val="21"/>
          <w:highlight w:val="none"/>
        </w:rPr>
      </w:pPr>
      <w:r>
        <w:rPr>
          <w:rFonts w:hint="eastAsia" w:ascii="宋体" w:hAnsi="宋体" w:eastAsia="宋体" w:cs="宋体"/>
          <w:b/>
          <w:color w:val="36363D"/>
          <w:szCs w:val="21"/>
          <w:highlight w:val="none"/>
          <w:lang w:val="en-US" w:eastAsia="zh-CN"/>
        </w:rPr>
        <w:t>一、</w:t>
      </w:r>
      <w:r>
        <w:rPr>
          <w:rFonts w:hint="eastAsia" w:ascii="宋体" w:hAnsi="宋体" w:eastAsia="宋体" w:cs="宋体"/>
          <w:b/>
          <w:color w:val="36363D"/>
          <w:szCs w:val="21"/>
          <w:highlight w:val="none"/>
        </w:rPr>
        <w:t>服务内容</w:t>
      </w:r>
    </w:p>
    <w:p w14:paraId="5E2A7E19">
      <w:pPr>
        <w:tabs>
          <w:tab w:val="left" w:pos="3640"/>
        </w:tabs>
        <w:autoSpaceDE w:val="0"/>
        <w:autoSpaceDN w:val="0"/>
        <w:spacing w:line="360" w:lineRule="auto"/>
        <w:ind w:left="422"/>
        <w:rPr>
          <w:rFonts w:ascii="宋体" w:hAnsi="Times New Roman" w:eastAsia="宋体" w:cs="宋体"/>
          <w:b/>
          <w:color w:val="36363D"/>
          <w:spacing w:val="8"/>
          <w:szCs w:val="21"/>
          <w:highlight w:val="none"/>
        </w:rPr>
      </w:pPr>
      <w:r>
        <w:rPr>
          <w:rFonts w:hint="eastAsia" w:ascii="宋体" w:hAnsi="宋体" w:eastAsia="宋体" w:cs="宋体"/>
          <w:b/>
          <w:color w:val="36363D"/>
          <w:szCs w:val="21"/>
          <w:highlight w:val="none"/>
        </w:rPr>
        <w:t>服务内容：</w:t>
      </w:r>
    </w:p>
    <w:p w14:paraId="1672F58A">
      <w:pPr>
        <w:tabs>
          <w:tab w:val="left" w:pos="3640"/>
        </w:tabs>
        <w:autoSpaceDE w:val="0"/>
        <w:autoSpaceDN w:val="0"/>
        <w:spacing w:line="360" w:lineRule="auto"/>
        <w:ind w:left="422"/>
        <w:rPr>
          <w:rFonts w:ascii="宋体" w:hAnsi="Times New Roman" w:eastAsia="宋体" w:cs="宋体"/>
          <w:b/>
          <w:color w:val="36363D"/>
          <w:spacing w:val="8"/>
          <w:szCs w:val="21"/>
          <w:highlight w:val="none"/>
        </w:rPr>
      </w:pPr>
      <w:r>
        <w:rPr>
          <w:rFonts w:hint="eastAsia" w:ascii="宋体" w:hAnsi="宋体" w:eastAsia="宋体" w:cs="宋体"/>
          <w:b/>
          <w:color w:val="36363D"/>
          <w:szCs w:val="21"/>
          <w:highlight w:val="none"/>
        </w:rPr>
        <w:t>合同金额：</w:t>
      </w:r>
    </w:p>
    <w:p w14:paraId="0C5DAB40">
      <w:pPr>
        <w:tabs>
          <w:tab w:val="left" w:pos="3640"/>
        </w:tabs>
        <w:autoSpaceDE w:val="0"/>
        <w:autoSpaceDN w:val="0"/>
        <w:spacing w:line="360" w:lineRule="auto"/>
        <w:ind w:firstLine="422" w:firstLineChars="200"/>
        <w:rPr>
          <w:rFonts w:ascii="宋体" w:hAnsi="Times New Roman" w:eastAsia="宋体" w:cs="宋体"/>
          <w:color w:val="36363D"/>
          <w:szCs w:val="21"/>
          <w:highlight w:val="none"/>
        </w:rPr>
      </w:pPr>
      <w:r>
        <w:rPr>
          <w:rFonts w:hint="eastAsia" w:ascii="宋体" w:hAnsi="宋体" w:eastAsia="宋体" w:cs="宋体"/>
          <w:b/>
          <w:color w:val="36363D"/>
          <w:szCs w:val="21"/>
          <w:highlight w:val="none"/>
        </w:rPr>
        <w:t>二、服务期：</w:t>
      </w:r>
    </w:p>
    <w:p w14:paraId="37BA6756">
      <w:pPr>
        <w:tabs>
          <w:tab w:val="left" w:pos="3640"/>
        </w:tabs>
        <w:autoSpaceDE w:val="0"/>
        <w:autoSpaceDN w:val="0"/>
        <w:spacing w:line="360" w:lineRule="auto"/>
        <w:ind w:firstLine="422" w:firstLineChars="200"/>
        <w:rPr>
          <w:rFonts w:ascii="宋体" w:hAnsi="Times New Roman" w:eastAsia="宋体" w:cs="宋体"/>
          <w:b/>
          <w:bCs/>
          <w:color w:val="36363D"/>
          <w:szCs w:val="21"/>
          <w:highlight w:val="none"/>
        </w:rPr>
      </w:pPr>
      <w:r>
        <w:rPr>
          <w:rFonts w:hint="eastAsia" w:ascii="宋体" w:hAnsi="宋体" w:eastAsia="宋体" w:cs="宋体"/>
          <w:b/>
          <w:bCs/>
          <w:color w:val="36363D"/>
          <w:szCs w:val="21"/>
          <w:highlight w:val="none"/>
        </w:rPr>
        <w:t>三、服务人员配备：</w:t>
      </w:r>
    </w:p>
    <w:p w14:paraId="0275D723">
      <w:pPr>
        <w:tabs>
          <w:tab w:val="left" w:pos="3640"/>
        </w:tabs>
        <w:autoSpaceDE w:val="0"/>
        <w:autoSpaceDN w:val="0"/>
        <w:spacing w:line="360" w:lineRule="auto"/>
        <w:ind w:firstLine="422" w:firstLineChars="200"/>
        <w:rPr>
          <w:rFonts w:ascii="宋体" w:hAnsi="Times New Roman" w:eastAsia="宋体" w:cs="宋体"/>
          <w:b/>
          <w:color w:val="36363D"/>
          <w:szCs w:val="21"/>
          <w:highlight w:val="none"/>
        </w:rPr>
      </w:pPr>
      <w:r>
        <w:rPr>
          <w:rFonts w:hint="eastAsia" w:ascii="宋体" w:hAnsi="宋体" w:eastAsia="宋体" w:cs="宋体"/>
          <w:b/>
          <w:color w:val="36363D"/>
          <w:szCs w:val="21"/>
          <w:highlight w:val="none"/>
        </w:rPr>
        <w:t>四、服务地点：</w:t>
      </w:r>
    </w:p>
    <w:p w14:paraId="00A4595A">
      <w:pPr>
        <w:tabs>
          <w:tab w:val="left" w:pos="3640"/>
        </w:tabs>
        <w:autoSpaceDE w:val="0"/>
        <w:autoSpaceDN w:val="0"/>
        <w:spacing w:line="360" w:lineRule="auto"/>
        <w:ind w:firstLine="422" w:firstLineChars="200"/>
        <w:rPr>
          <w:rFonts w:ascii="宋体" w:hAnsi="Times New Roman" w:eastAsia="宋体" w:cs="宋体"/>
          <w:b/>
          <w:color w:val="36363D"/>
          <w:szCs w:val="20"/>
          <w:highlight w:val="none"/>
        </w:rPr>
      </w:pPr>
      <w:r>
        <w:rPr>
          <w:rFonts w:hint="eastAsia" w:ascii="宋体" w:hAnsi="宋体" w:eastAsia="宋体" w:cs="宋体"/>
          <w:b/>
          <w:color w:val="36363D"/>
          <w:szCs w:val="21"/>
          <w:highlight w:val="none"/>
        </w:rPr>
        <w:t>五、</w:t>
      </w:r>
      <w:r>
        <w:rPr>
          <w:rFonts w:hint="eastAsia" w:ascii="宋体" w:hAnsi="宋体" w:eastAsia="宋体" w:cs="宋体"/>
          <w:b/>
          <w:color w:val="36363D"/>
          <w:szCs w:val="20"/>
          <w:highlight w:val="none"/>
        </w:rPr>
        <w:t>验收：</w:t>
      </w:r>
    </w:p>
    <w:p w14:paraId="5DA27D0E">
      <w:pPr>
        <w:spacing w:line="360" w:lineRule="auto"/>
        <w:ind w:firstLine="422" w:firstLineChars="200"/>
        <w:rPr>
          <w:rFonts w:ascii="宋体" w:hAnsi="宋体" w:eastAsia="宋体" w:cs="宋体"/>
          <w:b/>
          <w:color w:val="36363D"/>
          <w:szCs w:val="21"/>
          <w:highlight w:val="none"/>
        </w:rPr>
      </w:pPr>
      <w:r>
        <w:rPr>
          <w:rFonts w:hint="eastAsia" w:ascii="宋体" w:hAnsi="宋体" w:eastAsia="宋体" w:cs="宋体"/>
          <w:b/>
          <w:color w:val="36363D"/>
          <w:szCs w:val="21"/>
          <w:highlight w:val="none"/>
        </w:rPr>
        <w:t>六、付款方式：</w:t>
      </w:r>
    </w:p>
    <w:p w14:paraId="62795C2D">
      <w:pPr>
        <w:spacing w:line="360" w:lineRule="auto"/>
        <w:ind w:firstLine="422" w:firstLineChars="200"/>
        <w:rPr>
          <w:rFonts w:ascii="宋体" w:hAnsi="宋体" w:eastAsia="宋体" w:cs="宋体"/>
          <w:b/>
          <w:color w:val="36363D"/>
          <w:szCs w:val="21"/>
          <w:highlight w:val="none"/>
        </w:rPr>
      </w:pPr>
      <w:r>
        <w:rPr>
          <w:rFonts w:hint="eastAsia" w:ascii="宋体" w:hAnsi="宋体" w:eastAsia="宋体" w:cs="宋体"/>
          <w:b/>
          <w:color w:val="36363D"/>
          <w:szCs w:val="21"/>
          <w:highlight w:val="none"/>
        </w:rPr>
        <w:t>七、履约保证金退还：</w:t>
      </w:r>
    </w:p>
    <w:p w14:paraId="22902030">
      <w:pPr>
        <w:spacing w:line="360" w:lineRule="auto"/>
        <w:ind w:firstLine="422" w:firstLineChars="200"/>
        <w:rPr>
          <w:rFonts w:ascii="宋体" w:hAnsi="Times New Roman" w:eastAsia="宋体" w:cs="宋体"/>
          <w:b/>
          <w:color w:val="36363D"/>
          <w:szCs w:val="21"/>
          <w:highlight w:val="none"/>
        </w:rPr>
      </w:pPr>
      <w:r>
        <w:rPr>
          <w:rFonts w:hint="eastAsia" w:ascii="宋体" w:hAnsi="宋体" w:eastAsia="宋体" w:cs="宋体"/>
          <w:b/>
          <w:color w:val="36363D"/>
          <w:szCs w:val="21"/>
          <w:highlight w:val="none"/>
        </w:rPr>
        <w:t>八、违约责任</w:t>
      </w:r>
    </w:p>
    <w:p w14:paraId="492A3EA1">
      <w:pPr>
        <w:tabs>
          <w:tab w:val="left" w:pos="3640"/>
        </w:tabs>
        <w:autoSpaceDE w:val="0"/>
        <w:autoSpaceDN w:val="0"/>
        <w:spacing w:line="360" w:lineRule="auto"/>
        <w:ind w:firstLine="452" w:firstLineChars="200"/>
        <w:rPr>
          <w:rFonts w:ascii="宋体" w:hAnsi="Times New Roman" w:eastAsia="宋体" w:cs="宋体"/>
          <w:b/>
          <w:color w:val="36363D"/>
          <w:szCs w:val="21"/>
          <w:highlight w:val="none"/>
        </w:rPr>
      </w:pPr>
      <w:r>
        <w:rPr>
          <w:rFonts w:ascii="宋体" w:hAnsi="宋体" w:eastAsia="宋体" w:cs="宋体"/>
          <w:color w:val="36363D"/>
          <w:spacing w:val="8"/>
          <w:szCs w:val="21"/>
          <w:highlight w:val="none"/>
        </w:rPr>
        <w:t>1</w:t>
      </w:r>
      <w:r>
        <w:rPr>
          <w:rFonts w:hint="eastAsia" w:ascii="宋体" w:hAnsi="宋体" w:eastAsia="宋体" w:cs="宋体"/>
          <w:color w:val="36363D"/>
          <w:spacing w:val="8"/>
          <w:szCs w:val="21"/>
          <w:highlight w:val="none"/>
        </w:rPr>
        <w:t>、买方</w:t>
      </w:r>
      <w:r>
        <w:rPr>
          <w:rFonts w:hint="eastAsia" w:ascii="宋体" w:hAnsi="宋体" w:eastAsia="宋体" w:cs="宋体"/>
          <w:color w:val="36363D"/>
          <w:szCs w:val="21"/>
          <w:highlight w:val="none"/>
        </w:rPr>
        <w:t>（</w:t>
      </w:r>
      <w:r>
        <w:rPr>
          <w:rFonts w:hint="eastAsia" w:ascii="宋体" w:hAnsi="宋体" w:cs="宋体"/>
          <w:color w:val="36363D"/>
          <w:szCs w:val="21"/>
          <w:highlight w:val="none"/>
          <w:lang w:eastAsia="zh-CN"/>
        </w:rPr>
        <w:t>采购人</w:t>
      </w:r>
      <w:r>
        <w:rPr>
          <w:rFonts w:hint="eastAsia" w:ascii="宋体" w:hAnsi="宋体" w:eastAsia="宋体" w:cs="宋体"/>
          <w:color w:val="36363D"/>
          <w:szCs w:val="21"/>
          <w:highlight w:val="none"/>
        </w:rPr>
        <w:t>）</w:t>
      </w:r>
      <w:r>
        <w:rPr>
          <w:rFonts w:hint="eastAsia" w:ascii="宋体" w:hAnsi="宋体" w:eastAsia="宋体" w:cs="宋体"/>
          <w:color w:val="36363D"/>
          <w:spacing w:val="8"/>
          <w:szCs w:val="21"/>
          <w:highlight w:val="none"/>
        </w:rPr>
        <w:t>无正当理由拒绝接受服务，买方向卖方偿付合同价的</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rPr>
        <w:t>％的违约金；</w:t>
      </w:r>
    </w:p>
    <w:p w14:paraId="42178B79">
      <w:pPr>
        <w:tabs>
          <w:tab w:val="left" w:pos="3640"/>
        </w:tabs>
        <w:autoSpaceDE w:val="0"/>
        <w:autoSpaceDN w:val="0"/>
        <w:spacing w:line="360" w:lineRule="auto"/>
        <w:ind w:firstLine="452" w:firstLineChars="200"/>
        <w:rPr>
          <w:rFonts w:ascii="宋体" w:hAnsi="Times New Roman" w:eastAsia="宋体" w:cs="宋体"/>
          <w:b/>
          <w:color w:val="36363D"/>
          <w:szCs w:val="21"/>
          <w:highlight w:val="none"/>
        </w:rPr>
      </w:pPr>
      <w:r>
        <w:rPr>
          <w:rFonts w:ascii="宋体" w:hAnsi="宋体" w:eastAsia="宋体" w:cs="宋体"/>
          <w:color w:val="36363D"/>
          <w:spacing w:val="8"/>
          <w:szCs w:val="21"/>
          <w:highlight w:val="none"/>
        </w:rPr>
        <w:t>2</w:t>
      </w:r>
      <w:r>
        <w:rPr>
          <w:rFonts w:hint="eastAsia" w:ascii="宋体" w:hAnsi="宋体" w:eastAsia="宋体" w:cs="宋体"/>
          <w:color w:val="36363D"/>
          <w:spacing w:val="8"/>
          <w:szCs w:val="21"/>
          <w:highlight w:val="none"/>
        </w:rPr>
        <w:t>、买方</w:t>
      </w:r>
      <w:r>
        <w:rPr>
          <w:rFonts w:hint="eastAsia" w:ascii="宋体" w:hAnsi="宋体" w:eastAsia="宋体" w:cs="宋体"/>
          <w:color w:val="36363D"/>
          <w:szCs w:val="21"/>
          <w:highlight w:val="none"/>
        </w:rPr>
        <w:t>（</w:t>
      </w:r>
      <w:r>
        <w:rPr>
          <w:rFonts w:hint="eastAsia" w:ascii="宋体" w:hAnsi="宋体" w:cs="宋体"/>
          <w:color w:val="36363D"/>
          <w:szCs w:val="21"/>
          <w:highlight w:val="none"/>
          <w:lang w:eastAsia="zh-CN"/>
        </w:rPr>
        <w:t>采购人</w:t>
      </w:r>
      <w:r>
        <w:rPr>
          <w:rFonts w:hint="eastAsia" w:ascii="宋体" w:hAnsi="宋体" w:eastAsia="宋体" w:cs="宋体"/>
          <w:color w:val="36363D"/>
          <w:szCs w:val="21"/>
          <w:highlight w:val="none"/>
        </w:rPr>
        <w:t>）</w:t>
      </w:r>
      <w:r>
        <w:rPr>
          <w:rFonts w:hint="eastAsia" w:ascii="宋体" w:hAnsi="宋体" w:eastAsia="宋体" w:cs="宋体"/>
          <w:color w:val="36363D"/>
          <w:spacing w:val="8"/>
          <w:szCs w:val="21"/>
          <w:highlight w:val="none"/>
        </w:rPr>
        <w:t>无正当理由逾期付款的，买方向卖方每日偿付合同价的</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rPr>
        <w:t>‰的违约金；</w:t>
      </w:r>
    </w:p>
    <w:p w14:paraId="5052E0EA">
      <w:pPr>
        <w:tabs>
          <w:tab w:val="left" w:pos="3640"/>
        </w:tabs>
        <w:autoSpaceDE w:val="0"/>
        <w:autoSpaceDN w:val="0"/>
        <w:spacing w:line="360" w:lineRule="auto"/>
        <w:ind w:firstLine="452" w:firstLineChars="200"/>
        <w:rPr>
          <w:rFonts w:ascii="宋体" w:hAnsi="Times New Roman" w:eastAsia="宋体" w:cs="宋体"/>
          <w:b/>
          <w:color w:val="36363D"/>
          <w:szCs w:val="21"/>
          <w:highlight w:val="none"/>
        </w:rPr>
      </w:pPr>
      <w:r>
        <w:rPr>
          <w:rFonts w:ascii="宋体" w:hAnsi="宋体" w:eastAsia="宋体" w:cs="宋体"/>
          <w:color w:val="36363D"/>
          <w:spacing w:val="8"/>
          <w:szCs w:val="21"/>
          <w:highlight w:val="none"/>
        </w:rPr>
        <w:t>3</w:t>
      </w:r>
      <w:r>
        <w:rPr>
          <w:rFonts w:hint="eastAsia" w:ascii="宋体" w:hAnsi="宋体" w:eastAsia="宋体" w:cs="宋体"/>
          <w:color w:val="36363D"/>
          <w:spacing w:val="8"/>
          <w:szCs w:val="21"/>
          <w:highlight w:val="none"/>
        </w:rPr>
        <w:t>、卖方</w:t>
      </w:r>
      <w:r>
        <w:rPr>
          <w:rFonts w:hint="eastAsia" w:ascii="宋体" w:hAnsi="宋体" w:eastAsia="宋体" w:cs="宋体"/>
          <w:color w:val="36363D"/>
          <w:szCs w:val="21"/>
          <w:highlight w:val="none"/>
        </w:rPr>
        <w:t>（</w:t>
      </w:r>
      <w:r>
        <w:rPr>
          <w:rFonts w:hint="eastAsia" w:ascii="宋体" w:hAnsi="宋体" w:eastAsia="宋体" w:cs="宋体"/>
          <w:color w:val="36363D"/>
          <w:szCs w:val="21"/>
          <w:highlight w:val="none"/>
          <w:lang w:eastAsia="zh-CN"/>
        </w:rPr>
        <w:t>参选人</w:t>
      </w:r>
      <w:r>
        <w:rPr>
          <w:rFonts w:hint="eastAsia" w:ascii="宋体" w:hAnsi="宋体" w:eastAsia="宋体" w:cs="宋体"/>
          <w:color w:val="36363D"/>
          <w:szCs w:val="21"/>
          <w:highlight w:val="none"/>
        </w:rPr>
        <w:t>）</w:t>
      </w:r>
      <w:r>
        <w:rPr>
          <w:rFonts w:hint="eastAsia" w:ascii="宋体" w:hAnsi="宋体" w:eastAsia="宋体" w:cs="宋体"/>
          <w:color w:val="36363D"/>
          <w:spacing w:val="8"/>
          <w:szCs w:val="21"/>
          <w:highlight w:val="none"/>
        </w:rPr>
        <w:t>不能提供服务的，卖方向买方支付合同价的</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rPr>
        <w:t>％的违约金；</w:t>
      </w:r>
    </w:p>
    <w:p w14:paraId="2382DB8E">
      <w:pPr>
        <w:tabs>
          <w:tab w:val="left" w:pos="3640"/>
        </w:tabs>
        <w:autoSpaceDE w:val="0"/>
        <w:autoSpaceDN w:val="0"/>
        <w:spacing w:line="360" w:lineRule="auto"/>
        <w:ind w:firstLine="452" w:firstLineChars="200"/>
        <w:rPr>
          <w:rFonts w:ascii="宋体" w:hAnsi="Times New Roman" w:eastAsia="宋体" w:cs="宋体"/>
          <w:b/>
          <w:color w:val="36363D"/>
          <w:szCs w:val="21"/>
          <w:highlight w:val="none"/>
        </w:rPr>
      </w:pPr>
      <w:r>
        <w:rPr>
          <w:rFonts w:ascii="宋体" w:hAnsi="宋体" w:eastAsia="宋体" w:cs="宋体"/>
          <w:color w:val="36363D"/>
          <w:spacing w:val="8"/>
          <w:szCs w:val="21"/>
          <w:highlight w:val="none"/>
        </w:rPr>
        <w:t>4</w:t>
      </w:r>
      <w:r>
        <w:rPr>
          <w:rFonts w:hint="eastAsia" w:ascii="宋体" w:hAnsi="宋体" w:eastAsia="宋体" w:cs="宋体"/>
          <w:color w:val="36363D"/>
          <w:spacing w:val="8"/>
          <w:szCs w:val="21"/>
          <w:highlight w:val="none"/>
        </w:rPr>
        <w:t>、卖方</w:t>
      </w:r>
      <w:r>
        <w:rPr>
          <w:rFonts w:hint="eastAsia" w:ascii="宋体" w:hAnsi="宋体" w:eastAsia="宋体" w:cs="宋体"/>
          <w:color w:val="36363D"/>
          <w:szCs w:val="21"/>
          <w:highlight w:val="none"/>
        </w:rPr>
        <w:t>（</w:t>
      </w:r>
      <w:r>
        <w:rPr>
          <w:rFonts w:hint="eastAsia" w:ascii="宋体" w:hAnsi="宋体" w:eastAsia="宋体" w:cs="宋体"/>
          <w:color w:val="36363D"/>
          <w:szCs w:val="21"/>
          <w:highlight w:val="none"/>
          <w:lang w:eastAsia="zh-CN"/>
        </w:rPr>
        <w:t>参选人</w:t>
      </w:r>
      <w:r>
        <w:rPr>
          <w:rFonts w:hint="eastAsia" w:ascii="宋体" w:hAnsi="宋体" w:eastAsia="宋体" w:cs="宋体"/>
          <w:color w:val="36363D"/>
          <w:szCs w:val="21"/>
          <w:highlight w:val="none"/>
        </w:rPr>
        <w:t>）</w:t>
      </w:r>
      <w:r>
        <w:rPr>
          <w:rFonts w:hint="eastAsia" w:ascii="宋体" w:hAnsi="宋体" w:eastAsia="宋体" w:cs="宋体"/>
          <w:color w:val="36363D"/>
          <w:spacing w:val="8"/>
          <w:szCs w:val="21"/>
          <w:highlight w:val="none"/>
        </w:rPr>
        <w:t>逾期提供服务的，卖方向买方每日偿付合同价的</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rPr>
        <w:t>‰的违约金。</w:t>
      </w:r>
    </w:p>
    <w:p w14:paraId="20023657">
      <w:pPr>
        <w:spacing w:line="360" w:lineRule="auto"/>
        <w:ind w:left="-178" w:leftChars="-85" w:firstLine="583" w:firstLineChars="257"/>
        <w:rPr>
          <w:rFonts w:ascii="宋体" w:hAnsi="Times New Roman" w:eastAsia="宋体" w:cs="宋体"/>
          <w:b/>
          <w:color w:val="36363D"/>
          <w:spacing w:val="8"/>
          <w:szCs w:val="21"/>
          <w:highlight w:val="none"/>
        </w:rPr>
      </w:pPr>
      <w:r>
        <w:rPr>
          <w:rFonts w:hint="eastAsia" w:ascii="宋体" w:hAnsi="宋体" w:eastAsia="宋体" w:cs="宋体"/>
          <w:b/>
          <w:color w:val="36363D"/>
          <w:spacing w:val="8"/>
          <w:szCs w:val="21"/>
          <w:highlight w:val="none"/>
        </w:rPr>
        <w:t>九、解决合同纠纷方式</w:t>
      </w:r>
    </w:p>
    <w:p w14:paraId="7368E165">
      <w:pPr>
        <w:spacing w:line="360" w:lineRule="auto"/>
        <w:ind w:left="-178" w:leftChars="-85" w:firstLine="580" w:firstLineChars="257"/>
        <w:rPr>
          <w:rFonts w:ascii="宋体" w:hAnsi="宋体" w:eastAsia="宋体" w:cs="宋体"/>
          <w:color w:val="36363D"/>
          <w:spacing w:val="8"/>
          <w:szCs w:val="21"/>
          <w:highlight w:val="none"/>
        </w:rPr>
      </w:pPr>
      <w:r>
        <w:rPr>
          <w:rFonts w:hint="eastAsia" w:ascii="宋体" w:hAnsi="宋体" w:eastAsia="宋体" w:cs="宋体"/>
          <w:color w:val="36363D"/>
          <w:spacing w:val="8"/>
          <w:szCs w:val="21"/>
          <w:highlight w:val="none"/>
        </w:rPr>
        <w:t>本合同如发生纠纷，买卖双方应当及时协商解决，协商不成时，按以下第（②）项方式处理：①根据《中华人民共和国仲裁法》的规定向</w:t>
      </w:r>
      <w:r>
        <w:rPr>
          <w:rFonts w:hint="eastAsia" w:ascii="宋体" w:hAnsi="宋体" w:eastAsia="宋体" w:cs="宋体"/>
          <w:color w:val="36363D"/>
          <w:spacing w:val="8"/>
          <w:szCs w:val="21"/>
          <w:highlight w:val="none"/>
          <w:u w:val="single"/>
        </w:rPr>
        <w:t xml:space="preserve"> 安庆仲裁委员会 </w:t>
      </w:r>
      <w:r>
        <w:rPr>
          <w:rFonts w:hint="eastAsia" w:ascii="宋体" w:hAnsi="宋体" w:eastAsia="宋体" w:cs="宋体"/>
          <w:color w:val="36363D"/>
          <w:spacing w:val="8"/>
          <w:szCs w:val="21"/>
          <w:highlight w:val="none"/>
        </w:rPr>
        <w:t>申请仲裁。②向</w:t>
      </w:r>
      <w:r>
        <w:rPr>
          <w:rFonts w:hint="eastAsia" w:ascii="宋体" w:hAnsi="宋体" w:eastAsia="宋体" w:cs="宋体"/>
          <w:color w:val="36363D"/>
          <w:spacing w:val="8"/>
          <w:szCs w:val="21"/>
          <w:highlight w:val="none"/>
          <w:u w:val="single"/>
          <w:lang w:val="en-US" w:eastAsia="zh-CN"/>
        </w:rPr>
        <w:t>项目所在地</w:t>
      </w:r>
      <w:r>
        <w:rPr>
          <w:rFonts w:hint="eastAsia" w:ascii="宋体" w:hAnsi="宋体" w:eastAsia="宋体" w:cs="宋体"/>
          <w:color w:val="36363D"/>
          <w:spacing w:val="8"/>
          <w:szCs w:val="21"/>
          <w:highlight w:val="none"/>
        </w:rPr>
        <w:t>人民法院起诉。</w:t>
      </w:r>
    </w:p>
    <w:p w14:paraId="4C607FE6">
      <w:pPr>
        <w:spacing w:line="360" w:lineRule="auto"/>
        <w:ind w:left="-178" w:leftChars="-85" w:firstLine="542" w:firstLineChars="257"/>
        <w:rPr>
          <w:rFonts w:ascii="宋体" w:hAnsi="Times New Roman" w:eastAsia="宋体" w:cs="宋体"/>
          <w:b/>
          <w:color w:val="36363D"/>
          <w:spacing w:val="8"/>
          <w:szCs w:val="21"/>
          <w:highlight w:val="none"/>
        </w:rPr>
      </w:pPr>
      <w:r>
        <w:rPr>
          <w:rFonts w:hint="eastAsia" w:ascii="宋体" w:hAnsi="宋体" w:eastAsia="宋体" w:cs="宋体"/>
          <w:b/>
          <w:color w:val="36363D"/>
          <w:szCs w:val="21"/>
          <w:highlight w:val="none"/>
        </w:rPr>
        <w:t>十、本合同的其他重要组成部分：</w:t>
      </w:r>
    </w:p>
    <w:p w14:paraId="5DE72DDB">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r>
        <w:rPr>
          <w:rFonts w:ascii="宋体" w:hAnsi="宋体" w:eastAsia="宋体" w:cs="宋体"/>
          <w:color w:val="36363D"/>
          <w:szCs w:val="21"/>
          <w:highlight w:val="none"/>
        </w:rPr>
        <w:t>1</w:t>
      </w:r>
      <w:r>
        <w:rPr>
          <w:rFonts w:hint="eastAsia" w:ascii="宋体" w:hAnsi="宋体" w:eastAsia="宋体" w:cs="宋体"/>
          <w:color w:val="36363D"/>
          <w:szCs w:val="21"/>
          <w:highlight w:val="none"/>
        </w:rPr>
        <w:t>、</w:t>
      </w:r>
      <w:r>
        <w:rPr>
          <w:rFonts w:hint="eastAsia" w:ascii="宋体" w:hAnsi="宋体" w:eastAsia="宋体" w:cs="宋体"/>
          <w:color w:val="36363D"/>
          <w:szCs w:val="21"/>
          <w:highlight w:val="none"/>
          <w:lang w:eastAsia="zh-CN"/>
        </w:rPr>
        <w:t>比选</w:t>
      </w:r>
      <w:r>
        <w:rPr>
          <w:rFonts w:hint="eastAsia" w:ascii="宋体" w:hAnsi="宋体" w:eastAsia="宋体" w:cs="宋体"/>
          <w:color w:val="36363D"/>
          <w:szCs w:val="21"/>
          <w:highlight w:val="none"/>
        </w:rPr>
        <w:t>文件；</w:t>
      </w:r>
    </w:p>
    <w:p w14:paraId="25DE1510">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r>
        <w:rPr>
          <w:rFonts w:ascii="宋体" w:hAnsi="宋体" w:eastAsia="宋体" w:cs="宋体"/>
          <w:color w:val="36363D"/>
          <w:szCs w:val="21"/>
          <w:highlight w:val="none"/>
        </w:rPr>
        <w:t>2</w:t>
      </w:r>
      <w:r>
        <w:rPr>
          <w:rFonts w:hint="eastAsia" w:ascii="宋体" w:hAnsi="宋体" w:eastAsia="宋体" w:cs="宋体"/>
          <w:color w:val="36363D"/>
          <w:szCs w:val="21"/>
          <w:highlight w:val="none"/>
        </w:rPr>
        <w:t>、成交人的</w:t>
      </w:r>
      <w:r>
        <w:rPr>
          <w:rFonts w:hint="eastAsia" w:ascii="宋体" w:hAnsi="宋体" w:eastAsia="宋体" w:cs="宋体"/>
          <w:color w:val="36363D"/>
          <w:szCs w:val="21"/>
          <w:highlight w:val="none"/>
          <w:lang w:val="en-US" w:eastAsia="zh-CN"/>
        </w:rPr>
        <w:t>参选</w:t>
      </w:r>
      <w:r>
        <w:rPr>
          <w:rFonts w:hint="eastAsia" w:ascii="宋体" w:hAnsi="宋体" w:eastAsia="宋体" w:cs="宋体"/>
          <w:color w:val="36363D"/>
          <w:szCs w:val="21"/>
          <w:highlight w:val="none"/>
        </w:rPr>
        <w:t>文件；</w:t>
      </w:r>
    </w:p>
    <w:p w14:paraId="25DDB334">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r>
        <w:rPr>
          <w:rFonts w:ascii="宋体" w:hAnsi="宋体" w:eastAsia="宋体" w:cs="宋体"/>
          <w:color w:val="36363D"/>
          <w:szCs w:val="21"/>
          <w:highlight w:val="none"/>
        </w:rPr>
        <w:t>3</w:t>
      </w:r>
      <w:r>
        <w:rPr>
          <w:rFonts w:hint="eastAsia" w:ascii="宋体" w:hAnsi="宋体" w:eastAsia="宋体" w:cs="宋体"/>
          <w:color w:val="36363D"/>
          <w:szCs w:val="21"/>
          <w:highlight w:val="none"/>
        </w:rPr>
        <w:t>、成交通知书。</w:t>
      </w:r>
    </w:p>
    <w:p w14:paraId="77E76749">
      <w:pPr>
        <w:spacing w:line="360" w:lineRule="auto"/>
        <w:ind w:firstLine="445" w:firstLineChars="196"/>
        <w:rPr>
          <w:rFonts w:ascii="宋体" w:hAnsi="Times New Roman" w:eastAsia="宋体" w:cs="宋体"/>
          <w:b/>
          <w:color w:val="36363D"/>
          <w:spacing w:val="8"/>
          <w:szCs w:val="21"/>
          <w:highlight w:val="none"/>
          <w:u w:val="single"/>
        </w:rPr>
      </w:pPr>
      <w:r>
        <w:rPr>
          <w:rFonts w:hint="eastAsia" w:ascii="宋体" w:hAnsi="宋体" w:eastAsia="宋体" w:cs="宋体"/>
          <w:b/>
          <w:color w:val="36363D"/>
          <w:spacing w:val="8"/>
          <w:szCs w:val="21"/>
          <w:highlight w:val="none"/>
        </w:rPr>
        <w:t>十一、</w:t>
      </w:r>
      <w:r>
        <w:rPr>
          <w:rFonts w:hint="eastAsia" w:ascii="宋体" w:hAnsi="宋体" w:eastAsia="宋体" w:cs="宋体"/>
          <w:color w:val="36363D"/>
          <w:spacing w:val="8"/>
          <w:szCs w:val="21"/>
          <w:highlight w:val="none"/>
        </w:rPr>
        <w:t>其他约定事项：</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u w:val="single"/>
        </w:rPr>
        <w:t>合同文本的组成部分的先后解释顺序为：</w:t>
      </w:r>
      <w:r>
        <w:rPr>
          <w:rFonts w:ascii="宋体" w:hAnsi="宋体" w:eastAsia="宋体" w:cs="宋体"/>
          <w:color w:val="36363D"/>
          <w:spacing w:val="8"/>
          <w:szCs w:val="21"/>
          <w:highlight w:val="none"/>
          <w:u w:val="single"/>
        </w:rPr>
        <w:t>1</w:t>
      </w:r>
      <w:r>
        <w:rPr>
          <w:rFonts w:hint="eastAsia" w:ascii="宋体" w:hAnsi="宋体" w:eastAsia="宋体" w:cs="宋体"/>
          <w:color w:val="36363D"/>
          <w:spacing w:val="8"/>
          <w:szCs w:val="21"/>
          <w:highlight w:val="none"/>
          <w:u w:val="single"/>
        </w:rPr>
        <w:t>、成交通知书；</w:t>
      </w:r>
      <w:r>
        <w:rPr>
          <w:rFonts w:ascii="宋体" w:hAnsi="宋体" w:eastAsia="宋体" w:cs="宋体"/>
          <w:color w:val="36363D"/>
          <w:spacing w:val="8"/>
          <w:szCs w:val="21"/>
          <w:highlight w:val="none"/>
          <w:u w:val="single"/>
        </w:rPr>
        <w:t>2</w:t>
      </w:r>
      <w:r>
        <w:rPr>
          <w:rFonts w:hint="eastAsia" w:ascii="宋体" w:hAnsi="宋体" w:eastAsia="宋体" w:cs="宋体"/>
          <w:color w:val="36363D"/>
          <w:spacing w:val="8"/>
          <w:szCs w:val="21"/>
          <w:highlight w:val="none"/>
          <w:u w:val="single"/>
        </w:rPr>
        <w:t>、</w:t>
      </w:r>
      <w:r>
        <w:rPr>
          <w:rFonts w:hint="eastAsia" w:ascii="宋体" w:hAnsi="宋体" w:eastAsia="宋体" w:cs="宋体"/>
          <w:color w:val="36363D"/>
          <w:spacing w:val="8"/>
          <w:szCs w:val="21"/>
          <w:highlight w:val="none"/>
          <w:u w:val="single"/>
          <w:lang w:eastAsia="zh-CN"/>
        </w:rPr>
        <w:t>比选</w:t>
      </w:r>
      <w:r>
        <w:rPr>
          <w:rFonts w:hint="eastAsia" w:ascii="宋体" w:hAnsi="宋体" w:eastAsia="宋体" w:cs="宋体"/>
          <w:color w:val="36363D"/>
          <w:spacing w:val="8"/>
          <w:szCs w:val="21"/>
          <w:highlight w:val="none"/>
          <w:u w:val="single"/>
        </w:rPr>
        <w:t>文件；</w:t>
      </w:r>
      <w:r>
        <w:rPr>
          <w:rFonts w:ascii="宋体" w:hAnsi="宋体" w:eastAsia="宋体" w:cs="宋体"/>
          <w:color w:val="36363D"/>
          <w:spacing w:val="8"/>
          <w:szCs w:val="21"/>
          <w:highlight w:val="none"/>
          <w:u w:val="single"/>
        </w:rPr>
        <w:t>3</w:t>
      </w:r>
      <w:r>
        <w:rPr>
          <w:rFonts w:hint="eastAsia" w:ascii="宋体" w:hAnsi="宋体" w:eastAsia="宋体" w:cs="宋体"/>
          <w:color w:val="36363D"/>
          <w:spacing w:val="8"/>
          <w:szCs w:val="21"/>
          <w:highlight w:val="none"/>
          <w:u w:val="single"/>
        </w:rPr>
        <w:t>、本合同文本；</w:t>
      </w:r>
      <w:r>
        <w:rPr>
          <w:rFonts w:ascii="宋体" w:hAnsi="宋体" w:eastAsia="宋体" w:cs="宋体"/>
          <w:color w:val="36363D"/>
          <w:spacing w:val="8"/>
          <w:szCs w:val="21"/>
          <w:highlight w:val="none"/>
          <w:u w:val="single"/>
        </w:rPr>
        <w:t>4</w:t>
      </w:r>
      <w:r>
        <w:rPr>
          <w:rFonts w:hint="eastAsia" w:ascii="宋体" w:hAnsi="宋体" w:eastAsia="宋体" w:cs="宋体"/>
          <w:color w:val="36363D"/>
          <w:spacing w:val="8"/>
          <w:szCs w:val="21"/>
          <w:highlight w:val="none"/>
          <w:u w:val="single"/>
        </w:rPr>
        <w:t>、成交人的</w:t>
      </w:r>
      <w:r>
        <w:rPr>
          <w:rFonts w:hint="eastAsia" w:ascii="宋体" w:hAnsi="宋体" w:eastAsia="宋体" w:cs="宋体"/>
          <w:color w:val="36363D"/>
          <w:spacing w:val="8"/>
          <w:szCs w:val="21"/>
          <w:highlight w:val="none"/>
          <w:u w:val="single"/>
          <w:lang w:val="en-US" w:eastAsia="zh-CN"/>
        </w:rPr>
        <w:t>参选</w:t>
      </w:r>
      <w:r>
        <w:rPr>
          <w:rFonts w:hint="eastAsia" w:ascii="宋体" w:hAnsi="宋体" w:eastAsia="宋体" w:cs="宋体"/>
          <w:color w:val="36363D"/>
          <w:spacing w:val="8"/>
          <w:szCs w:val="21"/>
          <w:highlight w:val="none"/>
          <w:u w:val="single"/>
        </w:rPr>
        <w:t>文件；</w:t>
      </w:r>
      <w:r>
        <w:rPr>
          <w:rFonts w:ascii="宋体" w:hAnsi="宋体" w:eastAsia="宋体" w:cs="宋体"/>
          <w:color w:val="36363D"/>
          <w:spacing w:val="8"/>
          <w:szCs w:val="21"/>
          <w:highlight w:val="none"/>
          <w:u w:val="single"/>
        </w:rPr>
        <w:t>5</w:t>
      </w:r>
      <w:r>
        <w:rPr>
          <w:rFonts w:hint="eastAsia" w:ascii="宋体" w:hAnsi="宋体" w:eastAsia="宋体" w:cs="宋体"/>
          <w:color w:val="36363D"/>
          <w:spacing w:val="8"/>
          <w:szCs w:val="21"/>
          <w:highlight w:val="none"/>
          <w:u w:val="single"/>
        </w:rPr>
        <w:t>、其他补充约定事项。</w:t>
      </w:r>
      <w:r>
        <w:rPr>
          <w:rFonts w:ascii="宋体" w:hAnsi="宋体" w:eastAsia="宋体" w:cs="宋体"/>
          <w:color w:val="36363D"/>
          <w:spacing w:val="8"/>
          <w:szCs w:val="21"/>
          <w:highlight w:val="none"/>
          <w:u w:val="single"/>
        </w:rPr>
        <w:t xml:space="preserve">                    </w:t>
      </w:r>
      <w:r>
        <w:rPr>
          <w:rFonts w:ascii="宋体" w:hAnsi="宋体" w:eastAsia="宋体" w:cs="宋体"/>
          <w:b/>
          <w:color w:val="36363D"/>
          <w:spacing w:val="8"/>
          <w:szCs w:val="21"/>
          <w:highlight w:val="none"/>
          <w:u w:val="single"/>
        </w:rPr>
        <w:t xml:space="preserve">                                 </w:t>
      </w:r>
    </w:p>
    <w:p w14:paraId="091320EB">
      <w:pPr>
        <w:spacing w:line="360" w:lineRule="auto"/>
        <w:ind w:left="-178" w:leftChars="-85" w:firstLine="177" w:firstLineChars="78"/>
        <w:rPr>
          <w:rFonts w:ascii="宋体" w:hAnsi="Times New Roman" w:eastAsia="宋体" w:cs="宋体"/>
          <w:color w:val="36363D"/>
          <w:spacing w:val="8"/>
          <w:szCs w:val="21"/>
          <w:highlight w:val="none"/>
          <w:u w:val="single"/>
        </w:rPr>
      </w:pPr>
      <w:r>
        <w:rPr>
          <w:rFonts w:ascii="宋体" w:hAnsi="宋体" w:eastAsia="宋体" w:cs="宋体"/>
          <w:b/>
          <w:color w:val="36363D"/>
          <w:spacing w:val="8"/>
          <w:szCs w:val="21"/>
          <w:highlight w:val="none"/>
          <w:u w:val="single"/>
        </w:rPr>
        <w:t xml:space="preserve">                                                       </w:t>
      </w:r>
      <w:r>
        <w:rPr>
          <w:rFonts w:ascii="宋体" w:hAnsi="宋体" w:eastAsia="宋体" w:cs="宋体"/>
          <w:color w:val="36363D"/>
          <w:spacing w:val="8"/>
          <w:szCs w:val="21"/>
          <w:highlight w:val="none"/>
          <w:u w:val="single"/>
        </w:rPr>
        <w:t xml:space="preserve">                    </w:t>
      </w:r>
    </w:p>
    <w:p w14:paraId="6F56E8FE">
      <w:pPr>
        <w:spacing w:line="360" w:lineRule="auto"/>
        <w:ind w:left="-178" w:leftChars="-85" w:firstLine="176" w:firstLineChars="78"/>
        <w:rPr>
          <w:rFonts w:ascii="宋体" w:hAnsi="Times New Roman" w:eastAsia="宋体" w:cs="宋体"/>
          <w:color w:val="36363D"/>
          <w:spacing w:val="8"/>
          <w:szCs w:val="21"/>
          <w:highlight w:val="none"/>
          <w:u w:val="single"/>
        </w:rPr>
      </w:pPr>
      <w:r>
        <w:rPr>
          <w:rFonts w:ascii="宋体" w:hAnsi="宋体" w:eastAsia="宋体" w:cs="宋体"/>
          <w:color w:val="36363D"/>
          <w:spacing w:val="8"/>
          <w:szCs w:val="21"/>
          <w:highlight w:val="none"/>
          <w:u w:val="single"/>
        </w:rPr>
        <w:t xml:space="preserve">                                                                           </w:t>
      </w:r>
    </w:p>
    <w:p w14:paraId="6F473E20">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p>
    <w:p w14:paraId="076C90C1">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p>
    <w:p w14:paraId="57BBD1D4">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p>
    <w:p w14:paraId="33EE5351">
      <w:pPr>
        <w:tabs>
          <w:tab w:val="left" w:pos="3640"/>
        </w:tabs>
        <w:autoSpaceDE w:val="0"/>
        <w:autoSpaceDN w:val="0"/>
        <w:spacing w:line="480" w:lineRule="auto"/>
        <w:ind w:firstLine="630" w:firstLineChars="300"/>
        <w:rPr>
          <w:rFonts w:ascii="宋体" w:hAnsi="宋体" w:eastAsia="宋体" w:cs="宋体"/>
          <w:color w:val="36363D"/>
          <w:szCs w:val="21"/>
          <w:highlight w:val="none"/>
        </w:rPr>
      </w:pPr>
      <w:r>
        <w:rPr>
          <w:rFonts w:hint="eastAsia" w:ascii="宋体" w:hAnsi="宋体" w:eastAsia="宋体" w:cs="宋体"/>
          <w:color w:val="36363D"/>
          <w:szCs w:val="21"/>
          <w:highlight w:val="none"/>
        </w:rPr>
        <w:t xml:space="preserve">买  方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 卖   方                        </w:t>
      </w:r>
    </w:p>
    <w:p w14:paraId="4F3807B2">
      <w:pPr>
        <w:tabs>
          <w:tab w:val="left" w:pos="3640"/>
        </w:tabs>
        <w:autoSpaceDE w:val="0"/>
        <w:autoSpaceDN w:val="0"/>
        <w:spacing w:line="480" w:lineRule="auto"/>
        <w:ind w:firstLine="630" w:firstLineChars="300"/>
        <w:rPr>
          <w:rFonts w:ascii="宋体" w:hAnsi="宋体" w:eastAsia="宋体" w:cs="宋体"/>
          <w:color w:val="36363D"/>
          <w:szCs w:val="21"/>
          <w:highlight w:val="none"/>
        </w:rPr>
      </w:pPr>
      <w:r>
        <w:rPr>
          <w:rFonts w:hint="eastAsia" w:ascii="宋体" w:hAnsi="宋体" w:cs="宋体"/>
          <w:color w:val="36363D"/>
          <w:szCs w:val="21"/>
          <w:highlight w:val="none"/>
          <w:lang w:eastAsia="zh-CN"/>
        </w:rPr>
        <w:t>采购人</w:t>
      </w:r>
      <w:r>
        <w:rPr>
          <w:rFonts w:hint="eastAsia" w:ascii="宋体" w:hAnsi="宋体" w:eastAsia="宋体" w:cs="宋体"/>
          <w:color w:val="36363D"/>
          <w:szCs w:val="21"/>
          <w:highlight w:val="none"/>
        </w:rPr>
        <w:t>（单位盖章）：</w:t>
      </w:r>
      <w:r>
        <w:rPr>
          <w:rFonts w:hint="eastAsia"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成交人（单位盖章）：</w:t>
      </w:r>
      <w:r>
        <w:rPr>
          <w:rFonts w:hint="eastAsia"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rPr>
        <w:t xml:space="preserve">   </w:t>
      </w:r>
    </w:p>
    <w:p w14:paraId="5642E4DC">
      <w:pPr>
        <w:tabs>
          <w:tab w:val="left" w:pos="3640"/>
        </w:tabs>
        <w:autoSpaceDE w:val="0"/>
        <w:autoSpaceDN w:val="0"/>
        <w:spacing w:line="480" w:lineRule="auto"/>
        <w:ind w:firstLine="630" w:firstLineChars="300"/>
        <w:rPr>
          <w:rFonts w:ascii="宋体" w:hAnsi="宋体" w:eastAsia="宋体" w:cs="宋体"/>
          <w:color w:val="36363D"/>
          <w:szCs w:val="21"/>
          <w:highlight w:val="none"/>
        </w:rPr>
      </w:pPr>
      <w:r>
        <w:rPr>
          <w:rFonts w:hint="eastAsia" w:ascii="宋体" w:hAnsi="宋体" w:eastAsia="宋体" w:cs="宋体"/>
          <w:color w:val="36363D"/>
          <w:szCs w:val="21"/>
          <w:highlight w:val="none"/>
        </w:rPr>
        <w:t>法定代表人</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法定代表人</w:t>
      </w:r>
    </w:p>
    <w:p w14:paraId="706C8E26">
      <w:pPr>
        <w:tabs>
          <w:tab w:val="left" w:pos="3640"/>
        </w:tabs>
        <w:autoSpaceDE w:val="0"/>
        <w:autoSpaceDN w:val="0"/>
        <w:spacing w:line="480" w:lineRule="auto"/>
        <w:ind w:firstLine="630" w:firstLineChars="300"/>
        <w:rPr>
          <w:rFonts w:ascii="宋体" w:hAnsi="宋体" w:eastAsia="宋体" w:cs="宋体"/>
          <w:color w:val="36363D"/>
          <w:szCs w:val="21"/>
          <w:highlight w:val="none"/>
        </w:rPr>
      </w:pPr>
      <w:r>
        <w:rPr>
          <w:rFonts w:hint="eastAsia" w:ascii="宋体" w:hAnsi="宋体" w:eastAsia="宋体" w:cs="宋体"/>
          <w:color w:val="36363D"/>
          <w:szCs w:val="21"/>
          <w:highlight w:val="none"/>
        </w:rPr>
        <w:t>或授权代表（签字）：</w:t>
      </w:r>
      <w:r>
        <w:rPr>
          <w:rFonts w:hint="eastAsia"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或授权代表（签字）：</w:t>
      </w:r>
      <w:r>
        <w:rPr>
          <w:rFonts w:hint="eastAsia"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rPr>
        <w:t xml:space="preserve">    </w:t>
      </w:r>
    </w:p>
    <w:p w14:paraId="791B09B5">
      <w:pPr>
        <w:snapToGrid w:val="0"/>
        <w:spacing w:line="480" w:lineRule="auto"/>
        <w:rPr>
          <w:rFonts w:ascii="宋体" w:hAnsi="Times New Roman" w:eastAsia="宋体" w:cs="宋体"/>
          <w:color w:val="36363D"/>
          <w:szCs w:val="20"/>
          <w:highlight w:val="none"/>
        </w:rPr>
      </w:pP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年   月    日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年   月    日         </w:t>
      </w:r>
    </w:p>
    <w:p w14:paraId="0E1EF385">
      <w:pPr>
        <w:pStyle w:val="24"/>
        <w:rPr>
          <w:rFonts w:ascii="宋体" w:hAnsi="宋体" w:cs="宋体"/>
          <w:color w:val="000000" w:themeColor="text1"/>
          <w:szCs w:val="21"/>
          <w:highlight w:val="none"/>
          <w14:textFill>
            <w14:solidFill>
              <w14:schemeClr w14:val="tx1"/>
            </w14:solidFill>
          </w14:textFill>
        </w:rPr>
      </w:pPr>
    </w:p>
    <w:p w14:paraId="2CE32127">
      <w:pPr>
        <w:pStyle w:val="24"/>
        <w:rPr>
          <w:rFonts w:ascii="宋体" w:hAnsi="宋体" w:cs="宋体"/>
          <w:color w:val="000000" w:themeColor="text1"/>
          <w:szCs w:val="21"/>
          <w:highlight w:val="none"/>
          <w14:textFill>
            <w14:solidFill>
              <w14:schemeClr w14:val="tx1"/>
            </w14:solidFill>
          </w14:textFill>
        </w:rPr>
      </w:pPr>
    </w:p>
    <w:p w14:paraId="5924AF71">
      <w:pPr>
        <w:pStyle w:val="24"/>
        <w:rPr>
          <w:rFonts w:ascii="宋体" w:hAnsi="宋体" w:cs="宋体"/>
          <w:color w:val="000000" w:themeColor="text1"/>
          <w:szCs w:val="21"/>
          <w:highlight w:val="none"/>
          <w14:textFill>
            <w14:solidFill>
              <w14:schemeClr w14:val="tx1"/>
            </w14:solidFill>
          </w14:textFill>
        </w:rPr>
      </w:pPr>
    </w:p>
    <w:p w14:paraId="28A9105D">
      <w:pPr>
        <w:tabs>
          <w:tab w:val="left" w:pos="3640"/>
        </w:tabs>
        <w:autoSpaceDE w:val="0"/>
        <w:autoSpaceDN w:val="0"/>
        <w:spacing w:line="48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注：本合同仅为参考文本，合同签订双方可根据项目的具体要求进行修订</w:t>
      </w:r>
    </w:p>
    <w:p w14:paraId="58696FA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7FEDEE58">
      <w:pPr>
        <w:pStyle w:val="2"/>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58"/>
      <w:bookmarkEnd w:id="59"/>
      <w:bookmarkEnd w:id="60"/>
      <w:bookmarkEnd w:id="61"/>
      <w:bookmarkStart w:id="62" w:name="_Toc26873"/>
      <w:bookmarkStart w:id="63" w:name="_Toc54884158"/>
      <w:r>
        <w:rPr>
          <w:rFonts w:hint="eastAsia" w:ascii="Arial" w:hAnsi="Arial"/>
          <w:color w:val="000000" w:themeColor="text1"/>
          <w:kern w:val="2"/>
          <w:sz w:val="32"/>
          <w:szCs w:val="32"/>
          <w:highlight w:val="none"/>
          <w14:textFill>
            <w14:solidFill>
              <w14:schemeClr w14:val="tx1"/>
            </w14:solidFill>
          </w14:textFill>
        </w:rPr>
        <w:t>参选文件格式</w:t>
      </w:r>
      <w:bookmarkEnd w:id="62"/>
      <w:bookmarkEnd w:id="63"/>
    </w:p>
    <w:p w14:paraId="26741889">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55D5770B">
      <w:pPr>
        <w:spacing w:line="360" w:lineRule="auto"/>
        <w:jc w:val="center"/>
        <w:rPr>
          <w:rFonts w:ascii="仿宋" w:hAnsi="仿宋" w:eastAsia="仿宋"/>
          <w:b/>
          <w:color w:val="000000" w:themeColor="text1"/>
          <w:spacing w:val="20"/>
          <w:sz w:val="36"/>
          <w:szCs w:val="36"/>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（项目名称）</w:t>
      </w:r>
    </w:p>
    <w:p w14:paraId="15B43DDA">
      <w:pPr>
        <w:spacing w:line="360" w:lineRule="auto"/>
        <w:rPr>
          <w:rFonts w:ascii="宋体" w:hAnsi="宋体"/>
          <w:color w:val="000000" w:themeColor="text1"/>
          <w:sz w:val="24"/>
          <w:highlight w:val="none"/>
          <w14:textFill>
            <w14:solidFill>
              <w14:schemeClr w14:val="tx1"/>
            </w14:solidFill>
          </w14:textFill>
        </w:rPr>
      </w:pPr>
    </w:p>
    <w:p w14:paraId="0536463A">
      <w:pPr>
        <w:spacing w:line="360" w:lineRule="auto"/>
        <w:rPr>
          <w:rFonts w:ascii="宋体" w:hAnsi="宋体"/>
          <w:color w:val="000000" w:themeColor="text1"/>
          <w:sz w:val="24"/>
          <w:highlight w:val="none"/>
          <w14:textFill>
            <w14:solidFill>
              <w14:schemeClr w14:val="tx1"/>
            </w14:solidFill>
          </w14:textFill>
        </w:rPr>
      </w:pPr>
    </w:p>
    <w:p w14:paraId="05737CF8">
      <w:pPr>
        <w:spacing w:line="900" w:lineRule="auto"/>
        <w:jc w:val="center"/>
        <w:rPr>
          <w:rFonts w:ascii="宋体" w:hAnsi="宋体"/>
          <w:b/>
          <w:color w:val="000000" w:themeColor="text1"/>
          <w:sz w:val="96"/>
          <w:szCs w:val="72"/>
          <w:highlight w:val="none"/>
          <w14:textFill>
            <w14:solidFill>
              <w14:schemeClr w14:val="tx1"/>
            </w14:solidFill>
          </w14:textFill>
        </w:rPr>
      </w:pPr>
      <w:bookmarkStart w:id="68" w:name="_GoBack"/>
      <w:bookmarkEnd w:id="68"/>
      <w:r>
        <w:rPr>
          <w:rFonts w:hint="eastAsia" w:ascii="宋体" w:hAnsi="宋体"/>
          <w:b/>
          <w:color w:val="000000" w:themeColor="text1"/>
          <w:sz w:val="96"/>
          <w:szCs w:val="72"/>
          <w:highlight w:val="none"/>
          <w14:textFill>
            <w14:solidFill>
              <w14:schemeClr w14:val="tx1"/>
            </w14:solidFill>
          </w14:textFill>
        </w:rPr>
        <w:t>参</w:t>
      </w:r>
    </w:p>
    <w:p w14:paraId="4F006C5E">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选</w:t>
      </w:r>
    </w:p>
    <w:p w14:paraId="7516779D">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14:paraId="20DCB076">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14:paraId="7F1EA76A">
      <w:pPr>
        <w:pStyle w:val="84"/>
        <w:spacing w:before="156"/>
        <w:ind w:firstLine="350"/>
        <w:rPr>
          <w:color w:val="000000" w:themeColor="text1"/>
          <w:highlight w:val="none"/>
          <w14:textFill>
            <w14:solidFill>
              <w14:schemeClr w14:val="tx1"/>
            </w14:solidFill>
          </w14:textFill>
        </w:rPr>
      </w:pPr>
    </w:p>
    <w:p w14:paraId="4F7F2DFD">
      <w:pPr>
        <w:spacing w:line="360" w:lineRule="auto"/>
        <w:rPr>
          <w:rFonts w:ascii="宋体" w:hAnsi="宋体"/>
          <w:color w:val="000000" w:themeColor="text1"/>
          <w:sz w:val="24"/>
          <w:highlight w:val="none"/>
          <w14:textFill>
            <w14:solidFill>
              <w14:schemeClr w14:val="tx1"/>
            </w14:solidFill>
          </w14:textFill>
        </w:rPr>
      </w:pPr>
    </w:p>
    <w:p w14:paraId="5CE45F76">
      <w:pPr>
        <w:spacing w:line="360" w:lineRule="auto"/>
        <w:ind w:firstLine="148" w:firstLineChars="49"/>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采购人名称：</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 </w:t>
      </w:r>
    </w:p>
    <w:p w14:paraId="2E66074D">
      <w:pPr>
        <w:spacing w:line="360" w:lineRule="auto"/>
        <w:rPr>
          <w:rFonts w:ascii="宋体" w:hAnsi="宋体"/>
          <w:b/>
          <w:color w:val="000000" w:themeColor="text1"/>
          <w:sz w:val="30"/>
          <w:szCs w:val="30"/>
          <w:highlight w:val="none"/>
          <w14:textFill>
            <w14:solidFill>
              <w14:schemeClr w14:val="tx1"/>
            </w14:solidFill>
          </w14:textFill>
        </w:rPr>
      </w:pPr>
    </w:p>
    <w:p w14:paraId="0A9C3081">
      <w:pPr>
        <w:spacing w:line="360" w:lineRule="auto"/>
        <w:ind w:firstLine="148" w:firstLineChars="49"/>
        <w:rPr>
          <w:rFonts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参选人名称： </w:t>
      </w:r>
      <w:r>
        <w:rPr>
          <w:rFonts w:hint="eastAsia" w:ascii="宋体" w:hAnsi="宋体"/>
          <w:b/>
          <w:color w:val="000000" w:themeColor="text1"/>
          <w:sz w:val="30"/>
          <w:szCs w:val="30"/>
          <w:highlight w:val="none"/>
          <w:u w:val="single"/>
          <w14:textFill>
            <w14:solidFill>
              <w14:schemeClr w14:val="tx1"/>
            </w14:solidFill>
          </w14:textFill>
        </w:rPr>
        <w:t xml:space="preserve">                              （盖 章）</w:t>
      </w:r>
    </w:p>
    <w:p w14:paraId="38CACF2D">
      <w:pPr>
        <w:pStyle w:val="84"/>
        <w:spacing w:before="156"/>
        <w:ind w:firstLine="350"/>
        <w:rPr>
          <w:color w:val="000000" w:themeColor="text1"/>
          <w:highlight w:val="none"/>
          <w14:textFill>
            <w14:solidFill>
              <w14:schemeClr w14:val="tx1"/>
            </w14:solidFill>
          </w14:textFill>
        </w:rPr>
      </w:pPr>
    </w:p>
    <w:p w14:paraId="1CF494CC">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法定代表人或委托代理人：</w:t>
      </w:r>
      <w:r>
        <w:rPr>
          <w:rFonts w:hint="eastAsia" w:ascii="宋体" w:hAnsi="宋体" w:cs="宋体"/>
          <w:b/>
          <w:color w:val="000000" w:themeColor="text1"/>
          <w:sz w:val="30"/>
          <w:szCs w:val="30"/>
          <w:highlight w:val="none"/>
          <w:u w:val="single"/>
          <w14:textFill>
            <w14:solidFill>
              <w14:schemeClr w14:val="tx1"/>
            </w14:solidFill>
          </w14:textFill>
        </w:rPr>
        <w:t xml:space="preserve">                (签字或盖章)</w:t>
      </w:r>
    </w:p>
    <w:p w14:paraId="61274F91">
      <w:pPr>
        <w:spacing w:line="360" w:lineRule="auto"/>
        <w:rPr>
          <w:rFonts w:ascii="仿宋_GB2312" w:eastAsia="仿宋_GB2312"/>
          <w:color w:val="000000" w:themeColor="text1"/>
          <w:sz w:val="30"/>
          <w:szCs w:val="30"/>
          <w:highlight w:val="none"/>
          <w14:textFill>
            <w14:solidFill>
              <w14:schemeClr w14:val="tx1"/>
            </w14:solidFill>
          </w14:textFill>
        </w:rPr>
      </w:pPr>
    </w:p>
    <w:p w14:paraId="72CA613B">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日期：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年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月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14:paraId="06452BE9">
      <w:pPr>
        <w:spacing w:line="480" w:lineRule="exact"/>
        <w:jc w:val="center"/>
        <w:rPr>
          <w:rFonts w:ascii="宋体" w:hAnsi="宋体"/>
          <w:b/>
          <w:color w:val="000000" w:themeColor="text1"/>
          <w:sz w:val="30"/>
          <w:szCs w:val="30"/>
          <w:highlight w:val="none"/>
          <w14:textFill>
            <w14:solidFill>
              <w14:schemeClr w14:val="tx1"/>
            </w14:solidFill>
          </w14:textFill>
        </w:rPr>
      </w:pPr>
    </w:p>
    <w:p w14:paraId="3D204F22">
      <w:pPr>
        <w:spacing w:line="480" w:lineRule="exact"/>
        <w:rPr>
          <w:rFonts w:ascii="黑体" w:eastAsia="黑体"/>
          <w:b/>
          <w:bCs/>
          <w:color w:val="000000" w:themeColor="text1"/>
          <w:szCs w:val="21"/>
          <w:highlight w:val="none"/>
          <w14:textFill>
            <w14:solidFill>
              <w14:schemeClr w14:val="tx1"/>
            </w14:solidFill>
          </w14:textFill>
        </w:rPr>
      </w:pPr>
    </w:p>
    <w:p w14:paraId="085D5113">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w:t>
      </w:r>
      <w:r>
        <w:rPr>
          <w:rFonts w:hint="eastAsia" w:ascii="宋体" w:hAnsi="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color w:val="000000" w:themeColor="text1"/>
          <w:sz w:val="30"/>
          <w:szCs w:val="30"/>
          <w:highlight w:val="none"/>
          <w14:textFill>
            <w14:solidFill>
              <w14:schemeClr w14:val="tx1"/>
            </w14:solidFill>
          </w14:textFill>
        </w:rPr>
        <w:t>录</w:t>
      </w:r>
    </w:p>
    <w:p w14:paraId="7DB85254">
      <w:pPr>
        <w:pStyle w:val="84"/>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w:t>
      </w:r>
      <w:r>
        <w:rPr>
          <w:rFonts w:hint="eastAsia" w:ascii="宋体" w:hAnsi="宋体"/>
          <w:color w:val="000000" w:themeColor="text1"/>
          <w:sz w:val="24"/>
          <w:highlight w:val="none"/>
          <w:lang w:val="en-US" w:eastAsia="zh-CN"/>
          <w14:textFill>
            <w14:solidFill>
              <w14:schemeClr w14:val="tx1"/>
            </w14:solidFill>
          </w14:textFill>
        </w:rPr>
        <w:t>参选</w:t>
      </w:r>
      <w:r>
        <w:rPr>
          <w:rFonts w:hint="eastAsia" w:ascii="宋体" w:hAnsi="宋体"/>
          <w:color w:val="000000" w:themeColor="text1"/>
          <w:sz w:val="24"/>
          <w:highlight w:val="none"/>
          <w14:textFill>
            <w14:solidFill>
              <w14:schemeClr w14:val="tx1"/>
            </w14:solidFill>
          </w14:textFill>
        </w:rPr>
        <w:t>函</w:t>
      </w:r>
    </w:p>
    <w:p w14:paraId="5E875C0D">
      <w:pPr>
        <w:pStyle w:val="84"/>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w:t>
      </w:r>
      <w:r>
        <w:rPr>
          <w:rFonts w:hint="eastAsia" w:ascii="宋体" w:hAnsi="宋体" w:eastAsia="宋体"/>
          <w:color w:val="000000" w:themeColor="text1"/>
          <w:sz w:val="24"/>
          <w:highlight w:val="none"/>
          <w:lang w:val="en-US" w:eastAsia="zh-CN"/>
          <w14:textFill>
            <w14:solidFill>
              <w14:schemeClr w14:val="tx1"/>
            </w14:solidFill>
          </w14:textFill>
        </w:rPr>
        <w:t>、报价表</w:t>
      </w:r>
    </w:p>
    <w:p w14:paraId="396290D2">
      <w:pPr>
        <w:pStyle w:val="84"/>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三、诚信投标承诺书</w:t>
      </w:r>
    </w:p>
    <w:p w14:paraId="4ECCD44F">
      <w:pPr>
        <w:pStyle w:val="84"/>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四、相关证明文件</w:t>
      </w:r>
    </w:p>
    <w:p w14:paraId="67E5BACE">
      <w:pPr>
        <w:pStyle w:val="84"/>
        <w:rPr>
          <w:rFonts w:hint="eastAsia" w:ascii="宋体" w:hAnsi="宋体"/>
          <w:color w:val="000000" w:themeColor="text1"/>
          <w:sz w:val="24"/>
          <w:highlight w:val="none"/>
          <w14:textFill>
            <w14:solidFill>
              <w14:schemeClr w14:val="tx1"/>
            </w14:solidFill>
          </w14:textFill>
        </w:rPr>
      </w:pPr>
    </w:p>
    <w:p w14:paraId="028868CF">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14:paraId="5146A14E">
      <w:pPr>
        <w:pStyle w:val="5"/>
        <w:jc w:val="center"/>
        <w:rPr>
          <w:color w:val="000000" w:themeColor="text1"/>
          <w:sz w:val="28"/>
          <w:szCs w:val="28"/>
          <w:highlight w:val="none"/>
          <w14:textFill>
            <w14:solidFill>
              <w14:schemeClr w14:val="tx1"/>
            </w14:solidFill>
          </w14:textFill>
        </w:rPr>
      </w:pPr>
      <w:bookmarkStart w:id="64" w:name="_Toc54941342"/>
      <w:bookmarkStart w:id="65" w:name="_Toc476584433"/>
      <w:r>
        <w:rPr>
          <w:rFonts w:hint="eastAsia" w:cs="宋体"/>
          <w:color w:val="000000" w:themeColor="text1"/>
          <w:sz w:val="28"/>
          <w:szCs w:val="28"/>
          <w:highlight w:val="none"/>
          <w14:textFill>
            <w14:solidFill>
              <w14:schemeClr w14:val="tx1"/>
            </w14:solidFill>
          </w14:textFill>
        </w:rPr>
        <w:t>一、</w:t>
      </w:r>
      <w:bookmarkEnd w:id="64"/>
      <w:bookmarkEnd w:id="65"/>
      <w:r>
        <w:rPr>
          <w:rFonts w:hint="eastAsia"/>
          <w:color w:val="000000" w:themeColor="text1"/>
          <w:sz w:val="28"/>
          <w:szCs w:val="28"/>
          <w:highlight w:val="none"/>
          <w:lang w:val="en-US" w:eastAsia="zh-CN"/>
          <w14:textFill>
            <w14:solidFill>
              <w14:schemeClr w14:val="tx1"/>
            </w14:solidFill>
          </w14:textFill>
        </w:rPr>
        <w:t>参选</w:t>
      </w:r>
      <w:r>
        <w:rPr>
          <w:rFonts w:hint="eastAsia"/>
          <w:color w:val="000000" w:themeColor="text1"/>
          <w:sz w:val="28"/>
          <w:szCs w:val="28"/>
          <w:highlight w:val="none"/>
          <w14:textFill>
            <w14:solidFill>
              <w14:schemeClr w14:val="tx1"/>
            </w14:solidFill>
          </w14:textFill>
        </w:rPr>
        <w:t>函</w:t>
      </w:r>
    </w:p>
    <w:p w14:paraId="495A5A73">
      <w:pPr>
        <w:tabs>
          <w:tab w:val="left" w:pos="5580"/>
        </w:tabs>
        <w:spacing w:before="120" w:line="360" w:lineRule="auto"/>
        <w:rPr>
          <w:rFonts w:hint="eastAsia" w:ascii="宋体" w:hAnsi="宋体"/>
          <w:color w:val="000000" w:themeColor="text1"/>
          <w:szCs w:val="21"/>
          <w:highlight w:val="none"/>
          <w14:textFill>
            <w14:solidFill>
              <w14:schemeClr w14:val="tx1"/>
            </w14:solidFill>
          </w14:textFill>
        </w:rPr>
      </w:pPr>
    </w:p>
    <w:p w14:paraId="489B2F05">
      <w:pPr>
        <w:tabs>
          <w:tab w:val="left" w:pos="5580"/>
        </w:tabs>
        <w:spacing w:before="120"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lang w:eastAsia="zh-CN"/>
          <w14:textFill>
            <w14:solidFill>
              <w14:schemeClr w14:val="tx1"/>
            </w14:solidFill>
          </w14:textFill>
        </w:rPr>
        <w:t>安庆市通和深龙城市运营服务有限公司</w:t>
      </w:r>
    </w:p>
    <w:p w14:paraId="0837FB19">
      <w:pPr>
        <w:widowControl w:val="0"/>
        <w:numPr>
          <w:ilvl w:val="0"/>
          <w:numId w:val="0"/>
        </w:numPr>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ascii="宋体" w:hAnsi="宋体" w:eastAsia="宋体" w:cs="Courier New"/>
          <w:color w:val="auto"/>
          <w:kern w:val="2"/>
          <w:sz w:val="21"/>
          <w:szCs w:val="21"/>
          <w:lang w:val="en-US" w:eastAsia="zh-CN" w:bidi="ar-SA"/>
        </w:rPr>
        <w:t>1、</w:t>
      </w:r>
      <w:r>
        <w:rPr>
          <w:rFonts w:hint="eastAsia" w:ascii="宋体" w:hAnsi="宋体" w:eastAsia="宋体" w:cs="Courier New"/>
          <w:color w:val="auto"/>
          <w:kern w:val="2"/>
          <w:sz w:val="21"/>
          <w:szCs w:val="21"/>
          <w:highlight w:val="none"/>
          <w:lang w:val="en-US" w:eastAsia="zh-CN" w:bidi="ar-SA"/>
        </w:rPr>
        <w:t>根据贵方比选公告，我方决定参加贵方组织的</w:t>
      </w:r>
      <w:r>
        <w:rPr>
          <w:rFonts w:hint="eastAsia" w:ascii="宋体" w:hAnsi="宋体" w:cs="Courier New"/>
          <w:color w:val="auto"/>
          <w:kern w:val="2"/>
          <w:sz w:val="21"/>
          <w:szCs w:val="21"/>
          <w:highlight w:val="none"/>
          <w:lang w:val="en-US" w:eastAsia="zh-CN" w:bidi="ar-SA"/>
        </w:rPr>
        <w:t xml:space="preserve"> </w:t>
      </w:r>
      <w:r>
        <w:rPr>
          <w:rFonts w:hint="eastAsia" w:ascii="宋体" w:hAnsi="宋体" w:cs="Courier New"/>
          <w:color w:val="auto"/>
          <w:kern w:val="2"/>
          <w:sz w:val="21"/>
          <w:szCs w:val="21"/>
          <w:highlight w:val="none"/>
          <w:u w:val="single"/>
          <w:lang w:val="en-US" w:eastAsia="zh-CN" w:bidi="ar-SA"/>
        </w:rPr>
        <w:t>安庆市交通控股集团电梯维保服务</w:t>
      </w:r>
      <w:r>
        <w:rPr>
          <w:rFonts w:hint="eastAsia" w:ascii="宋体" w:hAnsi="宋体" w:cs="Courier New"/>
          <w:color w:val="auto"/>
          <w:kern w:val="2"/>
          <w:sz w:val="21"/>
          <w:szCs w:val="21"/>
          <w:highlight w:val="none"/>
          <w:u w:val="none"/>
          <w:lang w:val="en-US" w:eastAsia="zh-CN" w:bidi="ar-SA"/>
        </w:rPr>
        <w:t>项目</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14:paraId="683C1CB9">
      <w:pPr>
        <w:widowControl w:val="0"/>
        <w:numPr>
          <w:ilvl w:val="0"/>
          <w:numId w:val="0"/>
        </w:numPr>
        <w:tabs>
          <w:tab w:val="left" w:pos="5580"/>
        </w:tabs>
        <w:spacing w:line="360" w:lineRule="auto"/>
        <w:ind w:firstLine="420" w:firstLineChars="200"/>
        <w:jc w:val="both"/>
        <w:rPr>
          <w:rFonts w:hint="eastAsia"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lang w:val="en-US" w:eastAsia="zh-CN" w:bidi="ar-SA"/>
        </w:rPr>
        <w:t>2、</w:t>
      </w:r>
      <w:r>
        <w:rPr>
          <w:rFonts w:hint="eastAsia" w:ascii="宋体" w:hAnsi="宋体" w:eastAsia="宋体" w:cs="Courier New"/>
          <w:color w:val="auto"/>
          <w:kern w:val="2"/>
          <w:sz w:val="21"/>
          <w:szCs w:val="21"/>
          <w:highlight w:val="none"/>
          <w:lang w:val="en-US" w:eastAsia="zh-CN" w:bidi="ar-SA"/>
        </w:rPr>
        <w:t>我方充分了解并完全响应比选文件的全部内容，愿意按照比选文件规定的各项要求，向采购人提供所需的货物和服务</w:t>
      </w:r>
      <w:r>
        <w:rPr>
          <w:rFonts w:hint="eastAsia" w:ascii="宋体" w:hAnsi="宋体" w:cs="Courier New"/>
          <w:color w:val="auto"/>
          <w:kern w:val="2"/>
          <w:sz w:val="21"/>
          <w:szCs w:val="21"/>
          <w:highlight w:val="none"/>
          <w:lang w:val="en-US" w:eastAsia="zh-CN" w:bidi="ar-SA"/>
        </w:rPr>
        <w:t>，</w:t>
      </w:r>
      <w:r>
        <w:rPr>
          <w:rFonts w:hint="eastAsia" w:ascii="宋体" w:hAnsi="宋体" w:eastAsia="宋体" w:cs="Courier New"/>
          <w:color w:val="auto"/>
          <w:kern w:val="2"/>
          <w:sz w:val="21"/>
          <w:szCs w:val="21"/>
          <w:highlight w:val="none"/>
          <w:lang w:val="en-US" w:eastAsia="zh-CN" w:bidi="ar-SA"/>
        </w:rPr>
        <w:t>比选</w:t>
      </w:r>
      <w:r>
        <w:rPr>
          <w:rFonts w:hint="eastAsia" w:ascii="宋体" w:hAnsi="宋体" w:cs="Courier New"/>
          <w:color w:val="auto"/>
          <w:kern w:val="2"/>
          <w:sz w:val="21"/>
          <w:szCs w:val="21"/>
          <w:highlight w:val="none"/>
          <w:lang w:val="en-US" w:eastAsia="zh-CN" w:bidi="ar-SA"/>
        </w:rPr>
        <w:t>报价</w:t>
      </w:r>
      <w:r>
        <w:rPr>
          <w:rFonts w:hint="eastAsia" w:ascii="宋体" w:hAnsi="宋体" w:eastAsia="宋体" w:cs="Courier New"/>
          <w:color w:val="auto"/>
          <w:kern w:val="2"/>
          <w:sz w:val="21"/>
          <w:szCs w:val="21"/>
          <w:highlight w:val="none"/>
          <w:lang w:val="en-US" w:eastAsia="zh-CN" w:bidi="ar-SA"/>
        </w:rPr>
        <w:t>为（大写）</w:t>
      </w:r>
      <w:r>
        <w:rPr>
          <w:rFonts w:hint="eastAsia" w:ascii="宋体" w:hAnsi="宋体" w:cs="Courier New"/>
          <w:color w:val="auto"/>
          <w:kern w:val="2"/>
          <w:sz w:val="21"/>
          <w:szCs w:val="21"/>
          <w:highlight w:val="none"/>
          <w:u w:val="single"/>
          <w:lang w:val="en-US" w:eastAsia="zh-CN" w:bidi="ar-SA"/>
        </w:rPr>
        <w:t>人民币</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；(小写)</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w:t>
      </w:r>
    </w:p>
    <w:p w14:paraId="68D039BC">
      <w:pPr>
        <w:widowControl w:val="0"/>
        <w:tabs>
          <w:tab w:val="left" w:pos="5580"/>
        </w:tabs>
        <w:spacing w:line="360" w:lineRule="auto"/>
        <w:ind w:firstLine="420" w:firstLineChars="200"/>
        <w:jc w:val="both"/>
        <w:rPr>
          <w:rFonts w:hint="default"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w:t>
      </w:r>
      <w:r>
        <w:rPr>
          <w:rFonts w:hint="eastAsia" w:ascii="宋体" w:hAnsi="宋体" w:cs="Courier New"/>
          <w:color w:val="auto"/>
          <w:kern w:val="2"/>
          <w:sz w:val="21"/>
          <w:szCs w:val="21"/>
          <w:highlight w:val="none"/>
          <w:lang w:val="en-US" w:eastAsia="zh-CN" w:bidi="ar-SA"/>
        </w:rPr>
        <w:t>。</w:t>
      </w:r>
    </w:p>
    <w:p w14:paraId="6298CB79">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14:paraId="7D99544C">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14:paraId="6E9DFEAC">
      <w:pPr>
        <w:pStyle w:val="33"/>
        <w:tabs>
          <w:tab w:val="left" w:pos="5580"/>
        </w:tabs>
        <w:spacing w:line="360" w:lineRule="auto"/>
        <w:ind w:firstLine="417" w:firstLineChars="199"/>
        <w:rPr>
          <w:rFonts w:hAnsi="宋体"/>
          <w:color w:val="000000" w:themeColor="text1"/>
          <w:highlight w:val="none"/>
          <w14:textFill>
            <w14:solidFill>
              <w14:schemeClr w14:val="tx1"/>
            </w14:solidFill>
          </w14:textFill>
        </w:rPr>
      </w:pPr>
    </w:p>
    <w:p w14:paraId="0B36ADF1">
      <w:pPr>
        <w:pStyle w:val="33"/>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43CC0CDC">
      <w:pPr>
        <w:pStyle w:val="33"/>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1A920B26">
      <w:pPr>
        <w:pStyle w:val="33"/>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1C92C56E">
      <w:pPr>
        <w:pStyle w:val="33"/>
        <w:tabs>
          <w:tab w:val="left" w:pos="5580"/>
        </w:tabs>
        <w:spacing w:line="480" w:lineRule="auto"/>
        <w:ind w:right="360" w:firstLine="3570" w:firstLineChars="1700"/>
        <w:jc w:val="right"/>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参选人：</w:t>
      </w:r>
      <w:r>
        <w:rPr>
          <w:rFonts w:hint="eastAsia" w:hAnsi="宋体"/>
          <w:color w:val="000000" w:themeColor="text1"/>
          <w:highlight w:val="none"/>
          <w:u w:val="single"/>
          <w14:textFill>
            <w14:solidFill>
              <w14:schemeClr w14:val="tx1"/>
            </w14:solidFill>
          </w14:textFill>
        </w:rPr>
        <w:t xml:space="preserve">                           （盖章）</w:t>
      </w:r>
    </w:p>
    <w:p w14:paraId="667CCC6D">
      <w:pPr>
        <w:pStyle w:val="33"/>
        <w:tabs>
          <w:tab w:val="left" w:pos="5580"/>
        </w:tabs>
        <w:wordWrap w:val="0"/>
        <w:spacing w:line="480" w:lineRule="auto"/>
        <w:ind w:firstLine="420" w:firstLineChars="200"/>
        <w:jc w:val="right"/>
        <w:rPr>
          <w:rFonts w:hint="eastAsia" w:hAnsi="宋体" w:eastAsia="宋体"/>
          <w:color w:val="000000" w:themeColor="text1"/>
          <w:highlight w:val="none"/>
          <w:u w:val="single"/>
          <w:lang w:val="en-US" w:eastAsia="zh-CN"/>
          <w14:textFill>
            <w14:solidFill>
              <w14:schemeClr w14:val="tx1"/>
            </w14:solidFill>
          </w14:textFill>
        </w:rPr>
      </w:pPr>
      <w:r>
        <w:rPr>
          <w:rFonts w:hint="eastAsia" w:hAnsi="宋体"/>
          <w:color w:val="000000" w:themeColor="text1"/>
          <w:highlight w:val="none"/>
          <w14:textFill>
            <w14:solidFill>
              <w14:schemeClr w14:val="tx1"/>
            </w14:solidFill>
          </w14:textFill>
        </w:rPr>
        <w:t>单位地址：</w:t>
      </w:r>
      <w:r>
        <w:rPr>
          <w:rFonts w:hint="eastAsia" w:hAnsi="宋体"/>
          <w:color w:val="000000" w:themeColor="text1"/>
          <w:highlight w:val="none"/>
          <w:u w:val="single"/>
          <w:lang w:val="en-US" w:eastAsia="zh-CN"/>
          <w14:textFill>
            <w14:solidFill>
              <w14:schemeClr w14:val="tx1"/>
            </w14:solidFill>
          </w14:textFill>
        </w:rPr>
        <w:t xml:space="preserve">                     </w:t>
      </w:r>
    </w:p>
    <w:p w14:paraId="43481D2E">
      <w:pPr>
        <w:pStyle w:val="33"/>
        <w:tabs>
          <w:tab w:val="left" w:pos="5580"/>
        </w:tabs>
        <w:spacing w:line="480" w:lineRule="auto"/>
        <w:ind w:firstLine="3570" w:firstLineChars="1700"/>
        <w:jc w:val="right"/>
        <w:rPr>
          <w:rFonts w:hAnsi="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法定代表人或委托代理人：</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u w:val="single"/>
          <w:lang w:val="en-US" w:eastAsia="zh-CN"/>
          <w14:textFill>
            <w14:solidFill>
              <w14:schemeClr w14:val="tx1"/>
            </w14:solidFill>
          </w14:textFill>
        </w:rPr>
        <w:t xml:space="preserve">  </w:t>
      </w:r>
      <w:r>
        <w:rPr>
          <w:rFonts w:hint="eastAsia" w:hAnsi="宋体" w:cs="宋体"/>
          <w:color w:val="000000" w:themeColor="text1"/>
          <w:highlight w:val="none"/>
          <w:u w:val="single"/>
          <w14:textFill>
            <w14:solidFill>
              <w14:schemeClr w14:val="tx1"/>
            </w14:solidFill>
          </w14:textFill>
        </w:rPr>
        <w:t>（签字或盖章）</w:t>
      </w:r>
    </w:p>
    <w:p w14:paraId="793D07B6">
      <w:pPr>
        <w:pStyle w:val="33"/>
        <w:tabs>
          <w:tab w:val="left" w:pos="5580"/>
        </w:tabs>
        <w:spacing w:line="480" w:lineRule="auto"/>
        <w:ind w:firstLine="3570" w:firstLineChars="1700"/>
        <w:jc w:val="righ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日期：       年      月      日</w:t>
      </w:r>
    </w:p>
    <w:p w14:paraId="147DCB8C">
      <w:pPr>
        <w:pStyle w:val="23"/>
        <w:rPr>
          <w:color w:val="000000" w:themeColor="text1"/>
          <w:highlight w:val="none"/>
          <w14:textFill>
            <w14:solidFill>
              <w14:schemeClr w14:val="tx1"/>
            </w14:solidFill>
          </w14:textFill>
        </w:rPr>
      </w:pPr>
    </w:p>
    <w:p w14:paraId="3B5E7300">
      <w:pPr>
        <w:rPr>
          <w:rFonts w:hint="eastAsia" w:cs="宋体"/>
          <w:color w:val="000000" w:themeColor="text1"/>
          <w:highlight w:val="none"/>
          <w14:textFill>
            <w14:solidFill>
              <w14:schemeClr w14:val="tx1"/>
            </w14:solidFill>
          </w14:textFill>
        </w:rPr>
      </w:pPr>
      <w:bookmarkStart w:id="66" w:name="_Toc54941350"/>
      <w:bookmarkStart w:id="67" w:name="_Toc476584438"/>
      <w:r>
        <w:rPr>
          <w:rFonts w:hint="eastAsia" w:cs="宋体"/>
          <w:color w:val="000000" w:themeColor="text1"/>
          <w:highlight w:val="none"/>
          <w14:textFill>
            <w14:solidFill>
              <w14:schemeClr w14:val="tx1"/>
            </w14:solidFill>
          </w14:textFill>
        </w:rPr>
        <w:br w:type="page"/>
      </w:r>
    </w:p>
    <w:p w14:paraId="2503387B">
      <w:pPr>
        <w:keepNext/>
        <w:keepLines/>
        <w:widowControl w:val="0"/>
        <w:shd w:val="clear" w:color="auto" w:fill="FFFFFF"/>
        <w:wordWrap w:val="0"/>
        <w:spacing w:line="360" w:lineRule="exact"/>
        <w:jc w:val="center"/>
        <w:outlineLvl w:val="2"/>
        <w:rPr>
          <w:rFonts w:ascii="宋体" w:hAnsi="宋体" w:eastAsia="宋体" w:cs="Times New Roman"/>
          <w:b/>
          <w:color w:val="auto"/>
          <w:kern w:val="2"/>
          <w:sz w:val="28"/>
          <w:szCs w:val="28"/>
          <w:highlight w:val="none"/>
          <w:bdr w:val="single" w:color="auto" w:sz="4" w:space="0"/>
          <w:shd w:val="clear" w:color="auto" w:fill="FFFFFF"/>
          <w:lang w:val="en-US" w:eastAsia="zh-CN" w:bidi="ar-SA"/>
        </w:rPr>
      </w:pPr>
      <w:r>
        <w:rPr>
          <w:rFonts w:hint="eastAsia" w:ascii="宋体" w:hAnsi="宋体" w:eastAsia="宋体" w:cs="宋体"/>
          <w:b/>
          <w:color w:val="auto"/>
          <w:kern w:val="2"/>
          <w:sz w:val="28"/>
          <w:szCs w:val="28"/>
          <w:highlight w:val="none"/>
          <w:shd w:val="clear" w:color="auto" w:fill="FFFFFF"/>
          <w:lang w:val="en-US" w:eastAsia="zh-CN" w:bidi="ar-SA"/>
        </w:rPr>
        <w:t>二、</w:t>
      </w:r>
      <w:r>
        <w:rPr>
          <w:rFonts w:hint="eastAsia" w:ascii="宋体" w:hAnsi="宋体" w:eastAsia="宋体" w:cs="Times New Roman"/>
          <w:b/>
          <w:color w:val="auto"/>
          <w:kern w:val="2"/>
          <w:sz w:val="28"/>
          <w:szCs w:val="28"/>
          <w:highlight w:val="none"/>
          <w:shd w:val="clear" w:color="auto" w:fill="FFFFFF"/>
          <w:lang w:val="en-US" w:eastAsia="zh-CN" w:bidi="ar-SA"/>
        </w:rPr>
        <w:t>报价表</w:t>
      </w:r>
    </w:p>
    <w:p w14:paraId="3999EBD1">
      <w:pPr>
        <w:spacing w:line="360" w:lineRule="auto"/>
        <w:ind w:firstLine="420" w:firstLineChars="200"/>
        <w:rPr>
          <w:rFonts w:ascii="仿宋" w:hAnsi="仿宋" w:eastAsia="仿宋" w:cs="Times New Roman"/>
          <w:color w:val="auto"/>
          <w:szCs w:val="21"/>
          <w:highlight w:val="none"/>
        </w:rPr>
      </w:pPr>
    </w:p>
    <w:p w14:paraId="48D287CC">
      <w:pPr>
        <w:widowControl w:val="0"/>
        <w:autoSpaceDE w:val="0"/>
        <w:autoSpaceDN w:val="0"/>
        <w:adjustRightInd w:val="0"/>
        <w:ind w:firstLine="420"/>
        <w:jc w:val="left"/>
        <w:rPr>
          <w:rFonts w:ascii="宋体" w:hAnsi="Times New Roman" w:eastAsia="宋体" w:cs="Times New Roman"/>
          <w:color w:val="auto"/>
          <w:kern w:val="0"/>
          <w:sz w:val="24"/>
          <w:szCs w:val="20"/>
          <w:highlight w:val="none"/>
          <w:lang w:val="en-US" w:eastAsia="zh-CN" w:bidi="ar-SA"/>
        </w:rPr>
      </w:pPr>
    </w:p>
    <w:p w14:paraId="7E612FB6">
      <w:pPr>
        <w:spacing w:line="360" w:lineRule="auto"/>
        <w:rPr>
          <w:rFonts w:ascii="Times New Roman" w:hAnsi="Times New Roman" w:eastAsia="宋体" w:cs="Times New Roman"/>
          <w:color w:val="auto"/>
          <w:sz w:val="24"/>
          <w:szCs w:val="24"/>
          <w:highlight w:val="none"/>
        </w:rPr>
      </w:pPr>
      <w:r>
        <w:rPr>
          <w:rFonts w:hint="eastAsia" w:ascii="宋体" w:hAnsi="宋体" w:eastAsia="宋体" w:cs="Times New Roman"/>
          <w:color w:val="auto"/>
          <w:szCs w:val="21"/>
          <w:highlight w:val="none"/>
        </w:rPr>
        <w:t>项目名称：</w:t>
      </w:r>
      <w:r>
        <w:rPr>
          <w:rFonts w:ascii="宋体" w:hAnsi="宋体" w:eastAsia="宋体" w:cs="Times New Roman"/>
          <w:color w:val="auto"/>
          <w:szCs w:val="21"/>
          <w:highlight w:val="none"/>
        </w:rPr>
        <w:t xml:space="preserve">  </w:t>
      </w:r>
    </w:p>
    <w:p w14:paraId="4DAEAD69">
      <w:pPr>
        <w:spacing w:line="360" w:lineRule="auto"/>
        <w:rPr>
          <w:rFonts w:ascii="Times New Roman" w:hAnsi="Times New Roman" w:eastAsia="仿宋" w:cs="Times New Roman"/>
          <w:color w:val="auto"/>
          <w:kern w:val="0"/>
          <w:sz w:val="24"/>
          <w:szCs w:val="24"/>
          <w:highlight w:val="none"/>
          <w:lang w:val="zh-CN"/>
        </w:rPr>
      </w:pPr>
      <w:r>
        <w:rPr>
          <w:rFonts w:hint="eastAsia" w:ascii="宋体" w:hAnsi="宋体" w:eastAsia="宋体" w:cs="Times New Roman"/>
          <w:color w:val="auto"/>
          <w:szCs w:val="21"/>
          <w:highlight w:val="none"/>
        </w:rPr>
        <w:t>项目编号：</w:t>
      </w:r>
      <w:r>
        <w:rPr>
          <w:rFonts w:ascii="宋体" w:hAnsi="宋体" w:eastAsia="宋体" w:cs="Times New Roman"/>
          <w:color w:val="auto"/>
          <w:szCs w:val="21"/>
          <w:highlight w:val="none"/>
        </w:rPr>
        <w:t xml:space="preserve"> </w:t>
      </w:r>
    </w:p>
    <w:tbl>
      <w:tblPr>
        <w:tblStyle w:val="63"/>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167"/>
      </w:tblGrid>
      <w:tr w14:paraId="4CD7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restart"/>
            <w:vAlign w:val="center"/>
          </w:tcPr>
          <w:p w14:paraId="58A5E178">
            <w:pPr>
              <w:keepNext w:val="0"/>
              <w:keepLines w:val="0"/>
              <w:suppressLineNumbers w:val="0"/>
              <w:spacing w:before="0" w:beforeAutospacing="0" w:after="0" w:afterAutospacing="0" w:line="400" w:lineRule="exact"/>
              <w:ind w:left="0" w:right="0"/>
              <w:jc w:val="center"/>
              <w:rPr>
                <w:rFonts w:hint="eastAsia" w:hAnsi="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服务</w:t>
            </w:r>
          </w:p>
          <w:p w14:paraId="7ECE6965">
            <w:pPr>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color w:val="auto"/>
                <w:sz w:val="24"/>
                <w:szCs w:val="24"/>
                <w:highlight w:val="none"/>
                <w:lang w:eastAsia="zh-CN"/>
              </w:rPr>
            </w:pPr>
            <w:r>
              <w:rPr>
                <w:rFonts w:hint="eastAsia" w:ascii="Times New Roman" w:hAnsi="宋体" w:eastAsia="宋体" w:cs="Times New Roman"/>
                <w:color w:val="auto"/>
                <w:sz w:val="24"/>
                <w:szCs w:val="24"/>
                <w:highlight w:val="none"/>
              </w:rPr>
              <w:t>报价</w:t>
            </w:r>
            <w:r>
              <w:rPr>
                <w:rFonts w:hint="eastAsia" w:hAnsi="宋体" w:cs="Times New Roman"/>
                <w:color w:val="auto"/>
                <w:sz w:val="24"/>
                <w:szCs w:val="24"/>
                <w:highlight w:val="none"/>
                <w:lang w:eastAsia="zh-CN"/>
              </w:rPr>
              <w:t>（</w:t>
            </w:r>
            <w:r>
              <w:rPr>
                <w:rFonts w:hint="eastAsia" w:hAnsi="宋体" w:cs="Times New Roman"/>
                <w:color w:val="auto"/>
                <w:sz w:val="24"/>
                <w:szCs w:val="24"/>
                <w:highlight w:val="none"/>
                <w:lang w:val="en-US" w:eastAsia="zh-CN"/>
              </w:rPr>
              <w:t>元</w:t>
            </w:r>
            <w:r>
              <w:rPr>
                <w:rFonts w:hint="eastAsia" w:hAnsi="宋体" w:cs="Times New Roman"/>
                <w:color w:val="auto"/>
                <w:sz w:val="24"/>
                <w:szCs w:val="24"/>
                <w:highlight w:val="none"/>
                <w:lang w:eastAsia="zh-CN"/>
              </w:rPr>
              <w:t>）</w:t>
            </w:r>
          </w:p>
        </w:tc>
        <w:tc>
          <w:tcPr>
            <w:tcW w:w="8167" w:type="dxa"/>
            <w:vAlign w:val="center"/>
          </w:tcPr>
          <w:p w14:paraId="1D199301">
            <w:pPr>
              <w:keepNext w:val="0"/>
              <w:keepLines w:val="0"/>
              <w:suppressLineNumbers w:val="0"/>
              <w:wordWrap w:val="0"/>
              <w:spacing w:before="0" w:beforeAutospacing="0" w:after="0" w:afterAutospacing="0" w:line="400" w:lineRule="exact"/>
              <w:ind w:left="0" w:right="0"/>
              <w:rPr>
                <w:rFonts w:hint="eastAsia" w:ascii="Times New Roman" w:hAnsi="Times New Roman" w:eastAsia="宋体" w:cs="Times New Roman"/>
                <w:color w:val="auto"/>
                <w:sz w:val="24"/>
                <w:szCs w:val="24"/>
                <w:highlight w:val="none"/>
                <w:lang w:val="en-US" w:eastAsia="zh-CN"/>
              </w:rPr>
            </w:pPr>
            <w:r>
              <w:rPr>
                <w:rFonts w:hint="eastAsia" w:ascii="Times New Roman" w:hAnsi="宋体" w:eastAsia="宋体" w:cs="Times New Roman"/>
                <w:color w:val="auto"/>
                <w:sz w:val="24"/>
                <w:szCs w:val="24"/>
                <w:highlight w:val="none"/>
              </w:rPr>
              <w:t>大写：</w:t>
            </w:r>
            <w:r>
              <w:rPr>
                <w:rFonts w:hint="eastAsia" w:hAnsi="宋体" w:cs="Times New Roman"/>
                <w:color w:val="auto"/>
                <w:sz w:val="24"/>
                <w:szCs w:val="24"/>
                <w:highlight w:val="none"/>
                <w:lang w:val="en-US" w:eastAsia="zh-CN"/>
              </w:rPr>
              <w:t>人民币</w:t>
            </w:r>
            <w:r>
              <w:rPr>
                <w:rFonts w:hint="default" w:ascii="Times New Roman" w:hAnsi="Times New Roman" w:eastAsia="宋体" w:cs="Times New Roman"/>
                <w:color w:val="auto"/>
                <w:sz w:val="24"/>
                <w:szCs w:val="24"/>
                <w:highlight w:val="none"/>
              </w:rPr>
              <w:t xml:space="preserve">                  </w:t>
            </w:r>
          </w:p>
        </w:tc>
      </w:tr>
      <w:tr w14:paraId="02B4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continue"/>
            <w:vAlign w:val="center"/>
          </w:tcPr>
          <w:p w14:paraId="3C868E03">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highlight w:val="none"/>
              </w:rPr>
            </w:pPr>
          </w:p>
        </w:tc>
        <w:tc>
          <w:tcPr>
            <w:tcW w:w="8167" w:type="dxa"/>
            <w:vAlign w:val="center"/>
          </w:tcPr>
          <w:p w14:paraId="0C9DAACA">
            <w:pPr>
              <w:keepNext w:val="0"/>
              <w:keepLines w:val="0"/>
              <w:suppressLineNumbers w:val="0"/>
              <w:wordWrap w:val="0"/>
              <w:spacing w:before="0" w:beforeAutospacing="0" w:after="0" w:afterAutospacing="0"/>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小写：</w:t>
            </w:r>
            <w:r>
              <w:rPr>
                <w:rFonts w:hint="default" w:ascii="Times New Roman" w:hAnsi="宋体" w:eastAsia="宋体" w:cs="Times New Roman"/>
                <w:color w:val="auto"/>
                <w:sz w:val="24"/>
                <w:szCs w:val="24"/>
                <w:highlight w:val="none"/>
              </w:rPr>
              <w:t xml:space="preserve">                 </w:t>
            </w:r>
          </w:p>
        </w:tc>
      </w:tr>
      <w:tr w14:paraId="40CF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630" w:type="dxa"/>
            <w:gridSpan w:val="2"/>
            <w:vAlign w:val="center"/>
          </w:tcPr>
          <w:p w14:paraId="0BDF1B5A">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注：</w:t>
            </w:r>
          </w:p>
          <w:p w14:paraId="22A87956">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default" w:ascii="Times New Roman" w:hAnsi="宋体" w:eastAsia="宋体" w:cs="Times New Roman"/>
                <w:color w:val="auto"/>
                <w:sz w:val="24"/>
                <w:szCs w:val="24"/>
                <w:highlight w:val="none"/>
              </w:rPr>
              <w:t>1</w:t>
            </w:r>
            <w:r>
              <w:rPr>
                <w:rFonts w:hint="eastAsia" w:ascii="Times New Roman" w:hAnsi="宋体" w:eastAsia="宋体" w:cs="Times New Roman"/>
                <w:color w:val="auto"/>
                <w:sz w:val="24"/>
                <w:szCs w:val="24"/>
                <w:highlight w:val="none"/>
              </w:rPr>
              <w:t>、</w:t>
            </w:r>
            <w:r>
              <w:rPr>
                <w:rFonts w:hint="eastAsia" w:ascii="Times New Roman" w:hAnsi="宋体" w:eastAsia="宋体" w:cs="Times New Roman"/>
                <w:color w:val="auto"/>
                <w:sz w:val="24"/>
                <w:szCs w:val="24"/>
                <w:highlight w:val="none"/>
                <w:lang w:val="en-US" w:eastAsia="zh-CN"/>
              </w:rPr>
              <w:t>参选人报价不得高于比选最高投标限价。</w:t>
            </w:r>
          </w:p>
        </w:tc>
      </w:tr>
    </w:tbl>
    <w:p w14:paraId="4B6EE6EC">
      <w:pPr>
        <w:spacing w:line="360" w:lineRule="auto"/>
        <w:rPr>
          <w:rFonts w:ascii="宋体" w:hAnsi="Times New Roman" w:eastAsia="宋体" w:cs="Times New Roman"/>
          <w:b/>
          <w:color w:val="auto"/>
          <w:sz w:val="24"/>
          <w:szCs w:val="24"/>
          <w:highlight w:val="none"/>
        </w:rPr>
      </w:pPr>
    </w:p>
    <w:p w14:paraId="416CA73D">
      <w:pPr>
        <w:spacing w:line="360" w:lineRule="auto"/>
        <w:rPr>
          <w:rFonts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rPr>
        <w:t>（此表须法定代表人</w:t>
      </w:r>
      <w:r>
        <w:rPr>
          <w:rFonts w:hint="eastAsia" w:ascii="宋体" w:hAnsi="宋体" w:eastAsia="宋体" w:cs="Times New Roman"/>
          <w:b/>
          <w:color w:val="auto"/>
          <w:sz w:val="24"/>
          <w:szCs w:val="24"/>
          <w:highlight w:val="none"/>
          <w:lang w:val="en-US" w:eastAsia="zh-CN"/>
        </w:rPr>
        <w:t>签字或盖章，并</w:t>
      </w:r>
      <w:r>
        <w:rPr>
          <w:rFonts w:hint="eastAsia" w:ascii="宋体" w:hAnsi="宋体" w:eastAsia="宋体" w:cs="Times New Roman"/>
          <w:b/>
          <w:color w:val="auto"/>
          <w:sz w:val="24"/>
          <w:szCs w:val="24"/>
          <w:highlight w:val="none"/>
        </w:rPr>
        <w:t>加盖参选人公章）</w:t>
      </w:r>
    </w:p>
    <w:p w14:paraId="033E804A">
      <w:pPr>
        <w:spacing w:line="360" w:lineRule="auto"/>
        <w:ind w:firstLine="3465" w:firstLineChars="1650"/>
        <w:rPr>
          <w:rFonts w:ascii="宋体" w:hAnsi="Times New Roman" w:eastAsia="宋体" w:cs="Times New Roman"/>
          <w:color w:val="auto"/>
          <w:szCs w:val="21"/>
          <w:highlight w:val="none"/>
        </w:rPr>
      </w:pPr>
    </w:p>
    <w:p w14:paraId="41F7C5A0">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参选人：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（盖章）</w:t>
      </w:r>
    </w:p>
    <w:p w14:paraId="28547B7C">
      <w:pPr>
        <w:spacing w:line="360" w:lineRule="auto"/>
        <w:ind w:firstLine="3561" w:firstLineChars="1696"/>
        <w:jc w:val="right"/>
        <w:rPr>
          <w:rFonts w:ascii="宋体" w:hAnsi="Times New Roman" w:eastAsia="宋体" w:cs="Times New Roman"/>
          <w:color w:val="auto"/>
          <w:szCs w:val="21"/>
          <w:highlight w:val="none"/>
        </w:rPr>
      </w:pPr>
    </w:p>
    <w:p w14:paraId="401E03FA">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法定代表人：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签字或</w:t>
      </w:r>
      <w:r>
        <w:rPr>
          <w:rFonts w:hint="eastAsia" w:ascii="宋体" w:hAnsi="宋体" w:eastAsia="宋体" w:cs="Times New Roman"/>
          <w:color w:val="auto"/>
          <w:szCs w:val="21"/>
          <w:highlight w:val="none"/>
        </w:rPr>
        <w:t>签章）</w:t>
      </w:r>
    </w:p>
    <w:p w14:paraId="589B7B99">
      <w:pPr>
        <w:spacing w:line="360" w:lineRule="auto"/>
        <w:ind w:firstLine="3570" w:firstLineChars="1700"/>
        <w:jc w:val="right"/>
        <w:rPr>
          <w:rFonts w:ascii="宋体" w:hAnsi="Times New Roman" w:eastAsia="宋体" w:cs="Times New Roman"/>
          <w:color w:val="auto"/>
          <w:szCs w:val="21"/>
          <w:highlight w:val="none"/>
        </w:rPr>
      </w:pPr>
    </w:p>
    <w:p w14:paraId="305FC995">
      <w:pPr>
        <w:spacing w:line="360" w:lineRule="auto"/>
        <w:ind w:firstLine="3570" w:firstLineChars="1700"/>
        <w:jc w:val="right"/>
        <w:rPr>
          <w:rFonts w:ascii="宋体"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日</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期：</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日</w:t>
      </w:r>
    </w:p>
    <w:p w14:paraId="7D91F84B">
      <w:pPr>
        <w:pStyle w:val="24"/>
        <w:rPr>
          <w:rFonts w:hint="eastAsia" w:cs="宋体"/>
          <w:color w:val="000000" w:themeColor="text1"/>
          <w:highlight w:val="none"/>
          <w14:textFill>
            <w14:solidFill>
              <w14:schemeClr w14:val="tx1"/>
            </w14:solidFill>
          </w14:textFill>
        </w:rPr>
      </w:pPr>
    </w:p>
    <w:p w14:paraId="4AB0172A">
      <w:pPr>
        <w:pStyle w:val="24"/>
        <w:rPr>
          <w:rFonts w:hint="eastAsia" w:cs="宋体"/>
          <w:color w:val="000000" w:themeColor="text1"/>
          <w:highlight w:val="none"/>
          <w14:textFill>
            <w14:solidFill>
              <w14:schemeClr w14:val="tx1"/>
            </w14:solidFill>
          </w14:textFill>
        </w:rPr>
      </w:pPr>
    </w:p>
    <w:p w14:paraId="49842201">
      <w:pPr>
        <w:pStyle w:val="24"/>
        <w:rPr>
          <w:rFonts w:hint="eastAsia" w:cs="宋体"/>
          <w:color w:val="000000" w:themeColor="text1"/>
          <w:highlight w:val="none"/>
          <w14:textFill>
            <w14:solidFill>
              <w14:schemeClr w14:val="tx1"/>
            </w14:solidFill>
          </w14:textFill>
        </w:rPr>
      </w:pPr>
    </w:p>
    <w:p w14:paraId="6A70C89D">
      <w:pPr>
        <w:rPr>
          <w:rFonts w:hint="eastAsia" w:cs="宋体"/>
          <w:color w:val="000000" w:themeColor="text1"/>
          <w:highlight w:val="none"/>
          <w14:textFill>
            <w14:solidFill>
              <w14:schemeClr w14:val="tx1"/>
            </w14:solidFill>
          </w14:textFill>
        </w:rPr>
      </w:pPr>
    </w:p>
    <w:p w14:paraId="4C02CB8D">
      <w:pPr>
        <w:pStyle w:val="23"/>
        <w:rPr>
          <w:rFonts w:hint="eastAsia" w:cs="宋体"/>
          <w:color w:val="000000" w:themeColor="text1"/>
          <w:highlight w:val="none"/>
          <w14:textFill>
            <w14:solidFill>
              <w14:schemeClr w14:val="tx1"/>
            </w14:solidFill>
          </w14:textFill>
        </w:rPr>
      </w:pPr>
    </w:p>
    <w:p w14:paraId="3A884D95">
      <w:pPr>
        <w:pStyle w:val="23"/>
        <w:rPr>
          <w:rFonts w:hint="eastAsia" w:cs="宋体"/>
          <w:color w:val="000000" w:themeColor="text1"/>
          <w:highlight w:val="none"/>
          <w14:textFill>
            <w14:solidFill>
              <w14:schemeClr w14:val="tx1"/>
            </w14:solidFill>
          </w14:textFill>
        </w:rPr>
      </w:pPr>
    </w:p>
    <w:p w14:paraId="391D1596">
      <w:pPr>
        <w:pStyle w:val="24"/>
        <w:rPr>
          <w:rFonts w:hint="eastAsia" w:cs="宋体"/>
          <w:color w:val="000000" w:themeColor="text1"/>
          <w:highlight w:val="none"/>
          <w14:textFill>
            <w14:solidFill>
              <w14:schemeClr w14:val="tx1"/>
            </w14:solidFill>
          </w14:textFill>
        </w:rPr>
      </w:pPr>
    </w:p>
    <w:p w14:paraId="4E113030">
      <w:pPr>
        <w:pStyle w:val="24"/>
        <w:rPr>
          <w:rFonts w:hint="eastAsia" w:cs="宋体"/>
          <w:color w:val="000000" w:themeColor="text1"/>
          <w:highlight w:val="none"/>
          <w14:textFill>
            <w14:solidFill>
              <w14:schemeClr w14:val="tx1"/>
            </w14:solidFill>
          </w14:textFill>
        </w:rPr>
      </w:pPr>
    </w:p>
    <w:p w14:paraId="7391A58E">
      <w:pPr>
        <w:pStyle w:val="24"/>
        <w:rPr>
          <w:rFonts w:hint="eastAsia" w:cs="宋体"/>
          <w:color w:val="000000" w:themeColor="text1"/>
          <w:highlight w:val="none"/>
          <w14:textFill>
            <w14:solidFill>
              <w14:schemeClr w14:val="tx1"/>
            </w14:solidFill>
          </w14:textFill>
        </w:rPr>
      </w:pPr>
    </w:p>
    <w:p w14:paraId="5EE3E80E">
      <w:pPr>
        <w:pStyle w:val="24"/>
        <w:rPr>
          <w:rFonts w:hint="eastAsia" w:cs="宋体"/>
          <w:color w:val="000000" w:themeColor="text1"/>
          <w:highlight w:val="none"/>
          <w14:textFill>
            <w14:solidFill>
              <w14:schemeClr w14:val="tx1"/>
            </w14:solidFill>
          </w14:textFill>
        </w:rPr>
      </w:pPr>
    </w:p>
    <w:p w14:paraId="3CD95474">
      <w:pPr>
        <w:pStyle w:val="24"/>
        <w:rPr>
          <w:rFonts w:hint="eastAsia" w:cs="宋体"/>
          <w:color w:val="000000" w:themeColor="text1"/>
          <w:highlight w:val="none"/>
          <w14:textFill>
            <w14:solidFill>
              <w14:schemeClr w14:val="tx1"/>
            </w14:solidFill>
          </w14:textFill>
        </w:rPr>
      </w:pPr>
    </w:p>
    <w:p w14:paraId="7657735D">
      <w:pPr>
        <w:pStyle w:val="24"/>
        <w:rPr>
          <w:rFonts w:hint="eastAsia" w:cs="宋体"/>
          <w:color w:val="000000" w:themeColor="text1"/>
          <w:highlight w:val="none"/>
          <w14:textFill>
            <w14:solidFill>
              <w14:schemeClr w14:val="tx1"/>
            </w14:solidFill>
          </w14:textFill>
        </w:rPr>
      </w:pPr>
    </w:p>
    <w:p w14:paraId="1D07BED9">
      <w:pPr>
        <w:rPr>
          <w:rFonts w:hint="eastAsia" w:ascii="Times New Roman" w:hAnsi="Times New Roman" w:eastAsia="宋体" w:cs="Times New Roman"/>
        </w:rPr>
      </w:pPr>
    </w:p>
    <w:p w14:paraId="1A15DBB4">
      <w:pPr>
        <w:pStyle w:val="24"/>
        <w:rPr>
          <w:rFonts w:hint="eastAsia"/>
        </w:rPr>
      </w:pPr>
    </w:p>
    <w:bookmarkEnd w:id="66"/>
    <w:bookmarkEnd w:id="67"/>
    <w:p w14:paraId="178C4C8E">
      <w:pPr>
        <w:numPr>
          <w:ilvl w:val="0"/>
          <w:numId w:val="7"/>
        </w:numPr>
        <w:spacing w:line="440" w:lineRule="exact"/>
        <w:ind w:firstLine="562" w:firstLineChars="200"/>
        <w:jc w:val="center"/>
        <w:rPr>
          <w:rFonts w:hint="eastAsia" w:ascii="宋体" w:hAnsi="宋体" w:eastAsia="宋体" w:cs="宋体"/>
          <w:b/>
          <w:color w:val="auto"/>
          <w:kern w:val="2"/>
          <w:sz w:val="28"/>
          <w:szCs w:val="28"/>
          <w:highlight w:val="none"/>
          <w:shd w:val="clear" w:color="auto" w:fill="FFFFFF"/>
          <w:lang w:val="en-US" w:eastAsia="zh-CN" w:bidi="ar-SA"/>
        </w:rPr>
      </w:pPr>
      <w:r>
        <w:rPr>
          <w:rFonts w:hint="eastAsia" w:ascii="宋体" w:hAnsi="宋体" w:eastAsia="宋体" w:cs="宋体"/>
          <w:b/>
          <w:color w:val="auto"/>
          <w:kern w:val="2"/>
          <w:sz w:val="28"/>
          <w:szCs w:val="28"/>
          <w:highlight w:val="none"/>
          <w:shd w:val="clear" w:color="auto" w:fill="FFFFFF"/>
          <w:lang w:val="en-US" w:eastAsia="zh-CN" w:bidi="ar-SA"/>
        </w:rPr>
        <w:t>诚信投标承诺书</w:t>
      </w:r>
    </w:p>
    <w:p w14:paraId="41F9D345">
      <w:pPr>
        <w:numPr>
          <w:ilvl w:val="0"/>
          <w:numId w:val="0"/>
        </w:numPr>
        <w:spacing w:line="440" w:lineRule="exact"/>
        <w:jc w:val="both"/>
        <w:rPr>
          <w:rFonts w:hint="eastAsia" w:ascii="宋体" w:hAnsi="宋体" w:eastAsia="宋体" w:cs="宋体"/>
          <w:b/>
          <w:color w:val="auto"/>
          <w:kern w:val="2"/>
          <w:sz w:val="28"/>
          <w:szCs w:val="28"/>
          <w:highlight w:val="none"/>
          <w:shd w:val="clear" w:color="auto" w:fill="FFFFFF"/>
          <w:lang w:val="en-US" w:eastAsia="zh-CN" w:bidi="ar-SA"/>
        </w:rPr>
      </w:pPr>
    </w:p>
    <w:p w14:paraId="164306C6">
      <w:pPr>
        <w:spacing w:line="44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本人以企业法定代表人（或个体工商户经营者）的身份郑重承诺：</w:t>
      </w:r>
    </w:p>
    <w:p w14:paraId="2729DEF4">
      <w:pPr>
        <w:spacing w:line="44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一、将遵循公开、公正和诚实信用的原则自愿参加</w:t>
      </w:r>
      <w:r>
        <w:rPr>
          <w:rFonts w:hint="eastAsia" w:ascii="仿宋" w:hAnsi="仿宋" w:eastAsia="仿宋" w:cs="仿宋"/>
          <w:b/>
          <w:bCs/>
          <w:color w:val="000000"/>
          <w:sz w:val="24"/>
          <w:szCs w:val="24"/>
          <w:u w:val="single"/>
          <w:lang w:val="en-US" w:eastAsia="zh-CN"/>
        </w:rPr>
        <w:t xml:space="preserve">                  </w:t>
      </w:r>
      <w:r>
        <w:rPr>
          <w:rFonts w:hint="eastAsia" w:ascii="仿宋" w:hAnsi="仿宋" w:eastAsia="仿宋" w:cs="仿宋"/>
          <w:b/>
          <w:bCs/>
          <w:color w:val="000000"/>
          <w:sz w:val="24"/>
          <w:szCs w:val="24"/>
        </w:rPr>
        <w:t>项目的比选招标；</w:t>
      </w:r>
    </w:p>
    <w:p w14:paraId="2C7845A4">
      <w:pPr>
        <w:spacing w:line="44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 xml:space="preserve">二、所提供的一切材料都是真实、有效、合法的；  </w:t>
      </w:r>
    </w:p>
    <w:p w14:paraId="48683F1C">
      <w:pPr>
        <w:spacing w:line="44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 xml:space="preserve">三、不出借、转让资质证书，不让他人挂靠投标，不以他人名义投标或者以其他方式弄虚作假，骗取中标；  </w:t>
      </w:r>
    </w:p>
    <w:p w14:paraId="236FE7FA">
      <w:pPr>
        <w:spacing w:line="44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 xml:space="preserve">四、不与其他参选人相互串通投标报价，不排挤其他参选人的公平竞争、损害采购人的合法权益；  </w:t>
      </w:r>
    </w:p>
    <w:p w14:paraId="4C1CCD74">
      <w:pPr>
        <w:spacing w:line="44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 xml:space="preserve">五、不与采购单位或其他参选人串通投标，损害国家利益、社会公共利益或者他人的合法权益；  </w:t>
      </w:r>
    </w:p>
    <w:p w14:paraId="1AB46236">
      <w:pPr>
        <w:spacing w:line="44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 xml:space="preserve">六、严格遵守开标现场纪律，服从监管人员管理；  </w:t>
      </w:r>
    </w:p>
    <w:p w14:paraId="15961E71">
      <w:pPr>
        <w:spacing w:line="44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七、保证中标后不转包，若有合法分包征得采购人同意；</w:t>
      </w:r>
    </w:p>
    <w:p w14:paraId="2DE89A00">
      <w:pPr>
        <w:spacing w:line="44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八、保证中标之后，按照参选文件承诺提供货物、服务及派驻人员；</w:t>
      </w:r>
    </w:p>
    <w:p w14:paraId="20364DF0">
      <w:pPr>
        <w:spacing w:line="44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九、保证企业及所属相关人员在本次投标中无行贿等犯罪行为；</w:t>
      </w:r>
    </w:p>
    <w:p w14:paraId="771F3023">
      <w:pPr>
        <w:spacing w:line="44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 xml:space="preserve">十、如在投标过程和评标结果公告异议期内发生投诉行为，保证按相关要求进行。投诉内容符合要求，投诉材料加盖企业公章或由法定代表人或个体工商户经营者或其授权委托人签字，并附有关身份证明。不恶意投诉，对本公司提供的投诉线索的真实性负责。 </w:t>
      </w:r>
    </w:p>
    <w:p w14:paraId="1997F4B0">
      <w:pPr>
        <w:spacing w:line="44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十一、我方保证对本次招标活动有任何疑问或投诉，都依法在规定的时间内提出。否则，不针对本次招标活动提出任何异议或投诉。</w:t>
      </w:r>
    </w:p>
    <w:p w14:paraId="74C24144">
      <w:pPr>
        <w:spacing w:line="44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以上内容我已仔细阅读，本公司若有违反承诺内容的行为，自愿承担比选文件确定的责任和法律责任并接受相关行政部门给予的处理和处罚。给采购人造成损失的，依法承担赔偿责任。</w:t>
      </w:r>
    </w:p>
    <w:p w14:paraId="1F18CCEE">
      <w:pPr>
        <w:rPr>
          <w:rFonts w:ascii="仿宋" w:hAnsi="仿宋" w:eastAsia="仿宋" w:cs="仿宋"/>
          <w:b/>
          <w:bCs/>
          <w:color w:val="000000"/>
          <w:sz w:val="22"/>
          <w:szCs w:val="22"/>
        </w:rPr>
      </w:pPr>
    </w:p>
    <w:p w14:paraId="1A4AB942">
      <w:pPr>
        <w:rPr>
          <w:rFonts w:ascii="仿宋" w:hAnsi="仿宋" w:eastAsia="仿宋" w:cs="仿宋"/>
          <w:b/>
          <w:bCs/>
          <w:color w:val="000000"/>
          <w:sz w:val="22"/>
          <w:szCs w:val="22"/>
        </w:rPr>
      </w:pPr>
    </w:p>
    <w:p w14:paraId="3D6D4EB9">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 xml:space="preserve">                                   参选人（盖章）：</w:t>
      </w:r>
    </w:p>
    <w:p w14:paraId="5ECB87A5">
      <w:pPr>
        <w:jc w:val="right"/>
        <w:rPr>
          <w:rFonts w:ascii="仿宋" w:hAnsi="仿宋" w:eastAsia="仿宋" w:cs="仿宋"/>
          <w:b/>
          <w:bCs/>
          <w:color w:val="000000"/>
          <w:sz w:val="24"/>
          <w:szCs w:val="24"/>
        </w:rPr>
      </w:pPr>
    </w:p>
    <w:p w14:paraId="042CD5E1">
      <w:pPr>
        <w:jc w:val="right"/>
        <w:rPr>
          <w:rFonts w:ascii="仿宋" w:hAnsi="仿宋" w:eastAsia="仿宋" w:cs="仿宋"/>
          <w:b/>
          <w:bCs/>
          <w:color w:val="000000"/>
          <w:sz w:val="24"/>
          <w:szCs w:val="24"/>
        </w:rPr>
      </w:pPr>
    </w:p>
    <w:p w14:paraId="2B699C38">
      <w:pPr>
        <w:ind w:right="480"/>
        <w:jc w:val="right"/>
        <w:rPr>
          <w:rFonts w:ascii="仿宋" w:hAnsi="仿宋" w:eastAsia="仿宋" w:cs="仿宋"/>
          <w:b/>
          <w:bCs/>
          <w:color w:val="000000"/>
          <w:sz w:val="24"/>
          <w:szCs w:val="24"/>
        </w:rPr>
      </w:pPr>
      <w:r>
        <w:rPr>
          <w:rFonts w:hint="eastAsia" w:ascii="仿宋" w:hAnsi="仿宋" w:eastAsia="仿宋" w:cs="仿宋"/>
          <w:b/>
          <w:bCs/>
          <w:color w:val="000000"/>
          <w:sz w:val="24"/>
          <w:szCs w:val="24"/>
        </w:rPr>
        <w:t>日期：_____年____月____日</w:t>
      </w:r>
    </w:p>
    <w:p w14:paraId="7FFC3F31">
      <w:pPr>
        <w:rPr>
          <w:rFonts w:hint="eastAsia" w:ascii="宋体" w:hAnsi="宋体" w:eastAsia="宋体" w:cs="宋体"/>
          <w:b/>
          <w:color w:val="auto"/>
          <w:kern w:val="2"/>
          <w:sz w:val="21"/>
          <w:highlight w:val="none"/>
          <w:shd w:val="clear" w:color="auto" w:fill="FFFFFF"/>
          <w:lang w:val="en-US" w:eastAsia="zh-CN" w:bidi="ar-SA"/>
        </w:rPr>
      </w:pPr>
      <w:r>
        <w:rPr>
          <w:rFonts w:hint="eastAsia" w:ascii="宋体" w:hAnsi="宋体" w:eastAsia="宋体" w:cs="宋体"/>
          <w:b/>
          <w:color w:val="auto"/>
          <w:kern w:val="2"/>
          <w:sz w:val="21"/>
          <w:highlight w:val="none"/>
          <w:shd w:val="clear" w:color="auto" w:fill="FFFFFF"/>
          <w:lang w:val="en-US" w:eastAsia="zh-CN" w:bidi="ar-SA"/>
        </w:rPr>
        <w:br w:type="page"/>
      </w:r>
    </w:p>
    <w:p w14:paraId="27602A5C">
      <w:pPr>
        <w:keepNext/>
        <w:keepLines/>
        <w:widowControl w:val="0"/>
        <w:shd w:val="clear" w:color="auto" w:fill="FFFFFF"/>
        <w:wordWrap w:val="0"/>
        <w:spacing w:line="360" w:lineRule="exact"/>
        <w:jc w:val="center"/>
        <w:outlineLvl w:val="2"/>
        <w:rPr>
          <w:rFonts w:ascii="宋体" w:hAnsi="宋体" w:eastAsia="宋体" w:cs="宋体"/>
          <w:b/>
          <w:color w:val="auto"/>
          <w:kern w:val="2"/>
          <w:sz w:val="28"/>
          <w:szCs w:val="28"/>
          <w:highlight w:val="none"/>
          <w:bdr w:val="single" w:color="auto" w:sz="4" w:space="0"/>
          <w:shd w:val="clear" w:color="auto" w:fill="FFFFFF"/>
          <w:lang w:val="en-US" w:eastAsia="zh-CN" w:bidi="ar-SA"/>
        </w:rPr>
      </w:pPr>
      <w:r>
        <w:rPr>
          <w:rFonts w:hint="eastAsia" w:ascii="宋体" w:hAnsi="宋体" w:cs="宋体"/>
          <w:b/>
          <w:color w:val="auto"/>
          <w:kern w:val="2"/>
          <w:sz w:val="28"/>
          <w:szCs w:val="28"/>
          <w:highlight w:val="none"/>
          <w:shd w:val="clear" w:color="auto" w:fill="FFFFFF"/>
          <w:lang w:val="en-US" w:eastAsia="zh-CN" w:bidi="ar-SA"/>
        </w:rPr>
        <w:t>四、</w:t>
      </w:r>
      <w:r>
        <w:rPr>
          <w:rFonts w:hint="eastAsia" w:ascii="宋体" w:hAnsi="宋体" w:eastAsia="宋体" w:cs="宋体"/>
          <w:b/>
          <w:color w:val="auto"/>
          <w:kern w:val="2"/>
          <w:sz w:val="28"/>
          <w:szCs w:val="28"/>
          <w:highlight w:val="none"/>
          <w:shd w:val="clear" w:color="auto" w:fill="FFFFFF"/>
          <w:lang w:val="en-US" w:eastAsia="zh-CN" w:bidi="ar-SA"/>
        </w:rPr>
        <w:t>相关证明文件</w:t>
      </w:r>
    </w:p>
    <w:p w14:paraId="42A5C751">
      <w:pPr>
        <w:spacing w:line="360" w:lineRule="auto"/>
        <w:ind w:firstLine="420" w:firstLineChars="200"/>
        <w:rPr>
          <w:rFonts w:ascii="宋体" w:hAnsi="宋体" w:eastAsia="宋体" w:cs="宋体"/>
          <w:color w:val="auto"/>
          <w:szCs w:val="21"/>
          <w:highlight w:val="none"/>
        </w:rPr>
      </w:pPr>
    </w:p>
    <w:p w14:paraId="77E5E265">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1、营业执照副本复印件；</w:t>
      </w:r>
    </w:p>
    <w:p w14:paraId="564FB5DF">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2、税务登记证副本复印件；（如为三证合一的，只需提供三证合一的营业执照复印件）  </w:t>
      </w:r>
    </w:p>
    <w:p w14:paraId="2867F4C2">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3、法定代表人身份证明书（格式见附件）及其有效二代居民身份证；</w:t>
      </w:r>
    </w:p>
    <w:p w14:paraId="5EF18E38">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4、法定代表人授权委托书（格式见附件）及委托代理人有效二代居民身份证，若法定代表人本人参与比选则不需此件；</w:t>
      </w:r>
    </w:p>
    <w:p w14:paraId="6ADC2481">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、参选人认为提供的其他材料；</w:t>
      </w:r>
    </w:p>
    <w:p w14:paraId="3729AA31">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、须提供上述证明文件复印件或扫描件或影印件。</w:t>
      </w:r>
    </w:p>
    <w:p w14:paraId="2D36F005">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13257A3F">
      <w:r>
        <w:rPr>
          <w:rFonts w:ascii="宋体" w:hAnsi="宋体" w:cs="宋体"/>
          <w:b/>
          <w:color w:val="000000" w:themeColor="text1"/>
          <w:spacing w:val="-4"/>
          <w:kern w:val="0"/>
          <w:szCs w:val="21"/>
          <w:highlight w:val="none"/>
          <w14:textFill>
            <w14:solidFill>
              <w14:schemeClr w14:val="tx1"/>
            </w14:solidFill>
          </w14:textFill>
        </w:rPr>
        <w:br w:type="page"/>
      </w:r>
    </w:p>
    <w:p w14:paraId="46988711">
      <w:pPr>
        <w:spacing w:line="360" w:lineRule="auto"/>
        <w:jc w:val="left"/>
        <w:rPr>
          <w:rFonts w:ascii="宋体" w:hAnsi="宋体" w:cs="Times New Roman"/>
          <w:b/>
          <w:bCs/>
          <w:szCs w:val="21"/>
          <w:highlight w:val="none"/>
        </w:rPr>
      </w:pPr>
      <w:r>
        <w:rPr>
          <w:rFonts w:hint="eastAsia" w:ascii="宋体" w:hAnsi="宋体" w:cs="Times New Roman"/>
          <w:b/>
          <w:bCs/>
          <w:szCs w:val="24"/>
          <w:highlight w:val="none"/>
        </w:rPr>
        <w:t>附件：</w:t>
      </w:r>
    </w:p>
    <w:p w14:paraId="3254A369">
      <w:pPr>
        <w:spacing w:line="360" w:lineRule="auto"/>
        <w:ind w:firstLine="413" w:firstLineChars="196"/>
        <w:jc w:val="center"/>
        <w:rPr>
          <w:rFonts w:hint="eastAsia" w:ascii="宋体" w:hAnsi="宋体" w:eastAsia="宋体" w:cs="宋体"/>
          <w:b/>
          <w:color w:val="000000" w:themeColor="text1"/>
          <w:szCs w:val="21"/>
          <w:highlight w:val="none"/>
          <w14:textFill>
            <w14:solidFill>
              <w14:schemeClr w14:val="tx1"/>
            </w14:solidFill>
          </w14:textFill>
        </w:rPr>
      </w:pPr>
    </w:p>
    <w:p w14:paraId="738A042E">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14:paraId="5B8E0566">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095DBD71">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1C424CA8">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4A7E20B7">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1E814BBE">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14:paraId="5505AF03">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433D9C96">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38D63386">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14:paraId="3372446C">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14:paraId="1C29C262">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14:paraId="5C9BD4BC">
      <w:pPr>
        <w:pStyle w:val="84"/>
        <w:ind w:left="0" w:leftChars="0" w:firstLine="0" w:firstLineChars="0"/>
        <w:rPr>
          <w:highlight w:val="none"/>
        </w:rPr>
      </w:pPr>
    </w:p>
    <w:p w14:paraId="44728009">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14:paraId="21291CCC">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（项目名称）参选文件、签订合同等一切事宜，其法律后果由我方承担。</w:t>
      </w:r>
    </w:p>
    <w:p w14:paraId="7D12197A">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1B55BC1E">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14:paraId="104DFB8C">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14:paraId="1BD9F857">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58284541">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1348A1C3">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5316EC3B">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14:paraId="2BE61A80">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14:paraId="512DD7D0">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14:paraId="314004F6">
      <w:pPr>
        <w:wordWrap w:val="0"/>
        <w:spacing w:line="360" w:lineRule="auto"/>
        <w:ind w:right="480" w:firstLine="420" w:firstLineChars="200"/>
        <w:rPr>
          <w:rFonts w:ascii="宋体" w:hAnsi="宋体" w:cs="宋体"/>
          <w:color w:val="000000" w:themeColor="text1"/>
          <w:szCs w:val="21"/>
          <w:highlight w:val="none"/>
          <w14:textFill>
            <w14:solidFill>
              <w14:schemeClr w14:val="tx1"/>
            </w14:solidFill>
          </w14:textFill>
        </w:rPr>
      </w:pPr>
    </w:p>
    <w:sectPr>
      <w:headerReference r:id="rId11" w:type="first"/>
      <w:footerReference r:id="rId13" w:type="first"/>
      <w:headerReference r:id="rId10" w:type="default"/>
      <w:footerReference r:id="rId12" w:type="default"/>
      <w:pgSz w:w="11906" w:h="16838"/>
      <w:pgMar w:top="1440" w:right="1587" w:bottom="1440" w:left="1587" w:header="851" w:footer="992" w:gutter="0"/>
      <w:pgBorders>
        <w:top w:val="none" w:sz="0" w:space="0"/>
        <w:left w:val="none" w:sz="0" w:space="0"/>
        <w:bottom w:val="none" w:sz="0" w:space="0"/>
        <w:right w:val="none" w:sz="0" w:space="0"/>
      </w:pgBorders>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B7F54">
    <w:pPr>
      <w:pStyle w:val="40"/>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D1529">
    <w:pPr>
      <w:pStyle w:val="40"/>
      <w:framePr w:wrap="around" w:vAnchor="text" w:hAnchor="margin" w:xAlign="center" w:y="1"/>
      <w:rPr>
        <w:rStyle w:val="68"/>
      </w:rPr>
    </w:pPr>
    <w:r>
      <w:fldChar w:fldCharType="begin"/>
    </w:r>
    <w:r>
      <w:rPr>
        <w:rStyle w:val="68"/>
      </w:rPr>
      <w:instrText xml:space="preserve">PAGE  </w:instrText>
    </w:r>
    <w:r>
      <w:fldChar w:fldCharType="separate"/>
    </w:r>
    <w:r>
      <w:rPr>
        <w:rStyle w:val="68"/>
      </w:rPr>
      <w:t>1</w:t>
    </w:r>
    <w:r>
      <w:fldChar w:fldCharType="end"/>
    </w:r>
  </w:p>
  <w:p w14:paraId="3AF34359">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A1195">
    <w:pPr>
      <w:pStyle w:val="40"/>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BAC8A">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D29D8">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7D29D8">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941D7">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E44C1">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1EE44C1">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80569">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36CC5D">
                          <w:pPr>
                            <w:pStyle w:val="4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E36CC5D">
                    <w:pPr>
                      <w:pStyle w:val="4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F1DDB">
    <w:pPr>
      <w:pStyle w:val="41"/>
      <w:pBdr>
        <w:bottom w:val="none" w:color="auto" w:sz="0" w:space="0"/>
      </w:pBd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2AA44">
    <w:pPr>
      <w:pStyle w:val="41"/>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30FFB">
    <w:pPr>
      <w:pStyle w:val="41"/>
      <w:pBdr>
        <w:bottom w:val="single" w:color="auto" w:sz="4" w:space="1"/>
      </w:pBdr>
      <w:ind w:right="30"/>
      <w:jc w:val="right"/>
      <w:rPr>
        <w:u w:val="none"/>
      </w:rPr>
    </w:pPr>
    <w:r>
      <w:rPr>
        <w:rFonts w:hint="eastAsia"/>
        <w:szCs w:val="21"/>
        <w:u w:val="none"/>
      </w:rPr>
      <w:t>安庆市交通控股集团电梯维保服务</w:t>
    </w:r>
    <w:r>
      <w:rPr>
        <w:rFonts w:hint="eastAsia"/>
        <w:szCs w:val="21"/>
        <w:u w:val="none"/>
        <w:lang w:val="en-US" w:eastAsia="zh-CN"/>
      </w:rPr>
      <w:t>项目比选文件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5D646">
    <w:pPr>
      <w:pStyle w:val="41"/>
      <w:pBdr>
        <w:bottom w:val="single" w:color="auto" w:sz="4"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DB5E6">
    <w:pPr>
      <w:pStyle w:val="41"/>
      <w:pBdr>
        <w:bottom w:val="single" w:color="auto" w:sz="4" w:space="1"/>
      </w:pBdr>
      <w:jc w:val="right"/>
    </w:pPr>
    <w:r>
      <w:rPr>
        <w:rFonts w:hint="eastAsia"/>
      </w:rPr>
      <w:t>安庆市交通控股集团电梯维保服务项目比选文件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D058B"/>
    <w:multiLevelType w:val="singleLevel"/>
    <w:tmpl w:val="BF3D058B"/>
    <w:lvl w:ilvl="0" w:tentative="0">
      <w:start w:val="3"/>
      <w:numFmt w:val="chineseCounting"/>
      <w:suff w:val="space"/>
      <w:lvlText w:val="第%1章"/>
      <w:lvlJc w:val="left"/>
      <w:rPr>
        <w:rFonts w:hint="eastAsia"/>
      </w:rPr>
    </w:lvl>
  </w:abstractNum>
  <w:abstractNum w:abstractNumId="1">
    <w:nsid w:val="C4BC3CD3"/>
    <w:multiLevelType w:val="singleLevel"/>
    <w:tmpl w:val="C4BC3CD3"/>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2">
    <w:nsid w:val="F2953E28"/>
    <w:multiLevelType w:val="singleLevel"/>
    <w:tmpl w:val="F2953E28"/>
    <w:lvl w:ilvl="0" w:tentative="0">
      <w:start w:val="3"/>
      <w:numFmt w:val="chineseCounting"/>
      <w:suff w:val="nothing"/>
      <w:lvlText w:val="%1、"/>
      <w:lvlJc w:val="left"/>
      <w:rPr>
        <w:rFonts w:hint="eastAsia"/>
      </w:rPr>
    </w:lvl>
  </w:abstractNum>
  <w:abstractNum w:abstractNumId="3">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5">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1"/>
  </w:num>
  <w:num w:numId="2">
    <w:abstractNumId w:val="3"/>
  </w:num>
  <w:num w:numId="3">
    <w:abstractNumId w:val="5"/>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YWUwZjU4ZmQ0N2IyNDg4OGM0ODc0YjI1ZjMwNjA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6E5D"/>
    <w:rsid w:val="00FE506C"/>
    <w:rsid w:val="00FF22A3"/>
    <w:rsid w:val="00FF323D"/>
    <w:rsid w:val="01022145"/>
    <w:rsid w:val="014C4DA3"/>
    <w:rsid w:val="01527EDF"/>
    <w:rsid w:val="01535EB9"/>
    <w:rsid w:val="0191681C"/>
    <w:rsid w:val="019E06E3"/>
    <w:rsid w:val="01FD0DAF"/>
    <w:rsid w:val="02060261"/>
    <w:rsid w:val="022E6257"/>
    <w:rsid w:val="02555ED9"/>
    <w:rsid w:val="02B14DC7"/>
    <w:rsid w:val="02F94AB6"/>
    <w:rsid w:val="0319408F"/>
    <w:rsid w:val="032717F3"/>
    <w:rsid w:val="037261AB"/>
    <w:rsid w:val="0383243B"/>
    <w:rsid w:val="038F71C9"/>
    <w:rsid w:val="03935BFE"/>
    <w:rsid w:val="03B66504"/>
    <w:rsid w:val="03B70FA8"/>
    <w:rsid w:val="03B81543"/>
    <w:rsid w:val="03EF1A15"/>
    <w:rsid w:val="03EF27C8"/>
    <w:rsid w:val="03F1273F"/>
    <w:rsid w:val="04197674"/>
    <w:rsid w:val="041E3B9F"/>
    <w:rsid w:val="044D094D"/>
    <w:rsid w:val="046441B2"/>
    <w:rsid w:val="04753845"/>
    <w:rsid w:val="050913A9"/>
    <w:rsid w:val="050A31D6"/>
    <w:rsid w:val="051557B4"/>
    <w:rsid w:val="051F656E"/>
    <w:rsid w:val="058101E9"/>
    <w:rsid w:val="05D610DF"/>
    <w:rsid w:val="05DD4740"/>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91F0FEF"/>
    <w:rsid w:val="093164D8"/>
    <w:rsid w:val="09521B8C"/>
    <w:rsid w:val="095F36DA"/>
    <w:rsid w:val="0983332C"/>
    <w:rsid w:val="09A278BC"/>
    <w:rsid w:val="09E919F8"/>
    <w:rsid w:val="0A256191"/>
    <w:rsid w:val="0A762256"/>
    <w:rsid w:val="0A933E5C"/>
    <w:rsid w:val="0AB614DF"/>
    <w:rsid w:val="0AC91212"/>
    <w:rsid w:val="0AD53626"/>
    <w:rsid w:val="0AD96F7B"/>
    <w:rsid w:val="0B024FEC"/>
    <w:rsid w:val="0B1E73EC"/>
    <w:rsid w:val="0B244FB8"/>
    <w:rsid w:val="0B3023B0"/>
    <w:rsid w:val="0B656974"/>
    <w:rsid w:val="0BA92DF2"/>
    <w:rsid w:val="0BBA70A3"/>
    <w:rsid w:val="0C210BDA"/>
    <w:rsid w:val="0C4E7E44"/>
    <w:rsid w:val="0C601702"/>
    <w:rsid w:val="0C665C1C"/>
    <w:rsid w:val="0D587134"/>
    <w:rsid w:val="0D844B1B"/>
    <w:rsid w:val="0DB02216"/>
    <w:rsid w:val="0E0E5A47"/>
    <w:rsid w:val="0E1A3B33"/>
    <w:rsid w:val="0E513821"/>
    <w:rsid w:val="0E59465B"/>
    <w:rsid w:val="0E6574A4"/>
    <w:rsid w:val="0F051BB9"/>
    <w:rsid w:val="0F323C9D"/>
    <w:rsid w:val="0F8E2325"/>
    <w:rsid w:val="0FD35E8A"/>
    <w:rsid w:val="0FE95356"/>
    <w:rsid w:val="10745ABA"/>
    <w:rsid w:val="108005C5"/>
    <w:rsid w:val="10AB3F70"/>
    <w:rsid w:val="10C63759"/>
    <w:rsid w:val="10C90438"/>
    <w:rsid w:val="114D7560"/>
    <w:rsid w:val="1161187F"/>
    <w:rsid w:val="11717F0E"/>
    <w:rsid w:val="11800D39"/>
    <w:rsid w:val="11A8682E"/>
    <w:rsid w:val="12914286"/>
    <w:rsid w:val="129B5577"/>
    <w:rsid w:val="12B654AE"/>
    <w:rsid w:val="12BF6C3A"/>
    <w:rsid w:val="13057218"/>
    <w:rsid w:val="131F3FC3"/>
    <w:rsid w:val="132C1DDC"/>
    <w:rsid w:val="133236CD"/>
    <w:rsid w:val="133E598E"/>
    <w:rsid w:val="13682AD5"/>
    <w:rsid w:val="137B5074"/>
    <w:rsid w:val="138959E3"/>
    <w:rsid w:val="13DC787E"/>
    <w:rsid w:val="140631C3"/>
    <w:rsid w:val="14135D3F"/>
    <w:rsid w:val="14211A7C"/>
    <w:rsid w:val="142D3EB0"/>
    <w:rsid w:val="143310E5"/>
    <w:rsid w:val="14764964"/>
    <w:rsid w:val="14771CDF"/>
    <w:rsid w:val="147C0B64"/>
    <w:rsid w:val="14964B92"/>
    <w:rsid w:val="14C557AE"/>
    <w:rsid w:val="155362A8"/>
    <w:rsid w:val="15A34C73"/>
    <w:rsid w:val="15AE7982"/>
    <w:rsid w:val="15B34F99"/>
    <w:rsid w:val="15C745A0"/>
    <w:rsid w:val="15CD45BF"/>
    <w:rsid w:val="15E070C3"/>
    <w:rsid w:val="15E24861"/>
    <w:rsid w:val="15FF4448"/>
    <w:rsid w:val="16473933"/>
    <w:rsid w:val="16766FAA"/>
    <w:rsid w:val="168669B4"/>
    <w:rsid w:val="16A910FE"/>
    <w:rsid w:val="16BA21D7"/>
    <w:rsid w:val="16C32FBA"/>
    <w:rsid w:val="16D301F3"/>
    <w:rsid w:val="16FF65AF"/>
    <w:rsid w:val="172907FA"/>
    <w:rsid w:val="17653798"/>
    <w:rsid w:val="17A20397"/>
    <w:rsid w:val="17A54DB5"/>
    <w:rsid w:val="17C52D61"/>
    <w:rsid w:val="17D11706"/>
    <w:rsid w:val="180A2E6A"/>
    <w:rsid w:val="180C1DB8"/>
    <w:rsid w:val="181D2AAB"/>
    <w:rsid w:val="183364E8"/>
    <w:rsid w:val="18590648"/>
    <w:rsid w:val="1867206B"/>
    <w:rsid w:val="189D6891"/>
    <w:rsid w:val="18E67433"/>
    <w:rsid w:val="18FF04F5"/>
    <w:rsid w:val="19053D5D"/>
    <w:rsid w:val="191310CD"/>
    <w:rsid w:val="191D1EE7"/>
    <w:rsid w:val="19540444"/>
    <w:rsid w:val="19691EDC"/>
    <w:rsid w:val="19DB4ABE"/>
    <w:rsid w:val="1A475CB0"/>
    <w:rsid w:val="1A6159EB"/>
    <w:rsid w:val="1A826A8E"/>
    <w:rsid w:val="1AB31E5A"/>
    <w:rsid w:val="1ABA4CF6"/>
    <w:rsid w:val="1B1E62C5"/>
    <w:rsid w:val="1B324BB2"/>
    <w:rsid w:val="1B3E740A"/>
    <w:rsid w:val="1B522ECD"/>
    <w:rsid w:val="1B593EEC"/>
    <w:rsid w:val="1B8A679C"/>
    <w:rsid w:val="1B9708D8"/>
    <w:rsid w:val="1BA93D87"/>
    <w:rsid w:val="1BBB0703"/>
    <w:rsid w:val="1BC3580A"/>
    <w:rsid w:val="1BC80A07"/>
    <w:rsid w:val="1BEF4851"/>
    <w:rsid w:val="1C1B6D10"/>
    <w:rsid w:val="1C2F22BE"/>
    <w:rsid w:val="1C6325C6"/>
    <w:rsid w:val="1C825622"/>
    <w:rsid w:val="1CC41839"/>
    <w:rsid w:val="1CED005C"/>
    <w:rsid w:val="1D3A5FA0"/>
    <w:rsid w:val="1D6F5C49"/>
    <w:rsid w:val="1D772D50"/>
    <w:rsid w:val="1D835251"/>
    <w:rsid w:val="1E156B8A"/>
    <w:rsid w:val="1E1E0410"/>
    <w:rsid w:val="1E335D6C"/>
    <w:rsid w:val="1E494C39"/>
    <w:rsid w:val="1E550BE9"/>
    <w:rsid w:val="1E94348E"/>
    <w:rsid w:val="1F016D75"/>
    <w:rsid w:val="1F0B25BC"/>
    <w:rsid w:val="1F220E88"/>
    <w:rsid w:val="1F63494D"/>
    <w:rsid w:val="1F927BDC"/>
    <w:rsid w:val="1FD020F8"/>
    <w:rsid w:val="1FE20707"/>
    <w:rsid w:val="1FE64182"/>
    <w:rsid w:val="200C3C23"/>
    <w:rsid w:val="20281ADB"/>
    <w:rsid w:val="20325D43"/>
    <w:rsid w:val="203A2484"/>
    <w:rsid w:val="20CA3EEF"/>
    <w:rsid w:val="20E406FC"/>
    <w:rsid w:val="20F52170"/>
    <w:rsid w:val="213C22E6"/>
    <w:rsid w:val="213D2165"/>
    <w:rsid w:val="217C0935"/>
    <w:rsid w:val="21DE339D"/>
    <w:rsid w:val="21DE779E"/>
    <w:rsid w:val="21E07C0E"/>
    <w:rsid w:val="220F7F28"/>
    <w:rsid w:val="22276873"/>
    <w:rsid w:val="22851AFF"/>
    <w:rsid w:val="22943AF1"/>
    <w:rsid w:val="22C56F28"/>
    <w:rsid w:val="230961F8"/>
    <w:rsid w:val="230D47B1"/>
    <w:rsid w:val="23445819"/>
    <w:rsid w:val="234E00AF"/>
    <w:rsid w:val="237D20DD"/>
    <w:rsid w:val="237F6C4B"/>
    <w:rsid w:val="238B5CC6"/>
    <w:rsid w:val="2399026C"/>
    <w:rsid w:val="23CD2AB0"/>
    <w:rsid w:val="23E2675E"/>
    <w:rsid w:val="23ED5B9A"/>
    <w:rsid w:val="242B66E0"/>
    <w:rsid w:val="24B46637"/>
    <w:rsid w:val="25276E09"/>
    <w:rsid w:val="252D4FEE"/>
    <w:rsid w:val="253B7530"/>
    <w:rsid w:val="254A62EC"/>
    <w:rsid w:val="255B6AB3"/>
    <w:rsid w:val="25AC3811"/>
    <w:rsid w:val="25B53949"/>
    <w:rsid w:val="2609783F"/>
    <w:rsid w:val="26103D41"/>
    <w:rsid w:val="2623548B"/>
    <w:rsid w:val="262461E3"/>
    <w:rsid w:val="26513FE9"/>
    <w:rsid w:val="267A330E"/>
    <w:rsid w:val="26CB1A16"/>
    <w:rsid w:val="26CF7759"/>
    <w:rsid w:val="26FA0C40"/>
    <w:rsid w:val="270C3BDB"/>
    <w:rsid w:val="2719399B"/>
    <w:rsid w:val="273977AC"/>
    <w:rsid w:val="27854579"/>
    <w:rsid w:val="27C76EF3"/>
    <w:rsid w:val="27CE1D61"/>
    <w:rsid w:val="27E70E9B"/>
    <w:rsid w:val="282F4953"/>
    <w:rsid w:val="28332399"/>
    <w:rsid w:val="284877C3"/>
    <w:rsid w:val="285A0BC7"/>
    <w:rsid w:val="286A0B60"/>
    <w:rsid w:val="28BD335E"/>
    <w:rsid w:val="293B4D0E"/>
    <w:rsid w:val="294C32E2"/>
    <w:rsid w:val="29657F00"/>
    <w:rsid w:val="29AE7D3A"/>
    <w:rsid w:val="29D0219D"/>
    <w:rsid w:val="29D77EF3"/>
    <w:rsid w:val="29E51041"/>
    <w:rsid w:val="29F20600"/>
    <w:rsid w:val="2A391286"/>
    <w:rsid w:val="2A4F4886"/>
    <w:rsid w:val="2A7F5505"/>
    <w:rsid w:val="2ABA427C"/>
    <w:rsid w:val="2B0A2EA3"/>
    <w:rsid w:val="2B143B98"/>
    <w:rsid w:val="2B3F2753"/>
    <w:rsid w:val="2B406EFF"/>
    <w:rsid w:val="2B720822"/>
    <w:rsid w:val="2BAE19C7"/>
    <w:rsid w:val="2BB87E35"/>
    <w:rsid w:val="2BCE32E3"/>
    <w:rsid w:val="2C067B37"/>
    <w:rsid w:val="2C5379A3"/>
    <w:rsid w:val="2C974875"/>
    <w:rsid w:val="2CAD335C"/>
    <w:rsid w:val="2CF33FC6"/>
    <w:rsid w:val="2CFD4778"/>
    <w:rsid w:val="2D0B6185"/>
    <w:rsid w:val="2D216834"/>
    <w:rsid w:val="2D4F1E09"/>
    <w:rsid w:val="2D6D14C1"/>
    <w:rsid w:val="2D7D4451"/>
    <w:rsid w:val="2D9F1E50"/>
    <w:rsid w:val="2DC42A84"/>
    <w:rsid w:val="2DE60E0D"/>
    <w:rsid w:val="2DF751F3"/>
    <w:rsid w:val="2E891740"/>
    <w:rsid w:val="2EA953B6"/>
    <w:rsid w:val="2EB07040"/>
    <w:rsid w:val="2ED75A9F"/>
    <w:rsid w:val="2EFC4E63"/>
    <w:rsid w:val="2F4D56BE"/>
    <w:rsid w:val="2F5842D0"/>
    <w:rsid w:val="2F5A7523"/>
    <w:rsid w:val="2F7F5907"/>
    <w:rsid w:val="2FA13062"/>
    <w:rsid w:val="2FE36FA0"/>
    <w:rsid w:val="30055F99"/>
    <w:rsid w:val="30280E73"/>
    <w:rsid w:val="303D02A2"/>
    <w:rsid w:val="30882C93"/>
    <w:rsid w:val="314B586D"/>
    <w:rsid w:val="317C0BC3"/>
    <w:rsid w:val="31CB3665"/>
    <w:rsid w:val="31CE0296"/>
    <w:rsid w:val="31DA771B"/>
    <w:rsid w:val="32034DFD"/>
    <w:rsid w:val="3240150B"/>
    <w:rsid w:val="325D52F8"/>
    <w:rsid w:val="32902492"/>
    <w:rsid w:val="32A45F3D"/>
    <w:rsid w:val="32A82827"/>
    <w:rsid w:val="32B53456"/>
    <w:rsid w:val="33111653"/>
    <w:rsid w:val="334A479D"/>
    <w:rsid w:val="33641B20"/>
    <w:rsid w:val="33751688"/>
    <w:rsid w:val="33CF29A4"/>
    <w:rsid w:val="33EE79F7"/>
    <w:rsid w:val="34193CA8"/>
    <w:rsid w:val="34196205"/>
    <w:rsid w:val="34425A0E"/>
    <w:rsid w:val="344F2ED9"/>
    <w:rsid w:val="34711E4F"/>
    <w:rsid w:val="34733E19"/>
    <w:rsid w:val="34A93377"/>
    <w:rsid w:val="34FC56F2"/>
    <w:rsid w:val="35026F4B"/>
    <w:rsid w:val="35102324"/>
    <w:rsid w:val="355C665B"/>
    <w:rsid w:val="356E638F"/>
    <w:rsid w:val="358C2142"/>
    <w:rsid w:val="35A65B28"/>
    <w:rsid w:val="35BD418B"/>
    <w:rsid w:val="35D2375F"/>
    <w:rsid w:val="35E52AF5"/>
    <w:rsid w:val="35F8221C"/>
    <w:rsid w:val="3600792F"/>
    <w:rsid w:val="360702B8"/>
    <w:rsid w:val="360F36CE"/>
    <w:rsid w:val="3623361D"/>
    <w:rsid w:val="363C15BE"/>
    <w:rsid w:val="364F21A6"/>
    <w:rsid w:val="365D365D"/>
    <w:rsid w:val="36633A19"/>
    <w:rsid w:val="37236989"/>
    <w:rsid w:val="37256F21"/>
    <w:rsid w:val="375743B3"/>
    <w:rsid w:val="3772660A"/>
    <w:rsid w:val="37A5537B"/>
    <w:rsid w:val="37E2358C"/>
    <w:rsid w:val="37F17C4E"/>
    <w:rsid w:val="37FE4100"/>
    <w:rsid w:val="385F4816"/>
    <w:rsid w:val="3870241E"/>
    <w:rsid w:val="38DD7AB3"/>
    <w:rsid w:val="38EE00C1"/>
    <w:rsid w:val="39035FE4"/>
    <w:rsid w:val="39553EE3"/>
    <w:rsid w:val="396310BC"/>
    <w:rsid w:val="39657E94"/>
    <w:rsid w:val="39817C51"/>
    <w:rsid w:val="39921977"/>
    <w:rsid w:val="39A405D1"/>
    <w:rsid w:val="39A93CBE"/>
    <w:rsid w:val="39A9723F"/>
    <w:rsid w:val="39F234CA"/>
    <w:rsid w:val="39F32DB4"/>
    <w:rsid w:val="3A357430"/>
    <w:rsid w:val="3A5A447A"/>
    <w:rsid w:val="3A5C2DAD"/>
    <w:rsid w:val="3A6B503D"/>
    <w:rsid w:val="3AE710BD"/>
    <w:rsid w:val="3AF31761"/>
    <w:rsid w:val="3AF37A62"/>
    <w:rsid w:val="3AF63950"/>
    <w:rsid w:val="3B143534"/>
    <w:rsid w:val="3B1E43B3"/>
    <w:rsid w:val="3B2B3384"/>
    <w:rsid w:val="3B454DA1"/>
    <w:rsid w:val="3B505571"/>
    <w:rsid w:val="3B5B1163"/>
    <w:rsid w:val="3B9113BF"/>
    <w:rsid w:val="3BAE5737"/>
    <w:rsid w:val="3BC278C2"/>
    <w:rsid w:val="3BEB7484"/>
    <w:rsid w:val="3C2526F2"/>
    <w:rsid w:val="3C8D359E"/>
    <w:rsid w:val="3CAB2861"/>
    <w:rsid w:val="3CE543D4"/>
    <w:rsid w:val="3CE57675"/>
    <w:rsid w:val="3D156C40"/>
    <w:rsid w:val="3D3108F0"/>
    <w:rsid w:val="3D743AA7"/>
    <w:rsid w:val="3D92643C"/>
    <w:rsid w:val="3DBE69D1"/>
    <w:rsid w:val="3E016A21"/>
    <w:rsid w:val="3E0E6961"/>
    <w:rsid w:val="3EA971BA"/>
    <w:rsid w:val="3ECD05CA"/>
    <w:rsid w:val="3ED03C16"/>
    <w:rsid w:val="3EF773F5"/>
    <w:rsid w:val="3F035D9A"/>
    <w:rsid w:val="3F1C5008"/>
    <w:rsid w:val="3F2F6B8F"/>
    <w:rsid w:val="3F542383"/>
    <w:rsid w:val="3F8216E0"/>
    <w:rsid w:val="3F835F13"/>
    <w:rsid w:val="3F9D520F"/>
    <w:rsid w:val="3FA96891"/>
    <w:rsid w:val="3FAC01DF"/>
    <w:rsid w:val="3FDE3B17"/>
    <w:rsid w:val="3FE12CBD"/>
    <w:rsid w:val="3FF73B50"/>
    <w:rsid w:val="409A021C"/>
    <w:rsid w:val="40C32F32"/>
    <w:rsid w:val="40CB0356"/>
    <w:rsid w:val="416A0352"/>
    <w:rsid w:val="41747D82"/>
    <w:rsid w:val="4258398A"/>
    <w:rsid w:val="42586A54"/>
    <w:rsid w:val="42B26B5F"/>
    <w:rsid w:val="42B4172C"/>
    <w:rsid w:val="42ED4D97"/>
    <w:rsid w:val="42F51E9D"/>
    <w:rsid w:val="431412A9"/>
    <w:rsid w:val="43210EE4"/>
    <w:rsid w:val="436274D2"/>
    <w:rsid w:val="43C63BD6"/>
    <w:rsid w:val="441E71D2"/>
    <w:rsid w:val="445241CE"/>
    <w:rsid w:val="44A83362"/>
    <w:rsid w:val="44C9432E"/>
    <w:rsid w:val="44FD397C"/>
    <w:rsid w:val="452913FC"/>
    <w:rsid w:val="455920A4"/>
    <w:rsid w:val="45A03E30"/>
    <w:rsid w:val="45AD6A5F"/>
    <w:rsid w:val="45F75F2C"/>
    <w:rsid w:val="45F85A36"/>
    <w:rsid w:val="4618037D"/>
    <w:rsid w:val="46212B20"/>
    <w:rsid w:val="464C6002"/>
    <w:rsid w:val="46944856"/>
    <w:rsid w:val="46BC2BD8"/>
    <w:rsid w:val="46D36999"/>
    <w:rsid w:val="472E158C"/>
    <w:rsid w:val="473954E9"/>
    <w:rsid w:val="474D25DD"/>
    <w:rsid w:val="477A116A"/>
    <w:rsid w:val="478B2DD0"/>
    <w:rsid w:val="479C6D8B"/>
    <w:rsid w:val="47C50090"/>
    <w:rsid w:val="47DB5B06"/>
    <w:rsid w:val="47E80223"/>
    <w:rsid w:val="47EE4E56"/>
    <w:rsid w:val="47EF638A"/>
    <w:rsid w:val="47F97336"/>
    <w:rsid w:val="480706A9"/>
    <w:rsid w:val="48160B49"/>
    <w:rsid w:val="482173AE"/>
    <w:rsid w:val="4860600B"/>
    <w:rsid w:val="48636034"/>
    <w:rsid w:val="488B4B77"/>
    <w:rsid w:val="48B7790B"/>
    <w:rsid w:val="48E549E9"/>
    <w:rsid w:val="48EE3617"/>
    <w:rsid w:val="49033566"/>
    <w:rsid w:val="492E2E2E"/>
    <w:rsid w:val="492E43F8"/>
    <w:rsid w:val="49394063"/>
    <w:rsid w:val="4A0977B8"/>
    <w:rsid w:val="4A1D0657"/>
    <w:rsid w:val="4A1E7F2C"/>
    <w:rsid w:val="4A317C5F"/>
    <w:rsid w:val="4A560B18"/>
    <w:rsid w:val="4A7933B4"/>
    <w:rsid w:val="4ADB4211"/>
    <w:rsid w:val="4ADD7DE7"/>
    <w:rsid w:val="4AEF7951"/>
    <w:rsid w:val="4AFD5D93"/>
    <w:rsid w:val="4B367F93"/>
    <w:rsid w:val="4B6E3924"/>
    <w:rsid w:val="4BA12BC2"/>
    <w:rsid w:val="4BBE0575"/>
    <w:rsid w:val="4BE5149F"/>
    <w:rsid w:val="4BFC24EE"/>
    <w:rsid w:val="4BFE5973"/>
    <w:rsid w:val="4C224242"/>
    <w:rsid w:val="4C3D1913"/>
    <w:rsid w:val="4C40385D"/>
    <w:rsid w:val="4C485734"/>
    <w:rsid w:val="4CC0735A"/>
    <w:rsid w:val="4CCD64F4"/>
    <w:rsid w:val="4CE92A73"/>
    <w:rsid w:val="4D092279"/>
    <w:rsid w:val="4D1A0E7E"/>
    <w:rsid w:val="4D317F76"/>
    <w:rsid w:val="4D331F40"/>
    <w:rsid w:val="4D3B084B"/>
    <w:rsid w:val="4D530AA8"/>
    <w:rsid w:val="4D7E572D"/>
    <w:rsid w:val="4DA27269"/>
    <w:rsid w:val="4DEF6893"/>
    <w:rsid w:val="4E0C71FC"/>
    <w:rsid w:val="4E402B66"/>
    <w:rsid w:val="4E5F5447"/>
    <w:rsid w:val="4EA1353B"/>
    <w:rsid w:val="4EAA7FE0"/>
    <w:rsid w:val="4EB909E9"/>
    <w:rsid w:val="4F0A4DE8"/>
    <w:rsid w:val="4F534AF8"/>
    <w:rsid w:val="4F5F4C64"/>
    <w:rsid w:val="4F714FA1"/>
    <w:rsid w:val="4F763D0A"/>
    <w:rsid w:val="4FC26BC9"/>
    <w:rsid w:val="4FE53EE9"/>
    <w:rsid w:val="502C0328"/>
    <w:rsid w:val="505059C1"/>
    <w:rsid w:val="507111E9"/>
    <w:rsid w:val="50744D49"/>
    <w:rsid w:val="50827466"/>
    <w:rsid w:val="508302FA"/>
    <w:rsid w:val="50A10CF0"/>
    <w:rsid w:val="50D73662"/>
    <w:rsid w:val="50F25458"/>
    <w:rsid w:val="50F73284"/>
    <w:rsid w:val="50F97086"/>
    <w:rsid w:val="512B026F"/>
    <w:rsid w:val="51542485"/>
    <w:rsid w:val="51A34050"/>
    <w:rsid w:val="51AB5F03"/>
    <w:rsid w:val="51BA2F76"/>
    <w:rsid w:val="52320A18"/>
    <w:rsid w:val="529A036B"/>
    <w:rsid w:val="53063385"/>
    <w:rsid w:val="53412BBB"/>
    <w:rsid w:val="53500FF5"/>
    <w:rsid w:val="53530C46"/>
    <w:rsid w:val="53B611D5"/>
    <w:rsid w:val="53CB255A"/>
    <w:rsid w:val="53EB29D5"/>
    <w:rsid w:val="5418171E"/>
    <w:rsid w:val="54240A2E"/>
    <w:rsid w:val="543A0953"/>
    <w:rsid w:val="54635240"/>
    <w:rsid w:val="54D03D5B"/>
    <w:rsid w:val="551D56FC"/>
    <w:rsid w:val="554671C6"/>
    <w:rsid w:val="556D1D67"/>
    <w:rsid w:val="561D553B"/>
    <w:rsid w:val="562D6C09"/>
    <w:rsid w:val="56321E1B"/>
    <w:rsid w:val="568D3428"/>
    <w:rsid w:val="56982E14"/>
    <w:rsid w:val="56A774E2"/>
    <w:rsid w:val="56B05C18"/>
    <w:rsid w:val="57213788"/>
    <w:rsid w:val="57366542"/>
    <w:rsid w:val="575D5514"/>
    <w:rsid w:val="57793128"/>
    <w:rsid w:val="57831D16"/>
    <w:rsid w:val="579F706F"/>
    <w:rsid w:val="57D528CD"/>
    <w:rsid w:val="57E227D2"/>
    <w:rsid w:val="57EE22E8"/>
    <w:rsid w:val="57FA3D86"/>
    <w:rsid w:val="58015C98"/>
    <w:rsid w:val="581F559B"/>
    <w:rsid w:val="58236478"/>
    <w:rsid w:val="588E54CA"/>
    <w:rsid w:val="58922210"/>
    <w:rsid w:val="58A9755A"/>
    <w:rsid w:val="58AE5938"/>
    <w:rsid w:val="590C3FF5"/>
    <w:rsid w:val="59407F54"/>
    <w:rsid w:val="596A2319"/>
    <w:rsid w:val="597E1677"/>
    <w:rsid w:val="59823E17"/>
    <w:rsid w:val="59851D75"/>
    <w:rsid w:val="59937919"/>
    <w:rsid w:val="59FF543B"/>
    <w:rsid w:val="5A317655"/>
    <w:rsid w:val="5A3572F7"/>
    <w:rsid w:val="5A386DE8"/>
    <w:rsid w:val="5A3C6C73"/>
    <w:rsid w:val="5A635C5A"/>
    <w:rsid w:val="5AD81D9A"/>
    <w:rsid w:val="5ADC209B"/>
    <w:rsid w:val="5B3C6463"/>
    <w:rsid w:val="5B5E28C5"/>
    <w:rsid w:val="5B745BFD"/>
    <w:rsid w:val="5B9900F2"/>
    <w:rsid w:val="5BA34735"/>
    <w:rsid w:val="5BF467EC"/>
    <w:rsid w:val="5C043425"/>
    <w:rsid w:val="5C11169E"/>
    <w:rsid w:val="5C25339C"/>
    <w:rsid w:val="5C323CC9"/>
    <w:rsid w:val="5C34538D"/>
    <w:rsid w:val="5C441A74"/>
    <w:rsid w:val="5C447DD1"/>
    <w:rsid w:val="5C574268"/>
    <w:rsid w:val="5C6B5BC5"/>
    <w:rsid w:val="5CB86213"/>
    <w:rsid w:val="5D530D5F"/>
    <w:rsid w:val="5D9D79EF"/>
    <w:rsid w:val="5DA707E9"/>
    <w:rsid w:val="5DB70229"/>
    <w:rsid w:val="5DE11544"/>
    <w:rsid w:val="5DEE3CCB"/>
    <w:rsid w:val="5DF21B98"/>
    <w:rsid w:val="5E1216FE"/>
    <w:rsid w:val="5E575A76"/>
    <w:rsid w:val="5E60690D"/>
    <w:rsid w:val="5E68756F"/>
    <w:rsid w:val="5E7F77FB"/>
    <w:rsid w:val="5EB804F7"/>
    <w:rsid w:val="5F2B6984"/>
    <w:rsid w:val="5F6150CD"/>
    <w:rsid w:val="5F6D7533"/>
    <w:rsid w:val="5F987E63"/>
    <w:rsid w:val="5FCB28E4"/>
    <w:rsid w:val="5FCF7853"/>
    <w:rsid w:val="5FD52766"/>
    <w:rsid w:val="5FE5531C"/>
    <w:rsid w:val="60384AA2"/>
    <w:rsid w:val="607B20BE"/>
    <w:rsid w:val="60BA6EBD"/>
    <w:rsid w:val="610417D1"/>
    <w:rsid w:val="614F7E1C"/>
    <w:rsid w:val="61706E67"/>
    <w:rsid w:val="617B022B"/>
    <w:rsid w:val="61B42238"/>
    <w:rsid w:val="62233ED9"/>
    <w:rsid w:val="62247EF5"/>
    <w:rsid w:val="62CF4061"/>
    <w:rsid w:val="62E038BC"/>
    <w:rsid w:val="631430B3"/>
    <w:rsid w:val="637C5F97"/>
    <w:rsid w:val="638A11D4"/>
    <w:rsid w:val="63F41F58"/>
    <w:rsid w:val="63F76584"/>
    <w:rsid w:val="644C3BBB"/>
    <w:rsid w:val="64F32289"/>
    <w:rsid w:val="654752D4"/>
    <w:rsid w:val="65965996"/>
    <w:rsid w:val="659730E5"/>
    <w:rsid w:val="65C82F60"/>
    <w:rsid w:val="65CC5A90"/>
    <w:rsid w:val="65CE0D2C"/>
    <w:rsid w:val="65DF280D"/>
    <w:rsid w:val="663E0D58"/>
    <w:rsid w:val="66846410"/>
    <w:rsid w:val="66A24F5B"/>
    <w:rsid w:val="66A6332B"/>
    <w:rsid w:val="671F6E1E"/>
    <w:rsid w:val="67453492"/>
    <w:rsid w:val="67A02C6C"/>
    <w:rsid w:val="67E71B6D"/>
    <w:rsid w:val="67FF20E2"/>
    <w:rsid w:val="68306BC4"/>
    <w:rsid w:val="688073EB"/>
    <w:rsid w:val="68842FD3"/>
    <w:rsid w:val="689C2C37"/>
    <w:rsid w:val="68A2014F"/>
    <w:rsid w:val="68BF6DF6"/>
    <w:rsid w:val="68C43E52"/>
    <w:rsid w:val="68F55EA4"/>
    <w:rsid w:val="690B1A91"/>
    <w:rsid w:val="69201173"/>
    <w:rsid w:val="692B215E"/>
    <w:rsid w:val="698C3515"/>
    <w:rsid w:val="698E432E"/>
    <w:rsid w:val="69D41F5D"/>
    <w:rsid w:val="6A9040D6"/>
    <w:rsid w:val="6AC50223"/>
    <w:rsid w:val="6AD26CD2"/>
    <w:rsid w:val="6B016D82"/>
    <w:rsid w:val="6B2D6EEB"/>
    <w:rsid w:val="6B5F5D4D"/>
    <w:rsid w:val="6B685053"/>
    <w:rsid w:val="6BAF4A30"/>
    <w:rsid w:val="6BB93969"/>
    <w:rsid w:val="6BC06C3D"/>
    <w:rsid w:val="6C0D4AD4"/>
    <w:rsid w:val="6C3D5F2F"/>
    <w:rsid w:val="6C575222"/>
    <w:rsid w:val="6C6770B8"/>
    <w:rsid w:val="6C71768C"/>
    <w:rsid w:val="6CA125CA"/>
    <w:rsid w:val="6CB22DA1"/>
    <w:rsid w:val="6CC03E6D"/>
    <w:rsid w:val="6CD363C3"/>
    <w:rsid w:val="6CD526FE"/>
    <w:rsid w:val="6D3451EC"/>
    <w:rsid w:val="6D8855DB"/>
    <w:rsid w:val="6DE360A7"/>
    <w:rsid w:val="6DEE5CE3"/>
    <w:rsid w:val="6E245261"/>
    <w:rsid w:val="6E2D3C69"/>
    <w:rsid w:val="6EA57E47"/>
    <w:rsid w:val="6EB736CD"/>
    <w:rsid w:val="6ECE2BD2"/>
    <w:rsid w:val="6ED468F0"/>
    <w:rsid w:val="6EFF182A"/>
    <w:rsid w:val="6F011A46"/>
    <w:rsid w:val="6F33171B"/>
    <w:rsid w:val="6F7044D6"/>
    <w:rsid w:val="6F965673"/>
    <w:rsid w:val="6F9E54E7"/>
    <w:rsid w:val="6FBB10C2"/>
    <w:rsid w:val="6FDB730A"/>
    <w:rsid w:val="6FDD7DBD"/>
    <w:rsid w:val="700A4B8C"/>
    <w:rsid w:val="70227CFD"/>
    <w:rsid w:val="70334E10"/>
    <w:rsid w:val="70756248"/>
    <w:rsid w:val="707A11F3"/>
    <w:rsid w:val="707F2C23"/>
    <w:rsid w:val="709C6F93"/>
    <w:rsid w:val="71031D5F"/>
    <w:rsid w:val="71056959"/>
    <w:rsid w:val="713C0F09"/>
    <w:rsid w:val="71756B0D"/>
    <w:rsid w:val="717F5B7A"/>
    <w:rsid w:val="71866233"/>
    <w:rsid w:val="719721EE"/>
    <w:rsid w:val="71DA1240"/>
    <w:rsid w:val="71EF48DF"/>
    <w:rsid w:val="723C2110"/>
    <w:rsid w:val="725400DF"/>
    <w:rsid w:val="7270363A"/>
    <w:rsid w:val="72955F39"/>
    <w:rsid w:val="72BC3722"/>
    <w:rsid w:val="72CE4767"/>
    <w:rsid w:val="72D20B62"/>
    <w:rsid w:val="731E506B"/>
    <w:rsid w:val="73372E32"/>
    <w:rsid w:val="73400CFB"/>
    <w:rsid w:val="734A2124"/>
    <w:rsid w:val="73A017A5"/>
    <w:rsid w:val="73CE48E4"/>
    <w:rsid w:val="73E55A30"/>
    <w:rsid w:val="73E86D31"/>
    <w:rsid w:val="745771EB"/>
    <w:rsid w:val="74675EA7"/>
    <w:rsid w:val="7474601E"/>
    <w:rsid w:val="747D01F0"/>
    <w:rsid w:val="74934EEE"/>
    <w:rsid w:val="74A34E73"/>
    <w:rsid w:val="74B97E59"/>
    <w:rsid w:val="74C40EAA"/>
    <w:rsid w:val="755778E6"/>
    <w:rsid w:val="756B3B07"/>
    <w:rsid w:val="75A153E9"/>
    <w:rsid w:val="75A44ED9"/>
    <w:rsid w:val="75C16B30"/>
    <w:rsid w:val="75DC08C0"/>
    <w:rsid w:val="75F565F2"/>
    <w:rsid w:val="75FA6B3E"/>
    <w:rsid w:val="764F12E9"/>
    <w:rsid w:val="76530DD9"/>
    <w:rsid w:val="7658375B"/>
    <w:rsid w:val="7672338B"/>
    <w:rsid w:val="767D7F65"/>
    <w:rsid w:val="76856640"/>
    <w:rsid w:val="76A809F9"/>
    <w:rsid w:val="76C31579"/>
    <w:rsid w:val="774150D6"/>
    <w:rsid w:val="77494B12"/>
    <w:rsid w:val="776E39F1"/>
    <w:rsid w:val="77A70D03"/>
    <w:rsid w:val="77C35511"/>
    <w:rsid w:val="77C67389"/>
    <w:rsid w:val="77CE573C"/>
    <w:rsid w:val="77DA51F2"/>
    <w:rsid w:val="78127750"/>
    <w:rsid w:val="78593AF3"/>
    <w:rsid w:val="787A3E9B"/>
    <w:rsid w:val="787B5781"/>
    <w:rsid w:val="78B76110"/>
    <w:rsid w:val="78C733B9"/>
    <w:rsid w:val="79250FDE"/>
    <w:rsid w:val="79AB2884"/>
    <w:rsid w:val="79B7167F"/>
    <w:rsid w:val="79C124FE"/>
    <w:rsid w:val="79D7619B"/>
    <w:rsid w:val="79E1494E"/>
    <w:rsid w:val="79E14EC0"/>
    <w:rsid w:val="79FA7343"/>
    <w:rsid w:val="79FC26F3"/>
    <w:rsid w:val="7A382CBF"/>
    <w:rsid w:val="7A643FFA"/>
    <w:rsid w:val="7A811750"/>
    <w:rsid w:val="7A831561"/>
    <w:rsid w:val="7A9D2984"/>
    <w:rsid w:val="7AB160CE"/>
    <w:rsid w:val="7AB8722A"/>
    <w:rsid w:val="7AD040D4"/>
    <w:rsid w:val="7AD972A3"/>
    <w:rsid w:val="7AFD4FEE"/>
    <w:rsid w:val="7B17441B"/>
    <w:rsid w:val="7B1E128A"/>
    <w:rsid w:val="7B206841"/>
    <w:rsid w:val="7B292109"/>
    <w:rsid w:val="7B2A11CE"/>
    <w:rsid w:val="7BBB0959"/>
    <w:rsid w:val="7BCE0366"/>
    <w:rsid w:val="7BDA3403"/>
    <w:rsid w:val="7BEB0B45"/>
    <w:rsid w:val="7BF02C26"/>
    <w:rsid w:val="7C030BAC"/>
    <w:rsid w:val="7C477118"/>
    <w:rsid w:val="7C556F2D"/>
    <w:rsid w:val="7C9F2E07"/>
    <w:rsid w:val="7CB579CC"/>
    <w:rsid w:val="7D1868D9"/>
    <w:rsid w:val="7D24527D"/>
    <w:rsid w:val="7D27773C"/>
    <w:rsid w:val="7D3356C7"/>
    <w:rsid w:val="7D422172"/>
    <w:rsid w:val="7D4713B5"/>
    <w:rsid w:val="7D5976B6"/>
    <w:rsid w:val="7D92368A"/>
    <w:rsid w:val="7DA07E94"/>
    <w:rsid w:val="7DA16F04"/>
    <w:rsid w:val="7DB36601"/>
    <w:rsid w:val="7E001BC6"/>
    <w:rsid w:val="7E2D0162"/>
    <w:rsid w:val="7E321CD4"/>
    <w:rsid w:val="7EA3546E"/>
    <w:rsid w:val="7EB33EA8"/>
    <w:rsid w:val="7ED6280D"/>
    <w:rsid w:val="7F1C70BC"/>
    <w:rsid w:val="7F4406D0"/>
    <w:rsid w:val="7FC93EBA"/>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00"/>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4"/>
    <w:link w:val="169"/>
    <w:autoRedefine/>
    <w:qFormat/>
    <w:uiPriority w:val="0"/>
    <w:pPr>
      <w:keepNext/>
      <w:keepLines/>
      <w:spacing w:before="120" w:after="120" w:line="360" w:lineRule="exact"/>
      <w:jc w:val="center"/>
      <w:outlineLvl w:val="1"/>
    </w:pPr>
    <w:rPr>
      <w:rFonts w:ascii="宋体" w:hAnsi="宋体"/>
      <w:b/>
      <w:sz w:val="24"/>
      <w:szCs w:val="24"/>
    </w:rPr>
  </w:style>
  <w:style w:type="paragraph" w:styleId="5">
    <w:name w:val="heading 3"/>
    <w:basedOn w:val="1"/>
    <w:next w:val="1"/>
    <w:link w:val="213"/>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6">
    <w:name w:val="heading 4"/>
    <w:basedOn w:val="1"/>
    <w:next w:val="1"/>
    <w:link w:val="98"/>
    <w:autoRedefine/>
    <w:qFormat/>
    <w:uiPriority w:val="0"/>
    <w:pPr>
      <w:keepNext/>
      <w:keepLines/>
      <w:spacing w:before="120" w:after="120"/>
      <w:outlineLvl w:val="3"/>
    </w:pPr>
    <w:rPr>
      <w:rFonts w:ascii="Arial" w:hAnsi="Arial" w:eastAsia="黑体"/>
      <w:b/>
      <w:sz w:val="20"/>
    </w:rPr>
  </w:style>
  <w:style w:type="paragraph" w:styleId="7">
    <w:name w:val="heading 5"/>
    <w:basedOn w:val="1"/>
    <w:next w:val="4"/>
    <w:link w:val="88"/>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32"/>
    <w:autoRedefine/>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47"/>
    <w:autoRedefine/>
    <w:qFormat/>
    <w:uiPriority w:val="0"/>
    <w:pPr>
      <w:keepNext/>
      <w:keepLines/>
      <w:spacing w:before="240" w:after="64" w:line="319" w:lineRule="auto"/>
      <w:outlineLvl w:val="6"/>
    </w:pPr>
    <w:rPr>
      <w:b/>
      <w:bCs/>
      <w:sz w:val="24"/>
      <w:szCs w:val="24"/>
    </w:rPr>
  </w:style>
  <w:style w:type="paragraph" w:styleId="10">
    <w:name w:val="heading 8"/>
    <w:basedOn w:val="1"/>
    <w:next w:val="1"/>
    <w:link w:val="161"/>
    <w:autoRedefine/>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67"/>
    <w:autoRedefine/>
    <w:qFormat/>
    <w:uiPriority w:val="0"/>
    <w:pPr>
      <w:keepNext/>
      <w:keepLines/>
      <w:spacing w:before="240" w:after="64" w:line="319" w:lineRule="auto"/>
      <w:outlineLvl w:val="8"/>
    </w:pPr>
    <w:rPr>
      <w:rFonts w:ascii="Arial" w:hAnsi="Arial" w:eastAsia="黑体"/>
      <w:szCs w:val="21"/>
    </w:rPr>
  </w:style>
  <w:style w:type="character" w:default="1" w:styleId="65">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pPr>
  </w:style>
  <w:style w:type="paragraph" w:styleId="12">
    <w:name w:val="List 3"/>
    <w:basedOn w:val="1"/>
    <w:autoRedefine/>
    <w:qFormat/>
    <w:uiPriority w:val="0"/>
    <w:pPr>
      <w:ind w:left="1260" w:hanging="420"/>
    </w:pPr>
  </w:style>
  <w:style w:type="paragraph" w:styleId="13">
    <w:name w:val="toc 7"/>
    <w:basedOn w:val="1"/>
    <w:next w:val="1"/>
    <w:autoRedefine/>
    <w:qFormat/>
    <w:uiPriority w:val="0"/>
    <w:pPr>
      <w:ind w:left="1260"/>
      <w:jc w:val="left"/>
    </w:pPr>
    <w:rPr>
      <w:sz w:val="18"/>
    </w:rPr>
  </w:style>
  <w:style w:type="paragraph" w:styleId="14">
    <w:name w:val="List Number 2"/>
    <w:basedOn w:val="1"/>
    <w:autoRedefine/>
    <w:qFormat/>
    <w:uiPriority w:val="0"/>
    <w:pPr>
      <w:tabs>
        <w:tab w:val="left" w:pos="1440"/>
      </w:tabs>
      <w:spacing w:line="360" w:lineRule="auto"/>
      <w:ind w:left="1440" w:hanging="1440"/>
    </w:pPr>
    <w:rPr>
      <w:sz w:val="24"/>
      <w:szCs w:val="24"/>
    </w:rPr>
  </w:style>
  <w:style w:type="paragraph" w:styleId="15">
    <w:name w:val="index 8"/>
    <w:basedOn w:val="1"/>
    <w:next w:val="1"/>
    <w:autoRedefine/>
    <w:qFormat/>
    <w:uiPriority w:val="0"/>
    <w:pPr>
      <w:ind w:left="2940"/>
    </w:pPr>
  </w:style>
  <w:style w:type="paragraph" w:styleId="16">
    <w:name w:val="List Number"/>
    <w:basedOn w:val="1"/>
    <w:autoRedefine/>
    <w:qFormat/>
    <w:uiPriority w:val="0"/>
    <w:pPr>
      <w:tabs>
        <w:tab w:val="left" w:pos="2952"/>
      </w:tabs>
      <w:ind w:left="2952" w:hanging="432"/>
    </w:pPr>
    <w:rPr>
      <w:szCs w:val="24"/>
    </w:rPr>
  </w:style>
  <w:style w:type="paragraph" w:styleId="17">
    <w:name w:val="index 5"/>
    <w:basedOn w:val="1"/>
    <w:next w:val="1"/>
    <w:autoRedefine/>
    <w:qFormat/>
    <w:uiPriority w:val="0"/>
    <w:pPr>
      <w:ind w:left="1680"/>
    </w:pPr>
  </w:style>
  <w:style w:type="paragraph" w:styleId="18">
    <w:name w:val="Document Map"/>
    <w:basedOn w:val="1"/>
    <w:link w:val="206"/>
    <w:autoRedefine/>
    <w:qFormat/>
    <w:uiPriority w:val="0"/>
    <w:pPr>
      <w:shd w:val="clear" w:color="auto" w:fill="000080"/>
    </w:pPr>
    <w:rPr>
      <w:rFonts w:ascii="宋体"/>
      <w:sz w:val="18"/>
      <w:szCs w:val="18"/>
    </w:rPr>
  </w:style>
  <w:style w:type="paragraph" w:styleId="19">
    <w:name w:val="annotation text"/>
    <w:basedOn w:val="1"/>
    <w:link w:val="138"/>
    <w:autoRedefine/>
    <w:qFormat/>
    <w:uiPriority w:val="99"/>
    <w:pPr>
      <w:jc w:val="left"/>
    </w:pPr>
    <w:rPr>
      <w:sz w:val="20"/>
    </w:rPr>
  </w:style>
  <w:style w:type="paragraph" w:styleId="20">
    <w:name w:val="index 6"/>
    <w:basedOn w:val="1"/>
    <w:next w:val="1"/>
    <w:autoRedefine/>
    <w:qFormat/>
    <w:uiPriority w:val="0"/>
    <w:pPr>
      <w:ind w:left="2100"/>
    </w:pPr>
  </w:style>
  <w:style w:type="paragraph" w:styleId="21">
    <w:name w:val="Salutation"/>
    <w:basedOn w:val="1"/>
    <w:next w:val="1"/>
    <w:link w:val="202"/>
    <w:autoRedefine/>
    <w:qFormat/>
    <w:uiPriority w:val="0"/>
    <w:rPr>
      <w:rFonts w:ascii="仿宋_GB2312" w:eastAsia="仿宋_GB2312"/>
      <w:sz w:val="20"/>
    </w:rPr>
  </w:style>
  <w:style w:type="paragraph" w:styleId="22">
    <w:name w:val="Body Text 3"/>
    <w:basedOn w:val="1"/>
    <w:link w:val="99"/>
    <w:autoRedefine/>
    <w:qFormat/>
    <w:uiPriority w:val="0"/>
    <w:rPr>
      <w:rFonts w:ascii="仿宋_GB2312" w:hAnsi="Arial" w:eastAsia="仿宋_GB2312"/>
      <w:sz w:val="20"/>
    </w:rPr>
  </w:style>
  <w:style w:type="paragraph" w:styleId="23">
    <w:name w:val="Body Text"/>
    <w:basedOn w:val="1"/>
    <w:next w:val="24"/>
    <w:link w:val="86"/>
    <w:autoRedefine/>
    <w:qFormat/>
    <w:uiPriority w:val="0"/>
    <w:rPr>
      <w:rFonts w:ascii="楷体_GB2312" w:hAnsi="Arial" w:eastAsia="楷体_GB2312"/>
      <w:sz w:val="20"/>
    </w:rPr>
  </w:style>
  <w:style w:type="paragraph" w:customStyle="1" w:styleId="24">
    <w:name w:val="Default"/>
    <w:next w:val="25"/>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styleId="26">
    <w:name w:val="Body Text Indent"/>
    <w:basedOn w:val="1"/>
    <w:next w:val="27"/>
    <w:link w:val="179"/>
    <w:autoRedefine/>
    <w:qFormat/>
    <w:uiPriority w:val="0"/>
    <w:pPr>
      <w:ind w:firstLine="645"/>
    </w:pPr>
    <w:rPr>
      <w:sz w:val="20"/>
    </w:rPr>
  </w:style>
  <w:style w:type="paragraph" w:styleId="27">
    <w:name w:val="envelope return"/>
    <w:basedOn w:val="1"/>
    <w:next w:val="28"/>
    <w:autoRedefine/>
    <w:unhideWhenUsed/>
    <w:qFormat/>
    <w:uiPriority w:val="99"/>
    <w:pPr>
      <w:snapToGrid w:val="0"/>
    </w:pPr>
    <w:rPr>
      <w:rFonts w:hint="eastAsia" w:ascii="Arial" w:hAnsi="Arial"/>
    </w:rPr>
  </w:style>
  <w:style w:type="paragraph" w:styleId="28">
    <w:name w:val="Title"/>
    <w:basedOn w:val="1"/>
    <w:next w:val="1"/>
    <w:link w:val="180"/>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29">
    <w:name w:val="List Bullet 2"/>
    <w:basedOn w:val="1"/>
    <w:autoRedefine/>
    <w:semiHidden/>
    <w:unhideWhenUsed/>
    <w:qFormat/>
    <w:uiPriority w:val="99"/>
    <w:pPr>
      <w:numPr>
        <w:ilvl w:val="0"/>
        <w:numId w:val="1"/>
      </w:numPr>
    </w:pPr>
  </w:style>
  <w:style w:type="paragraph" w:styleId="30">
    <w:name w:val="index 4"/>
    <w:basedOn w:val="1"/>
    <w:next w:val="1"/>
    <w:autoRedefine/>
    <w:qFormat/>
    <w:uiPriority w:val="0"/>
    <w:pPr>
      <w:ind w:left="1260"/>
    </w:pPr>
  </w:style>
  <w:style w:type="paragraph" w:styleId="31">
    <w:name w:val="toc 5"/>
    <w:basedOn w:val="1"/>
    <w:next w:val="1"/>
    <w:autoRedefine/>
    <w:qFormat/>
    <w:uiPriority w:val="0"/>
    <w:pPr>
      <w:ind w:left="840"/>
      <w:jc w:val="left"/>
    </w:pPr>
    <w:rPr>
      <w:sz w:val="18"/>
    </w:rPr>
  </w:style>
  <w:style w:type="paragraph" w:styleId="32">
    <w:name w:val="toc 3"/>
    <w:basedOn w:val="1"/>
    <w:next w:val="1"/>
    <w:autoRedefine/>
    <w:qFormat/>
    <w:uiPriority w:val="39"/>
    <w:pPr>
      <w:ind w:left="420"/>
      <w:jc w:val="left"/>
    </w:pPr>
    <w:rPr>
      <w:i/>
      <w:sz w:val="20"/>
    </w:rPr>
  </w:style>
  <w:style w:type="paragraph" w:styleId="33">
    <w:name w:val="Plain Text"/>
    <w:basedOn w:val="1"/>
    <w:link w:val="131"/>
    <w:autoRedefine/>
    <w:qFormat/>
    <w:uiPriority w:val="99"/>
    <w:rPr>
      <w:rFonts w:ascii="宋体" w:hAnsi="Courier New" w:cs="Courier New"/>
      <w:szCs w:val="21"/>
    </w:rPr>
  </w:style>
  <w:style w:type="paragraph" w:styleId="34">
    <w:name w:val="toc 8"/>
    <w:basedOn w:val="1"/>
    <w:next w:val="1"/>
    <w:autoRedefine/>
    <w:qFormat/>
    <w:uiPriority w:val="0"/>
    <w:pPr>
      <w:ind w:left="1470"/>
      <w:jc w:val="left"/>
    </w:pPr>
    <w:rPr>
      <w:sz w:val="18"/>
    </w:rPr>
  </w:style>
  <w:style w:type="paragraph" w:styleId="35">
    <w:name w:val="index 3"/>
    <w:basedOn w:val="1"/>
    <w:next w:val="1"/>
    <w:autoRedefine/>
    <w:qFormat/>
    <w:uiPriority w:val="0"/>
    <w:pPr>
      <w:ind w:left="840"/>
    </w:pPr>
  </w:style>
  <w:style w:type="paragraph" w:styleId="36">
    <w:name w:val="Date"/>
    <w:basedOn w:val="1"/>
    <w:next w:val="1"/>
    <w:link w:val="150"/>
    <w:autoRedefine/>
    <w:qFormat/>
    <w:uiPriority w:val="0"/>
    <w:pPr>
      <w:ind w:left="100" w:leftChars="2500"/>
    </w:pPr>
    <w:rPr>
      <w:sz w:val="20"/>
    </w:rPr>
  </w:style>
  <w:style w:type="paragraph" w:styleId="37">
    <w:name w:val="Body Text Indent 2"/>
    <w:basedOn w:val="1"/>
    <w:link w:val="173"/>
    <w:autoRedefine/>
    <w:qFormat/>
    <w:uiPriority w:val="0"/>
    <w:pPr>
      <w:ind w:left="630" w:firstLine="645"/>
    </w:pPr>
    <w:rPr>
      <w:sz w:val="20"/>
    </w:rPr>
  </w:style>
  <w:style w:type="paragraph" w:styleId="38">
    <w:name w:val="endnote text"/>
    <w:basedOn w:val="1"/>
    <w:link w:val="216"/>
    <w:autoRedefine/>
    <w:qFormat/>
    <w:uiPriority w:val="0"/>
    <w:pPr>
      <w:snapToGrid w:val="0"/>
      <w:jc w:val="left"/>
    </w:pPr>
    <w:rPr>
      <w:kern w:val="0"/>
      <w:sz w:val="24"/>
      <w:szCs w:val="24"/>
    </w:rPr>
  </w:style>
  <w:style w:type="paragraph" w:styleId="39">
    <w:name w:val="Balloon Text"/>
    <w:basedOn w:val="1"/>
    <w:link w:val="215"/>
    <w:autoRedefine/>
    <w:qFormat/>
    <w:uiPriority w:val="0"/>
    <w:rPr>
      <w:sz w:val="18"/>
      <w:szCs w:val="18"/>
    </w:rPr>
  </w:style>
  <w:style w:type="paragraph" w:styleId="40">
    <w:name w:val="footer"/>
    <w:basedOn w:val="1"/>
    <w:link w:val="208"/>
    <w:autoRedefine/>
    <w:qFormat/>
    <w:uiPriority w:val="99"/>
    <w:pPr>
      <w:tabs>
        <w:tab w:val="center" w:pos="4153"/>
        <w:tab w:val="right" w:pos="8306"/>
      </w:tabs>
      <w:snapToGrid w:val="0"/>
      <w:jc w:val="left"/>
    </w:pPr>
    <w:rPr>
      <w:sz w:val="18"/>
      <w:szCs w:val="18"/>
    </w:rPr>
  </w:style>
  <w:style w:type="paragraph" w:styleId="41">
    <w:name w:val="header"/>
    <w:basedOn w:val="1"/>
    <w:link w:val="144"/>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41"/>
    <w:autoRedefine/>
    <w:qFormat/>
    <w:uiPriority w:val="0"/>
    <w:pPr>
      <w:adjustRightInd w:val="0"/>
      <w:spacing w:after="600" w:line="312" w:lineRule="atLeast"/>
      <w:jc w:val="center"/>
      <w:textAlignment w:val="baseline"/>
    </w:pPr>
    <w:rPr>
      <w:rFonts w:eastAsia="仿宋_GB2312"/>
      <w:kern w:val="0"/>
      <w:sz w:val="20"/>
    </w:rPr>
  </w:style>
  <w:style w:type="paragraph" w:styleId="43">
    <w:name w:val="toc 1"/>
    <w:basedOn w:val="1"/>
    <w:next w:val="1"/>
    <w:autoRedefine/>
    <w:qFormat/>
    <w:uiPriority w:val="39"/>
    <w:pPr>
      <w:spacing w:before="120" w:after="120"/>
      <w:jc w:val="left"/>
    </w:pPr>
    <w:rPr>
      <w:b/>
      <w:caps/>
      <w:sz w:val="20"/>
    </w:rPr>
  </w:style>
  <w:style w:type="paragraph" w:styleId="44">
    <w:name w:val="toc 4"/>
    <w:basedOn w:val="1"/>
    <w:next w:val="1"/>
    <w:autoRedefine/>
    <w:qFormat/>
    <w:uiPriority w:val="0"/>
    <w:pPr>
      <w:ind w:left="630"/>
      <w:jc w:val="left"/>
    </w:pPr>
    <w:rPr>
      <w:sz w:val="18"/>
    </w:rPr>
  </w:style>
  <w:style w:type="paragraph" w:styleId="45">
    <w:name w:val="index heading"/>
    <w:basedOn w:val="1"/>
    <w:next w:val="46"/>
    <w:autoRedefine/>
    <w:qFormat/>
    <w:uiPriority w:val="0"/>
  </w:style>
  <w:style w:type="paragraph" w:styleId="46">
    <w:name w:val="index 1"/>
    <w:basedOn w:val="1"/>
    <w:next w:val="1"/>
    <w:autoRedefine/>
    <w:qFormat/>
    <w:uiPriority w:val="0"/>
    <w:rPr>
      <w:rFonts w:ascii="仿宋_GB2312" w:hAnsi="宋体" w:eastAsia="仿宋_GB2312"/>
      <w:sz w:val="30"/>
      <w:szCs w:val="24"/>
    </w:rPr>
  </w:style>
  <w:style w:type="paragraph" w:styleId="47">
    <w:name w:val="Subtitle"/>
    <w:basedOn w:val="1"/>
    <w:next w:val="1"/>
    <w:link w:val="90"/>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8">
    <w:name w:val="footnote text"/>
    <w:basedOn w:val="1"/>
    <w:link w:val="143"/>
    <w:autoRedefine/>
    <w:qFormat/>
    <w:uiPriority w:val="0"/>
    <w:pPr>
      <w:snapToGrid w:val="0"/>
      <w:jc w:val="left"/>
    </w:pPr>
    <w:rPr>
      <w:sz w:val="18"/>
      <w:szCs w:val="18"/>
    </w:rPr>
  </w:style>
  <w:style w:type="paragraph" w:styleId="49">
    <w:name w:val="toc 6"/>
    <w:basedOn w:val="1"/>
    <w:next w:val="1"/>
    <w:autoRedefine/>
    <w:qFormat/>
    <w:uiPriority w:val="0"/>
    <w:pPr>
      <w:ind w:left="1050"/>
      <w:jc w:val="left"/>
    </w:pPr>
    <w:rPr>
      <w:sz w:val="18"/>
    </w:rPr>
  </w:style>
  <w:style w:type="paragraph" w:styleId="50">
    <w:name w:val="Body Text Indent 3"/>
    <w:basedOn w:val="1"/>
    <w:link w:val="123"/>
    <w:autoRedefine/>
    <w:qFormat/>
    <w:uiPriority w:val="0"/>
    <w:pPr>
      <w:ind w:left="645" w:firstLine="645"/>
    </w:pPr>
    <w:rPr>
      <w:sz w:val="16"/>
      <w:szCs w:val="16"/>
    </w:rPr>
  </w:style>
  <w:style w:type="paragraph" w:styleId="51">
    <w:name w:val="index 7"/>
    <w:basedOn w:val="1"/>
    <w:next w:val="1"/>
    <w:autoRedefine/>
    <w:qFormat/>
    <w:uiPriority w:val="0"/>
    <w:pPr>
      <w:ind w:left="2520"/>
    </w:pPr>
  </w:style>
  <w:style w:type="paragraph" w:styleId="52">
    <w:name w:val="index 9"/>
    <w:basedOn w:val="1"/>
    <w:next w:val="1"/>
    <w:autoRedefine/>
    <w:qFormat/>
    <w:uiPriority w:val="0"/>
    <w:pPr>
      <w:ind w:left="3360"/>
    </w:pPr>
  </w:style>
  <w:style w:type="paragraph" w:styleId="53">
    <w:name w:val="table of figures"/>
    <w:basedOn w:val="1"/>
    <w:next w:val="1"/>
    <w:autoRedefine/>
    <w:qFormat/>
    <w:uiPriority w:val="0"/>
    <w:pPr>
      <w:ind w:left="840" w:hanging="420"/>
    </w:pPr>
  </w:style>
  <w:style w:type="paragraph" w:styleId="54">
    <w:name w:val="toc 2"/>
    <w:basedOn w:val="1"/>
    <w:next w:val="1"/>
    <w:autoRedefine/>
    <w:qFormat/>
    <w:uiPriority w:val="0"/>
    <w:pPr>
      <w:ind w:left="210"/>
      <w:jc w:val="left"/>
    </w:pPr>
    <w:rPr>
      <w:smallCaps/>
      <w:sz w:val="20"/>
    </w:rPr>
  </w:style>
  <w:style w:type="paragraph" w:styleId="55">
    <w:name w:val="toc 9"/>
    <w:basedOn w:val="1"/>
    <w:next w:val="1"/>
    <w:autoRedefine/>
    <w:qFormat/>
    <w:uiPriority w:val="0"/>
    <w:pPr>
      <w:ind w:left="1680"/>
      <w:jc w:val="left"/>
    </w:pPr>
    <w:rPr>
      <w:sz w:val="18"/>
    </w:rPr>
  </w:style>
  <w:style w:type="paragraph" w:styleId="56">
    <w:name w:val="Body Text 2"/>
    <w:basedOn w:val="1"/>
    <w:link w:val="183"/>
    <w:autoRedefine/>
    <w:qFormat/>
    <w:uiPriority w:val="0"/>
    <w:pPr>
      <w:widowControl/>
      <w:jc w:val="center"/>
    </w:pPr>
    <w:rPr>
      <w:rFonts w:ascii="楷体_GB2312" w:eastAsia="楷体_GB2312"/>
      <w:sz w:val="20"/>
    </w:rPr>
  </w:style>
  <w:style w:type="paragraph" w:styleId="57">
    <w:name w:val="HTML Preformatted"/>
    <w:basedOn w:val="1"/>
    <w:link w:val="17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8">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9">
    <w:name w:val="index 2"/>
    <w:basedOn w:val="1"/>
    <w:next w:val="1"/>
    <w:autoRedefine/>
    <w:qFormat/>
    <w:uiPriority w:val="0"/>
    <w:pPr>
      <w:ind w:left="420"/>
    </w:pPr>
  </w:style>
  <w:style w:type="paragraph" w:styleId="60">
    <w:name w:val="annotation subject"/>
    <w:basedOn w:val="19"/>
    <w:next w:val="19"/>
    <w:link w:val="154"/>
    <w:autoRedefine/>
    <w:qFormat/>
    <w:uiPriority w:val="0"/>
    <w:rPr>
      <w:b/>
      <w:bCs/>
    </w:rPr>
  </w:style>
  <w:style w:type="paragraph" w:styleId="61">
    <w:name w:val="Body Text First Indent"/>
    <w:basedOn w:val="23"/>
    <w:link w:val="115"/>
    <w:autoRedefine/>
    <w:qFormat/>
    <w:uiPriority w:val="0"/>
    <w:pPr>
      <w:spacing w:after="120"/>
      <w:ind w:firstLine="420" w:firstLineChars="100"/>
    </w:pPr>
    <w:rPr>
      <w:rFonts w:ascii="Times New Roman" w:hAnsi="Times New Roman" w:eastAsia="宋体"/>
      <w:sz w:val="24"/>
      <w:szCs w:val="24"/>
    </w:rPr>
  </w:style>
  <w:style w:type="paragraph" w:styleId="62">
    <w:name w:val="Body Text First Indent 2"/>
    <w:basedOn w:val="26"/>
    <w:next w:val="1"/>
    <w:autoRedefine/>
    <w:unhideWhenUsed/>
    <w:qFormat/>
    <w:uiPriority w:val="99"/>
    <w:pPr>
      <w:spacing w:after="120"/>
      <w:ind w:left="420" w:leftChars="200" w:firstLine="420"/>
    </w:pPr>
    <w:rPr>
      <w:sz w:val="21"/>
      <w:szCs w:val="24"/>
    </w:rPr>
  </w:style>
  <w:style w:type="table" w:styleId="64">
    <w:name w:val="Table Grid"/>
    <w:basedOn w:val="6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6">
    <w:name w:val="Strong"/>
    <w:basedOn w:val="65"/>
    <w:autoRedefine/>
    <w:qFormat/>
    <w:uiPriority w:val="0"/>
    <w:rPr>
      <w:b/>
      <w:bCs/>
    </w:rPr>
  </w:style>
  <w:style w:type="character" w:styleId="67">
    <w:name w:val="endnote reference"/>
    <w:basedOn w:val="65"/>
    <w:autoRedefine/>
    <w:qFormat/>
    <w:uiPriority w:val="0"/>
    <w:rPr>
      <w:vertAlign w:val="superscript"/>
    </w:rPr>
  </w:style>
  <w:style w:type="character" w:styleId="68">
    <w:name w:val="page number"/>
    <w:basedOn w:val="65"/>
    <w:autoRedefine/>
    <w:qFormat/>
    <w:uiPriority w:val="0"/>
    <w:rPr>
      <w:rFonts w:cs="Times New Roman"/>
    </w:rPr>
  </w:style>
  <w:style w:type="character" w:styleId="69">
    <w:name w:val="FollowedHyperlink"/>
    <w:basedOn w:val="65"/>
    <w:autoRedefine/>
    <w:qFormat/>
    <w:uiPriority w:val="0"/>
    <w:rPr>
      <w:color w:val="800080"/>
      <w:u w:val="single"/>
    </w:rPr>
  </w:style>
  <w:style w:type="character" w:styleId="70">
    <w:name w:val="Emphasis"/>
    <w:basedOn w:val="65"/>
    <w:autoRedefine/>
    <w:qFormat/>
    <w:uiPriority w:val="0"/>
    <w:rPr>
      <w:b/>
      <w:i/>
      <w:spacing w:val="10"/>
      <w:shd w:val="clear" w:color="auto" w:fill="auto"/>
    </w:rPr>
  </w:style>
  <w:style w:type="character" w:styleId="71">
    <w:name w:val="line number"/>
    <w:basedOn w:val="65"/>
    <w:autoRedefine/>
    <w:qFormat/>
    <w:uiPriority w:val="0"/>
    <w:rPr>
      <w:rFonts w:cs="Times New Roman"/>
    </w:rPr>
  </w:style>
  <w:style w:type="character" w:styleId="72">
    <w:name w:val="HTML Definition"/>
    <w:basedOn w:val="65"/>
    <w:autoRedefine/>
    <w:semiHidden/>
    <w:unhideWhenUsed/>
    <w:qFormat/>
    <w:uiPriority w:val="99"/>
    <w:rPr>
      <w:i/>
      <w:iCs/>
    </w:rPr>
  </w:style>
  <w:style w:type="character" w:styleId="73">
    <w:name w:val="HTML Typewriter"/>
    <w:basedOn w:val="65"/>
    <w:autoRedefine/>
    <w:qFormat/>
    <w:uiPriority w:val="0"/>
    <w:rPr>
      <w:rFonts w:ascii="宋体" w:hAnsi="宋体" w:eastAsia="宋体"/>
      <w:sz w:val="24"/>
    </w:rPr>
  </w:style>
  <w:style w:type="character" w:styleId="74">
    <w:name w:val="HTML Acronym"/>
    <w:basedOn w:val="65"/>
    <w:autoRedefine/>
    <w:semiHidden/>
    <w:unhideWhenUsed/>
    <w:qFormat/>
    <w:uiPriority w:val="99"/>
  </w:style>
  <w:style w:type="character" w:styleId="75">
    <w:name w:val="HTML Variable"/>
    <w:basedOn w:val="65"/>
    <w:autoRedefine/>
    <w:semiHidden/>
    <w:unhideWhenUsed/>
    <w:qFormat/>
    <w:uiPriority w:val="99"/>
  </w:style>
  <w:style w:type="character" w:styleId="76">
    <w:name w:val="Hyperlink"/>
    <w:basedOn w:val="65"/>
    <w:autoRedefine/>
    <w:qFormat/>
    <w:uiPriority w:val="99"/>
    <w:rPr>
      <w:color w:val="0000FF"/>
      <w:u w:val="single"/>
    </w:rPr>
  </w:style>
  <w:style w:type="character" w:styleId="77">
    <w:name w:val="HTML Code"/>
    <w:basedOn w:val="65"/>
    <w:autoRedefine/>
    <w:semiHidden/>
    <w:unhideWhenUsed/>
    <w:qFormat/>
    <w:uiPriority w:val="99"/>
    <w:rPr>
      <w:rFonts w:hint="default" w:ascii="monospace" w:hAnsi="monospace" w:eastAsia="monospace" w:cs="monospace"/>
      <w:sz w:val="21"/>
      <w:szCs w:val="21"/>
    </w:rPr>
  </w:style>
  <w:style w:type="character" w:styleId="78">
    <w:name w:val="annotation reference"/>
    <w:basedOn w:val="65"/>
    <w:autoRedefine/>
    <w:qFormat/>
    <w:uiPriority w:val="99"/>
    <w:rPr>
      <w:sz w:val="21"/>
    </w:rPr>
  </w:style>
  <w:style w:type="character" w:styleId="79">
    <w:name w:val="HTML Cite"/>
    <w:basedOn w:val="65"/>
    <w:autoRedefine/>
    <w:semiHidden/>
    <w:unhideWhenUsed/>
    <w:qFormat/>
    <w:uiPriority w:val="99"/>
  </w:style>
  <w:style w:type="character" w:styleId="80">
    <w:name w:val="footnote reference"/>
    <w:basedOn w:val="65"/>
    <w:autoRedefine/>
    <w:qFormat/>
    <w:uiPriority w:val="0"/>
    <w:rPr>
      <w:vertAlign w:val="superscript"/>
    </w:rPr>
  </w:style>
  <w:style w:type="character" w:styleId="81">
    <w:name w:val="HTML Keyboard"/>
    <w:basedOn w:val="65"/>
    <w:autoRedefine/>
    <w:semiHidden/>
    <w:unhideWhenUsed/>
    <w:qFormat/>
    <w:uiPriority w:val="99"/>
    <w:rPr>
      <w:rFonts w:hint="default" w:ascii="monospace" w:hAnsi="monospace" w:eastAsia="monospace" w:cs="monospace"/>
      <w:sz w:val="21"/>
      <w:szCs w:val="21"/>
    </w:rPr>
  </w:style>
  <w:style w:type="character" w:styleId="82">
    <w:name w:val="HTML Sample"/>
    <w:basedOn w:val="65"/>
    <w:autoRedefine/>
    <w:qFormat/>
    <w:uiPriority w:val="0"/>
    <w:rPr>
      <w:rFonts w:ascii="Courier New" w:hAnsi="宋体" w:eastAsia="宋体"/>
    </w:r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paragraph" w:customStyle="1" w:styleId="84">
    <w:name w:val="模板普通正文"/>
    <w:basedOn w:val="26"/>
    <w:autoRedefine/>
    <w:qFormat/>
    <w:uiPriority w:val="0"/>
    <w:pPr>
      <w:spacing w:beforeLines="50" w:after="10"/>
      <w:ind w:firstLine="490" w:firstLineChars="175"/>
      <w:jc w:val="left"/>
    </w:pPr>
  </w:style>
  <w:style w:type="character" w:customStyle="1" w:styleId="85">
    <w:name w:val="页脚 Char1"/>
    <w:basedOn w:val="65"/>
    <w:autoRedefine/>
    <w:qFormat/>
    <w:uiPriority w:val="0"/>
    <w:rPr>
      <w:rFonts w:cs="Times New Roman"/>
      <w:kern w:val="2"/>
      <w:sz w:val="18"/>
      <w:szCs w:val="18"/>
    </w:rPr>
  </w:style>
  <w:style w:type="character" w:customStyle="1" w:styleId="86">
    <w:name w:val="正文文本 字符"/>
    <w:basedOn w:val="65"/>
    <w:link w:val="23"/>
    <w:autoRedefine/>
    <w:qFormat/>
    <w:uiPriority w:val="0"/>
    <w:rPr>
      <w:rFonts w:ascii="楷体_GB2312" w:hAnsi="Arial" w:eastAsia="楷体_GB2312" w:cs="Times New Roman"/>
      <w:sz w:val="20"/>
      <w:szCs w:val="20"/>
    </w:rPr>
  </w:style>
  <w:style w:type="character" w:customStyle="1" w:styleId="87">
    <w:name w:val="Body Text Indent 2 Char"/>
    <w:autoRedefine/>
    <w:qFormat/>
    <w:uiPriority w:val="0"/>
    <w:rPr>
      <w:rFonts w:ascii="Arial" w:hAnsi="Arial" w:eastAsia="仿宋_GB2312"/>
      <w:sz w:val="32"/>
    </w:rPr>
  </w:style>
  <w:style w:type="character" w:customStyle="1" w:styleId="88">
    <w:name w:val="标题 5 字符"/>
    <w:basedOn w:val="65"/>
    <w:link w:val="7"/>
    <w:autoRedefine/>
    <w:qFormat/>
    <w:uiPriority w:val="0"/>
    <w:rPr>
      <w:rFonts w:ascii="黑体" w:hAnsi="Times New Roman" w:eastAsia="黑体" w:cs="Times New Roman"/>
      <w:b/>
      <w:color w:val="000000"/>
      <w:kern w:val="0"/>
      <w:sz w:val="20"/>
      <w:szCs w:val="20"/>
    </w:rPr>
  </w:style>
  <w:style w:type="character" w:customStyle="1" w:styleId="89">
    <w:name w:val="Body Text Indent 3 Char1"/>
    <w:basedOn w:val="65"/>
    <w:autoRedefine/>
    <w:qFormat/>
    <w:uiPriority w:val="0"/>
    <w:rPr>
      <w:rFonts w:ascii="Times New Roman" w:hAnsi="Times New Roman"/>
      <w:kern w:val="2"/>
      <w:sz w:val="16"/>
      <w:szCs w:val="16"/>
    </w:rPr>
  </w:style>
  <w:style w:type="character" w:customStyle="1" w:styleId="90">
    <w:name w:val="副标题 字符"/>
    <w:basedOn w:val="65"/>
    <w:link w:val="47"/>
    <w:autoRedefine/>
    <w:qFormat/>
    <w:uiPriority w:val="0"/>
    <w:rPr>
      <w:rFonts w:ascii="Cambria" w:hAnsi="Cambria" w:eastAsia="宋体" w:cs="Times New Roman"/>
      <w:i/>
      <w:iCs/>
      <w:spacing w:val="13"/>
      <w:kern w:val="0"/>
      <w:sz w:val="24"/>
      <w:szCs w:val="24"/>
      <w:lang w:eastAsia="en-US"/>
    </w:rPr>
  </w:style>
  <w:style w:type="character" w:customStyle="1" w:styleId="91">
    <w:name w:val="listbenefit"/>
    <w:autoRedefine/>
    <w:qFormat/>
    <w:uiPriority w:val="0"/>
  </w:style>
  <w:style w:type="character" w:customStyle="1" w:styleId="92">
    <w:name w:val="Char Char27"/>
    <w:autoRedefine/>
    <w:qFormat/>
    <w:uiPriority w:val="0"/>
    <w:rPr>
      <w:b/>
      <w:kern w:val="44"/>
      <w:sz w:val="44"/>
    </w:rPr>
  </w:style>
  <w:style w:type="character" w:customStyle="1" w:styleId="93">
    <w:name w:val="param-value"/>
    <w:basedOn w:val="65"/>
    <w:autoRedefine/>
    <w:qFormat/>
    <w:uiPriority w:val="0"/>
    <w:rPr>
      <w:rFonts w:cs="Times New Roman"/>
    </w:rPr>
  </w:style>
  <w:style w:type="character" w:customStyle="1" w:styleId="94">
    <w:name w:val="纯文本 Char Char Char1"/>
    <w:autoRedefine/>
    <w:qFormat/>
    <w:uiPriority w:val="0"/>
    <w:rPr>
      <w:rFonts w:ascii="宋体" w:hAnsi="Courier New" w:eastAsia="宋体"/>
      <w:kern w:val="2"/>
      <w:sz w:val="21"/>
      <w:lang w:val="en-US" w:eastAsia="zh-CN"/>
    </w:rPr>
  </w:style>
  <w:style w:type="character" w:customStyle="1" w:styleId="95">
    <w:name w:val="apple-converted-space"/>
    <w:basedOn w:val="65"/>
    <w:autoRedefine/>
    <w:qFormat/>
    <w:uiPriority w:val="0"/>
    <w:rPr>
      <w:rFonts w:cs="Times New Roman"/>
    </w:rPr>
  </w:style>
  <w:style w:type="character" w:customStyle="1" w:styleId="96">
    <w:name w:val="Char Char29"/>
    <w:autoRedefine/>
    <w:qFormat/>
    <w:uiPriority w:val="0"/>
    <w:rPr>
      <w:rFonts w:ascii="Times New Roman" w:hAnsi="Times New Roman" w:eastAsia="宋体"/>
      <w:b/>
      <w:kern w:val="44"/>
      <w:sz w:val="44"/>
    </w:rPr>
  </w:style>
  <w:style w:type="character" w:customStyle="1" w:styleId="97">
    <w:name w:val="标题 3 Char"/>
    <w:basedOn w:val="65"/>
    <w:autoRedefine/>
    <w:qFormat/>
    <w:uiPriority w:val="0"/>
    <w:rPr>
      <w:rFonts w:ascii="Times New Roman" w:hAnsi="Times New Roman" w:eastAsia="宋体" w:cs="Times New Roman"/>
      <w:b/>
      <w:bCs/>
      <w:sz w:val="32"/>
      <w:szCs w:val="32"/>
    </w:rPr>
  </w:style>
  <w:style w:type="character" w:customStyle="1" w:styleId="98">
    <w:name w:val="标题 4 字符"/>
    <w:basedOn w:val="65"/>
    <w:link w:val="6"/>
    <w:autoRedefine/>
    <w:qFormat/>
    <w:uiPriority w:val="0"/>
    <w:rPr>
      <w:rFonts w:ascii="Arial" w:hAnsi="Arial" w:eastAsia="黑体" w:cs="Times New Roman"/>
      <w:b/>
      <w:sz w:val="20"/>
      <w:szCs w:val="20"/>
    </w:rPr>
  </w:style>
  <w:style w:type="character" w:customStyle="1" w:styleId="99">
    <w:name w:val="正文文本 3 字符"/>
    <w:basedOn w:val="65"/>
    <w:link w:val="22"/>
    <w:autoRedefine/>
    <w:qFormat/>
    <w:uiPriority w:val="0"/>
    <w:rPr>
      <w:rFonts w:ascii="仿宋_GB2312" w:hAnsi="Arial" w:eastAsia="仿宋_GB2312" w:cs="Times New Roman"/>
      <w:sz w:val="20"/>
      <w:szCs w:val="20"/>
    </w:rPr>
  </w:style>
  <w:style w:type="character" w:customStyle="1" w:styleId="100">
    <w:name w:val="正文文本缩进 Char"/>
    <w:basedOn w:val="65"/>
    <w:autoRedefine/>
    <w:qFormat/>
    <w:uiPriority w:val="0"/>
    <w:rPr>
      <w:rFonts w:ascii="Times New Roman" w:hAnsi="Times New Roman" w:eastAsia="宋体" w:cs="Times New Roman"/>
      <w:sz w:val="20"/>
      <w:szCs w:val="20"/>
    </w:rPr>
  </w:style>
  <w:style w:type="character" w:customStyle="1" w:styleId="101">
    <w:name w:val="Plain Text Char"/>
    <w:autoRedefine/>
    <w:qFormat/>
    <w:uiPriority w:val="0"/>
    <w:rPr>
      <w:rFonts w:ascii="宋体" w:hAnsi="Courier New"/>
    </w:rPr>
  </w:style>
  <w:style w:type="character" w:customStyle="1" w:styleId="102">
    <w:name w:val="HTML 预设格式 Char"/>
    <w:basedOn w:val="65"/>
    <w:autoRedefine/>
    <w:qFormat/>
    <w:uiPriority w:val="0"/>
    <w:rPr>
      <w:rFonts w:ascii="Courier New" w:hAnsi="Courier New" w:eastAsia="宋体" w:cs="Courier New"/>
      <w:sz w:val="20"/>
      <w:szCs w:val="20"/>
    </w:rPr>
  </w:style>
  <w:style w:type="character" w:customStyle="1" w:styleId="103">
    <w:name w:val="批注文字 Char Char"/>
    <w:autoRedefine/>
    <w:qFormat/>
    <w:uiPriority w:val="0"/>
    <w:rPr>
      <w:rFonts w:eastAsia="宋体"/>
      <w:kern w:val="2"/>
      <w:sz w:val="21"/>
      <w:lang w:val="en-US" w:eastAsia="zh-CN"/>
    </w:rPr>
  </w:style>
  <w:style w:type="character" w:customStyle="1" w:styleId="104">
    <w:name w:val="Body Text Indent Char"/>
    <w:autoRedefine/>
    <w:qFormat/>
    <w:uiPriority w:val="0"/>
    <w:rPr>
      <w:rFonts w:ascii="楷体_GB2312" w:eastAsia="楷体_GB2312"/>
      <w:sz w:val="32"/>
    </w:rPr>
  </w:style>
  <w:style w:type="character" w:customStyle="1" w:styleId="105">
    <w:name w:val="已访问的超链接1"/>
    <w:autoRedefine/>
    <w:qFormat/>
    <w:uiPriority w:val="0"/>
    <w:rPr>
      <w:color w:val="auto"/>
      <w:u w:val="none"/>
    </w:rPr>
  </w:style>
  <w:style w:type="character" w:customStyle="1" w:styleId="106">
    <w:name w:val="纯文本 Char Char Char"/>
    <w:autoRedefine/>
    <w:qFormat/>
    <w:uiPriority w:val="0"/>
    <w:rPr>
      <w:rFonts w:ascii="宋体" w:hAnsi="Courier New" w:eastAsia="宋体"/>
      <w:kern w:val="2"/>
      <w:sz w:val="21"/>
      <w:lang w:val="en-US" w:eastAsia="zh-CN"/>
    </w:rPr>
  </w:style>
  <w:style w:type="character" w:customStyle="1" w:styleId="107">
    <w:name w:val="普通文字1 Char"/>
    <w:autoRedefine/>
    <w:qFormat/>
    <w:uiPriority w:val="0"/>
    <w:rPr>
      <w:rFonts w:ascii="宋体" w:eastAsia="宋体"/>
      <w:kern w:val="2"/>
      <w:sz w:val="21"/>
      <w:lang w:val="en-US" w:eastAsia="zh-CN"/>
    </w:rPr>
  </w:style>
  <w:style w:type="character" w:customStyle="1" w:styleId="108">
    <w:name w:val="Comment Subject Char"/>
    <w:autoRedefine/>
    <w:qFormat/>
    <w:uiPriority w:val="0"/>
    <w:rPr>
      <w:b/>
    </w:rPr>
  </w:style>
  <w:style w:type="character" w:customStyle="1" w:styleId="109">
    <w:name w:val="Char Char28"/>
    <w:autoRedefine/>
    <w:qFormat/>
    <w:uiPriority w:val="0"/>
    <w:rPr>
      <w:rFonts w:ascii="Arial" w:hAnsi="Arial" w:eastAsia="黑体"/>
      <w:b/>
      <w:sz w:val="32"/>
    </w:rPr>
  </w:style>
  <w:style w:type="character" w:customStyle="1" w:styleId="110">
    <w:name w:val="Char Char23"/>
    <w:autoRedefine/>
    <w:qFormat/>
    <w:uiPriority w:val="0"/>
    <w:rPr>
      <w:rFonts w:ascii="Arial" w:hAnsi="Arial" w:eastAsia="黑体"/>
      <w:b/>
      <w:kern w:val="2"/>
      <w:sz w:val="24"/>
    </w:rPr>
  </w:style>
  <w:style w:type="character" w:customStyle="1" w:styleId="111">
    <w:name w:val="Char Char21"/>
    <w:autoRedefine/>
    <w:qFormat/>
    <w:uiPriority w:val="0"/>
    <w:rPr>
      <w:rFonts w:ascii="Arial" w:hAnsi="Arial" w:eastAsia="黑体"/>
      <w:kern w:val="2"/>
      <w:sz w:val="24"/>
    </w:rPr>
  </w:style>
  <w:style w:type="character" w:customStyle="1" w:styleId="112">
    <w:name w:val="Char Char2"/>
    <w:autoRedefine/>
    <w:qFormat/>
    <w:uiPriority w:val="0"/>
    <w:rPr>
      <w:rFonts w:ascii="宋体" w:hAnsi="Courier New" w:eastAsia="宋体"/>
      <w:kern w:val="2"/>
      <w:sz w:val="21"/>
      <w:lang w:val="en-US" w:eastAsia="zh-CN"/>
    </w:rPr>
  </w:style>
  <w:style w:type="character" w:customStyle="1" w:styleId="113">
    <w:name w:val="t1"/>
    <w:autoRedefine/>
    <w:qFormat/>
    <w:uiPriority w:val="0"/>
  </w:style>
  <w:style w:type="character" w:customStyle="1" w:styleId="114">
    <w:name w:val="华宇段落1 Char Char Char"/>
    <w:autoRedefine/>
    <w:qFormat/>
    <w:uiPriority w:val="0"/>
    <w:rPr>
      <w:rFonts w:eastAsia="宋体"/>
      <w:kern w:val="2"/>
      <w:sz w:val="24"/>
      <w:lang w:val="en-US" w:eastAsia="zh-CN"/>
    </w:rPr>
  </w:style>
  <w:style w:type="character" w:customStyle="1" w:styleId="115">
    <w:name w:val="正文文本首行缩进 字符"/>
    <w:basedOn w:val="86"/>
    <w:link w:val="61"/>
    <w:autoRedefine/>
    <w:qFormat/>
    <w:uiPriority w:val="0"/>
    <w:rPr>
      <w:rFonts w:ascii="Times New Roman" w:hAnsi="Times New Roman" w:eastAsia="宋体" w:cs="Times New Roman"/>
      <w:sz w:val="24"/>
      <w:szCs w:val="24"/>
    </w:rPr>
  </w:style>
  <w:style w:type="character" w:customStyle="1" w:styleId="116">
    <w:name w:val="纯文本 Char1"/>
    <w:autoRedefine/>
    <w:qFormat/>
    <w:uiPriority w:val="0"/>
    <w:rPr>
      <w:rFonts w:ascii="宋体" w:hAnsi="Courier New"/>
      <w:kern w:val="2"/>
      <w:sz w:val="21"/>
    </w:rPr>
  </w:style>
  <w:style w:type="character" w:customStyle="1" w:styleId="117">
    <w:name w:val="textcontents"/>
    <w:basedOn w:val="65"/>
    <w:autoRedefine/>
    <w:qFormat/>
    <w:uiPriority w:val="0"/>
    <w:rPr>
      <w:rFonts w:cs="Times New Roman"/>
    </w:rPr>
  </w:style>
  <w:style w:type="character" w:customStyle="1" w:styleId="118">
    <w:name w:val="Intense Quote Char2"/>
    <w:basedOn w:val="65"/>
    <w:autoRedefine/>
    <w:qFormat/>
    <w:uiPriority w:val="0"/>
    <w:rPr>
      <w:rFonts w:ascii="Times New Roman" w:hAnsi="Times New Roman" w:eastAsia="宋体" w:cs="Times New Roman"/>
      <w:b/>
      <w:bCs/>
      <w:i/>
      <w:iCs/>
      <w:color w:val="4F81BD"/>
      <w:sz w:val="20"/>
      <w:szCs w:val="20"/>
    </w:rPr>
  </w:style>
  <w:style w:type="character" w:customStyle="1" w:styleId="119">
    <w:name w:val="纯文本 Char"/>
    <w:basedOn w:val="65"/>
    <w:autoRedefine/>
    <w:qFormat/>
    <w:uiPriority w:val="0"/>
    <w:rPr>
      <w:rFonts w:ascii="宋体" w:hAnsi="Courier New" w:eastAsia="宋体" w:cs="Courier New"/>
      <w:sz w:val="21"/>
      <w:szCs w:val="21"/>
    </w:rPr>
  </w:style>
  <w:style w:type="character" w:customStyle="1" w:styleId="120">
    <w:name w:val="我的正文 Char Char"/>
    <w:link w:val="121"/>
    <w:autoRedefine/>
    <w:qFormat/>
    <w:uiPriority w:val="0"/>
    <w:rPr>
      <w:rFonts w:ascii="宋体" w:eastAsia="宋体"/>
      <w:sz w:val="21"/>
    </w:rPr>
  </w:style>
  <w:style w:type="paragraph" w:customStyle="1" w:styleId="121">
    <w:name w:val="我的正文"/>
    <w:basedOn w:val="1"/>
    <w:link w:val="120"/>
    <w:autoRedefine/>
    <w:qFormat/>
    <w:uiPriority w:val="0"/>
    <w:pPr>
      <w:widowControl/>
      <w:spacing w:line="360" w:lineRule="auto"/>
      <w:ind w:firstLine="420"/>
      <w:jc w:val="left"/>
    </w:pPr>
    <w:rPr>
      <w:rFonts w:ascii="宋体" w:hAnsi="Calibri"/>
      <w:kern w:val="0"/>
    </w:rPr>
  </w:style>
  <w:style w:type="character" w:customStyle="1" w:styleId="122">
    <w:name w:val="Title Char"/>
    <w:autoRedefine/>
    <w:qFormat/>
    <w:uiPriority w:val="0"/>
    <w:rPr>
      <w:rFonts w:eastAsia="黑体"/>
      <w:b/>
      <w:sz w:val="28"/>
      <w:lang w:val="en-GB"/>
    </w:rPr>
  </w:style>
  <w:style w:type="character" w:customStyle="1" w:styleId="123">
    <w:name w:val="正文文本缩进 3 字符"/>
    <w:basedOn w:val="65"/>
    <w:link w:val="50"/>
    <w:autoRedefine/>
    <w:qFormat/>
    <w:uiPriority w:val="0"/>
    <w:rPr>
      <w:rFonts w:ascii="Times New Roman" w:hAnsi="Times New Roman" w:eastAsia="宋体" w:cs="Times New Roman"/>
      <w:sz w:val="16"/>
      <w:szCs w:val="16"/>
    </w:rPr>
  </w:style>
  <w:style w:type="character" w:customStyle="1" w:styleId="124">
    <w:name w:val="Title1 Char"/>
    <w:autoRedefine/>
    <w:qFormat/>
    <w:uiPriority w:val="0"/>
    <w:rPr>
      <w:rFonts w:eastAsia="宋体"/>
      <w:b/>
      <w:kern w:val="44"/>
      <w:sz w:val="44"/>
      <w:lang w:val="en-US" w:eastAsia="zh-CN"/>
    </w:rPr>
  </w:style>
  <w:style w:type="character" w:customStyle="1" w:styleId="125">
    <w:name w:val="content"/>
    <w:basedOn w:val="65"/>
    <w:autoRedefine/>
    <w:qFormat/>
    <w:uiPriority w:val="0"/>
    <w:rPr>
      <w:rFonts w:cs="Times New Roman"/>
    </w:rPr>
  </w:style>
  <w:style w:type="character" w:customStyle="1" w:styleId="126">
    <w:name w:val="Char Char17"/>
    <w:autoRedefine/>
    <w:qFormat/>
    <w:uiPriority w:val="0"/>
    <w:rPr>
      <w:rFonts w:ascii="宋体" w:hAnsi="Courier New"/>
      <w:kern w:val="2"/>
      <w:sz w:val="21"/>
    </w:rPr>
  </w:style>
  <w:style w:type="character" w:customStyle="1" w:styleId="127">
    <w:name w:val="标准小四 Char Char"/>
    <w:autoRedefine/>
    <w:qFormat/>
    <w:uiPriority w:val="0"/>
    <w:rPr>
      <w:rFonts w:ascii="Arial" w:hAnsi="Arial" w:eastAsia="宋体"/>
      <w:kern w:val="2"/>
      <w:sz w:val="21"/>
      <w:lang w:val="en-US" w:eastAsia="zh-CN"/>
    </w:rPr>
  </w:style>
  <w:style w:type="character" w:customStyle="1" w:styleId="128">
    <w:name w:val="样式 宋体 小四"/>
    <w:autoRedefine/>
    <w:qFormat/>
    <w:uiPriority w:val="0"/>
    <w:rPr>
      <w:rFonts w:ascii="宋体" w:eastAsia="宋体"/>
      <w:sz w:val="24"/>
    </w:rPr>
  </w:style>
  <w:style w:type="character" w:customStyle="1" w:styleId="129">
    <w:name w:val="ih151"/>
    <w:autoRedefine/>
    <w:qFormat/>
    <w:uiPriority w:val="0"/>
    <w:rPr>
      <w:color w:val="666666"/>
      <w:sz w:val="18"/>
      <w:u w:val="none"/>
    </w:rPr>
  </w:style>
  <w:style w:type="character" w:customStyle="1" w:styleId="130">
    <w:name w:val="style13"/>
    <w:autoRedefine/>
    <w:qFormat/>
    <w:uiPriority w:val="0"/>
    <w:rPr>
      <w:sz w:val="18"/>
    </w:rPr>
  </w:style>
  <w:style w:type="character" w:customStyle="1" w:styleId="131">
    <w:name w:val="纯文本 字符"/>
    <w:basedOn w:val="65"/>
    <w:link w:val="33"/>
    <w:autoRedefine/>
    <w:qFormat/>
    <w:uiPriority w:val="99"/>
    <w:rPr>
      <w:rFonts w:ascii="宋体" w:hAnsi="Courier New" w:cs="Courier New"/>
      <w:kern w:val="2"/>
      <w:sz w:val="21"/>
      <w:szCs w:val="21"/>
    </w:rPr>
  </w:style>
  <w:style w:type="character" w:customStyle="1" w:styleId="132">
    <w:name w:val="标题 6 字符"/>
    <w:basedOn w:val="65"/>
    <w:link w:val="8"/>
    <w:autoRedefine/>
    <w:qFormat/>
    <w:uiPriority w:val="0"/>
    <w:rPr>
      <w:rFonts w:ascii="Arial" w:hAnsi="Arial" w:eastAsia="黑体" w:cs="Times New Roman"/>
      <w:b/>
      <w:bCs/>
      <w:sz w:val="24"/>
      <w:szCs w:val="24"/>
    </w:rPr>
  </w:style>
  <w:style w:type="character" w:customStyle="1" w:styleId="133">
    <w:name w:val="style131"/>
    <w:autoRedefine/>
    <w:qFormat/>
    <w:uiPriority w:val="0"/>
    <w:rPr>
      <w:sz w:val="18"/>
    </w:rPr>
  </w:style>
  <w:style w:type="character" w:customStyle="1" w:styleId="134">
    <w:name w:val="Char Char25"/>
    <w:autoRedefine/>
    <w:qFormat/>
    <w:uiPriority w:val="0"/>
    <w:rPr>
      <w:rFonts w:ascii="Arial" w:hAnsi="Arial" w:eastAsia="黑体"/>
      <w:b/>
      <w:kern w:val="2"/>
      <w:sz w:val="28"/>
    </w:rPr>
  </w:style>
  <w:style w:type="character" w:customStyle="1" w:styleId="135">
    <w:name w:val="不明显强调1"/>
    <w:basedOn w:val="65"/>
    <w:autoRedefine/>
    <w:qFormat/>
    <w:uiPriority w:val="0"/>
    <w:rPr>
      <w:i/>
    </w:rPr>
  </w:style>
  <w:style w:type="character" w:customStyle="1" w:styleId="136">
    <w:name w:val="标准文本 Char Char"/>
    <w:autoRedefine/>
    <w:qFormat/>
    <w:uiPriority w:val="0"/>
    <w:rPr>
      <w:rFonts w:eastAsia="宋体"/>
      <w:kern w:val="2"/>
      <w:sz w:val="24"/>
      <w:lang w:val="en-US" w:eastAsia="zh-CN"/>
    </w:rPr>
  </w:style>
  <w:style w:type="character" w:customStyle="1" w:styleId="137">
    <w:name w:val="Comment Subject Char1"/>
    <w:basedOn w:val="138"/>
    <w:autoRedefine/>
    <w:qFormat/>
    <w:uiPriority w:val="0"/>
    <w:rPr>
      <w:rFonts w:ascii="Times New Roman" w:hAnsi="Times New Roman" w:eastAsia="宋体" w:cs="Times New Roman"/>
      <w:b/>
      <w:bCs/>
      <w:kern w:val="2"/>
      <w:sz w:val="21"/>
      <w:szCs w:val="20"/>
    </w:rPr>
  </w:style>
  <w:style w:type="character" w:customStyle="1" w:styleId="138">
    <w:name w:val="批注文字 字符"/>
    <w:basedOn w:val="65"/>
    <w:link w:val="19"/>
    <w:autoRedefine/>
    <w:qFormat/>
    <w:uiPriority w:val="99"/>
    <w:rPr>
      <w:rFonts w:ascii="Times New Roman" w:hAnsi="Times New Roman" w:eastAsia="宋体" w:cs="Times New Roman"/>
      <w:sz w:val="20"/>
      <w:szCs w:val="20"/>
    </w:rPr>
  </w:style>
  <w:style w:type="character" w:customStyle="1" w:styleId="139">
    <w:name w:val="normalfont1"/>
    <w:autoRedefine/>
    <w:qFormat/>
    <w:uiPriority w:val="0"/>
    <w:rPr>
      <w:rFonts w:ascii="??" w:hAnsi="??"/>
      <w:sz w:val="18"/>
      <w:u w:val="none"/>
    </w:rPr>
  </w:style>
  <w:style w:type="character" w:customStyle="1" w:styleId="140">
    <w:name w:val="小四 段落 宋体 Char Char Char Char Char Char Char Char"/>
    <w:autoRedefine/>
    <w:qFormat/>
    <w:uiPriority w:val="0"/>
    <w:rPr>
      <w:rFonts w:eastAsia="宋体"/>
      <w:kern w:val="2"/>
      <w:sz w:val="24"/>
      <w:lang w:val="en-US" w:eastAsia="zh-CN"/>
    </w:rPr>
  </w:style>
  <w:style w:type="character" w:customStyle="1" w:styleId="141">
    <w:name w:val="签名 字符"/>
    <w:basedOn w:val="65"/>
    <w:link w:val="42"/>
    <w:autoRedefine/>
    <w:qFormat/>
    <w:uiPriority w:val="0"/>
    <w:rPr>
      <w:rFonts w:ascii="Times New Roman" w:hAnsi="Times New Roman" w:eastAsia="仿宋_GB2312" w:cs="Times New Roman"/>
      <w:kern w:val="0"/>
      <w:sz w:val="20"/>
      <w:szCs w:val="20"/>
    </w:rPr>
  </w:style>
  <w:style w:type="character" w:customStyle="1" w:styleId="142">
    <w:name w:val="标题 Char1"/>
    <w:autoRedefine/>
    <w:qFormat/>
    <w:uiPriority w:val="0"/>
    <w:rPr>
      <w:rFonts w:ascii="Cambria" w:eastAsia="宋体"/>
      <w:b/>
      <w:sz w:val="32"/>
    </w:rPr>
  </w:style>
  <w:style w:type="character" w:customStyle="1" w:styleId="143">
    <w:name w:val="脚注文本 字符"/>
    <w:basedOn w:val="65"/>
    <w:link w:val="48"/>
    <w:autoRedefine/>
    <w:qFormat/>
    <w:uiPriority w:val="0"/>
    <w:rPr>
      <w:rFonts w:ascii="Times New Roman" w:hAnsi="Times New Roman" w:eastAsia="宋体" w:cs="Times New Roman"/>
      <w:sz w:val="18"/>
      <w:szCs w:val="18"/>
    </w:rPr>
  </w:style>
  <w:style w:type="character" w:customStyle="1" w:styleId="144">
    <w:name w:val="页眉 字符"/>
    <w:basedOn w:val="65"/>
    <w:link w:val="41"/>
    <w:autoRedefine/>
    <w:qFormat/>
    <w:uiPriority w:val="99"/>
    <w:rPr>
      <w:rFonts w:cs="Times New Roman"/>
      <w:sz w:val="18"/>
      <w:szCs w:val="18"/>
    </w:rPr>
  </w:style>
  <w:style w:type="character" w:customStyle="1" w:styleId="145">
    <w:name w:val="Quote Char Char"/>
    <w:autoRedefine/>
    <w:qFormat/>
    <w:uiPriority w:val="0"/>
    <w:rPr>
      <w:rFonts w:ascii="Calibri" w:hAnsi="Calibri"/>
      <w:i/>
      <w:sz w:val="22"/>
      <w:lang w:eastAsia="en-US"/>
    </w:rPr>
  </w:style>
  <w:style w:type="character" w:customStyle="1" w:styleId="146">
    <w:name w:val="content_lineheight1"/>
    <w:basedOn w:val="65"/>
    <w:autoRedefine/>
    <w:qFormat/>
    <w:uiPriority w:val="0"/>
    <w:rPr>
      <w:rFonts w:cs="Times New Roman"/>
    </w:rPr>
  </w:style>
  <w:style w:type="character" w:customStyle="1" w:styleId="147">
    <w:name w:val="标题 7 字符"/>
    <w:basedOn w:val="65"/>
    <w:link w:val="9"/>
    <w:autoRedefine/>
    <w:qFormat/>
    <w:uiPriority w:val="0"/>
    <w:rPr>
      <w:rFonts w:ascii="Times New Roman" w:hAnsi="Times New Roman" w:eastAsia="宋体" w:cs="Times New Roman"/>
      <w:b/>
      <w:bCs/>
      <w:sz w:val="24"/>
      <w:szCs w:val="24"/>
    </w:rPr>
  </w:style>
  <w:style w:type="character" w:customStyle="1" w:styleId="148">
    <w:name w:val="Title Char1"/>
    <w:basedOn w:val="65"/>
    <w:autoRedefine/>
    <w:qFormat/>
    <w:uiPriority w:val="0"/>
    <w:rPr>
      <w:rFonts w:ascii="Cambria" w:hAnsi="Cambria" w:cs="Times New Roman"/>
      <w:b/>
      <w:bCs/>
      <w:kern w:val="2"/>
      <w:sz w:val="32"/>
      <w:szCs w:val="32"/>
    </w:rPr>
  </w:style>
  <w:style w:type="character" w:customStyle="1" w:styleId="149">
    <w:name w:val="正文 + 宋体 Char"/>
    <w:autoRedefine/>
    <w:qFormat/>
    <w:uiPriority w:val="0"/>
    <w:rPr>
      <w:rFonts w:eastAsia="宋体"/>
      <w:kern w:val="2"/>
      <w:sz w:val="24"/>
      <w:lang w:val="en-US" w:eastAsia="zh-CN"/>
    </w:rPr>
  </w:style>
  <w:style w:type="character" w:customStyle="1" w:styleId="150">
    <w:name w:val="日期 字符"/>
    <w:basedOn w:val="65"/>
    <w:link w:val="36"/>
    <w:autoRedefine/>
    <w:qFormat/>
    <w:uiPriority w:val="0"/>
    <w:rPr>
      <w:rFonts w:ascii="Times New Roman" w:hAnsi="Times New Roman" w:eastAsia="宋体" w:cs="Times New Roman"/>
      <w:sz w:val="20"/>
      <w:szCs w:val="20"/>
    </w:rPr>
  </w:style>
  <w:style w:type="character" w:customStyle="1" w:styleId="151">
    <w:name w:val="特点 Char1"/>
    <w:autoRedefine/>
    <w:qFormat/>
    <w:uiPriority w:val="0"/>
    <w:rPr>
      <w:rFonts w:eastAsia="宋体"/>
      <w:kern w:val="2"/>
      <w:sz w:val="21"/>
      <w:lang w:val="en-US" w:eastAsia="zh-CN"/>
    </w:rPr>
  </w:style>
  <w:style w:type="character" w:customStyle="1" w:styleId="152">
    <w:name w:val="表格抬头 Char Char"/>
    <w:link w:val="153"/>
    <w:autoRedefine/>
    <w:qFormat/>
    <w:uiPriority w:val="0"/>
    <w:rPr>
      <w:rFonts w:ascii="黑体" w:eastAsia="黑体"/>
      <w:b/>
    </w:rPr>
  </w:style>
  <w:style w:type="paragraph" w:customStyle="1" w:styleId="153">
    <w:name w:val="表格抬头"/>
    <w:basedOn w:val="1"/>
    <w:link w:val="152"/>
    <w:autoRedefine/>
    <w:qFormat/>
    <w:uiPriority w:val="0"/>
    <w:pPr>
      <w:jc w:val="center"/>
    </w:pPr>
    <w:rPr>
      <w:rFonts w:ascii="黑体" w:hAnsi="Calibri" w:eastAsia="黑体"/>
      <w:b/>
      <w:kern w:val="0"/>
      <w:sz w:val="20"/>
    </w:rPr>
  </w:style>
  <w:style w:type="character" w:customStyle="1" w:styleId="154">
    <w:name w:val="批注主题 字符"/>
    <w:basedOn w:val="138"/>
    <w:link w:val="60"/>
    <w:autoRedefine/>
    <w:qFormat/>
    <w:uiPriority w:val="0"/>
    <w:rPr>
      <w:rFonts w:ascii="Times New Roman" w:hAnsi="Times New Roman" w:eastAsia="宋体" w:cs="Times New Roman"/>
      <w:b/>
      <w:bCs/>
      <w:sz w:val="20"/>
      <w:szCs w:val="20"/>
    </w:rPr>
  </w:style>
  <w:style w:type="character" w:customStyle="1" w:styleId="155">
    <w:name w:val="HTML Preformatted Char"/>
    <w:autoRedefine/>
    <w:qFormat/>
    <w:uiPriority w:val="0"/>
    <w:rPr>
      <w:rFonts w:ascii="黑体" w:hAnsi="Courier New" w:eastAsia="黑体"/>
    </w:rPr>
  </w:style>
  <w:style w:type="character" w:customStyle="1" w:styleId="156">
    <w:name w:val="h Char Char"/>
    <w:autoRedefine/>
    <w:qFormat/>
    <w:uiPriority w:val="0"/>
    <w:rPr>
      <w:rFonts w:eastAsia="宋体"/>
      <w:kern w:val="2"/>
      <w:sz w:val="18"/>
      <w:lang w:val="en-US" w:eastAsia="zh-CN"/>
    </w:rPr>
  </w:style>
  <w:style w:type="character" w:customStyle="1" w:styleId="157">
    <w:name w:val="subtitle1"/>
    <w:autoRedefine/>
    <w:qFormat/>
    <w:uiPriority w:val="0"/>
    <w:rPr>
      <w:rFonts w:ascii="Georgia" w:hAnsi="Georgia"/>
      <w:b/>
      <w:color w:val="666666"/>
      <w:sz w:val="18"/>
    </w:rPr>
  </w:style>
  <w:style w:type="character" w:customStyle="1" w:styleId="158">
    <w:name w:val="样式 非加粗"/>
    <w:autoRedefine/>
    <w:qFormat/>
    <w:uiPriority w:val="0"/>
    <w:rPr>
      <w:rFonts w:eastAsia="宋体"/>
      <w:sz w:val="28"/>
    </w:rPr>
  </w:style>
  <w:style w:type="character" w:customStyle="1" w:styleId="159">
    <w:name w:val="小四 段落 宋体 Char Char Char Char Char"/>
    <w:link w:val="160"/>
    <w:autoRedefine/>
    <w:qFormat/>
    <w:uiPriority w:val="0"/>
    <w:rPr>
      <w:rFonts w:eastAsia="宋体"/>
      <w:kern w:val="2"/>
      <w:sz w:val="24"/>
      <w:lang w:val="en-US" w:eastAsia="zh-CN"/>
    </w:rPr>
  </w:style>
  <w:style w:type="paragraph" w:customStyle="1" w:styleId="160">
    <w:name w:val="小四 段落 宋体"/>
    <w:basedOn w:val="16"/>
    <w:link w:val="159"/>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1">
    <w:name w:val="标题 8 字符"/>
    <w:basedOn w:val="65"/>
    <w:link w:val="10"/>
    <w:autoRedefine/>
    <w:qFormat/>
    <w:uiPriority w:val="0"/>
    <w:rPr>
      <w:rFonts w:ascii="Arial" w:hAnsi="Arial" w:eastAsia="黑体" w:cs="Times New Roman"/>
      <w:sz w:val="24"/>
      <w:szCs w:val="24"/>
    </w:rPr>
  </w:style>
  <w:style w:type="character" w:customStyle="1" w:styleId="162">
    <w:name w:val="Document Map Char"/>
    <w:autoRedefine/>
    <w:qFormat/>
    <w:uiPriority w:val="0"/>
    <w:rPr>
      <w:shd w:val="clear" w:color="auto" w:fill="000080"/>
    </w:rPr>
  </w:style>
  <w:style w:type="character" w:customStyle="1" w:styleId="163">
    <w:name w:val="para_small"/>
    <w:basedOn w:val="65"/>
    <w:autoRedefine/>
    <w:qFormat/>
    <w:uiPriority w:val="0"/>
    <w:rPr>
      <w:rFonts w:cs="Times New Roman"/>
    </w:rPr>
  </w:style>
  <w:style w:type="character" w:customStyle="1" w:styleId="164">
    <w:name w:val="2nd level Char"/>
    <w:autoRedefine/>
    <w:qFormat/>
    <w:uiPriority w:val="0"/>
    <w:rPr>
      <w:rFonts w:ascii="Arial" w:hAnsi="Arial" w:eastAsia="黑体"/>
      <w:b/>
      <w:kern w:val="2"/>
      <w:sz w:val="32"/>
      <w:lang w:val="en-US" w:eastAsia="zh-CN"/>
    </w:rPr>
  </w:style>
  <w:style w:type="character" w:customStyle="1" w:styleId="165">
    <w:name w:val="小四 段落 宋体 Char Char Char Char1"/>
    <w:autoRedefine/>
    <w:qFormat/>
    <w:uiPriority w:val="0"/>
    <w:rPr>
      <w:rFonts w:eastAsia="宋体"/>
      <w:kern w:val="2"/>
      <w:sz w:val="24"/>
      <w:lang w:val="en-US" w:eastAsia="zh-CN"/>
    </w:rPr>
  </w:style>
  <w:style w:type="character" w:customStyle="1" w:styleId="166">
    <w:name w:val="Body Text Indent 2 Char1"/>
    <w:basedOn w:val="65"/>
    <w:autoRedefine/>
    <w:qFormat/>
    <w:uiPriority w:val="0"/>
    <w:rPr>
      <w:rFonts w:ascii="Times New Roman" w:hAnsi="Times New Roman"/>
      <w:kern w:val="2"/>
      <w:sz w:val="21"/>
    </w:rPr>
  </w:style>
  <w:style w:type="character" w:customStyle="1" w:styleId="167">
    <w:name w:val="标题 9 字符"/>
    <w:basedOn w:val="65"/>
    <w:link w:val="11"/>
    <w:autoRedefine/>
    <w:qFormat/>
    <w:uiPriority w:val="0"/>
    <w:rPr>
      <w:rFonts w:ascii="Arial" w:hAnsi="Arial" w:eastAsia="黑体" w:cs="Times New Roman"/>
      <w:sz w:val="21"/>
      <w:szCs w:val="21"/>
    </w:rPr>
  </w:style>
  <w:style w:type="character" w:customStyle="1" w:styleId="168">
    <w:name w:val="明显强调1"/>
    <w:basedOn w:val="65"/>
    <w:autoRedefine/>
    <w:qFormat/>
    <w:uiPriority w:val="0"/>
    <w:rPr>
      <w:b/>
    </w:rPr>
  </w:style>
  <w:style w:type="character" w:customStyle="1" w:styleId="169">
    <w:name w:val="标题 2 字符"/>
    <w:basedOn w:val="65"/>
    <w:link w:val="3"/>
    <w:autoRedefine/>
    <w:qFormat/>
    <w:uiPriority w:val="0"/>
    <w:rPr>
      <w:rFonts w:ascii="宋体" w:hAnsi="宋体" w:eastAsia="宋体" w:cs="Times New Roman"/>
      <w:b/>
      <w:sz w:val="24"/>
      <w:szCs w:val="24"/>
    </w:rPr>
  </w:style>
  <w:style w:type="character" w:customStyle="1" w:styleId="170">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1">
    <w:name w:val="Quote Char2"/>
    <w:basedOn w:val="65"/>
    <w:autoRedefine/>
    <w:qFormat/>
    <w:uiPriority w:val="0"/>
    <w:rPr>
      <w:rFonts w:ascii="Times New Roman" w:hAnsi="Times New Roman" w:eastAsia="宋体" w:cs="Times New Roman"/>
      <w:i/>
      <w:iCs/>
      <w:color w:val="000000"/>
      <w:sz w:val="20"/>
      <w:szCs w:val="20"/>
    </w:rPr>
  </w:style>
  <w:style w:type="character" w:customStyle="1" w:styleId="172">
    <w:name w:val="小四 段落 宋体 Char Char Char1"/>
    <w:autoRedefine/>
    <w:qFormat/>
    <w:uiPriority w:val="0"/>
    <w:rPr>
      <w:rFonts w:ascii="宋体" w:hAnsi="宋体" w:eastAsia="宋体"/>
      <w:kern w:val="2"/>
      <w:sz w:val="24"/>
      <w:lang w:val="en-US" w:eastAsia="zh-CN"/>
    </w:rPr>
  </w:style>
  <w:style w:type="character" w:customStyle="1" w:styleId="173">
    <w:name w:val="正文文本缩进 2 字符"/>
    <w:basedOn w:val="65"/>
    <w:link w:val="37"/>
    <w:autoRedefine/>
    <w:qFormat/>
    <w:uiPriority w:val="0"/>
    <w:rPr>
      <w:rFonts w:ascii="Times New Roman" w:hAnsi="Times New Roman" w:eastAsia="宋体" w:cs="Times New Roman"/>
      <w:sz w:val="20"/>
      <w:szCs w:val="20"/>
    </w:rPr>
  </w:style>
  <w:style w:type="character" w:customStyle="1" w:styleId="174">
    <w:name w:val="Quote Char1"/>
    <w:basedOn w:val="65"/>
    <w:link w:val="175"/>
    <w:autoRedefine/>
    <w:qFormat/>
    <w:uiPriority w:val="0"/>
    <w:rPr>
      <w:rFonts w:ascii="Times New Roman" w:hAnsi="Times New Roman"/>
      <w:i/>
      <w:iCs/>
      <w:color w:val="000000"/>
      <w:kern w:val="2"/>
      <w:sz w:val="21"/>
    </w:rPr>
  </w:style>
  <w:style w:type="paragraph" w:customStyle="1" w:styleId="175">
    <w:name w:val="引用1"/>
    <w:basedOn w:val="1"/>
    <w:next w:val="1"/>
    <w:link w:val="174"/>
    <w:autoRedefine/>
    <w:qFormat/>
    <w:uiPriority w:val="0"/>
    <w:pPr>
      <w:widowControl/>
      <w:spacing w:before="200" w:line="276" w:lineRule="auto"/>
      <w:ind w:left="360" w:right="360"/>
      <w:jc w:val="left"/>
    </w:pPr>
    <w:rPr>
      <w:i/>
      <w:iCs/>
      <w:color w:val="000000"/>
      <w:sz w:val="20"/>
    </w:rPr>
  </w:style>
  <w:style w:type="character" w:customStyle="1" w:styleId="176">
    <w:name w:val="文档结构图 Char"/>
    <w:basedOn w:val="65"/>
    <w:autoRedefine/>
    <w:qFormat/>
    <w:uiPriority w:val="0"/>
    <w:rPr>
      <w:rFonts w:ascii="宋体" w:hAnsi="Times New Roman" w:eastAsia="宋体" w:cs="Times New Roman"/>
      <w:sz w:val="18"/>
      <w:szCs w:val="18"/>
    </w:rPr>
  </w:style>
  <w:style w:type="character" w:customStyle="1" w:styleId="177">
    <w:name w:val="HTML 预设格式 字符"/>
    <w:basedOn w:val="65"/>
    <w:link w:val="57"/>
    <w:autoRedefine/>
    <w:qFormat/>
    <w:uiPriority w:val="0"/>
    <w:rPr>
      <w:rFonts w:ascii="Courier New" w:hAnsi="Courier New" w:cs="Courier New"/>
      <w:kern w:val="2"/>
    </w:rPr>
  </w:style>
  <w:style w:type="character" w:customStyle="1" w:styleId="178">
    <w:name w:val="标准文本 Char Char Char"/>
    <w:autoRedefine/>
    <w:qFormat/>
    <w:uiPriority w:val="0"/>
    <w:rPr>
      <w:rFonts w:eastAsia="宋体"/>
      <w:kern w:val="2"/>
      <w:sz w:val="24"/>
      <w:lang w:val="en-US" w:eastAsia="zh-CN"/>
    </w:rPr>
  </w:style>
  <w:style w:type="character" w:customStyle="1" w:styleId="179">
    <w:name w:val="正文文本缩进 字符"/>
    <w:basedOn w:val="65"/>
    <w:link w:val="26"/>
    <w:autoRedefine/>
    <w:qFormat/>
    <w:uiPriority w:val="0"/>
    <w:rPr>
      <w:rFonts w:ascii="Times New Roman" w:hAnsi="Times New Roman"/>
      <w:kern w:val="2"/>
      <w:sz w:val="21"/>
    </w:rPr>
  </w:style>
  <w:style w:type="character" w:customStyle="1" w:styleId="180">
    <w:name w:val="标题 字符"/>
    <w:basedOn w:val="65"/>
    <w:link w:val="28"/>
    <w:autoRedefine/>
    <w:qFormat/>
    <w:uiPriority w:val="0"/>
    <w:rPr>
      <w:rFonts w:ascii="Cambria" w:hAnsi="Cambria" w:eastAsia="宋体" w:cs="Times New Roman"/>
      <w:b/>
      <w:bCs/>
      <w:sz w:val="32"/>
      <w:szCs w:val="32"/>
    </w:rPr>
  </w:style>
  <w:style w:type="character" w:customStyle="1" w:styleId="181">
    <w:name w:val="纯文本 Char Char"/>
    <w:autoRedefine/>
    <w:qFormat/>
    <w:uiPriority w:val="0"/>
    <w:rPr>
      <w:rFonts w:ascii="宋体" w:hAnsi="Courier New" w:eastAsia="宋体"/>
      <w:kern w:val="2"/>
      <w:sz w:val="21"/>
      <w:lang w:val="en-US" w:eastAsia="zh-CN"/>
    </w:rPr>
  </w:style>
  <w:style w:type="character" w:customStyle="1" w:styleId="182">
    <w:name w:val="case31"/>
    <w:autoRedefine/>
    <w:qFormat/>
    <w:uiPriority w:val="0"/>
    <w:rPr>
      <w:sz w:val="21"/>
    </w:rPr>
  </w:style>
  <w:style w:type="character" w:customStyle="1" w:styleId="183">
    <w:name w:val="正文文本 2 字符"/>
    <w:basedOn w:val="65"/>
    <w:link w:val="56"/>
    <w:autoRedefine/>
    <w:qFormat/>
    <w:uiPriority w:val="0"/>
    <w:rPr>
      <w:rFonts w:ascii="楷体_GB2312" w:hAnsi="Times New Roman" w:eastAsia="楷体_GB2312" w:cs="Times New Roman"/>
      <w:sz w:val="20"/>
      <w:szCs w:val="20"/>
    </w:rPr>
  </w:style>
  <w:style w:type="character" w:customStyle="1" w:styleId="184">
    <w:name w:val="标题 3 Char Char"/>
    <w:autoRedefine/>
    <w:qFormat/>
    <w:uiPriority w:val="0"/>
    <w:rPr>
      <w:rFonts w:eastAsia="仿宋_GB2312"/>
      <w:b/>
      <w:kern w:val="2"/>
      <w:sz w:val="32"/>
      <w:lang w:val="en-US" w:eastAsia="zh-CN"/>
    </w:rPr>
  </w:style>
  <w:style w:type="character" w:customStyle="1" w:styleId="185">
    <w:name w:val="正文缩进 Char1"/>
    <w:link w:val="186"/>
    <w:autoRedefine/>
    <w:qFormat/>
    <w:uiPriority w:val="0"/>
    <w:rPr>
      <w:rFonts w:ascii="Times New Roman" w:hAnsi="Times New Roman" w:eastAsia="宋体"/>
      <w:kern w:val="0"/>
      <w:sz w:val="20"/>
    </w:rPr>
  </w:style>
  <w:style w:type="paragraph" w:customStyle="1" w:styleId="186">
    <w:name w:val="正文缩进1"/>
    <w:basedOn w:val="1"/>
    <w:link w:val="185"/>
    <w:autoRedefine/>
    <w:qFormat/>
    <w:uiPriority w:val="0"/>
    <w:pPr>
      <w:ind w:firstLine="420"/>
    </w:pPr>
    <w:rPr>
      <w:kern w:val="0"/>
      <w:sz w:val="20"/>
    </w:rPr>
  </w:style>
  <w:style w:type="character" w:customStyle="1" w:styleId="187">
    <w:name w:val="新图表正文 Char Char"/>
    <w:link w:val="188"/>
    <w:autoRedefine/>
    <w:qFormat/>
    <w:uiPriority w:val="0"/>
    <w:rPr>
      <w:rFonts w:ascii="宋体" w:hAnsi="宋体"/>
      <w:kern w:val="2"/>
      <w:sz w:val="18"/>
      <w:szCs w:val="21"/>
      <w:lang w:val="en-US" w:eastAsia="zh-CN" w:bidi="ar-SA"/>
    </w:rPr>
  </w:style>
  <w:style w:type="paragraph" w:customStyle="1" w:styleId="188">
    <w:name w:val="新图表正文"/>
    <w:link w:val="187"/>
    <w:autoRedefine/>
    <w:qFormat/>
    <w:uiPriority w:val="0"/>
    <w:pPr>
      <w:jc w:val="both"/>
    </w:pPr>
    <w:rPr>
      <w:rFonts w:ascii="宋体" w:hAnsi="宋体" w:eastAsia="宋体" w:cs="Times New Roman"/>
      <w:kern w:val="2"/>
      <w:sz w:val="18"/>
      <w:szCs w:val="21"/>
      <w:lang w:val="en-US" w:eastAsia="zh-CN" w:bidi="ar-SA"/>
    </w:rPr>
  </w:style>
  <w:style w:type="character" w:customStyle="1" w:styleId="189">
    <w:name w:val="样式 首行缩进:  2 字符 Char Char Char"/>
    <w:autoRedefine/>
    <w:qFormat/>
    <w:uiPriority w:val="0"/>
    <w:rPr>
      <w:rFonts w:eastAsia="宋体"/>
      <w:kern w:val="2"/>
      <w:sz w:val="24"/>
      <w:lang w:val="en-US" w:eastAsia="zh-CN"/>
    </w:rPr>
  </w:style>
  <w:style w:type="character" w:customStyle="1" w:styleId="190">
    <w:name w:val="Intense Quote Char1"/>
    <w:basedOn w:val="65"/>
    <w:link w:val="191"/>
    <w:autoRedefine/>
    <w:qFormat/>
    <w:uiPriority w:val="0"/>
    <w:rPr>
      <w:rFonts w:ascii="Times New Roman" w:hAnsi="Times New Roman"/>
      <w:b/>
      <w:bCs/>
      <w:i/>
      <w:iCs/>
      <w:color w:val="4F81BD"/>
      <w:kern w:val="2"/>
      <w:sz w:val="21"/>
    </w:rPr>
  </w:style>
  <w:style w:type="paragraph" w:customStyle="1" w:styleId="191">
    <w:name w:val="明显引用1"/>
    <w:basedOn w:val="1"/>
    <w:next w:val="1"/>
    <w:link w:val="190"/>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2">
    <w:name w:val="Char Char20"/>
    <w:autoRedefine/>
    <w:qFormat/>
    <w:uiPriority w:val="0"/>
    <w:rPr>
      <w:rFonts w:ascii="Arial" w:hAnsi="Arial" w:eastAsia="黑体"/>
      <w:kern w:val="2"/>
      <w:sz w:val="21"/>
    </w:rPr>
  </w:style>
  <w:style w:type="character" w:customStyle="1" w:styleId="193">
    <w:name w:val="No Spacing Char Char"/>
    <w:link w:val="194"/>
    <w:autoRedefine/>
    <w:qFormat/>
    <w:uiPriority w:val="0"/>
    <w:rPr>
      <w:rFonts w:eastAsia="微软雅黑"/>
      <w:kern w:val="2"/>
      <w:sz w:val="24"/>
      <w:szCs w:val="22"/>
      <w:lang w:val="en-US" w:eastAsia="zh-CN" w:bidi="ar-SA"/>
    </w:rPr>
  </w:style>
  <w:style w:type="paragraph" w:customStyle="1" w:styleId="194">
    <w:name w:val="无间隔2"/>
    <w:link w:val="193"/>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5">
    <w:name w:val="小四 段落 宋体 Char Char Char Char Char Char"/>
    <w:autoRedefine/>
    <w:qFormat/>
    <w:uiPriority w:val="0"/>
    <w:rPr>
      <w:rFonts w:eastAsia="宋体"/>
      <w:kern w:val="2"/>
      <w:sz w:val="24"/>
      <w:lang w:val="en-US" w:eastAsia="zh-CN"/>
    </w:rPr>
  </w:style>
  <w:style w:type="character" w:customStyle="1" w:styleId="196">
    <w:name w:val="3zw"/>
    <w:basedOn w:val="65"/>
    <w:autoRedefine/>
    <w:qFormat/>
    <w:uiPriority w:val="0"/>
    <w:rPr>
      <w:rFonts w:cs="Times New Roman"/>
    </w:rPr>
  </w:style>
  <w:style w:type="character" w:customStyle="1" w:styleId="197">
    <w:name w:val="Intense Quote Char Char"/>
    <w:autoRedefine/>
    <w:qFormat/>
    <w:uiPriority w:val="0"/>
    <w:rPr>
      <w:rFonts w:ascii="Calibri" w:hAnsi="Calibri"/>
      <w:b/>
      <w:i/>
      <w:sz w:val="22"/>
      <w:lang w:eastAsia="en-US"/>
    </w:rPr>
  </w:style>
  <w:style w:type="character" w:customStyle="1" w:styleId="198">
    <w:name w:val="Body Text Indent 3 Char"/>
    <w:autoRedefine/>
    <w:qFormat/>
    <w:uiPriority w:val="0"/>
    <w:rPr>
      <w:rFonts w:ascii="Arial" w:hAnsi="Arial" w:eastAsia="仿宋_GB2312"/>
      <w:color w:val="FFFF00"/>
      <w:sz w:val="32"/>
    </w:rPr>
  </w:style>
  <w:style w:type="character" w:customStyle="1" w:styleId="199">
    <w:name w:val="A2"/>
    <w:autoRedefine/>
    <w:qFormat/>
    <w:uiPriority w:val="0"/>
    <w:rPr>
      <w:color w:val="000000"/>
      <w:sz w:val="18"/>
    </w:rPr>
  </w:style>
  <w:style w:type="character" w:customStyle="1" w:styleId="200">
    <w:name w:val="标题 1 字符"/>
    <w:basedOn w:val="65"/>
    <w:link w:val="2"/>
    <w:autoRedefine/>
    <w:qFormat/>
    <w:uiPriority w:val="0"/>
    <w:rPr>
      <w:rFonts w:ascii="黑体" w:hAnsi="Times New Roman" w:eastAsia="黑体" w:cs="Times New Roman"/>
      <w:b/>
      <w:kern w:val="44"/>
      <w:sz w:val="28"/>
      <w:szCs w:val="28"/>
    </w:rPr>
  </w:style>
  <w:style w:type="character" w:customStyle="1" w:styleId="201">
    <w:name w:val="明显参考1"/>
    <w:basedOn w:val="65"/>
    <w:autoRedefine/>
    <w:qFormat/>
    <w:uiPriority w:val="0"/>
    <w:rPr>
      <w:smallCaps/>
      <w:spacing w:val="5"/>
      <w:u w:val="single"/>
    </w:rPr>
  </w:style>
  <w:style w:type="character" w:customStyle="1" w:styleId="202">
    <w:name w:val="称呼 字符"/>
    <w:basedOn w:val="65"/>
    <w:link w:val="21"/>
    <w:autoRedefine/>
    <w:qFormat/>
    <w:uiPriority w:val="0"/>
    <w:rPr>
      <w:rFonts w:ascii="仿宋_GB2312" w:hAnsi="Times New Roman" w:eastAsia="仿宋_GB2312" w:cs="Times New Roman"/>
      <w:sz w:val="20"/>
      <w:szCs w:val="20"/>
    </w:rPr>
  </w:style>
  <w:style w:type="character" w:customStyle="1" w:styleId="203">
    <w:name w:val="111111 Char Char"/>
    <w:link w:val="204"/>
    <w:autoRedefine/>
    <w:qFormat/>
    <w:uiPriority w:val="0"/>
    <w:rPr>
      <w:rFonts w:ascii="宋体" w:hAnsi="宋体" w:eastAsia="黑体"/>
      <w:b/>
      <w:sz w:val="21"/>
    </w:rPr>
  </w:style>
  <w:style w:type="paragraph" w:customStyle="1" w:styleId="204">
    <w:name w:val="111111"/>
    <w:basedOn w:val="1"/>
    <w:link w:val="203"/>
    <w:autoRedefine/>
    <w:qFormat/>
    <w:uiPriority w:val="0"/>
    <w:pPr>
      <w:spacing w:before="120" w:after="120"/>
      <w:jc w:val="center"/>
    </w:pPr>
    <w:rPr>
      <w:rFonts w:ascii="宋体" w:hAnsi="宋体" w:eastAsia="黑体"/>
      <w:b/>
      <w:kern w:val="0"/>
    </w:rPr>
  </w:style>
  <w:style w:type="character" w:customStyle="1" w:styleId="205">
    <w:name w:val="小四 段落 宋体 Char1"/>
    <w:autoRedefine/>
    <w:qFormat/>
    <w:uiPriority w:val="0"/>
    <w:rPr>
      <w:rFonts w:eastAsia="宋体"/>
      <w:kern w:val="2"/>
      <w:sz w:val="24"/>
      <w:lang w:val="en-US" w:eastAsia="zh-CN"/>
    </w:rPr>
  </w:style>
  <w:style w:type="character" w:customStyle="1" w:styleId="206">
    <w:name w:val="文档结构图 字符"/>
    <w:basedOn w:val="65"/>
    <w:link w:val="18"/>
    <w:autoRedefine/>
    <w:qFormat/>
    <w:uiPriority w:val="0"/>
    <w:rPr>
      <w:rFonts w:ascii="Times New Roman" w:hAnsi="Times New Roman"/>
      <w:kern w:val="2"/>
      <w:sz w:val="16"/>
      <w:szCs w:val="0"/>
    </w:rPr>
  </w:style>
  <w:style w:type="character" w:customStyle="1" w:styleId="207">
    <w:name w:val="title_emph1"/>
    <w:autoRedefine/>
    <w:qFormat/>
    <w:uiPriority w:val="0"/>
    <w:rPr>
      <w:rFonts w:ascii="Arial"/>
      <w:b/>
      <w:sz w:val="18"/>
    </w:rPr>
  </w:style>
  <w:style w:type="character" w:customStyle="1" w:styleId="208">
    <w:name w:val="页脚 字符"/>
    <w:basedOn w:val="65"/>
    <w:link w:val="40"/>
    <w:autoRedefine/>
    <w:qFormat/>
    <w:uiPriority w:val="99"/>
    <w:rPr>
      <w:rFonts w:cs="Times New Roman"/>
      <w:sz w:val="18"/>
      <w:szCs w:val="18"/>
    </w:rPr>
  </w:style>
  <w:style w:type="character" w:customStyle="1" w:styleId="209">
    <w:name w:val="书籍标题1"/>
    <w:basedOn w:val="65"/>
    <w:autoRedefine/>
    <w:qFormat/>
    <w:uiPriority w:val="0"/>
    <w:rPr>
      <w:i/>
      <w:smallCaps/>
      <w:spacing w:val="5"/>
    </w:rPr>
  </w:style>
  <w:style w:type="character" w:customStyle="1" w:styleId="210">
    <w:name w:val="不明显参考1"/>
    <w:basedOn w:val="65"/>
    <w:autoRedefine/>
    <w:qFormat/>
    <w:uiPriority w:val="0"/>
    <w:rPr>
      <w:smallCaps/>
    </w:rPr>
  </w:style>
  <w:style w:type="character" w:customStyle="1" w:styleId="211">
    <w:name w:val="样式 首行缩进:  2 字符 Char Char"/>
    <w:link w:val="212"/>
    <w:autoRedefine/>
    <w:qFormat/>
    <w:uiPriority w:val="0"/>
    <w:rPr>
      <w:sz w:val="24"/>
    </w:rPr>
  </w:style>
  <w:style w:type="paragraph" w:customStyle="1" w:styleId="212">
    <w:name w:val="样式 首行缩进:  2 字符"/>
    <w:basedOn w:val="1"/>
    <w:link w:val="211"/>
    <w:autoRedefine/>
    <w:qFormat/>
    <w:uiPriority w:val="0"/>
    <w:pPr>
      <w:spacing w:line="360" w:lineRule="auto"/>
      <w:ind w:firstLine="480" w:firstLineChars="200"/>
    </w:pPr>
    <w:rPr>
      <w:rFonts w:ascii="Calibri" w:hAnsi="Calibri"/>
      <w:kern w:val="0"/>
      <w:sz w:val="24"/>
    </w:rPr>
  </w:style>
  <w:style w:type="character" w:customStyle="1" w:styleId="213">
    <w:name w:val="标题 3 字符"/>
    <w:basedOn w:val="65"/>
    <w:link w:val="5"/>
    <w:autoRedefine/>
    <w:qFormat/>
    <w:uiPriority w:val="0"/>
    <w:rPr>
      <w:rFonts w:ascii="宋体" w:hAnsi="宋体" w:eastAsia="宋体"/>
      <w:b/>
      <w:sz w:val="21"/>
      <w:shd w:val="clear" w:color="auto" w:fill="FFFFFF"/>
    </w:rPr>
  </w:style>
  <w:style w:type="character" w:customStyle="1" w:styleId="214">
    <w:name w:val="Char Char22"/>
    <w:autoRedefine/>
    <w:qFormat/>
    <w:uiPriority w:val="0"/>
    <w:rPr>
      <w:b/>
      <w:kern w:val="2"/>
      <w:sz w:val="24"/>
    </w:rPr>
  </w:style>
  <w:style w:type="character" w:customStyle="1" w:styleId="215">
    <w:name w:val="批注框文本 字符"/>
    <w:basedOn w:val="65"/>
    <w:link w:val="39"/>
    <w:autoRedefine/>
    <w:qFormat/>
    <w:uiPriority w:val="0"/>
    <w:rPr>
      <w:rFonts w:ascii="Times New Roman" w:hAnsi="Times New Roman" w:eastAsia="宋体" w:cs="Times New Roman"/>
      <w:sz w:val="18"/>
      <w:szCs w:val="18"/>
    </w:rPr>
  </w:style>
  <w:style w:type="character" w:customStyle="1" w:styleId="216">
    <w:name w:val="尾注文本 字符"/>
    <w:basedOn w:val="65"/>
    <w:link w:val="38"/>
    <w:autoRedefine/>
    <w:qFormat/>
    <w:uiPriority w:val="0"/>
    <w:rPr>
      <w:rFonts w:ascii="Times New Roman" w:hAnsi="Times New Roman" w:eastAsia="宋体" w:cs="Times New Roman"/>
      <w:kern w:val="0"/>
      <w:sz w:val="24"/>
      <w:szCs w:val="24"/>
    </w:rPr>
  </w:style>
  <w:style w:type="character" w:customStyle="1" w:styleId="217">
    <w:name w:val="point_normal1"/>
    <w:autoRedefine/>
    <w:qFormat/>
    <w:uiPriority w:val="0"/>
    <w:rPr>
      <w:rFonts w:ascii="Arial" w:hAnsi="Arial"/>
      <w:sz w:val="18"/>
    </w:rPr>
  </w:style>
  <w:style w:type="character" w:customStyle="1" w:styleId="218">
    <w:name w:val="Char Char26"/>
    <w:autoRedefine/>
    <w:qFormat/>
    <w:uiPriority w:val="0"/>
    <w:rPr>
      <w:b/>
      <w:kern w:val="2"/>
      <w:sz w:val="32"/>
    </w:rPr>
  </w:style>
  <w:style w:type="character" w:customStyle="1" w:styleId="219">
    <w:name w:val="Char Char24"/>
    <w:autoRedefine/>
    <w:qFormat/>
    <w:uiPriority w:val="0"/>
    <w:rPr>
      <w:b/>
      <w:kern w:val="2"/>
      <w:sz w:val="28"/>
    </w:rPr>
  </w:style>
  <w:style w:type="character" w:customStyle="1" w:styleId="220">
    <w:name w:val="concon"/>
    <w:autoRedefine/>
    <w:qFormat/>
    <w:uiPriority w:val="0"/>
  </w:style>
  <w:style w:type="paragraph" w:customStyle="1" w:styleId="221">
    <w:name w:val="标准文本"/>
    <w:basedOn w:val="1"/>
    <w:autoRedefine/>
    <w:qFormat/>
    <w:uiPriority w:val="0"/>
    <w:pPr>
      <w:spacing w:line="360" w:lineRule="auto"/>
      <w:ind w:firstLine="480" w:firstLineChars="200"/>
    </w:pPr>
    <w:rPr>
      <w:rFonts w:cs="宋体"/>
      <w:sz w:val="24"/>
      <w:szCs w:val="24"/>
    </w:rPr>
  </w:style>
  <w:style w:type="paragraph" w:customStyle="1" w:styleId="222">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3">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4">
    <w:name w:val="flType"/>
    <w:basedOn w:val="225"/>
    <w:autoRedefine/>
    <w:qFormat/>
    <w:uiPriority w:val="0"/>
    <w:pPr>
      <w:spacing w:after="284"/>
    </w:pPr>
    <w:rPr>
      <w:rFonts w:eastAsia="宋体"/>
      <w:b w:val="0"/>
    </w:rPr>
  </w:style>
  <w:style w:type="paragraph" w:customStyle="1" w:styleId="225">
    <w:name w:val="flName"/>
    <w:basedOn w:val="226"/>
    <w:autoRedefine/>
    <w:qFormat/>
    <w:uiPriority w:val="0"/>
    <w:pPr>
      <w:spacing w:before="0" w:line="113" w:lineRule="atLeast"/>
    </w:pPr>
  </w:style>
  <w:style w:type="paragraph" w:customStyle="1" w:styleId="226">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7">
    <w:name w:val="华宇段落1 Char"/>
    <w:basedOn w:val="1"/>
    <w:autoRedefine/>
    <w:qFormat/>
    <w:uiPriority w:val="0"/>
    <w:pPr>
      <w:spacing w:line="360" w:lineRule="auto"/>
      <w:ind w:firstLine="200" w:firstLineChars="200"/>
    </w:pPr>
    <w:rPr>
      <w:bCs/>
      <w:sz w:val="24"/>
      <w:szCs w:val="24"/>
    </w:rPr>
  </w:style>
  <w:style w:type="paragraph" w:customStyle="1" w:styleId="228">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9">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30">
    <w:name w:val="greytypebeni"/>
    <w:basedOn w:val="1"/>
    <w:autoRedefine/>
    <w:qFormat/>
    <w:uiPriority w:val="0"/>
    <w:pPr>
      <w:widowControl/>
      <w:jc w:val="left"/>
    </w:pPr>
    <w:rPr>
      <w:rFonts w:ascii="宋体" w:hAnsi="宋体" w:cs="宋体"/>
      <w:kern w:val="0"/>
      <w:sz w:val="24"/>
      <w:szCs w:val="24"/>
    </w:rPr>
  </w:style>
  <w:style w:type="paragraph" w:customStyle="1" w:styleId="231">
    <w:name w:val="Char Char1 Char Char Char Char1 Char Char Char Char Char Char"/>
    <w:basedOn w:val="1"/>
    <w:autoRedefine/>
    <w:qFormat/>
    <w:uiPriority w:val="0"/>
    <w:rPr>
      <w:rFonts w:ascii="Tahoma" w:hAnsi="Tahoma"/>
      <w:sz w:val="24"/>
    </w:rPr>
  </w:style>
  <w:style w:type="paragraph" w:customStyle="1" w:styleId="232">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3">
    <w:name w:val="Char Char1"/>
    <w:basedOn w:val="1"/>
    <w:autoRedefine/>
    <w:qFormat/>
    <w:uiPriority w:val="0"/>
    <w:rPr>
      <w:rFonts w:ascii="Tahoma" w:hAnsi="Tahoma" w:cs="Tahoma"/>
      <w:sz w:val="24"/>
    </w:rPr>
  </w:style>
  <w:style w:type="paragraph" w:customStyle="1" w:styleId="234">
    <w:name w:val="小四 段落 宋体 Char Char Char"/>
    <w:basedOn w:val="16"/>
    <w:autoRedefine/>
    <w:qFormat/>
    <w:uiPriority w:val="0"/>
    <w:pPr>
      <w:tabs>
        <w:tab w:val="clear" w:pos="2952"/>
      </w:tabs>
      <w:spacing w:line="360" w:lineRule="auto"/>
      <w:ind w:left="0" w:right="-33" w:firstLine="545" w:firstLineChars="227"/>
      <w:jc w:val="left"/>
    </w:pPr>
    <w:rPr>
      <w:sz w:val="24"/>
    </w:rPr>
  </w:style>
  <w:style w:type="paragraph" w:customStyle="1" w:styleId="235">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6">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7">
    <w:name w:val="中等深浅网格 1 - 强调文字颜色 21"/>
    <w:basedOn w:val="1"/>
    <w:autoRedefine/>
    <w:qFormat/>
    <w:uiPriority w:val="0"/>
    <w:pPr>
      <w:ind w:firstLine="420" w:firstLineChars="200"/>
    </w:pPr>
    <w:rPr>
      <w:rFonts w:ascii="Calibri" w:hAnsi="Calibri"/>
      <w:szCs w:val="22"/>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18"/>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50"/>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18"/>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18"/>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6"/>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5"/>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3"/>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18"/>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8"/>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6"/>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6"/>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6"/>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3"/>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7"/>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2"/>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5"/>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3"/>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2"/>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2"/>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18"/>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7"/>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5"/>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5"/>
    <w:autoRedefine/>
    <w:qFormat/>
    <w:uiPriority w:val="0"/>
    <w:rPr>
      <w:rFonts w:hint="eastAsia" w:ascii="宋体" w:hAnsi="宋体" w:eastAsia="宋体" w:cs="宋体"/>
      <w:color w:val="000000"/>
      <w:sz w:val="24"/>
      <w:szCs w:val="24"/>
      <w:u w:val="none"/>
    </w:rPr>
  </w:style>
  <w:style w:type="character" w:customStyle="1" w:styleId="426">
    <w:name w:val="font31"/>
    <w:basedOn w:val="65"/>
    <w:autoRedefine/>
    <w:qFormat/>
    <w:uiPriority w:val="0"/>
    <w:rPr>
      <w:rFonts w:hint="default" w:ascii="楷体_GB2312" w:eastAsia="楷体_GB2312" w:cs="楷体_GB2312"/>
      <w:color w:val="000000"/>
      <w:sz w:val="24"/>
      <w:szCs w:val="24"/>
      <w:u w:val="none"/>
    </w:rPr>
  </w:style>
  <w:style w:type="character" w:customStyle="1" w:styleId="427">
    <w:name w:val="tit"/>
    <w:basedOn w:val="65"/>
    <w:autoRedefine/>
    <w:qFormat/>
    <w:uiPriority w:val="0"/>
    <w:rPr>
      <w:color w:val="333333"/>
      <w:sz w:val="24"/>
      <w:szCs w:val="24"/>
    </w:rPr>
  </w:style>
  <w:style w:type="character" w:customStyle="1" w:styleId="428">
    <w:name w:val="img_title18"/>
    <w:basedOn w:val="65"/>
    <w:autoRedefine/>
    <w:qFormat/>
    <w:uiPriority w:val="0"/>
    <w:rPr>
      <w:vanish/>
    </w:rPr>
  </w:style>
  <w:style w:type="character" w:customStyle="1" w:styleId="429">
    <w:name w:val="nostart"/>
    <w:basedOn w:val="65"/>
    <w:autoRedefine/>
    <w:qFormat/>
    <w:uiPriority w:val="0"/>
    <w:rPr>
      <w:rFonts w:ascii="Arial" w:hAnsi="Arial" w:cs="Arial"/>
      <w:color w:val="DD0000"/>
      <w:sz w:val="19"/>
      <w:szCs w:val="19"/>
    </w:rPr>
  </w:style>
  <w:style w:type="character" w:customStyle="1" w:styleId="430">
    <w:name w:val="starting"/>
    <w:basedOn w:val="65"/>
    <w:autoRedefine/>
    <w:qFormat/>
    <w:uiPriority w:val="0"/>
    <w:rPr>
      <w:color w:val="13844D"/>
    </w:rPr>
  </w:style>
  <w:style w:type="character" w:customStyle="1" w:styleId="431">
    <w:name w:val="hit"/>
    <w:basedOn w:val="65"/>
    <w:autoRedefine/>
    <w:qFormat/>
    <w:uiPriority w:val="0"/>
  </w:style>
  <w:style w:type="character" w:customStyle="1" w:styleId="432">
    <w:name w:val="c3"/>
    <w:basedOn w:val="65"/>
    <w:autoRedefine/>
    <w:qFormat/>
    <w:uiPriority w:val="0"/>
  </w:style>
  <w:style w:type="character" w:customStyle="1" w:styleId="433">
    <w:name w:val="over8"/>
    <w:basedOn w:val="65"/>
    <w:autoRedefine/>
    <w:qFormat/>
    <w:uiPriority w:val="0"/>
    <w:rPr>
      <w:color w:val="999999"/>
      <w:sz w:val="19"/>
      <w:szCs w:val="19"/>
    </w:rPr>
  </w:style>
  <w:style w:type="character" w:customStyle="1" w:styleId="434">
    <w:name w:val="right4"/>
    <w:basedOn w:val="65"/>
    <w:autoRedefine/>
    <w:qFormat/>
    <w:uiPriority w:val="0"/>
    <w:rPr>
      <w:color w:val="A1A1A1"/>
    </w:rPr>
  </w:style>
  <w:style w:type="character" w:customStyle="1" w:styleId="435">
    <w:name w:val="msg-box8"/>
    <w:basedOn w:val="65"/>
    <w:autoRedefine/>
    <w:qFormat/>
    <w:uiPriority w:val="0"/>
  </w:style>
  <w:style w:type="character" w:customStyle="1" w:styleId="436">
    <w:name w:val="c2"/>
    <w:basedOn w:val="65"/>
    <w:autoRedefine/>
    <w:qFormat/>
    <w:uiPriority w:val="0"/>
  </w:style>
  <w:style w:type="character" w:customStyle="1" w:styleId="437">
    <w:name w:val="c1"/>
    <w:basedOn w:val="65"/>
    <w:autoRedefine/>
    <w:qFormat/>
    <w:uiPriority w:val="0"/>
  </w:style>
  <w:style w:type="character" w:customStyle="1" w:styleId="438">
    <w:name w:val="tit4"/>
    <w:basedOn w:val="65"/>
    <w:autoRedefine/>
    <w:qFormat/>
    <w:uiPriority w:val="0"/>
    <w:rPr>
      <w:color w:val="333333"/>
      <w:sz w:val="24"/>
      <w:szCs w:val="24"/>
    </w:rPr>
  </w:style>
  <w:style w:type="character" w:customStyle="1" w:styleId="439">
    <w:name w:val="starting8"/>
    <w:basedOn w:val="65"/>
    <w:autoRedefine/>
    <w:qFormat/>
    <w:uiPriority w:val="0"/>
    <w:rPr>
      <w:color w:val="13844D"/>
    </w:rPr>
  </w:style>
  <w:style w:type="character" w:customStyle="1" w:styleId="440">
    <w:name w:val="nostart8"/>
    <w:basedOn w:val="65"/>
    <w:autoRedefine/>
    <w:qFormat/>
    <w:uiPriority w:val="0"/>
    <w:rPr>
      <w:color w:val="DD0000"/>
    </w:rPr>
  </w:style>
  <w:style w:type="character" w:customStyle="1" w:styleId="441">
    <w:name w:val="over"/>
    <w:basedOn w:val="65"/>
    <w:autoRedefine/>
    <w:qFormat/>
    <w:uiPriority w:val="0"/>
    <w:rPr>
      <w:color w:val="999999"/>
      <w:sz w:val="19"/>
      <w:szCs w:val="19"/>
    </w:rPr>
  </w:style>
  <w:style w:type="character" w:customStyle="1" w:styleId="442">
    <w:name w:val="msg-box"/>
    <w:basedOn w:val="65"/>
    <w:autoRedefine/>
    <w:qFormat/>
    <w:uiPriority w:val="0"/>
  </w:style>
  <w:style w:type="character" w:customStyle="1" w:styleId="443">
    <w:name w:val="img_title"/>
    <w:basedOn w:val="65"/>
    <w:autoRedefine/>
    <w:qFormat/>
    <w:uiPriority w:val="0"/>
    <w:rPr>
      <w:vanish/>
    </w:rPr>
  </w:style>
  <w:style w:type="character" w:customStyle="1" w:styleId="444">
    <w:name w:val="right3"/>
    <w:basedOn w:val="65"/>
    <w:autoRedefine/>
    <w:qFormat/>
    <w:uiPriority w:val="0"/>
    <w:rPr>
      <w:color w:val="A1A1A1"/>
    </w:rPr>
  </w:style>
  <w:style w:type="character" w:customStyle="1" w:styleId="445">
    <w:name w:val="right"/>
    <w:basedOn w:val="65"/>
    <w:autoRedefine/>
    <w:qFormat/>
    <w:uiPriority w:val="0"/>
    <w:rPr>
      <w:color w:val="A1A1A1"/>
    </w:rPr>
  </w:style>
  <w:style w:type="character" w:customStyle="1" w:styleId="446">
    <w:name w:val="starting7"/>
    <w:basedOn w:val="65"/>
    <w:autoRedefine/>
    <w:qFormat/>
    <w:uiPriority w:val="0"/>
    <w:rPr>
      <w:color w:val="13844D"/>
    </w:rPr>
  </w:style>
  <w:style w:type="character" w:customStyle="1" w:styleId="447">
    <w:name w:val="tit3"/>
    <w:basedOn w:val="65"/>
    <w:autoRedefine/>
    <w:qFormat/>
    <w:uiPriority w:val="0"/>
    <w:rPr>
      <w:color w:val="333333"/>
      <w:sz w:val="24"/>
      <w:szCs w:val="24"/>
    </w:rPr>
  </w:style>
  <w:style w:type="character" w:customStyle="1" w:styleId="448">
    <w:name w:val="nostart5"/>
    <w:basedOn w:val="65"/>
    <w:autoRedefine/>
    <w:qFormat/>
    <w:uiPriority w:val="0"/>
    <w:rPr>
      <w:color w:val="DD0000"/>
    </w:rPr>
  </w:style>
  <w:style w:type="character" w:customStyle="1" w:styleId="449">
    <w:name w:val="starting5"/>
    <w:basedOn w:val="65"/>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5"/>
    <w:autoRedefine/>
    <w:qFormat/>
    <w:uiPriority w:val="0"/>
  </w:style>
  <w:style w:type="character" w:customStyle="1" w:styleId="454">
    <w:name w:val="layui-layer-tabnow"/>
    <w:basedOn w:val="65"/>
    <w:autoRedefine/>
    <w:qFormat/>
    <w:uiPriority w:val="0"/>
    <w:rPr>
      <w:bdr w:val="single" w:color="CCCCCC" w:sz="6" w:space="0"/>
      <w:shd w:val="clear" w:color="auto" w:fill="FFFFFF"/>
    </w:rPr>
  </w:style>
  <w:style w:type="character" w:customStyle="1" w:styleId="455">
    <w:name w:val="font41"/>
    <w:basedOn w:val="65"/>
    <w:autoRedefine/>
    <w:qFormat/>
    <w:uiPriority w:val="0"/>
    <w:rPr>
      <w:rFonts w:hint="eastAsia" w:ascii="宋体" w:hAnsi="宋体" w:eastAsia="宋体" w:cs="宋体"/>
      <w:color w:val="000000"/>
      <w:sz w:val="22"/>
      <w:szCs w:val="22"/>
      <w:u w:val="none"/>
    </w:rPr>
  </w:style>
  <w:style w:type="character" w:customStyle="1" w:styleId="456">
    <w:name w:val="font51"/>
    <w:basedOn w:val="65"/>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CEB743-4FD6-48B3-B76D-86C1BC263A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12730</Words>
  <Characters>13423</Characters>
  <Lines>69</Lines>
  <Paragraphs>19</Paragraphs>
  <TotalTime>14</TotalTime>
  <ScaleCrop>false</ScaleCrop>
  <LinksUpToDate>false</LinksUpToDate>
  <CharactersWithSpaces>13541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海风温柔吹</cp:lastModifiedBy>
  <cp:lastPrinted>2025-02-08T03:28:00Z</cp:lastPrinted>
  <dcterms:modified xsi:type="dcterms:W3CDTF">2025-02-12T01:59:57Z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4CC79DC2222F42F1AFBFCAD57326563C_13</vt:lpwstr>
  </property>
  <property fmtid="{D5CDD505-2E9C-101B-9397-08002B2CF9AE}" pid="4" name="KSOTemplateDocerSaveRecord">
    <vt:lpwstr>eyJoZGlkIjoiNDAwYjZlMTE2MGVkOWY1ZjMwNDkxYTg1M2FlMWYzM2YiLCJ1c2VySWQiOiI1MDM3OTU2NDYifQ==</vt:lpwstr>
  </property>
</Properties>
</file>