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D53B">
      <w:pPr>
        <w:pStyle w:val="3"/>
        <w:spacing w:beforeLines="20" w:afterLines="20" w:line="480" w:lineRule="exact"/>
        <w:ind w:firstLine="0" w:firstLineChars="0"/>
        <w:jc w:val="center"/>
        <w:rPr>
          <w:rFonts w:ascii="宋体" w:hAnsi="宋体"/>
          <w:bCs/>
          <w:color w:val="000000" w:themeColor="text1"/>
          <w:sz w:val="24"/>
          <w:highlight w:val="none"/>
          <w14:textFill>
            <w14:solidFill>
              <w14:schemeClr w14:val="tx1"/>
            </w14:solidFill>
          </w14:textFill>
        </w:rPr>
      </w:pPr>
      <w:bookmarkStart w:id="0" w:name="_GoBack"/>
      <w:bookmarkEnd w:id="0"/>
      <w:r>
        <w:rPr>
          <w:rFonts w:hint="eastAsia" w:ascii="Arial" w:hAnsi="Arial"/>
          <w:color w:val="000000" w:themeColor="text1"/>
          <w:kern w:val="2"/>
          <w:sz w:val="32"/>
          <w:szCs w:val="32"/>
          <w:highlight w:val="none"/>
          <w:lang w:val="zh-CN"/>
          <w14:textFill>
            <w14:solidFill>
              <w14:schemeClr w14:val="tx1"/>
            </w14:solidFill>
          </w14:textFill>
        </w:rPr>
        <w:t>服务需求及技术要求</w:t>
      </w:r>
    </w:p>
    <w:p w14:paraId="5F6748F1">
      <w:pPr>
        <w:pStyle w:val="9"/>
        <w:spacing w:beforeLines="0" w:after="0" w:line="420" w:lineRule="exact"/>
        <w:ind w:firstLine="368"/>
        <w:rPr>
          <w:rFonts w:ascii="宋体" w:hAnsi="宋体" w:cs="宋体"/>
          <w:color w:val="000000" w:themeColor="text1"/>
          <w:sz w:val="21"/>
          <w:szCs w:val="21"/>
          <w:highlight w:val="none"/>
          <w14:textFill>
            <w14:solidFill>
              <w14:schemeClr w14:val="tx1"/>
            </w14:solidFill>
          </w14:textFill>
        </w:rPr>
      </w:pPr>
    </w:p>
    <w:p w14:paraId="41E8A24E">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一、基本情况</w:t>
      </w:r>
    </w:p>
    <w:p w14:paraId="574817C3">
      <w:pPr>
        <w:pStyle w:val="4"/>
        <w:spacing w:line="360"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1.建设规模：S22天天高速安庆至潜山段35kV~220kV电力线路迁改工程</w:t>
      </w:r>
      <w:r>
        <w:rPr>
          <w:rFonts w:hint="eastAsia" w:ascii="宋体" w:hAnsi="宋体" w:cs="宋体"/>
          <w:color w:val="000000" w:themeColor="text1"/>
          <w:sz w:val="21"/>
          <w:szCs w:val="21"/>
          <w:highlight w:val="none"/>
          <w:lang w:val="en-US" w:eastAsia="zh-CN"/>
          <w14:textFill>
            <w14:solidFill>
              <w14:schemeClr w14:val="tx1"/>
            </w14:solidFill>
          </w14:textFill>
        </w:rPr>
        <w:t>起点怀宁县</w:t>
      </w:r>
      <w:r>
        <w:rPr>
          <w:rFonts w:hint="eastAsia" w:ascii="宋体" w:hAnsi="宋体" w:cs="宋体"/>
          <w:color w:val="000000" w:themeColor="text1"/>
          <w:sz w:val="21"/>
          <w:szCs w:val="21"/>
          <w:highlight w:val="none"/>
          <w14:textFill>
            <w14:solidFill>
              <w14:schemeClr w14:val="tx1"/>
            </w14:solidFill>
          </w14:textFill>
        </w:rPr>
        <w:t>凉亭乡双岭村，途径市经开区茶岭镇、</w:t>
      </w:r>
      <w:r>
        <w:rPr>
          <w:rFonts w:hint="eastAsia" w:ascii="宋体" w:hAnsi="宋体" w:cs="宋体"/>
          <w:color w:val="000000" w:themeColor="text1"/>
          <w:sz w:val="21"/>
          <w:szCs w:val="21"/>
          <w:highlight w:val="none"/>
          <w:lang w:val="en-US" w:eastAsia="zh-CN"/>
          <w14:textFill>
            <w14:solidFill>
              <w14:schemeClr w14:val="tx1"/>
            </w14:solidFill>
          </w14:textFill>
        </w:rPr>
        <w:t>怀宁县月山镇</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怀宁县石镜乡、怀宁县黄墩镇、怀宁县三桥镇、怀宁县小市镇、终点</w:t>
      </w:r>
      <w:r>
        <w:rPr>
          <w:rFonts w:hint="eastAsia" w:ascii="宋体" w:hAnsi="宋体" w:cs="宋体"/>
          <w:color w:val="000000" w:themeColor="text1"/>
          <w:sz w:val="21"/>
          <w:szCs w:val="21"/>
          <w:highlight w:val="none"/>
          <w14:textFill>
            <w14:solidFill>
              <w14:schemeClr w14:val="tx1"/>
            </w14:solidFill>
          </w14:textFill>
        </w:rPr>
        <w:t>潜山市</w:t>
      </w:r>
      <w:r>
        <w:rPr>
          <w:rFonts w:hint="eastAsia" w:ascii="宋体" w:hAnsi="宋体" w:cs="宋体"/>
          <w:color w:val="000000" w:themeColor="text1"/>
          <w:sz w:val="21"/>
          <w:szCs w:val="21"/>
          <w:highlight w:val="none"/>
          <w:lang w:val="en-US" w:eastAsia="zh-CN"/>
          <w14:textFill>
            <w14:solidFill>
              <w14:schemeClr w14:val="tx1"/>
            </w14:solidFill>
          </w14:textFill>
        </w:rPr>
        <w:t>梅城镇利民村南外环路，总长</w:t>
      </w:r>
      <w:r>
        <w:rPr>
          <w:rFonts w:hint="eastAsia" w:ascii="宋体" w:hAnsi="宋体" w:cs="宋体"/>
          <w:color w:val="000000" w:themeColor="text1"/>
          <w:sz w:val="21"/>
          <w:szCs w:val="21"/>
          <w:highlight w:val="none"/>
          <w14:textFill>
            <w14:solidFill>
              <w14:schemeClr w14:val="tx1"/>
            </w14:solidFill>
          </w14:textFill>
        </w:rPr>
        <w:t>44.648公里</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35kV~220kV电力线路迁改工程内容包含电力线路勘察、设计、施工、监理</w:t>
      </w:r>
      <w:r>
        <w:rPr>
          <w:rFonts w:hint="eastAsia" w:ascii="宋体" w:hAnsi="宋体" w:cs="宋体"/>
          <w:color w:val="000000" w:themeColor="text1"/>
          <w:sz w:val="21"/>
          <w:szCs w:val="21"/>
          <w:highlight w:val="none"/>
          <w14:textFill>
            <w14:solidFill>
              <w14:schemeClr w14:val="tx1"/>
            </w14:solidFill>
          </w14:textFill>
        </w:rPr>
        <w:t>。本项目工程涉及35KV</w:t>
      </w:r>
      <w:r>
        <w:rPr>
          <w:rFonts w:hint="eastAsia" w:ascii="宋体" w:hAnsi="宋体" w:cs="宋体"/>
          <w:color w:val="000000" w:themeColor="text1"/>
          <w:sz w:val="21"/>
          <w:szCs w:val="21"/>
          <w:highlight w:val="none"/>
          <w:lang w:val="en-US" w:eastAsia="zh-CN"/>
          <w14:textFill>
            <w14:solidFill>
              <w14:schemeClr w14:val="tx1"/>
            </w14:solidFill>
          </w14:textFill>
        </w:rPr>
        <w:t>高压</w:t>
      </w:r>
      <w:r>
        <w:rPr>
          <w:rFonts w:hint="eastAsia" w:ascii="宋体" w:hAnsi="宋体" w:cs="宋体"/>
          <w:color w:val="000000" w:themeColor="text1"/>
          <w:sz w:val="21"/>
          <w:szCs w:val="21"/>
          <w:highlight w:val="none"/>
          <w14:textFill>
            <w14:solidFill>
              <w14:schemeClr w14:val="tx1"/>
            </w14:solidFill>
          </w14:textFill>
        </w:rPr>
        <w:t>电力线路迁改10处，110KV</w:t>
      </w:r>
      <w:r>
        <w:rPr>
          <w:rFonts w:hint="eastAsia" w:ascii="宋体" w:hAnsi="宋体" w:cs="宋体"/>
          <w:color w:val="000000" w:themeColor="text1"/>
          <w:sz w:val="21"/>
          <w:szCs w:val="21"/>
          <w:highlight w:val="none"/>
          <w:lang w:val="en-US" w:eastAsia="zh-CN"/>
          <w14:textFill>
            <w14:solidFill>
              <w14:schemeClr w14:val="tx1"/>
            </w14:solidFill>
          </w14:textFill>
        </w:rPr>
        <w:t>高压</w:t>
      </w:r>
      <w:r>
        <w:rPr>
          <w:rFonts w:hint="eastAsia" w:ascii="宋体" w:hAnsi="宋体" w:cs="宋体"/>
          <w:color w:val="000000" w:themeColor="text1"/>
          <w:sz w:val="21"/>
          <w:szCs w:val="21"/>
          <w:highlight w:val="none"/>
          <w14:textFill>
            <w14:solidFill>
              <w14:schemeClr w14:val="tx1"/>
            </w14:solidFill>
          </w14:textFill>
        </w:rPr>
        <w:t>电力线路迁改5处，220KV</w:t>
      </w:r>
      <w:r>
        <w:rPr>
          <w:rFonts w:hint="eastAsia" w:ascii="宋体" w:hAnsi="宋体" w:cs="宋体"/>
          <w:color w:val="000000" w:themeColor="text1"/>
          <w:sz w:val="21"/>
          <w:szCs w:val="21"/>
          <w:highlight w:val="none"/>
          <w:lang w:val="en-US" w:eastAsia="zh-CN"/>
          <w14:textFill>
            <w14:solidFill>
              <w14:schemeClr w14:val="tx1"/>
            </w14:solidFill>
          </w14:textFill>
        </w:rPr>
        <w:t>高压</w:t>
      </w:r>
      <w:r>
        <w:rPr>
          <w:rFonts w:hint="eastAsia" w:ascii="宋体" w:hAnsi="宋体" w:cs="宋体"/>
          <w:color w:val="000000" w:themeColor="text1"/>
          <w:sz w:val="21"/>
          <w:szCs w:val="21"/>
          <w:highlight w:val="none"/>
          <w14:textFill>
            <w14:solidFill>
              <w14:schemeClr w14:val="tx1"/>
            </w14:solidFill>
          </w14:textFill>
        </w:rPr>
        <w:t>电力线路迁改5处，工程</w:t>
      </w:r>
      <w:r>
        <w:rPr>
          <w:rFonts w:hint="eastAsia" w:ascii="宋体" w:hAnsi="宋体" w:cs="宋体"/>
          <w:color w:val="000000" w:themeColor="text1"/>
          <w:sz w:val="21"/>
          <w:szCs w:val="21"/>
          <w:highlight w:val="none"/>
          <w:lang w:val="en-US" w:eastAsia="zh-CN"/>
          <w14:textFill>
            <w14:solidFill>
              <w14:schemeClr w14:val="tx1"/>
            </w14:solidFill>
          </w14:textFill>
        </w:rPr>
        <w:t>施工</w:t>
      </w:r>
      <w:r>
        <w:rPr>
          <w:rFonts w:hint="eastAsia" w:ascii="宋体" w:hAnsi="宋体" w:cs="宋体"/>
          <w:color w:val="000000" w:themeColor="text1"/>
          <w:sz w:val="21"/>
          <w:szCs w:val="21"/>
          <w:highlight w:val="none"/>
          <w14:textFill>
            <w14:solidFill>
              <w14:schemeClr w14:val="tx1"/>
            </w14:solidFill>
          </w14:textFill>
        </w:rPr>
        <w:t>合同总金额为6272.75万元，合同</w:t>
      </w:r>
      <w:r>
        <w:rPr>
          <w:rFonts w:hint="eastAsia" w:ascii="宋体" w:hAnsi="宋体" w:cs="宋体"/>
          <w:color w:val="000000" w:themeColor="text1"/>
          <w:sz w:val="21"/>
          <w:szCs w:val="21"/>
          <w:highlight w:val="none"/>
          <w:lang w:val="en-US" w:eastAsia="zh-CN"/>
          <w14:textFill>
            <w14:solidFill>
              <w14:schemeClr w14:val="tx1"/>
            </w14:solidFill>
          </w14:textFill>
        </w:rPr>
        <w:t>施工</w:t>
      </w:r>
      <w:r>
        <w:rPr>
          <w:rFonts w:hint="eastAsia" w:ascii="宋体" w:hAnsi="宋体" w:cs="宋体"/>
          <w:color w:val="000000" w:themeColor="text1"/>
          <w:sz w:val="21"/>
          <w:szCs w:val="21"/>
          <w:highlight w:val="none"/>
          <w14:textFill>
            <w14:solidFill>
              <w14:schemeClr w14:val="tx1"/>
            </w14:solidFill>
          </w14:textFill>
        </w:rPr>
        <w:t>工期为260日历</w:t>
      </w:r>
      <w:r>
        <w:rPr>
          <w:rFonts w:hint="eastAsia" w:ascii="宋体" w:hAnsi="宋体" w:cs="宋体"/>
          <w:color w:val="000000" w:themeColor="text1"/>
          <w:sz w:val="21"/>
          <w:szCs w:val="21"/>
          <w:highlight w:val="none"/>
          <w:lang w:val="en-US" w:eastAsia="zh-CN"/>
          <w14:textFill>
            <w14:solidFill>
              <w14:schemeClr w14:val="tx1"/>
            </w14:solidFill>
          </w14:textFill>
        </w:rPr>
        <w:t>天</w:t>
      </w:r>
      <w:r>
        <w:rPr>
          <w:rFonts w:hint="eastAsia" w:ascii="宋体" w:hAnsi="宋体" w:cs="宋体"/>
          <w:color w:val="000000" w:themeColor="text1"/>
          <w:sz w:val="21"/>
          <w:szCs w:val="21"/>
          <w:highlight w:val="none"/>
          <w14:textFill>
            <w14:solidFill>
              <w14:schemeClr w14:val="tx1"/>
            </w14:solidFill>
          </w14:textFill>
        </w:rPr>
        <w:t>。</w:t>
      </w:r>
    </w:p>
    <w:p w14:paraId="2982500F">
      <w:pPr>
        <w:pStyle w:val="4"/>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工程监理内容：上述工程施工及缺陷责任期全过程监理，包括项目的全部工程缺陷责任期期满为止。含建设工程项目施工前期准备阶段及施工阶段的质量、进度、投资控制和安全、合同、信息管理及各参建方协调等监理及后续服务工作。</w:t>
      </w:r>
    </w:p>
    <w:p w14:paraId="1D6B9100">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据《安庆市人民政府办公室关于印发安庆市工程建设领域农民工工资专用账户和工程款分账管理办法的通知》（宜政办秘〔2021〕17号）的规定，监理人必须将农民工工资支付情况纳入监理日志内容，督促工程项目总承包人按时足额支付农民工工资。对工程项目发包人未按时足额拨付工资性工程款，工程项目总承包人未按时足额支付农民工工资、未在施工现场醒目位置公示工资性工程款拨付和农民工工资支付清单的，工程项目监理人应及时向安庆市农民工工资专用账户管理办公室报告。</w:t>
      </w:r>
    </w:p>
    <w:p w14:paraId="341B54BB">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项目监理人未将农民工工资支付情况记入监理日志的；或应向管理办公室报告农民工工资支付事项而未报告的，由管理办公室限期约谈，责令限期整改，逾期未整改或整改不到位的，记入市建设行业信用信息系统，列入全市建筑市场重点监管对象。</w:t>
      </w:r>
    </w:p>
    <w:p w14:paraId="1BB7EF6A">
      <w:pPr>
        <w:pStyle w:val="4"/>
        <w:numPr>
          <w:ilvl w:val="0"/>
          <w:numId w:val="1"/>
        </w:num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工程监理范围：本次监理工程主要范围为上述工程施工及缺陷责任期全过程监理。在项目实施中如有增减项，成交人的服务内容则相应予以增加或减少，并作为本次招标的组成部分，费用增减按合同约定执行。</w:t>
      </w:r>
    </w:p>
    <w:p w14:paraId="4245E964">
      <w:pPr>
        <w:pStyle w:val="4"/>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工程监理具体内容详见施工设计图内容和有关说明。</w:t>
      </w:r>
    </w:p>
    <w:p w14:paraId="0765ED82">
      <w:pPr>
        <w:pStyle w:val="4"/>
        <w:numPr>
          <w:ilvl w:val="0"/>
          <w:numId w:val="2"/>
        </w:numPr>
        <w:spacing w:line="360" w:lineRule="auto"/>
        <w:ind w:firstLine="40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服务要求</w:t>
      </w:r>
    </w:p>
    <w:p w14:paraId="2678BE22">
      <w:pPr>
        <w:pStyle w:val="4"/>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1.工程质量监理及检查验收标准、采购人的项目实施目标、拟采用的具体项目控制手段：</w:t>
      </w:r>
    </w:p>
    <w:p w14:paraId="7F83138D">
      <w:pPr>
        <w:pStyle w:val="4"/>
        <w:snapToGrid w:val="0"/>
        <w:spacing w:line="360" w:lineRule="auto"/>
        <w:ind w:firstLine="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工程以工程施工设计图纸、图纸会审记录、设计变更通知书、技术联系单、各类试验报告、产品合格证书等有关资料和合同规定的条款为依据，按国家颁布的工程施工验收规范及监理大纲进行监理、检查、验收。</w:t>
      </w:r>
    </w:p>
    <w:p w14:paraId="2144A99E">
      <w:pPr>
        <w:pStyle w:val="4"/>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承诺提供正常监理服务以外其他的相关服务，包括但不限于配合采购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14:paraId="737B0C11">
      <w:pPr>
        <w:pStyle w:val="4"/>
        <w:snapToGrid w:val="0"/>
        <w:spacing w:line="360" w:lineRule="auto"/>
        <w:ind w:firstLine="420" w:firstLineChars="200"/>
        <w:jc w:val="left"/>
        <w:rPr>
          <w:rFonts w:ascii="宋体" w:hAnsi="宋体" w:cs="宋体"/>
          <w:color w:val="000000" w:themeColor="text1"/>
          <w:sz w:val="21"/>
          <w:szCs w:val="16"/>
          <w:highlight w:val="none"/>
          <w14:textFill>
            <w14:solidFill>
              <w14:schemeClr w14:val="tx1"/>
            </w14:solidFill>
          </w14:textFill>
        </w:rPr>
      </w:pPr>
      <w:r>
        <w:rPr>
          <w:rFonts w:hint="eastAsia" w:ascii="宋体" w:hAnsi="宋体" w:cs="宋体"/>
          <w:color w:val="000000" w:themeColor="text1"/>
          <w:sz w:val="21"/>
          <w:szCs w:val="16"/>
          <w:highlight w:val="none"/>
          <w14:textFill>
            <w14:solidFill>
              <w14:schemeClr w14:val="tx1"/>
            </w14:solidFill>
          </w14:textFill>
        </w:rPr>
        <w:t>3.成交人在本工程中配备的总监及监理工程师，须具有丰富的监理经验、身体健康、年龄适中、有良好职业道德的专职人员。总监理工程师必须具备国家注册监理工程师执业资格。</w:t>
      </w:r>
    </w:p>
    <w:p w14:paraId="039580F8">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4.承担本项目监理的监理机构须进驻现场，总监理工程师必须常驻现场，所有监理人员出勤率为100%（除总监），项目监理机构关键岗位人员必须符合住房城乡建设部及安徽省相关标准规定，否则根据相关规定予以处理，直至清退出场。</w:t>
      </w:r>
    </w:p>
    <w:p w14:paraId="2FDC4BCD">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5.在建设过程中，成交人必须按投标时承诺配备的人员及时到位。未经采购人同意，成交人不得擅自更换投标时所报总监理工程师及其他监理人员。根据现场施工情况，保证监理人员每天到场数量，采购人有权根据监理现场人员到位情况，要求其增加专业人员，监理单位必须服从，否则，视同成交人违约，采购人有权中止合同履行。</w:t>
      </w:r>
    </w:p>
    <w:p w14:paraId="4EB8D7A9">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6.因监理原因造成工程质量缺陷、进度滞后、工期延误，给委托人造成损失的，委托人有权在监理合同价款中扣除相关损失费用。</w:t>
      </w:r>
    </w:p>
    <w:p w14:paraId="1AAD1ABD">
      <w:pPr>
        <w:spacing w:line="360" w:lineRule="auto"/>
        <w:ind w:firstLine="420" w:firstLineChars="200"/>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zCs w:val="16"/>
          <w:highlight w:val="none"/>
          <w14:textFill>
            <w14:solidFill>
              <w14:schemeClr w14:val="tx1"/>
            </w14:solidFill>
          </w14:textFill>
        </w:rPr>
        <w:t>7.成交人应及时安排专业人员负责本项目的工程量形象进度审核工作，向委托人提交监理工作月报及监理业务范围内的专项报告。</w:t>
      </w:r>
    </w:p>
    <w:p w14:paraId="6FCA862A">
      <w:pPr>
        <w:spacing w:line="360" w:lineRule="auto"/>
        <w:ind w:firstLine="422" w:firstLineChars="200"/>
        <w:rPr>
          <w:rFonts w:ascii="宋体" w:hAnsi="宋体" w:cs="宋体"/>
          <w:b/>
          <w:bCs/>
          <w:color w:val="000000" w:themeColor="text1"/>
          <w:szCs w:val="16"/>
          <w:highlight w:val="none"/>
          <w14:textFill>
            <w14:solidFill>
              <w14:schemeClr w14:val="tx1"/>
            </w14:solidFill>
          </w14:textFill>
        </w:rPr>
      </w:pPr>
      <w:r>
        <w:rPr>
          <w:rFonts w:hint="eastAsia" w:ascii="宋体" w:hAnsi="宋体" w:cs="宋体"/>
          <w:b/>
          <w:bCs/>
          <w:color w:val="000000" w:themeColor="text1"/>
          <w:szCs w:val="16"/>
          <w:highlight w:val="none"/>
          <w14:textFill>
            <w14:solidFill>
              <w14:schemeClr w14:val="tx1"/>
            </w14:solidFill>
          </w14:textFill>
        </w:rPr>
        <w:t>三、本项目人员的最低配备要求</w:t>
      </w:r>
    </w:p>
    <w:tbl>
      <w:tblPr>
        <w:tblStyle w:val="7"/>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851"/>
        <w:gridCol w:w="4541"/>
        <w:gridCol w:w="819"/>
      </w:tblGrid>
      <w:tr w14:paraId="5A92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732" w:type="dxa"/>
            <w:vAlign w:val="center"/>
          </w:tcPr>
          <w:p w14:paraId="4F7577BD">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851" w:type="dxa"/>
            <w:vAlign w:val="center"/>
          </w:tcPr>
          <w:p w14:paraId="74E234DA">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监理岗位</w:t>
            </w:r>
          </w:p>
        </w:tc>
        <w:tc>
          <w:tcPr>
            <w:tcW w:w="4541" w:type="dxa"/>
            <w:vAlign w:val="center"/>
          </w:tcPr>
          <w:p w14:paraId="75771936">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资格要求</w:t>
            </w:r>
          </w:p>
        </w:tc>
        <w:tc>
          <w:tcPr>
            <w:tcW w:w="819" w:type="dxa"/>
            <w:vAlign w:val="center"/>
          </w:tcPr>
          <w:p w14:paraId="0DFA021F">
            <w:pPr>
              <w:jc w:val="center"/>
              <w:rPr>
                <w:rFonts w:ascii="宋体" w:hAnsi="宋体" w:cs="宋体"/>
                <w:b/>
                <w:bCs/>
                <w:color w:val="000000" w:themeColor="text1"/>
                <w:spacing w:val="20"/>
                <w:sz w:val="28"/>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r>
      <w:tr w14:paraId="14AC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732" w:type="dxa"/>
            <w:vAlign w:val="center"/>
          </w:tcPr>
          <w:p w14:paraId="5480E1DF">
            <w:pPr>
              <w:spacing w:beforeLines="50" w:afterLines="50"/>
              <w:jc w:val="center"/>
              <w:rPr>
                <w:rFonts w:ascii="宋体" w:hAnsi="宋体" w:cs="宋体"/>
                <w:color w:val="000000" w:themeColor="text1"/>
                <w:spacing w:val="20"/>
                <w:szCs w:val="16"/>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51" w:type="dxa"/>
            <w:vAlign w:val="center"/>
          </w:tcPr>
          <w:p w14:paraId="48A4A945">
            <w:pPr>
              <w:jc w:val="center"/>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总监理工程师</w:t>
            </w:r>
          </w:p>
        </w:tc>
        <w:tc>
          <w:tcPr>
            <w:tcW w:w="4541" w:type="dxa"/>
            <w:vAlign w:val="center"/>
          </w:tcPr>
          <w:p w14:paraId="04634104">
            <w:pPr>
              <w:widowControl/>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具有</w:t>
            </w:r>
            <w:r>
              <w:rPr>
                <w:rFonts w:hint="eastAsia" w:ascii="宋体" w:hAnsi="宋体" w:cs="宋体"/>
                <w:color w:val="000000" w:themeColor="text1"/>
                <w:spacing w:val="20"/>
                <w:szCs w:val="16"/>
                <w:highlight w:val="none"/>
                <w:u w:val="single"/>
                <w14:textFill>
                  <w14:solidFill>
                    <w14:schemeClr w14:val="tx1"/>
                  </w14:solidFill>
                </w14:textFill>
              </w:rPr>
              <w:t>电力工程专业</w:t>
            </w:r>
            <w:r>
              <w:rPr>
                <w:rFonts w:hint="eastAsia" w:ascii="宋体" w:hAnsi="宋体" w:cs="宋体"/>
                <w:color w:val="000000" w:themeColor="text1"/>
                <w:spacing w:val="20"/>
                <w:szCs w:val="16"/>
                <w:highlight w:val="none"/>
                <w14:textFill>
                  <w14:solidFill>
                    <w14:schemeClr w14:val="tx1"/>
                  </w14:solidFill>
                </w14:textFill>
              </w:rPr>
              <w:t>国家监理工程师注册证书</w:t>
            </w:r>
          </w:p>
        </w:tc>
        <w:tc>
          <w:tcPr>
            <w:tcW w:w="819" w:type="dxa"/>
            <w:vAlign w:val="center"/>
          </w:tcPr>
          <w:p w14:paraId="3118103C">
            <w:pPr>
              <w:spacing w:beforeLines="50" w:afterLines="50"/>
              <w:jc w:val="center"/>
              <w:rPr>
                <w:rFonts w:ascii="宋体" w:hAnsi="宋体" w:cs="宋体"/>
                <w:b/>
                <w:color w:val="000000" w:themeColor="text1"/>
                <w:spacing w:val="20"/>
                <w:szCs w:val="16"/>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人</w:t>
            </w:r>
          </w:p>
        </w:tc>
      </w:tr>
      <w:tr w14:paraId="46BE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732" w:type="dxa"/>
            <w:vAlign w:val="center"/>
          </w:tcPr>
          <w:p w14:paraId="0BFD86CC">
            <w:pPr>
              <w:spacing w:line="360" w:lineRule="auto"/>
              <w:jc w:val="center"/>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2</w:t>
            </w:r>
          </w:p>
        </w:tc>
        <w:tc>
          <w:tcPr>
            <w:tcW w:w="2851" w:type="dxa"/>
            <w:vAlign w:val="center"/>
          </w:tcPr>
          <w:p w14:paraId="08FBB4FE">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专业监理工程师</w:t>
            </w:r>
          </w:p>
        </w:tc>
        <w:tc>
          <w:tcPr>
            <w:tcW w:w="4541" w:type="dxa"/>
            <w:vAlign w:val="center"/>
          </w:tcPr>
          <w:p w14:paraId="3E495A2A">
            <w:pPr>
              <w:rPr>
                <w:rFonts w:ascii="宋体" w:hAnsi="宋体" w:cs="宋体"/>
                <w:color w:val="000000" w:themeColor="text1"/>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具有</w:t>
            </w:r>
            <w:r>
              <w:rPr>
                <w:rFonts w:hint="eastAsia" w:ascii="宋体" w:hAnsi="宋体" w:cs="宋体"/>
                <w:color w:val="000000" w:themeColor="text1"/>
                <w:spacing w:val="20"/>
                <w:szCs w:val="16"/>
                <w:highlight w:val="none"/>
                <w:u w:val="single"/>
                <w14:textFill>
                  <w14:solidFill>
                    <w14:schemeClr w14:val="tx1"/>
                  </w14:solidFill>
                </w14:textFill>
              </w:rPr>
              <w:t>电力工程专业</w:t>
            </w:r>
            <w:r>
              <w:rPr>
                <w:rFonts w:hint="eastAsia" w:ascii="宋体" w:hAnsi="宋体" w:cs="宋体"/>
                <w:color w:val="000000" w:themeColor="text1"/>
                <w:spacing w:val="20"/>
                <w:szCs w:val="16"/>
                <w:highlight w:val="none"/>
                <w14:textFill>
                  <w14:solidFill>
                    <w14:schemeClr w14:val="tx1"/>
                  </w14:solidFill>
                </w14:textFill>
              </w:rPr>
              <w:t>国家监理工程师注册证书</w:t>
            </w:r>
          </w:p>
        </w:tc>
        <w:tc>
          <w:tcPr>
            <w:tcW w:w="819" w:type="dxa"/>
            <w:vAlign w:val="center"/>
          </w:tcPr>
          <w:p w14:paraId="752F83D6">
            <w:pPr>
              <w:spacing w:line="360" w:lineRule="auto"/>
              <w:jc w:val="center"/>
              <w:rPr>
                <w:rFonts w:ascii="宋体" w:hAnsi="宋体" w:cs="宋体"/>
                <w:b/>
                <w:color w:val="000000" w:themeColor="text1"/>
                <w:spacing w:val="20"/>
                <w:szCs w:val="16"/>
                <w:highlight w:val="none"/>
                <w14:textFill>
                  <w14:solidFill>
                    <w14:schemeClr w14:val="tx1"/>
                  </w14:solidFill>
                </w14:textFill>
              </w:rPr>
            </w:pPr>
            <w:r>
              <w:rPr>
                <w:rFonts w:hint="eastAsia" w:ascii="宋体" w:hAnsi="宋体" w:cs="宋体"/>
                <w:b/>
                <w:color w:val="000000" w:themeColor="text1"/>
                <w:spacing w:val="20"/>
                <w:szCs w:val="16"/>
                <w:highlight w:val="none"/>
                <w14:textFill>
                  <w14:solidFill>
                    <w14:schemeClr w14:val="tx1"/>
                  </w14:solidFill>
                </w14:textFill>
              </w:rPr>
              <w:t>1人</w:t>
            </w:r>
          </w:p>
        </w:tc>
      </w:tr>
      <w:tr w14:paraId="1B0C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exact"/>
        </w:trPr>
        <w:tc>
          <w:tcPr>
            <w:tcW w:w="732" w:type="dxa"/>
            <w:vAlign w:val="center"/>
          </w:tcPr>
          <w:p w14:paraId="7A335BB2">
            <w:pPr>
              <w:spacing w:line="360" w:lineRule="auto"/>
              <w:jc w:val="center"/>
              <w:rPr>
                <w:rFonts w:hint="eastAsia" w:ascii="宋体" w:hAnsi="宋体" w:eastAsia="宋体" w:cs="宋体"/>
                <w:color w:val="000000" w:themeColor="text1"/>
                <w:spacing w:val="20"/>
                <w:szCs w:val="16"/>
                <w:highlight w:val="none"/>
                <w:lang w:val="en-US" w:eastAsia="zh-CN"/>
                <w14:textFill>
                  <w14:solidFill>
                    <w14:schemeClr w14:val="tx1"/>
                  </w14:solidFill>
                </w14:textFill>
              </w:rPr>
            </w:pPr>
            <w:r>
              <w:rPr>
                <w:rFonts w:hint="eastAsia" w:ascii="宋体" w:hAnsi="宋体" w:cs="宋体"/>
                <w:color w:val="000000" w:themeColor="text1"/>
                <w:spacing w:val="20"/>
                <w:szCs w:val="16"/>
                <w:highlight w:val="none"/>
                <w:lang w:val="en-US" w:eastAsia="zh-CN"/>
                <w14:textFill>
                  <w14:solidFill>
                    <w14:schemeClr w14:val="tx1"/>
                  </w14:solidFill>
                </w14:textFill>
              </w:rPr>
              <w:t>3</w:t>
            </w:r>
          </w:p>
        </w:tc>
        <w:tc>
          <w:tcPr>
            <w:tcW w:w="2851" w:type="dxa"/>
            <w:vAlign w:val="center"/>
          </w:tcPr>
          <w:p w14:paraId="2336192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监理员</w:t>
            </w:r>
          </w:p>
        </w:tc>
        <w:tc>
          <w:tcPr>
            <w:tcW w:w="4541" w:type="dxa"/>
            <w:vAlign w:val="center"/>
          </w:tcPr>
          <w:p w14:paraId="73BB90CD">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根 据 安 徽 省 住 房 和 城 乡 建 设 厅 </w:t>
            </w:r>
          </w:p>
          <w:p w14:paraId="204E1851">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 关 于 调 整 招 标 投 标 活 动 中 有 关 </w:t>
            </w:r>
          </w:p>
          <w:p w14:paraId="021D0503">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住 房 城 乡 建 设 领 域 现 场 专 业 人 员 </w:t>
            </w:r>
          </w:p>
          <w:p w14:paraId="0D0155B9">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证 书 要 求 的 通 知 》（ 建 市 函〔 2019〕 </w:t>
            </w:r>
          </w:p>
          <w:p w14:paraId="202A57BD">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1112 号 ） 要 求 ， 不 再 要 求 将 住 房 </w:t>
            </w:r>
          </w:p>
          <w:p w14:paraId="7B29329A">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城 乡 建 设 领 域 监 理 员 持 证 情 况 列 </w:t>
            </w:r>
          </w:p>
          <w:p w14:paraId="69B6E8A9">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入 招 标 投 标 文 件 。 中 标 人 和 招 标 </w:t>
            </w:r>
          </w:p>
          <w:p w14:paraId="4031E622">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人 在 签 订 合 同 时 应 按 照 不 低 于 本 </w:t>
            </w:r>
          </w:p>
          <w:p w14:paraId="1081CEA3">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表 监 理 员 配 置 的 要 求 填 写 承 包 人 </w:t>
            </w:r>
          </w:p>
          <w:p w14:paraId="6096F9CE">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主 要 人 员 表 ， 并 作 为 合 同 的 附 件 </w:t>
            </w:r>
          </w:p>
          <w:p w14:paraId="430C6386">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之 一 。 </w:t>
            </w:r>
          </w:p>
          <w:p w14:paraId="7AAB8194">
            <w:pPr>
              <w:rPr>
                <w:rFonts w:hint="eastAsia" w:ascii="宋体" w:hAnsi="宋体" w:cs="宋体"/>
                <w:color w:val="000000" w:themeColor="text1"/>
                <w:spacing w:val="20"/>
                <w:szCs w:val="16"/>
                <w:highlight w:val="none"/>
                <w14:textFill>
                  <w14:solidFill>
                    <w14:schemeClr w14:val="tx1"/>
                  </w14:solidFill>
                </w14:textFill>
              </w:rPr>
            </w:pPr>
          </w:p>
        </w:tc>
        <w:tc>
          <w:tcPr>
            <w:tcW w:w="819" w:type="dxa"/>
            <w:vAlign w:val="center"/>
          </w:tcPr>
          <w:p w14:paraId="23449AD7">
            <w:pPr>
              <w:spacing w:line="360" w:lineRule="auto"/>
              <w:jc w:val="center"/>
              <w:rPr>
                <w:rFonts w:hint="default" w:ascii="宋体" w:hAnsi="宋体" w:eastAsia="宋体" w:cs="宋体"/>
                <w:b/>
                <w:color w:val="000000" w:themeColor="text1"/>
                <w:spacing w:val="20"/>
                <w:szCs w:val="16"/>
                <w:highlight w:val="none"/>
                <w:lang w:val="en-US" w:eastAsia="zh-CN"/>
                <w14:textFill>
                  <w14:solidFill>
                    <w14:schemeClr w14:val="tx1"/>
                  </w14:solidFill>
                </w14:textFill>
              </w:rPr>
            </w:pPr>
            <w:r>
              <w:rPr>
                <w:rFonts w:hint="eastAsia" w:ascii="宋体" w:hAnsi="宋体" w:cs="宋体"/>
                <w:b/>
                <w:color w:val="000000" w:themeColor="text1"/>
                <w:spacing w:val="20"/>
                <w:szCs w:val="16"/>
                <w:highlight w:val="none"/>
                <w:lang w:val="en-US" w:eastAsia="zh-CN"/>
                <w14:textFill>
                  <w14:solidFill>
                    <w14:schemeClr w14:val="tx1"/>
                  </w14:solidFill>
                </w14:textFill>
              </w:rPr>
              <w:t>3人</w:t>
            </w:r>
          </w:p>
        </w:tc>
      </w:tr>
      <w:tr w14:paraId="1AF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24" w:type="dxa"/>
            <w:gridSpan w:val="3"/>
            <w:vAlign w:val="center"/>
          </w:tcPr>
          <w:p w14:paraId="14365434">
            <w:pPr>
              <w:spacing w:line="360" w:lineRule="auto"/>
              <w:jc w:val="center"/>
              <w:rPr>
                <w:rFonts w:ascii="宋体" w:hAnsi="宋体" w:cs="宋体"/>
                <w:color w:val="000000" w:themeColor="text1"/>
                <w:spacing w:val="20"/>
                <w:szCs w:val="16"/>
                <w:highlight w:val="none"/>
                <w14:textFill>
                  <w14:solidFill>
                    <w14:schemeClr w14:val="tx1"/>
                  </w14:solidFill>
                </w14:textFill>
              </w:rPr>
            </w:pPr>
            <w:r>
              <w:rPr>
                <w:rFonts w:hint="eastAsia" w:ascii="宋体" w:hAnsi="宋体" w:cs="宋体"/>
                <w:color w:val="000000" w:themeColor="text1"/>
                <w:spacing w:val="20"/>
                <w:szCs w:val="16"/>
                <w:highlight w:val="none"/>
                <w14:textFill>
                  <w14:solidFill>
                    <w14:schemeClr w14:val="tx1"/>
                  </w14:solidFill>
                </w14:textFill>
              </w:rPr>
              <w:t>合计</w:t>
            </w:r>
          </w:p>
        </w:tc>
        <w:tc>
          <w:tcPr>
            <w:tcW w:w="819" w:type="dxa"/>
            <w:vAlign w:val="center"/>
          </w:tcPr>
          <w:p w14:paraId="4EE6316F">
            <w:pPr>
              <w:spacing w:line="360" w:lineRule="auto"/>
              <w:jc w:val="center"/>
              <w:rPr>
                <w:rFonts w:hint="default" w:ascii="宋体" w:hAnsi="宋体" w:eastAsia="宋体" w:cs="宋体"/>
                <w:bCs/>
                <w:color w:val="000000" w:themeColor="text1"/>
                <w:spacing w:val="20"/>
                <w:szCs w:val="16"/>
                <w:highlight w:val="none"/>
                <w:lang w:val="en-US" w:eastAsia="zh-CN"/>
                <w14:textFill>
                  <w14:solidFill>
                    <w14:schemeClr w14:val="tx1"/>
                  </w14:solidFill>
                </w14:textFill>
              </w:rPr>
            </w:pPr>
            <w:r>
              <w:rPr>
                <w:rFonts w:hint="eastAsia" w:ascii="宋体" w:hAnsi="宋体" w:cs="宋体"/>
                <w:bCs/>
                <w:color w:val="000000" w:themeColor="text1"/>
                <w:spacing w:val="20"/>
                <w:szCs w:val="16"/>
                <w:highlight w:val="none"/>
                <w:lang w:val="en-US" w:eastAsia="zh-CN"/>
                <w14:textFill>
                  <w14:solidFill>
                    <w14:schemeClr w14:val="tx1"/>
                  </w14:solidFill>
                </w14:textFill>
              </w:rPr>
              <w:t>5人</w:t>
            </w:r>
          </w:p>
        </w:tc>
      </w:tr>
      <w:tr w14:paraId="6C15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8943" w:type="dxa"/>
            <w:gridSpan w:val="4"/>
            <w:vAlign w:val="center"/>
          </w:tcPr>
          <w:p w14:paraId="57480189">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人员配备通则：</w:t>
            </w:r>
          </w:p>
          <w:p w14:paraId="29328E56">
            <w:pPr>
              <w:widowControl/>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表中所列监理人员配额为投标时须提供的最低专业人数要求；施工过程中，成交人项目监理机构关键岗位人员须符合住房城乡建设部及安徽省相关标准规定，配置满足工程项目监理工作进展需要人数，且应专业配套。</w:t>
            </w:r>
          </w:p>
          <w:p w14:paraId="5363EF5D">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2.如监理工程师岗位证书未体现专业，则须提供毕业证书或职称证书或工程建设类注册资格证书证明。</w:t>
            </w:r>
          </w:p>
          <w:p w14:paraId="30869CE5">
            <w:pPr>
              <w:spacing w:line="440" w:lineRule="exac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成交人不得擅自更换响应文件中所报总监理工程师、专业监理工程师,否则采购人有权解除合同，由此造成的损失由成交人自行承担。确需更换的须在签订合同后，报经采购人同意后按相关规定办理。更换项目总监的处以5万元/人·次的违约金，更换专业监理工程师的处以2万元/人·次的违约金，更换后的人员不得低于承包人投标时所报人员资质和技术水平。</w:t>
            </w:r>
          </w:p>
          <w:p w14:paraId="6367899D">
            <w:pPr>
              <w:pStyle w:val="2"/>
              <w:spacing w:line="440" w:lineRule="exact"/>
              <w:rPr>
                <w:color w:val="000000" w:themeColor="text1"/>
                <w:highlight w:val="none"/>
                <w14:textFill>
                  <w14:solidFill>
                    <w14:schemeClr w14:val="tx1"/>
                  </w14:solidFill>
                </w14:textFill>
              </w:rPr>
            </w:pPr>
            <w:r>
              <w:rPr>
                <w:rFonts w:hint="eastAsia" w:ascii="Times New Roman" w:hAnsi="Times New Roman" w:eastAsia="宋体"/>
                <w:b/>
                <w:bCs/>
                <w:color w:val="000000" w:themeColor="text1"/>
                <w:sz w:val="21"/>
                <w:highlight w:val="none"/>
                <w14:textFill>
                  <w14:solidFill>
                    <w14:schemeClr w14:val="tx1"/>
                  </w14:solidFill>
                </w14:textFill>
              </w:rPr>
              <w:t>4.拟派人员须是本单位人员（不接受退休返聘人员、外聘人员），参选文件中提供</w:t>
            </w:r>
            <w:r>
              <w:rPr>
                <w:rFonts w:hint="eastAsia" w:ascii="Times New Roman" w:hAnsi="Times New Roman" w:eastAsia="宋体"/>
                <w:b/>
                <w:bCs/>
                <w:color w:val="000000" w:themeColor="text1"/>
                <w:sz w:val="21"/>
                <w:highlight w:val="none"/>
                <w:lang w:val="en-US" w:eastAsia="zh-CN"/>
                <w14:textFill>
                  <w14:solidFill>
                    <w14:schemeClr w14:val="tx1"/>
                  </w14:solidFill>
                </w14:textFill>
              </w:rPr>
              <w:t>以上人员（监理员除外）开标之日前半年内连续三个月 （如参选人为新成立不足三个月的企业，可提供自成立至今）社保缴费证明或其他能够证明以上人员参加社保的有效证明材料，以上人员的社会保险的缴纳单位应当是参选人或者参选人不具备独立法人资格的分支机构）。社保缴费证明（或社保有效证明材料）至少含养老保险。</w:t>
            </w:r>
          </w:p>
        </w:tc>
      </w:tr>
    </w:tbl>
    <w:p w14:paraId="3A09D31F">
      <w:pPr>
        <w:widowControl/>
        <w:spacing w:line="440" w:lineRule="exact"/>
        <w:ind w:firstLine="422" w:firstLineChars="200"/>
        <w:jc w:val="left"/>
        <w:rPr>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四、报价要求 </w:t>
      </w:r>
    </w:p>
    <w:p w14:paraId="1FAE7F84">
      <w:pPr>
        <w:widowControl/>
        <w:spacing w:line="440" w:lineRule="exact"/>
        <w:ind w:firstLine="422" w:firstLineChars="200"/>
        <w:jc w:val="left"/>
        <w:rPr>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1、本项目报总价，报价包含满足本次采购需求的所有费用（包括但不限于：人工费、材料费、交通费、培训费、印刷费、管理费、保险、税金等）。报价由供应商依据现场实际情况，结合供应商自身技术和管理水平、经营状况、机械配备以及制定的监理大纲和比选文件的有关要求自行报价。 </w:t>
      </w:r>
    </w:p>
    <w:p w14:paraId="57ECC19B">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2.供应商须对目前市场因素、现场环境因素、社会因素等不确定因素对保证实现预定工期目标造成的风险费用做出估计，并包含在报价中，成交后不得以估计不足为由而提出任何增加监理服务价款或索赔要求。</w:t>
      </w:r>
    </w:p>
    <w:p w14:paraId="213FE9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4B56"/>
    <w:multiLevelType w:val="singleLevel"/>
    <w:tmpl w:val="872B4B56"/>
    <w:lvl w:ilvl="0" w:tentative="0">
      <w:start w:val="2"/>
      <w:numFmt w:val="chineseCounting"/>
      <w:suff w:val="nothing"/>
      <w:lvlText w:val="%1、"/>
      <w:lvlJc w:val="left"/>
      <w:rPr>
        <w:rFonts w:hint="eastAsia"/>
      </w:rPr>
    </w:lvl>
  </w:abstractNum>
  <w:abstractNum w:abstractNumId="1">
    <w:nsid w:val="15A0F6E5"/>
    <w:multiLevelType w:val="singleLevel"/>
    <w:tmpl w:val="15A0F6E5"/>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OGQwODc5MTUzZmU4YjY5NjkwMmJkM2IzYzI4MDEifQ=="/>
  </w:docVars>
  <w:rsids>
    <w:rsidRoot w:val="43E01927"/>
    <w:rsid w:val="43E01927"/>
    <w:rsid w:val="55DB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0"/>
    </w:rPr>
  </w:style>
  <w:style w:type="paragraph" w:styleId="4">
    <w:name w:val="Body Text Indent"/>
    <w:basedOn w:val="1"/>
    <w:next w:val="5"/>
    <w:qFormat/>
    <w:uiPriority w:val="0"/>
    <w:pPr>
      <w:ind w:firstLine="645"/>
    </w:pPr>
    <w:rPr>
      <w:sz w:val="20"/>
    </w:rPr>
  </w:style>
  <w:style w:type="paragraph" w:styleId="5">
    <w:name w:val="envelope return"/>
    <w:basedOn w:val="1"/>
    <w:next w:val="6"/>
    <w:unhideWhenUsed/>
    <w:qFormat/>
    <w:uiPriority w:val="99"/>
    <w:pPr>
      <w:snapToGrid w:val="0"/>
    </w:pPr>
    <w:rPr>
      <w:rFonts w:hint="eastAsia" w:ascii="Arial" w:hAnsi="Arial"/>
    </w:rPr>
  </w:style>
  <w:style w:type="paragraph" w:styleId="6">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customStyle="1" w:styleId="9">
    <w:name w:val="模板普通正文"/>
    <w:basedOn w:val="4"/>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2432</Words>
  <Characters>2504</Characters>
  <Lines>0</Lines>
  <Paragraphs>0</Paragraphs>
  <TotalTime>0</TotalTime>
  <ScaleCrop>false</ScaleCrop>
  <LinksUpToDate>false</LinksUpToDate>
  <CharactersWithSpaces>2646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2025-02-06T01:01:00Z</dcterms:created>
  <dc:creator>媛媛__</dc:creator>
  <cp:lastModifiedBy>为我撩人°</cp:lastModifiedBy>
  <dcterms:modified xsi:type="dcterms:W3CDTF">2025-02-06T01:18:38Z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F9139302C8B24D3D81E234C7CC4BA0AA_13</vt:lpwstr>
  </property>
</Properties>
</file>