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42593">
      <w:pPr>
        <w:spacing w:line="480" w:lineRule="exact"/>
        <w:rPr>
          <w:rFonts w:ascii="宋体"/>
          <w:color w:val="000000" w:themeColor="text1"/>
          <w:sz w:val="44"/>
          <w:szCs w:val="44"/>
          <w14:textFill>
            <w14:solidFill>
              <w14:schemeClr w14:val="tx1"/>
            </w14:solidFill>
          </w14:textFill>
        </w:rPr>
      </w:pPr>
    </w:p>
    <w:p w14:paraId="38E9BDBC">
      <w:pPr>
        <w:pStyle w:val="82"/>
        <w:spacing w:before="120"/>
        <w:ind w:firstLine="773"/>
        <w:jc w:val="center"/>
        <w:rPr>
          <w:rFonts w:hint="eastAsia" w:ascii="仿宋_GB2312" w:hAnsi="宋体" w:eastAsia="仿宋_GB2312" w:cs="Times New Roman"/>
          <w:b/>
          <w:color w:val="000000" w:themeColor="text1"/>
          <w:sz w:val="40"/>
          <w:szCs w:val="40"/>
          <w:highlight w:val="none"/>
          <w:lang w:eastAsia="zh-CN"/>
          <w14:textFill>
            <w14:solidFill>
              <w14:schemeClr w14:val="tx1"/>
            </w14:solidFill>
          </w14:textFill>
        </w:rPr>
      </w:pPr>
      <w:r>
        <w:rPr>
          <w:rFonts w:hint="eastAsia" w:ascii="仿宋_GB2312" w:hAnsi="宋体" w:eastAsia="仿宋_GB2312" w:cs="Times New Roman"/>
          <w:b/>
          <w:color w:val="000000" w:themeColor="text1"/>
          <w:sz w:val="40"/>
          <w:szCs w:val="40"/>
          <w:highlight w:val="none"/>
          <w:lang w:val="en-US" w:eastAsia="zh-CN"/>
          <w14:textFill>
            <w14:solidFill>
              <w14:schemeClr w14:val="tx1"/>
            </w14:solidFill>
          </w14:textFill>
        </w:rPr>
        <w:t>安庆市安峰建筑工业化有限公司试验室第三方检测服务采购</w:t>
      </w:r>
    </w:p>
    <w:p w14:paraId="23C72CCA">
      <w:pPr>
        <w:pStyle w:val="82"/>
        <w:rPr>
          <w:highlight w:val="none"/>
        </w:rPr>
      </w:pPr>
    </w:p>
    <w:p w14:paraId="53B5F689">
      <w:pPr>
        <w:pStyle w:val="82"/>
        <w:rPr>
          <w:highlight w:val="none"/>
        </w:rPr>
      </w:pPr>
    </w:p>
    <w:p w14:paraId="1C7A28A1">
      <w:pPr>
        <w:pStyle w:val="82"/>
        <w:rPr>
          <w:highlight w:val="none"/>
        </w:rPr>
      </w:pPr>
    </w:p>
    <w:p w14:paraId="55A8ADAD">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60D805D3">
      <w:pPr>
        <w:pStyle w:val="82"/>
        <w:spacing w:before="120"/>
        <w:ind w:firstLine="350"/>
        <w:rPr>
          <w:color w:val="000000" w:themeColor="text1"/>
          <w:highlight w:val="none"/>
          <w14:textFill>
            <w14:solidFill>
              <w14:schemeClr w14:val="tx1"/>
            </w14:solidFill>
          </w14:textFill>
        </w:rPr>
      </w:pPr>
    </w:p>
    <w:p w14:paraId="5D70B9E6">
      <w:pPr>
        <w:pStyle w:val="82"/>
        <w:spacing w:before="120"/>
        <w:ind w:firstLine="350"/>
        <w:rPr>
          <w:color w:val="000000" w:themeColor="text1"/>
          <w:highlight w:val="none"/>
          <w14:textFill>
            <w14:solidFill>
              <w14:schemeClr w14:val="tx1"/>
            </w14:solidFill>
          </w14:textFill>
        </w:rPr>
      </w:pPr>
    </w:p>
    <w:p w14:paraId="30C3FEC0">
      <w:pPr>
        <w:spacing w:line="480" w:lineRule="exact"/>
        <w:jc w:val="center"/>
        <w:rPr>
          <w:rFonts w:ascii="宋体" w:cs="宋体"/>
          <w:b/>
          <w:bCs/>
          <w:color w:val="000000" w:themeColor="text1"/>
          <w:sz w:val="48"/>
          <w:szCs w:val="48"/>
          <w:highlight w:val="none"/>
          <w14:textFill>
            <w14:solidFill>
              <w14:schemeClr w14:val="tx1"/>
            </w14:solidFill>
          </w14:textFill>
        </w:rPr>
      </w:pPr>
    </w:p>
    <w:p w14:paraId="5E5AAA50">
      <w:pPr>
        <w:pStyle w:val="82"/>
        <w:rPr>
          <w:highlight w:val="none"/>
        </w:rPr>
      </w:pPr>
    </w:p>
    <w:p w14:paraId="072FB7BB">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AQJK-CG-2025-00</w:t>
      </w:r>
      <w:r>
        <w:rPr>
          <w:rFonts w:hint="eastAsia" w:ascii="宋体" w:hAnsi="宋体" w:cs="宋体"/>
          <w:b/>
          <w:bCs/>
          <w:color w:val="000000" w:themeColor="text1"/>
          <w:sz w:val="28"/>
          <w:szCs w:val="28"/>
          <w:highlight w:val="none"/>
          <w:lang w:val="en-US" w:eastAsia="zh-CN"/>
          <w14:textFill>
            <w14:solidFill>
              <w14:schemeClr w14:val="tx1"/>
            </w14:solidFill>
          </w14:textFill>
        </w:rPr>
        <w:t>5</w:t>
      </w:r>
    </w:p>
    <w:p w14:paraId="3BBD691E">
      <w:pPr>
        <w:spacing w:line="480" w:lineRule="exact"/>
        <w:rPr>
          <w:rFonts w:ascii="宋体" w:hAnsi="宋体" w:cs="仿宋_GB2312"/>
          <w:color w:val="000000" w:themeColor="text1"/>
          <w:szCs w:val="21"/>
          <w:highlight w:val="none"/>
          <w14:textFill>
            <w14:solidFill>
              <w14:schemeClr w14:val="tx1"/>
            </w14:solidFill>
          </w14:textFill>
        </w:rPr>
      </w:pPr>
    </w:p>
    <w:p w14:paraId="46F2693C">
      <w:pPr>
        <w:pStyle w:val="82"/>
        <w:rPr>
          <w:highlight w:val="none"/>
        </w:rPr>
      </w:pPr>
    </w:p>
    <w:p w14:paraId="350514BC">
      <w:pPr>
        <w:pStyle w:val="82"/>
        <w:spacing w:before="120"/>
        <w:ind w:firstLine="350"/>
        <w:rPr>
          <w:color w:val="000000" w:themeColor="text1"/>
          <w:highlight w:val="none"/>
          <w14:textFill>
            <w14:solidFill>
              <w14:schemeClr w14:val="tx1"/>
            </w14:solidFill>
          </w14:textFill>
        </w:rPr>
      </w:pPr>
    </w:p>
    <w:p w14:paraId="17DAB4CA">
      <w:pPr>
        <w:pStyle w:val="82"/>
        <w:spacing w:before="120"/>
        <w:ind w:firstLine="350"/>
        <w:rPr>
          <w:color w:val="000000" w:themeColor="text1"/>
          <w:highlight w:val="none"/>
          <w14:textFill>
            <w14:solidFill>
              <w14:schemeClr w14:val="tx1"/>
            </w14:solidFill>
          </w14:textFill>
        </w:rPr>
      </w:pPr>
    </w:p>
    <w:p w14:paraId="442EBF6D">
      <w:pPr>
        <w:pStyle w:val="82"/>
        <w:spacing w:before="120"/>
        <w:ind w:firstLine="350"/>
        <w:rPr>
          <w:color w:val="000000" w:themeColor="text1"/>
          <w:highlight w:val="none"/>
          <w14:textFill>
            <w14:solidFill>
              <w14:schemeClr w14:val="tx1"/>
            </w14:solidFill>
          </w14:textFill>
        </w:rPr>
      </w:pPr>
    </w:p>
    <w:p w14:paraId="70BE71ED">
      <w:pPr>
        <w:spacing w:line="480" w:lineRule="exact"/>
        <w:rPr>
          <w:rFonts w:ascii="宋体" w:hAnsi="宋体" w:cs="仿宋_GB2312"/>
          <w:color w:val="000000" w:themeColor="text1"/>
          <w:szCs w:val="21"/>
          <w:highlight w:val="none"/>
          <w14:textFill>
            <w14:solidFill>
              <w14:schemeClr w14:val="tx1"/>
            </w14:solidFill>
          </w14:textFill>
        </w:rPr>
      </w:pPr>
    </w:p>
    <w:p w14:paraId="021F89D5">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安庆市安峰建筑工业化有限公司            </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p>
    <w:p w14:paraId="31CE3886">
      <w:pPr>
        <w:spacing w:line="360" w:lineRule="auto"/>
        <w:rPr>
          <w:rFonts w:ascii="宋体" w:hAnsi="宋体" w:cs="仿宋_GB2312"/>
          <w:b/>
          <w:color w:val="000000" w:themeColor="text1"/>
          <w:sz w:val="24"/>
          <w:highlight w:val="none"/>
          <w14:textFill>
            <w14:solidFill>
              <w14:schemeClr w14:val="tx1"/>
            </w14:solidFill>
          </w14:textFill>
        </w:rPr>
      </w:pPr>
    </w:p>
    <w:p w14:paraId="1F889248">
      <w:pPr>
        <w:spacing w:line="360" w:lineRule="auto"/>
        <w:rPr>
          <w:rFonts w:ascii="宋体" w:hAnsi="宋体" w:cs="仿宋_GB2312"/>
          <w:b/>
          <w:color w:val="000000" w:themeColor="text1"/>
          <w:sz w:val="24"/>
          <w:highlight w:val="none"/>
          <w14:textFill>
            <w14:solidFill>
              <w14:schemeClr w14:val="tx1"/>
            </w14:solidFill>
          </w14:textFill>
        </w:rPr>
      </w:pPr>
    </w:p>
    <w:p w14:paraId="524F6111">
      <w:pPr>
        <w:pStyle w:val="82"/>
        <w:rPr>
          <w:highlight w:val="none"/>
        </w:rPr>
      </w:pPr>
    </w:p>
    <w:p w14:paraId="73B105E8">
      <w:pPr>
        <w:pStyle w:val="82"/>
        <w:spacing w:before="120"/>
        <w:ind w:firstLine="350"/>
        <w:rPr>
          <w:color w:val="000000" w:themeColor="text1"/>
          <w:highlight w:val="none"/>
          <w14:textFill>
            <w14:solidFill>
              <w14:schemeClr w14:val="tx1"/>
            </w14:solidFill>
          </w14:textFill>
        </w:rPr>
      </w:pPr>
    </w:p>
    <w:p w14:paraId="1E0A5161">
      <w:pPr>
        <w:spacing w:line="360" w:lineRule="auto"/>
        <w:rPr>
          <w:rFonts w:ascii="宋体" w:hAnsi="宋体" w:cs="仿宋_GB2312"/>
          <w:b/>
          <w:color w:val="000000" w:themeColor="text1"/>
          <w:sz w:val="24"/>
          <w:highlight w:val="none"/>
          <w14:textFill>
            <w14:solidFill>
              <w14:schemeClr w14:val="tx1"/>
            </w14:solidFill>
          </w14:textFill>
        </w:rPr>
      </w:pPr>
    </w:p>
    <w:p w14:paraId="0E45F77C">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54CFA8F8">
      <w:pPr>
        <w:spacing w:line="480" w:lineRule="exact"/>
        <w:rPr>
          <w:rFonts w:ascii="宋体" w:hAnsi="宋体" w:cs="仿宋_GB2312"/>
          <w:color w:val="000000" w:themeColor="text1"/>
          <w:szCs w:val="21"/>
          <w:highlight w:val="none"/>
          <w14:textFill>
            <w14:solidFill>
              <w14:schemeClr w14:val="tx1"/>
            </w14:solidFill>
          </w14:textFill>
        </w:rPr>
      </w:pPr>
    </w:p>
    <w:p w14:paraId="1997219F">
      <w:pPr>
        <w:spacing w:line="480" w:lineRule="exact"/>
        <w:rPr>
          <w:rFonts w:ascii="宋体" w:hAnsi="宋体" w:cs="仿宋_GB2312"/>
          <w:color w:val="000000" w:themeColor="text1"/>
          <w:szCs w:val="21"/>
          <w:highlight w:val="none"/>
          <w14:textFill>
            <w14:solidFill>
              <w14:schemeClr w14:val="tx1"/>
            </w14:solidFill>
          </w14:textFill>
        </w:rPr>
      </w:pPr>
    </w:p>
    <w:p w14:paraId="1863B0D2">
      <w:pPr>
        <w:pStyle w:val="82"/>
        <w:rPr>
          <w:rFonts w:ascii="宋体" w:hAnsi="宋体" w:cs="仿宋_GB2312"/>
          <w:color w:val="000000" w:themeColor="text1"/>
          <w:szCs w:val="21"/>
          <w:highlight w:val="none"/>
          <w14:textFill>
            <w14:solidFill>
              <w14:schemeClr w14:val="tx1"/>
            </w14:solidFill>
          </w14:textFill>
        </w:rPr>
      </w:pPr>
    </w:p>
    <w:p w14:paraId="24861AD4">
      <w:pPr>
        <w:pStyle w:val="82"/>
        <w:rPr>
          <w:rFonts w:ascii="宋体" w:hAnsi="宋体" w:cs="仿宋_GB2312"/>
          <w:color w:val="000000" w:themeColor="text1"/>
          <w:szCs w:val="21"/>
          <w:highlight w:val="none"/>
          <w14:textFill>
            <w14:solidFill>
              <w14:schemeClr w14:val="tx1"/>
            </w14:solidFill>
          </w14:textFill>
        </w:rPr>
      </w:pPr>
    </w:p>
    <w:p w14:paraId="7CC957A4">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74D691CA">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eastAsia="zh-CN"/>
          <w14:textFill>
            <w14:solidFill>
              <w14:schemeClr w14:val="tx1"/>
            </w14:solidFill>
          </w14:textFill>
        </w:rPr>
        <w:t>一</w:t>
      </w:r>
      <w:r>
        <w:rPr>
          <w:rFonts w:hint="eastAsia" w:ascii="宋体" w:hAnsi="宋体" w:cs="仿宋_GB2312"/>
          <w:color w:val="000000" w:themeColor="text1"/>
          <w:sz w:val="32"/>
          <w:szCs w:val="32"/>
          <w:highlight w:val="none"/>
          <w14:textFill>
            <w14:solidFill>
              <w14:schemeClr w14:val="tx1"/>
            </w14:solidFill>
          </w14:textFill>
        </w:rPr>
        <w:t>月</w:t>
      </w:r>
    </w:p>
    <w:p w14:paraId="15718A84">
      <w:pPr>
        <w:widowControl/>
        <w:jc w:val="left"/>
        <w:rPr>
          <w:rFonts w:ascii="宋体" w:hAnsi="宋体" w:cs="宋体"/>
          <w:b/>
          <w:color w:val="000000" w:themeColor="text1"/>
          <w:sz w:val="36"/>
          <w:szCs w:val="36"/>
          <w:highlight w:val="none"/>
          <w14:textFill>
            <w14:solidFill>
              <w14:schemeClr w14:val="tx1"/>
            </w14:solidFill>
          </w14:textFill>
        </w:rPr>
      </w:pPr>
    </w:p>
    <w:p w14:paraId="3158FC92">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目录</w:t>
      </w:r>
    </w:p>
    <w:p w14:paraId="4B9CF2A6">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6D63664D">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5059CD49">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第三章 服务及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w:t>
      </w:r>
    </w:p>
    <w:p w14:paraId="221C59D1">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3</w:t>
      </w:r>
    </w:p>
    <w:p w14:paraId="1106489C">
      <w:pPr>
        <w:pStyle w:val="41"/>
        <w:tabs>
          <w:tab w:val="right" w:leader="dot" w:pos="9070"/>
        </w:tabs>
        <w:spacing w:line="480" w:lineRule="auto"/>
        <w:rPr>
          <w:rFonts w:hint="eastAsia"/>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5</w:t>
      </w:r>
    </w:p>
    <w:p w14:paraId="2F0B0D8E">
      <w:pPr>
        <w:bidi w:val="0"/>
        <w:rPr>
          <w:rFonts w:hint="eastAsia"/>
          <w:highlight w:val="none"/>
          <w:lang w:val="en-US" w:eastAsia="zh-CN"/>
        </w:rPr>
      </w:pPr>
    </w:p>
    <w:p w14:paraId="05ECAE5C">
      <w:pPr>
        <w:bidi w:val="0"/>
        <w:rPr>
          <w:rFonts w:hint="eastAsia"/>
          <w:highlight w:val="none"/>
          <w:lang w:val="en-US" w:eastAsia="zh-CN"/>
        </w:rPr>
      </w:pPr>
    </w:p>
    <w:p w14:paraId="50848928">
      <w:pPr>
        <w:bidi w:val="0"/>
        <w:rPr>
          <w:rFonts w:hint="eastAsia"/>
          <w:highlight w:val="none"/>
          <w:lang w:val="en-US" w:eastAsia="zh-CN"/>
        </w:rPr>
      </w:pPr>
    </w:p>
    <w:p w14:paraId="11B684D8">
      <w:pPr>
        <w:bidi w:val="0"/>
        <w:rPr>
          <w:rFonts w:hint="eastAsia"/>
          <w:highlight w:val="none"/>
          <w:lang w:val="en-US" w:eastAsia="zh-CN"/>
        </w:rPr>
      </w:pPr>
    </w:p>
    <w:p w14:paraId="0B6375E5">
      <w:pPr>
        <w:bidi w:val="0"/>
        <w:rPr>
          <w:rFonts w:hint="eastAsia"/>
          <w:highlight w:val="none"/>
          <w:lang w:val="en-US" w:eastAsia="zh-CN"/>
        </w:rPr>
      </w:pPr>
    </w:p>
    <w:p w14:paraId="68A211FE">
      <w:pPr>
        <w:bidi w:val="0"/>
        <w:rPr>
          <w:rFonts w:hint="eastAsia"/>
          <w:highlight w:val="none"/>
          <w:lang w:val="en-US" w:eastAsia="zh-CN"/>
        </w:rPr>
      </w:pPr>
    </w:p>
    <w:p w14:paraId="0B8BBE64">
      <w:pPr>
        <w:bidi w:val="0"/>
        <w:rPr>
          <w:rFonts w:hint="eastAsia"/>
          <w:highlight w:val="none"/>
          <w:lang w:val="en-US" w:eastAsia="zh-CN"/>
        </w:rPr>
      </w:pPr>
    </w:p>
    <w:p w14:paraId="29BA2A9E">
      <w:pPr>
        <w:bidi w:val="0"/>
        <w:rPr>
          <w:rFonts w:hint="eastAsia"/>
          <w:highlight w:val="none"/>
          <w:lang w:val="en-US" w:eastAsia="zh-CN"/>
        </w:rPr>
      </w:pPr>
    </w:p>
    <w:p w14:paraId="60097CAF">
      <w:pPr>
        <w:bidi w:val="0"/>
        <w:rPr>
          <w:rFonts w:hint="eastAsia"/>
          <w:highlight w:val="none"/>
          <w:lang w:val="en-US" w:eastAsia="zh-CN"/>
        </w:rPr>
      </w:pPr>
    </w:p>
    <w:p w14:paraId="4B1B8AB8">
      <w:pPr>
        <w:tabs>
          <w:tab w:val="center" w:pos="4535"/>
        </w:tabs>
        <w:bidi w:val="0"/>
        <w:jc w:val="left"/>
        <w:rPr>
          <w:rFonts w:hint="eastAsia"/>
          <w:highlight w:val="none"/>
          <w:lang w:val="en-US" w:eastAsia="zh-CN"/>
        </w:rPr>
        <w:sectPr>
          <w:headerReference r:id="rId7" w:type="default"/>
          <w:footerReference r:id="rId8" w:type="default"/>
          <w:pgSz w:w="11906" w:h="16838"/>
          <w:pgMar w:top="1418" w:right="1418" w:bottom="1418" w:left="1418" w:header="851" w:footer="680" w:gutter="0"/>
          <w:pgNumType w:start="0"/>
          <w:cols w:space="720" w:num="1"/>
          <w:docGrid w:linePitch="290" w:charSpace="0"/>
        </w:sectPr>
      </w:pPr>
    </w:p>
    <w:p w14:paraId="2A8AA726">
      <w:pPr>
        <w:pStyle w:val="30"/>
        <w:tabs>
          <w:tab w:val="right" w:leader="dot" w:pos="9060"/>
        </w:tabs>
        <w:spacing w:line="480" w:lineRule="auto"/>
        <w:ind w:left="0"/>
        <w:jc w:val="center"/>
        <w:rPr>
          <w:rFonts w:hint="eastAsia"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2"/>
          <w:szCs w:val="32"/>
          <w:highlight w:val="none"/>
          <w14:textFill>
            <w14:solidFill>
              <w14:schemeClr w14:val="tx1"/>
            </w14:solidFill>
          </w14:textFill>
        </w:rPr>
        <w:t xml:space="preserve">第一章  </w:t>
      </w:r>
      <w:r>
        <w:rPr>
          <w:rFonts w:hint="eastAsia" w:ascii="Arial" w:hAnsi="Arial" w:eastAsia="黑体"/>
          <w:b/>
          <w:i w:val="0"/>
          <w:color w:val="000000" w:themeColor="text1"/>
          <w:sz w:val="32"/>
          <w:szCs w:val="32"/>
          <w:highlight w:val="none"/>
          <w:lang w:eastAsia="zh-CN"/>
          <w14:textFill>
            <w14:solidFill>
              <w14:schemeClr w14:val="tx1"/>
            </w14:solidFill>
          </w14:textFill>
        </w:rPr>
        <w:t>安庆市安峰建筑工业化有限公司试验室第三方检测服务采购</w:t>
      </w:r>
    </w:p>
    <w:p w14:paraId="69248CAD">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1B642A0F">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12"/>
      <w:bookmarkStart w:id="5" w:name="_Toc35393629"/>
      <w:bookmarkStart w:id="6" w:name="_Toc28359089"/>
      <w:bookmarkStart w:id="7" w:name="_Toc35393798"/>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安庆市交通控股集团有限公司集采中心受安庆市安峰建筑工业化有限公司委托，现对“</w:t>
      </w:r>
      <w:r>
        <w:rPr>
          <w:rFonts w:hint="eastAsia" w:ascii="仿宋" w:hAnsi="仿宋" w:eastAsia="仿宋"/>
          <w:color w:val="000000" w:themeColor="text1"/>
          <w:sz w:val="28"/>
          <w:szCs w:val="28"/>
          <w:highlight w:val="none"/>
          <w:lang w:val="en-US" w:eastAsia="zh-CN"/>
          <w14:textFill>
            <w14:solidFill>
              <w14:schemeClr w14:val="tx1"/>
            </w14:solidFill>
          </w14:textFill>
        </w:rPr>
        <w:t>安庆市安峰建筑工业化有限公司试验室第三方检测服务采购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AQJK-CG-2025-005</w:t>
      </w:r>
      <w:r>
        <w:rPr>
          <w:rFonts w:hint="eastAsia" w:ascii="仿宋" w:hAnsi="仿宋" w:eastAsia="仿宋"/>
          <w:color w:val="000000" w:themeColor="text1"/>
          <w:sz w:val="28"/>
          <w:szCs w:val="28"/>
          <w:highlight w:val="none"/>
          <w14:textFill>
            <w14:solidFill>
              <w14:schemeClr w14:val="tx1"/>
            </w14:solidFill>
          </w14:textFill>
        </w:rPr>
        <w:t>）进行比选。</w:t>
      </w:r>
    </w:p>
    <w:p w14:paraId="0FEDC1E9">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1CA5DC8F">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1.项目内容：</w:t>
      </w:r>
      <w:r>
        <w:rPr>
          <w:rFonts w:hint="eastAsia" w:ascii="仿宋" w:hAnsi="仿宋" w:eastAsia="仿宋" w:cs="Times New Roman"/>
          <w:color w:val="000000" w:themeColor="text1"/>
          <w:sz w:val="28"/>
          <w:szCs w:val="28"/>
          <w:highlight w:val="none"/>
          <w14:textFill>
            <w14:solidFill>
              <w14:schemeClr w14:val="tx1"/>
            </w14:solidFill>
          </w14:textFill>
        </w:rPr>
        <w:t>第三方检测机构需根据建设工程质量检测资质范围对安庆市安峰建筑工业化有限公司采购的项目原材料进行全面检测，包括但不限于水泥、粉煤灰和高炉粒化矿渣粉等掺合料、砂石、外加剂膨胀剂等主要原材料</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r>
        <w:rPr>
          <w:rFonts w:hint="eastAsia" w:ascii="仿宋" w:hAnsi="仿宋" w:eastAsia="仿宋" w:cs="Times New Roman"/>
          <w:color w:val="000000" w:themeColor="text1"/>
          <w:sz w:val="28"/>
          <w:szCs w:val="28"/>
          <w:highlight w:val="none"/>
          <w14:textFill>
            <w14:solidFill>
              <w14:schemeClr w14:val="tx1"/>
            </w14:solidFill>
          </w14:textFill>
        </w:rPr>
        <w:t>以及与检测原材料配套配合比。</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并且需</w:t>
      </w:r>
      <w:r>
        <w:rPr>
          <w:rFonts w:hint="eastAsia" w:ascii="仿宋" w:hAnsi="仿宋" w:eastAsia="仿宋" w:cs="Times New Roman"/>
          <w:color w:val="000000" w:themeColor="text1"/>
          <w:sz w:val="28"/>
          <w:szCs w:val="28"/>
          <w:highlight w:val="none"/>
          <w14:textFill>
            <w14:solidFill>
              <w14:schemeClr w14:val="tx1"/>
            </w14:solidFill>
          </w14:textFill>
        </w:rPr>
        <w:t>不定期的</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进行</w:t>
      </w:r>
      <w:r>
        <w:rPr>
          <w:rFonts w:hint="eastAsia" w:ascii="仿宋" w:hAnsi="仿宋" w:eastAsia="仿宋" w:cs="Times New Roman"/>
          <w:color w:val="000000" w:themeColor="text1"/>
          <w:sz w:val="28"/>
          <w:szCs w:val="28"/>
          <w:highlight w:val="none"/>
          <w14:textFill>
            <w14:solidFill>
              <w14:schemeClr w14:val="tx1"/>
            </w14:solidFill>
          </w14:textFill>
        </w:rPr>
        <w:t>生产配合比验证</w:t>
      </w:r>
      <w:r>
        <w:rPr>
          <w:rFonts w:hint="eastAsia" w:ascii="仿宋" w:hAnsi="仿宋" w:eastAsia="仿宋" w:cs="Times New Roman"/>
          <w:color w:val="000000" w:themeColor="text1"/>
          <w:sz w:val="28"/>
          <w:szCs w:val="28"/>
          <w:highlight w:val="none"/>
          <w:lang w:eastAsia="zh-CN"/>
          <w14:textFill>
            <w14:solidFill>
              <w14:schemeClr w14:val="tx1"/>
            </w14:solidFill>
          </w14:textFill>
        </w:rPr>
        <w:t>，</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详见服务需求及技术要求</w:t>
      </w:r>
      <w:r>
        <w:rPr>
          <w:rFonts w:hint="eastAsia" w:ascii="仿宋" w:hAnsi="仿宋" w:eastAsia="仿宋"/>
          <w:color w:val="000000" w:themeColor="text1"/>
          <w:sz w:val="28"/>
          <w:szCs w:val="28"/>
          <w:highlight w:val="none"/>
          <w14:textFill>
            <w14:solidFill>
              <w14:schemeClr w14:val="tx1"/>
            </w14:solidFill>
          </w14:textFill>
        </w:rPr>
        <w:t>。</w:t>
      </w:r>
    </w:p>
    <w:p w14:paraId="1D7AB6FD">
      <w:pPr>
        <w:pStyle w:val="23"/>
        <w:ind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2.服务期：自合同签订后1年（经招标人考核合格的，且在服务期内，未出现较大事故或较大经济损失的且双方协商一致可续签2次，每次1年）</w:t>
      </w:r>
    </w:p>
    <w:p w14:paraId="1F9C9B13">
      <w:pPr>
        <w:pStyle w:val="23"/>
        <w:ind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3.比选最高限价：35000.00元（含税）</w:t>
      </w:r>
    </w:p>
    <w:p w14:paraId="69F3A3C0">
      <w:pPr>
        <w:pStyle w:val="23"/>
        <w:ind w:firstLine="560" w:firstLineChars="2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4.评审方法：最低投标价法</w:t>
      </w:r>
    </w:p>
    <w:p w14:paraId="121CCA89">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p w14:paraId="19D17532">
      <w:pPr>
        <w:spacing w:line="560" w:lineRule="exact"/>
        <w:ind w:firstLine="565" w:firstLineChars="20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1.具有合法有效的营业执照；</w:t>
      </w:r>
    </w:p>
    <w:p w14:paraId="396C1ED5">
      <w:pPr>
        <w:spacing w:line="560" w:lineRule="exact"/>
        <w:ind w:firstLine="565" w:firstLineChars="202"/>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2.具有合法有效的检验检测机构资质认定证书</w:t>
      </w:r>
    </w:p>
    <w:p w14:paraId="36768693">
      <w:pPr>
        <w:spacing w:line="560" w:lineRule="exact"/>
        <w:ind w:firstLine="565" w:firstLineChars="202"/>
        <w:rPr>
          <w:rFonts w:hint="default" w:ascii="仿宋" w:hAnsi="仿宋" w:eastAsia="仿宋" w:cs="Times New Roman"/>
          <w:b/>
          <w:bCs/>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b w:val="0"/>
          <w:bCs w:val="0"/>
          <w:color w:val="000000" w:themeColor="text1"/>
          <w:sz w:val="28"/>
          <w:szCs w:val="28"/>
          <w:highlight w:val="none"/>
          <w:lang w:val="en-US" w:eastAsia="zh-CN"/>
          <w14:textFill>
            <w14:solidFill>
              <w14:schemeClr w14:val="tx1"/>
            </w14:solidFill>
          </w14:textFill>
        </w:rPr>
        <w:t>3.具有合法有效的</w:t>
      </w:r>
      <w:r>
        <w:rPr>
          <w:rFonts w:hint="default" w:ascii="仿宋" w:hAnsi="仿宋" w:eastAsia="仿宋" w:cs="Times New Roman"/>
          <w:b w:val="0"/>
          <w:bCs w:val="0"/>
          <w:color w:val="000000" w:themeColor="text1"/>
          <w:sz w:val="28"/>
          <w:szCs w:val="28"/>
          <w:highlight w:val="none"/>
          <w:lang w:val="en-US" w:eastAsia="zh-CN"/>
          <w14:textFill>
            <w14:solidFill>
              <w14:schemeClr w14:val="tx1"/>
            </w14:solidFill>
          </w14:textFill>
        </w:rPr>
        <w:t>建设工程质量检测机构资质证书</w:t>
      </w:r>
      <w:r>
        <w:rPr>
          <w:rFonts w:hint="eastAsia" w:ascii="仿宋" w:hAnsi="仿宋" w:eastAsia="仿宋" w:cs="Times New Roman"/>
          <w:b/>
          <w:bCs/>
          <w:color w:val="000000" w:themeColor="text1"/>
          <w:sz w:val="28"/>
          <w:szCs w:val="28"/>
          <w:highlight w:val="none"/>
          <w:lang w:val="en-US" w:eastAsia="zh-CN"/>
          <w14:textFill>
            <w14:solidFill>
              <w14:schemeClr w14:val="tx1"/>
            </w14:solidFill>
          </w14:textFill>
        </w:rPr>
        <w:t>(检测范围需具有本项目检测内容相应的检测参数）</w:t>
      </w:r>
    </w:p>
    <w:p w14:paraId="2CD75AFD">
      <w:pPr>
        <w:spacing w:line="560" w:lineRule="exact"/>
        <w:ind w:firstLine="565" w:firstLineChars="20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.本项目不接受联合体。</w:t>
      </w:r>
    </w:p>
    <w:bookmarkEnd w:id="4"/>
    <w:bookmarkEnd w:id="5"/>
    <w:bookmarkEnd w:id="6"/>
    <w:bookmarkEnd w:id="7"/>
    <w:p w14:paraId="42EFF0F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0F049D48">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年1月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val="en-US"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110F8F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15B9AB31">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3.报名方式：将“确定参与比选的函”盖供应商公章在</w:t>
      </w:r>
      <w:r>
        <w:rPr>
          <w:rFonts w:hint="eastAsia" w:ascii="仿宋" w:hAnsi="仿宋" w:eastAsia="仿宋"/>
          <w:color w:val="000000" w:themeColor="text1"/>
          <w:sz w:val="28"/>
          <w:szCs w:val="28"/>
          <w:highlight w:val="none"/>
          <w:lang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年1月</w:t>
      </w:r>
      <w:r>
        <w:rPr>
          <w:rFonts w:hint="eastAsia" w:ascii="仿宋" w:hAnsi="仿宋" w:eastAsia="仿宋"/>
          <w:color w:val="000000" w:themeColor="text1"/>
          <w:sz w:val="28"/>
          <w:szCs w:val="28"/>
          <w:highlight w:val="none"/>
          <w:lang w:val="en-US" w:eastAsia="zh-CN"/>
          <w14:textFill>
            <w14:solidFill>
              <w14:schemeClr w14:val="tx1"/>
            </w14:solidFill>
          </w14:textFill>
        </w:rPr>
        <w:t>23</w:t>
      </w:r>
      <w:r>
        <w:rPr>
          <w:rFonts w:hint="eastAsia" w:ascii="仿宋" w:hAnsi="仿宋" w:eastAsia="仿宋"/>
          <w:color w:val="000000" w:themeColor="text1"/>
          <w:sz w:val="28"/>
          <w:szCs w:val="28"/>
          <w:highlight w:val="none"/>
          <w14:textFill>
            <w14:solidFill>
              <w14:schemeClr w14:val="tx1"/>
            </w14:solidFill>
          </w14:textFill>
        </w:rPr>
        <w:t>日17点30分前发邮箱838714476@qq.com（报名截止后发送，报名无效。）</w:t>
      </w:r>
    </w:p>
    <w:p w14:paraId="09285692">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6AEA04E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年1月</w:t>
      </w:r>
      <w:r>
        <w:rPr>
          <w:rFonts w:hint="eastAsia" w:ascii="仿宋" w:hAnsi="仿宋" w:eastAsia="仿宋"/>
          <w:color w:val="000000" w:themeColor="text1"/>
          <w:sz w:val="28"/>
          <w:szCs w:val="28"/>
          <w:highlight w:val="none"/>
          <w:lang w:val="en-US" w:eastAsia="zh-CN"/>
          <w14:textFill>
            <w14:solidFill>
              <w14:schemeClr w14:val="tx1"/>
            </w14:solidFill>
          </w14:textFill>
        </w:rPr>
        <w:t>24</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4875445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w:t>
      </w:r>
    </w:p>
    <w:p w14:paraId="4BB686E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5F3E409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2E98116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2.本项目比选实行纸质参选，比选活动线下完成。比选时参选人需要按时到达比选现场进行签到，因参选人未按时达到比选现场，则视为主动放弃，对比选造成的不利后果由其自行承担。</w:t>
      </w:r>
    </w:p>
    <w:p w14:paraId="6CF2616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3A5F013C">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95"/>
      <w:bookmarkStart w:id="10" w:name="_Toc28359018"/>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5DA1F035">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637"/>
      <w:bookmarkStart w:id="14" w:name="_Toc3539380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5D7815ED">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bookmarkStart w:id="16" w:name="_Toc28359020"/>
      <w:bookmarkStart w:id="17" w:name="_Toc35393807"/>
      <w:bookmarkStart w:id="18" w:name="_Toc28359097"/>
      <w:bookmarkStart w:id="19" w:name="_Toc35393638"/>
      <w:r>
        <w:rPr>
          <w:rFonts w:hint="eastAsia" w:ascii="仿宋" w:hAnsi="仿宋" w:eastAsia="仿宋" w:cs="仿宋"/>
          <w:bCs/>
          <w:sz w:val="28"/>
          <w:szCs w:val="28"/>
          <w:highlight w:val="none"/>
          <w:lang w:val="en-US" w:eastAsia="zh-CN"/>
        </w:rPr>
        <w:t>名    称：安庆市安峰建筑工业化有限公司</w:t>
      </w:r>
    </w:p>
    <w:p w14:paraId="0F5F21B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址：安庆市宜秀区大龙山镇环城西路新产业园一号</w:t>
      </w:r>
    </w:p>
    <w:p w14:paraId="65EDABD7">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w:t>
      </w:r>
      <w:bookmarkEnd w:id="16"/>
      <w:bookmarkEnd w:id="17"/>
      <w:bookmarkEnd w:id="18"/>
      <w:bookmarkEnd w:id="19"/>
      <w:r>
        <w:rPr>
          <w:rFonts w:hint="eastAsia" w:ascii="仿宋" w:hAnsi="仿宋" w:eastAsia="仿宋" w:cs="仿宋"/>
          <w:bCs/>
          <w:sz w:val="28"/>
          <w:szCs w:val="28"/>
          <w:highlight w:val="none"/>
          <w:lang w:val="en-US" w:eastAsia="zh-CN"/>
        </w:rPr>
        <w:t>方菲</w:t>
      </w:r>
    </w:p>
    <w:p w14:paraId="6CACA54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联系方式：18055696711</w:t>
      </w:r>
    </w:p>
    <w:p w14:paraId="3BF290C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13AA83FC">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D87415A">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址：安徽省安庆市大观区宜园路16号</w:t>
      </w:r>
    </w:p>
    <w:p w14:paraId="591283E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5B97B0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1384BB3D">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982CB6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365F8637">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20" w:name="_Toc13660"/>
      <w:r>
        <w:rPr>
          <w:rFonts w:hint="eastAsia" w:ascii="宋体" w:hAnsi="宋体" w:eastAsia="宋体" w:cs="宋体"/>
          <w:b/>
          <w:bCs/>
          <w:color w:val="auto"/>
          <w:kern w:val="44"/>
          <w:sz w:val="44"/>
          <w:szCs w:val="44"/>
          <w:highlight w:val="none"/>
          <w:lang w:val="en-US" w:eastAsia="zh-CN" w:bidi="ar-SA"/>
        </w:rPr>
        <w:t>确定参与比选的函</w:t>
      </w:r>
      <w:bookmarkEnd w:id="20"/>
    </w:p>
    <w:p w14:paraId="22744F81">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254E66A7">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 xml:space="preserve">  安庆市安峰建筑工业化有限公司试验室第三方检测服务采购  </w:t>
      </w:r>
      <w:r>
        <w:rPr>
          <w:rFonts w:hint="eastAsia" w:ascii="仿宋" w:hAnsi="仿宋" w:eastAsia="仿宋" w:cs="仿宋"/>
          <w:b w:val="0"/>
          <w:bCs w:val="0"/>
          <w:color w:val="auto"/>
          <w:sz w:val="32"/>
          <w:szCs w:val="32"/>
          <w:highlight w:val="none"/>
          <w:u w:val="none"/>
          <w:lang w:val="en-US" w:eastAsia="zh-CN"/>
        </w:rPr>
        <w:t>，并承诺按比选文件的要求参与，按时参与比选开标。</w:t>
      </w:r>
    </w:p>
    <w:p w14:paraId="18D86530">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31BA56E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14:paraId="70BACD14">
      <w:pPr>
        <w:ind w:firstLine="640"/>
        <w:jc w:val="both"/>
        <w:rPr>
          <w:rFonts w:hint="eastAsia" w:ascii="仿宋" w:hAnsi="仿宋" w:eastAsia="仿宋" w:cs="仿宋"/>
          <w:b w:val="0"/>
          <w:bCs w:val="0"/>
          <w:color w:val="auto"/>
          <w:sz w:val="32"/>
          <w:szCs w:val="32"/>
          <w:highlight w:val="none"/>
          <w:u w:val="none"/>
          <w:lang w:val="en-US" w:eastAsia="zh-CN"/>
        </w:rPr>
      </w:pPr>
    </w:p>
    <w:p w14:paraId="6FA8B432">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01AD908E">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6B4F9BEF">
      <w:pP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7C193C38">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21" w:name="_Toc26069"/>
      <w:bookmarkStart w:id="22" w:name="_Toc11223"/>
      <w:bookmarkStart w:id="23"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21"/>
      <w:bookmarkEnd w:id="22"/>
      <w:bookmarkEnd w:id="23"/>
    </w:p>
    <w:p w14:paraId="4A7631AC">
      <w:pPr>
        <w:pStyle w:val="3"/>
        <w:rPr>
          <w:rFonts w:cs="Tahoma"/>
          <w:bCs/>
          <w:color w:val="000000" w:themeColor="text1"/>
          <w:kern w:val="0"/>
          <w:sz w:val="32"/>
          <w:szCs w:val="32"/>
          <w:highlight w:val="none"/>
          <w14:textFill>
            <w14:solidFill>
              <w14:schemeClr w14:val="tx1"/>
            </w14:solidFill>
          </w14:textFill>
        </w:rPr>
      </w:pPr>
      <w:bookmarkStart w:id="24" w:name="_Toc54941330"/>
      <w:bookmarkStart w:id="25" w:name="_Toc439316871"/>
      <w:bookmarkStart w:id="26" w:name="_Toc17862"/>
      <w:r>
        <w:rPr>
          <w:rFonts w:hint="eastAsia" w:cs="Tahoma"/>
          <w:bCs/>
          <w:color w:val="000000" w:themeColor="text1"/>
          <w:kern w:val="0"/>
          <w:sz w:val="32"/>
          <w:szCs w:val="32"/>
          <w:highlight w:val="none"/>
          <w:lang w:eastAsia="zh-CN"/>
          <w14:textFill>
            <w14:solidFill>
              <w14:schemeClr w14:val="tx1"/>
            </w14:solidFill>
          </w14:textFill>
        </w:rPr>
        <w:t>（</w:t>
      </w:r>
      <w:r>
        <w:rPr>
          <w:rFonts w:hint="eastAsia" w:cs="Tahoma"/>
          <w:bCs/>
          <w:color w:val="000000" w:themeColor="text1"/>
          <w:kern w:val="0"/>
          <w:sz w:val="32"/>
          <w:szCs w:val="32"/>
          <w:highlight w:val="none"/>
          <w:lang w:val="en-US" w:eastAsia="zh-CN"/>
          <w14:textFill>
            <w14:solidFill>
              <w14:schemeClr w14:val="tx1"/>
            </w14:solidFill>
          </w14:textFill>
        </w:rPr>
        <w:t>一</w:t>
      </w:r>
      <w:r>
        <w:rPr>
          <w:rFonts w:hint="eastAsia" w:cs="Tahoma"/>
          <w:bCs/>
          <w:color w:val="000000" w:themeColor="text1"/>
          <w:kern w:val="0"/>
          <w:sz w:val="32"/>
          <w:szCs w:val="32"/>
          <w:highlight w:val="none"/>
          <w:lang w:eastAsia="zh-CN"/>
          <w14:textFill>
            <w14:solidFill>
              <w14:schemeClr w14:val="tx1"/>
            </w14:solidFill>
          </w14:textFill>
        </w:rPr>
        <w:t>）</w:t>
      </w:r>
      <w:r>
        <w:rPr>
          <w:rFonts w:hint="eastAsia" w:cs="Tahoma"/>
          <w:bCs/>
          <w:color w:val="000000" w:themeColor="text1"/>
          <w:kern w:val="0"/>
          <w:sz w:val="32"/>
          <w:szCs w:val="32"/>
          <w:highlight w:val="none"/>
          <w14:textFill>
            <w14:solidFill>
              <w14:schemeClr w14:val="tx1"/>
            </w14:solidFill>
          </w14:textFill>
        </w:rPr>
        <w:t>参选人须知前附表</w:t>
      </w:r>
      <w:bookmarkEnd w:id="24"/>
      <w:bookmarkEnd w:id="25"/>
      <w:bookmarkEnd w:id="26"/>
    </w:p>
    <w:tbl>
      <w:tblPr>
        <w:tblStyle w:val="6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896"/>
        <w:gridCol w:w="6449"/>
      </w:tblGrid>
      <w:tr w14:paraId="04AA6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64A61C30">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896" w:type="dxa"/>
            <w:tcBorders>
              <w:top w:val="single" w:color="auto" w:sz="4" w:space="0"/>
              <w:left w:val="single" w:color="auto" w:sz="4" w:space="0"/>
              <w:bottom w:val="single" w:color="auto" w:sz="4" w:space="0"/>
              <w:right w:val="single" w:color="auto" w:sz="4" w:space="0"/>
            </w:tcBorders>
          </w:tcPr>
          <w:p w14:paraId="0DDEA03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449" w:type="dxa"/>
            <w:tcBorders>
              <w:top w:val="single" w:color="auto" w:sz="4" w:space="0"/>
              <w:left w:val="single" w:color="auto" w:sz="4" w:space="0"/>
              <w:bottom w:val="single" w:color="auto" w:sz="4" w:space="0"/>
            </w:tcBorders>
            <w:vAlign w:val="center"/>
          </w:tcPr>
          <w:p w14:paraId="4C983AAB">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4232B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55" w:type="dxa"/>
            <w:tcBorders>
              <w:top w:val="single" w:color="auto" w:sz="4" w:space="0"/>
              <w:bottom w:val="single" w:color="auto" w:sz="4" w:space="0"/>
              <w:right w:val="single" w:color="auto" w:sz="4" w:space="0"/>
            </w:tcBorders>
            <w:vAlign w:val="center"/>
          </w:tcPr>
          <w:p w14:paraId="55B5F172">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1896" w:type="dxa"/>
            <w:tcBorders>
              <w:top w:val="single" w:color="auto" w:sz="4" w:space="0"/>
              <w:left w:val="single" w:color="auto" w:sz="4" w:space="0"/>
              <w:bottom w:val="single" w:color="auto" w:sz="4" w:space="0"/>
              <w:right w:val="single" w:color="auto" w:sz="4" w:space="0"/>
            </w:tcBorders>
            <w:vAlign w:val="center"/>
          </w:tcPr>
          <w:p w14:paraId="30D77D02">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项目名称</w:t>
            </w:r>
          </w:p>
        </w:tc>
        <w:tc>
          <w:tcPr>
            <w:tcW w:w="6449" w:type="dxa"/>
            <w:tcBorders>
              <w:top w:val="single" w:color="auto" w:sz="4" w:space="0"/>
              <w:left w:val="single" w:color="auto" w:sz="4" w:space="0"/>
              <w:bottom w:val="single" w:color="auto" w:sz="4" w:space="0"/>
            </w:tcBorders>
            <w:vAlign w:val="center"/>
          </w:tcPr>
          <w:p w14:paraId="34077186">
            <w:pPr>
              <w:keepNext w:val="0"/>
              <w:keepLines w:val="0"/>
              <w:pageBreakBefore w:val="0"/>
              <w:kinsoku/>
              <w:wordWrap/>
              <w:overflowPunct/>
              <w:topLinePunct w:val="0"/>
              <w:bidi w:val="0"/>
              <w:spacing w:line="420" w:lineRule="exact"/>
              <w:textAlignment w:val="auto"/>
              <w:rPr>
                <w:rFonts w:hint="default"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安庆市安峰建筑工业化有限公司试验室第三方检测服务采购</w:t>
            </w:r>
          </w:p>
        </w:tc>
      </w:tr>
      <w:tr w14:paraId="2FAFB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55" w:type="dxa"/>
            <w:tcBorders>
              <w:top w:val="single" w:color="auto" w:sz="4" w:space="0"/>
              <w:bottom w:val="single" w:color="auto" w:sz="4" w:space="0"/>
              <w:right w:val="single" w:color="auto" w:sz="4" w:space="0"/>
            </w:tcBorders>
            <w:vAlign w:val="center"/>
          </w:tcPr>
          <w:p w14:paraId="09A19B3E">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896" w:type="dxa"/>
            <w:tcBorders>
              <w:top w:val="single" w:color="auto" w:sz="4" w:space="0"/>
              <w:left w:val="single" w:color="auto" w:sz="4" w:space="0"/>
              <w:bottom w:val="single" w:color="auto" w:sz="4" w:space="0"/>
              <w:right w:val="single" w:color="auto" w:sz="4" w:space="0"/>
            </w:tcBorders>
            <w:vAlign w:val="center"/>
          </w:tcPr>
          <w:p w14:paraId="261ABE5C">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项目编号</w:t>
            </w:r>
          </w:p>
        </w:tc>
        <w:tc>
          <w:tcPr>
            <w:tcW w:w="6449" w:type="dxa"/>
            <w:tcBorders>
              <w:top w:val="single" w:color="auto" w:sz="4" w:space="0"/>
              <w:left w:val="single" w:color="auto" w:sz="4" w:space="0"/>
              <w:bottom w:val="single" w:color="auto" w:sz="4" w:space="0"/>
            </w:tcBorders>
            <w:vAlign w:val="center"/>
          </w:tcPr>
          <w:p w14:paraId="46E8D83C">
            <w:pPr>
              <w:keepNext w:val="0"/>
              <w:keepLines w:val="0"/>
              <w:pageBreakBefore w:val="0"/>
              <w:kinsoku/>
              <w:wordWrap/>
              <w:overflowPunct/>
              <w:topLinePunct w:val="0"/>
              <w:bidi w:val="0"/>
              <w:spacing w:line="420" w:lineRule="exact"/>
              <w:textAlignment w:val="auto"/>
              <w:rPr>
                <w:rFonts w:hint="default"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AQJK-CG-2025-005</w:t>
            </w:r>
          </w:p>
        </w:tc>
      </w:tr>
      <w:tr w14:paraId="5F368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5" w:type="dxa"/>
            <w:tcBorders>
              <w:top w:val="single" w:color="auto" w:sz="4" w:space="0"/>
              <w:bottom w:val="single" w:color="auto" w:sz="4" w:space="0"/>
              <w:right w:val="single" w:color="auto" w:sz="4" w:space="0"/>
            </w:tcBorders>
            <w:vAlign w:val="center"/>
          </w:tcPr>
          <w:p w14:paraId="040B3BEB">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1896" w:type="dxa"/>
            <w:tcBorders>
              <w:top w:val="single" w:color="auto" w:sz="4" w:space="0"/>
              <w:left w:val="single" w:color="auto" w:sz="4" w:space="0"/>
              <w:bottom w:val="single" w:color="auto" w:sz="4" w:space="0"/>
              <w:right w:val="single" w:color="auto" w:sz="4" w:space="0"/>
            </w:tcBorders>
            <w:vAlign w:val="center"/>
          </w:tcPr>
          <w:p w14:paraId="76C01FC5">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采购人</w:t>
            </w:r>
          </w:p>
        </w:tc>
        <w:tc>
          <w:tcPr>
            <w:tcW w:w="6449" w:type="dxa"/>
            <w:tcBorders>
              <w:top w:val="single" w:color="auto" w:sz="4" w:space="0"/>
              <w:left w:val="single" w:color="auto" w:sz="4" w:space="0"/>
              <w:bottom w:val="single" w:color="auto" w:sz="4" w:space="0"/>
            </w:tcBorders>
            <w:vAlign w:val="center"/>
          </w:tcPr>
          <w:p w14:paraId="55232663">
            <w:pPr>
              <w:keepNext w:val="0"/>
              <w:keepLines w:val="0"/>
              <w:pageBreakBefore w:val="0"/>
              <w:kinsoku/>
              <w:wordWrap/>
              <w:overflowPunct/>
              <w:topLinePunct w:val="0"/>
              <w:bidi w:val="0"/>
              <w:spacing w:line="420" w:lineRule="exact"/>
              <w:textAlignment w:val="auto"/>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安庆市安峰建筑工业化有限公司</w:t>
            </w:r>
          </w:p>
        </w:tc>
      </w:tr>
      <w:tr w14:paraId="1440C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7EA265A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1896" w:type="dxa"/>
            <w:tcBorders>
              <w:top w:val="single" w:color="auto" w:sz="4" w:space="0"/>
              <w:left w:val="single" w:color="auto" w:sz="4" w:space="0"/>
              <w:bottom w:val="single" w:color="auto" w:sz="4" w:space="0"/>
              <w:right w:val="single" w:color="auto" w:sz="4" w:space="0"/>
            </w:tcBorders>
            <w:vAlign w:val="center"/>
          </w:tcPr>
          <w:p w14:paraId="4DFFA471">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采购管理部门</w:t>
            </w:r>
          </w:p>
        </w:tc>
        <w:tc>
          <w:tcPr>
            <w:tcW w:w="6449" w:type="dxa"/>
            <w:tcBorders>
              <w:top w:val="single" w:color="auto" w:sz="4" w:space="0"/>
              <w:left w:val="single" w:color="auto" w:sz="4" w:space="0"/>
              <w:bottom w:val="single" w:color="auto" w:sz="4" w:space="0"/>
            </w:tcBorders>
            <w:vAlign w:val="center"/>
          </w:tcPr>
          <w:p w14:paraId="0CB4D377">
            <w:pPr>
              <w:keepNext w:val="0"/>
              <w:keepLines w:val="0"/>
              <w:pageBreakBefore w:val="0"/>
              <w:kinsoku/>
              <w:wordWrap/>
              <w:overflowPunct/>
              <w:topLinePunct w:val="0"/>
              <w:bidi w:val="0"/>
              <w:spacing w:line="420" w:lineRule="exact"/>
              <w:textAlignment w:val="auto"/>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安庆市交通控股集团有限公司集采中心</w:t>
            </w:r>
          </w:p>
        </w:tc>
      </w:tr>
      <w:tr w14:paraId="1386C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39AE242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1896" w:type="dxa"/>
            <w:tcBorders>
              <w:top w:val="single" w:color="auto" w:sz="4" w:space="0"/>
              <w:left w:val="single" w:color="auto" w:sz="4" w:space="0"/>
              <w:bottom w:val="single" w:color="auto" w:sz="4" w:space="0"/>
              <w:right w:val="single" w:color="auto" w:sz="4" w:space="0"/>
            </w:tcBorders>
            <w:vAlign w:val="center"/>
          </w:tcPr>
          <w:p w14:paraId="67374D2A">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资金来源</w:t>
            </w:r>
          </w:p>
        </w:tc>
        <w:tc>
          <w:tcPr>
            <w:tcW w:w="6449" w:type="dxa"/>
            <w:tcBorders>
              <w:top w:val="single" w:color="auto" w:sz="4" w:space="0"/>
              <w:left w:val="single" w:color="auto" w:sz="4" w:space="0"/>
              <w:bottom w:val="single" w:color="auto" w:sz="4" w:space="0"/>
            </w:tcBorders>
            <w:vAlign w:val="center"/>
          </w:tcPr>
          <w:p w14:paraId="61A21F06">
            <w:pPr>
              <w:keepNext w:val="0"/>
              <w:keepLines w:val="0"/>
              <w:pageBreakBefore w:val="0"/>
              <w:kinsoku/>
              <w:wordWrap/>
              <w:overflowPunct/>
              <w:topLinePunct w:val="0"/>
              <w:bidi w:val="0"/>
              <w:spacing w:line="420" w:lineRule="exact"/>
              <w:textAlignment w:val="auto"/>
              <w:rPr>
                <w:rFonts w:hint="default"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自筹</w:t>
            </w:r>
          </w:p>
        </w:tc>
      </w:tr>
      <w:tr w14:paraId="0092A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55" w:type="dxa"/>
            <w:tcBorders>
              <w:top w:val="single" w:color="auto" w:sz="4" w:space="0"/>
              <w:right w:val="single" w:color="auto" w:sz="4" w:space="0"/>
            </w:tcBorders>
            <w:vAlign w:val="center"/>
          </w:tcPr>
          <w:p w14:paraId="75E6C36F">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1896" w:type="dxa"/>
            <w:tcBorders>
              <w:top w:val="single" w:color="auto" w:sz="4" w:space="0"/>
              <w:left w:val="single" w:color="auto" w:sz="4" w:space="0"/>
              <w:right w:val="single" w:color="auto" w:sz="4" w:space="0"/>
            </w:tcBorders>
            <w:vAlign w:val="center"/>
          </w:tcPr>
          <w:p w14:paraId="60731748">
            <w:pPr>
              <w:keepNext w:val="0"/>
              <w:keepLines w:val="0"/>
              <w:pageBreakBefore w:val="0"/>
              <w:kinsoku/>
              <w:wordWrap/>
              <w:overflowPunct/>
              <w:topLinePunct w:val="0"/>
              <w:bidi w:val="0"/>
              <w:spacing w:line="420" w:lineRule="exact"/>
              <w:jc w:val="center"/>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最高限价</w:t>
            </w:r>
          </w:p>
        </w:tc>
        <w:tc>
          <w:tcPr>
            <w:tcW w:w="6449" w:type="dxa"/>
            <w:tcBorders>
              <w:top w:val="single" w:color="auto" w:sz="4" w:space="0"/>
              <w:left w:val="single" w:color="auto" w:sz="4" w:space="0"/>
              <w:bottom w:val="single" w:color="auto" w:sz="4" w:space="0"/>
            </w:tcBorders>
            <w:vAlign w:val="center"/>
          </w:tcPr>
          <w:p w14:paraId="19D19739">
            <w:pPr>
              <w:keepNext w:val="0"/>
              <w:keepLines w:val="0"/>
              <w:pageBreakBefore w:val="0"/>
              <w:kinsoku/>
              <w:wordWrap/>
              <w:overflowPunct/>
              <w:topLinePunct w:val="0"/>
              <w:bidi w:val="0"/>
              <w:spacing w:line="420" w:lineRule="exact"/>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35000.00元（含税）</w:t>
            </w:r>
          </w:p>
        </w:tc>
      </w:tr>
      <w:tr w14:paraId="6825C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7B20476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1896" w:type="dxa"/>
            <w:tcBorders>
              <w:top w:val="single" w:color="auto" w:sz="4" w:space="0"/>
              <w:left w:val="single" w:color="auto" w:sz="4" w:space="0"/>
              <w:bottom w:val="single" w:color="auto" w:sz="4" w:space="0"/>
              <w:right w:val="single" w:color="auto" w:sz="4" w:space="0"/>
            </w:tcBorders>
            <w:vAlign w:val="center"/>
          </w:tcPr>
          <w:p w14:paraId="1284BF20">
            <w:pPr>
              <w:keepNext w:val="0"/>
              <w:keepLines w:val="0"/>
              <w:pageBreakBefore w:val="0"/>
              <w:kinsoku/>
              <w:wordWrap/>
              <w:overflowPunct/>
              <w:topLinePunct w:val="0"/>
              <w:bidi w:val="0"/>
              <w:spacing w:line="420" w:lineRule="exact"/>
              <w:jc w:val="center"/>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项目地点</w:t>
            </w:r>
          </w:p>
        </w:tc>
        <w:tc>
          <w:tcPr>
            <w:tcW w:w="6449" w:type="dxa"/>
            <w:tcBorders>
              <w:top w:val="single" w:color="auto" w:sz="4" w:space="0"/>
              <w:left w:val="single" w:color="auto" w:sz="4" w:space="0"/>
              <w:bottom w:val="single" w:color="auto" w:sz="4" w:space="0"/>
            </w:tcBorders>
            <w:vAlign w:val="center"/>
          </w:tcPr>
          <w:p w14:paraId="2BA717D0">
            <w:pPr>
              <w:keepNext w:val="0"/>
              <w:keepLines w:val="0"/>
              <w:pageBreakBefore w:val="0"/>
              <w:kinsoku/>
              <w:wordWrap/>
              <w:overflowPunct/>
              <w:topLinePunct w:val="0"/>
              <w:bidi w:val="0"/>
              <w:spacing w:line="420" w:lineRule="exact"/>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安庆市宜秀区大龙山镇环城西路新产业园一号</w:t>
            </w:r>
          </w:p>
        </w:tc>
      </w:tr>
      <w:tr w14:paraId="02635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6749990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1896" w:type="dxa"/>
            <w:tcBorders>
              <w:top w:val="single" w:color="auto" w:sz="4" w:space="0"/>
              <w:left w:val="single" w:color="auto" w:sz="4" w:space="0"/>
              <w:bottom w:val="single" w:color="auto" w:sz="4" w:space="0"/>
              <w:right w:val="single" w:color="auto" w:sz="4" w:space="0"/>
            </w:tcBorders>
            <w:vAlign w:val="center"/>
          </w:tcPr>
          <w:p w14:paraId="268D13CE">
            <w:pPr>
              <w:keepNext w:val="0"/>
              <w:keepLines w:val="0"/>
              <w:pageBreakBefore w:val="0"/>
              <w:kinsoku/>
              <w:wordWrap/>
              <w:overflowPunct/>
              <w:topLinePunct w:val="0"/>
              <w:bidi w:val="0"/>
              <w:spacing w:line="420" w:lineRule="exact"/>
              <w:jc w:val="center"/>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服务期限</w:t>
            </w:r>
          </w:p>
        </w:tc>
        <w:tc>
          <w:tcPr>
            <w:tcW w:w="6449" w:type="dxa"/>
            <w:tcBorders>
              <w:top w:val="single" w:color="auto" w:sz="4" w:space="0"/>
              <w:left w:val="single" w:color="auto" w:sz="4" w:space="0"/>
              <w:bottom w:val="single" w:color="auto" w:sz="4" w:space="0"/>
            </w:tcBorders>
            <w:vAlign w:val="center"/>
          </w:tcPr>
          <w:p w14:paraId="6F2D4642">
            <w:pPr>
              <w:keepNext w:val="0"/>
              <w:keepLines w:val="0"/>
              <w:pageBreakBefore w:val="0"/>
              <w:kinsoku/>
              <w:wordWrap/>
              <w:overflowPunct/>
              <w:topLinePunct w:val="0"/>
              <w:bidi w:val="0"/>
              <w:spacing w:line="420" w:lineRule="exact"/>
              <w:textAlignment w:val="auto"/>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包年</w:t>
            </w:r>
          </w:p>
        </w:tc>
      </w:tr>
      <w:tr w14:paraId="03401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1C62AD8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1896" w:type="dxa"/>
            <w:tcBorders>
              <w:top w:val="single" w:color="auto" w:sz="4" w:space="0"/>
              <w:left w:val="single" w:color="auto" w:sz="4" w:space="0"/>
              <w:bottom w:val="single" w:color="auto" w:sz="4" w:space="0"/>
              <w:right w:val="single" w:color="auto" w:sz="4" w:space="0"/>
            </w:tcBorders>
            <w:vAlign w:val="center"/>
          </w:tcPr>
          <w:p w14:paraId="467F0B6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449" w:type="dxa"/>
            <w:tcBorders>
              <w:top w:val="single" w:color="auto" w:sz="4" w:space="0"/>
              <w:left w:val="single" w:color="auto" w:sz="4" w:space="0"/>
              <w:bottom w:val="single" w:color="auto" w:sz="4" w:space="0"/>
            </w:tcBorders>
            <w:vAlign w:val="center"/>
          </w:tcPr>
          <w:p w14:paraId="560B6DA1">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比选文件</w:t>
            </w:r>
          </w:p>
        </w:tc>
      </w:tr>
      <w:tr w14:paraId="1BC7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6CA5650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1896" w:type="dxa"/>
            <w:tcBorders>
              <w:top w:val="single" w:color="auto" w:sz="4" w:space="0"/>
              <w:left w:val="single" w:color="auto" w:sz="4" w:space="0"/>
              <w:bottom w:val="single" w:color="auto" w:sz="4" w:space="0"/>
              <w:right w:val="single" w:color="auto" w:sz="4" w:space="0"/>
            </w:tcBorders>
            <w:vAlign w:val="center"/>
          </w:tcPr>
          <w:p w14:paraId="336C54A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449" w:type="dxa"/>
            <w:tcBorders>
              <w:top w:val="single" w:color="auto" w:sz="4" w:space="0"/>
              <w:left w:val="single" w:color="auto" w:sz="4" w:space="0"/>
              <w:bottom w:val="single" w:color="auto" w:sz="4" w:space="0"/>
            </w:tcBorders>
            <w:vAlign w:val="center"/>
          </w:tcPr>
          <w:p w14:paraId="1458A08F">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05E59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4E8782A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1896" w:type="dxa"/>
            <w:tcBorders>
              <w:top w:val="single" w:color="auto" w:sz="4" w:space="0"/>
              <w:left w:val="single" w:color="auto" w:sz="4" w:space="0"/>
              <w:bottom w:val="single" w:color="auto" w:sz="4" w:space="0"/>
              <w:right w:val="single" w:color="auto" w:sz="4" w:space="0"/>
            </w:tcBorders>
            <w:vAlign w:val="center"/>
          </w:tcPr>
          <w:p w14:paraId="7855FE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449" w:type="dxa"/>
            <w:tcBorders>
              <w:top w:val="single" w:color="auto" w:sz="4" w:space="0"/>
              <w:left w:val="single" w:color="auto" w:sz="4" w:space="0"/>
              <w:bottom w:val="single" w:color="auto" w:sz="4" w:space="0"/>
            </w:tcBorders>
            <w:vAlign w:val="center"/>
          </w:tcPr>
          <w:p w14:paraId="62BBBF0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2189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1FF636A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1896" w:type="dxa"/>
            <w:tcBorders>
              <w:top w:val="single" w:color="auto" w:sz="4" w:space="0"/>
              <w:left w:val="single" w:color="auto" w:sz="4" w:space="0"/>
              <w:bottom w:val="single" w:color="auto" w:sz="4" w:space="0"/>
              <w:right w:val="single" w:color="auto" w:sz="4" w:space="0"/>
            </w:tcBorders>
            <w:vAlign w:val="center"/>
          </w:tcPr>
          <w:p w14:paraId="7BF6B3B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449" w:type="dxa"/>
            <w:tcBorders>
              <w:top w:val="single" w:color="auto" w:sz="4" w:space="0"/>
              <w:left w:val="single" w:color="auto" w:sz="4" w:space="0"/>
              <w:bottom w:val="single" w:color="auto" w:sz="4" w:space="0"/>
            </w:tcBorders>
            <w:vAlign w:val="center"/>
          </w:tcPr>
          <w:p w14:paraId="791FFC4A">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2608A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62D9306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1896" w:type="dxa"/>
            <w:tcBorders>
              <w:top w:val="single" w:color="auto" w:sz="4" w:space="0"/>
              <w:left w:val="single" w:color="auto" w:sz="4" w:space="0"/>
              <w:bottom w:val="single" w:color="auto" w:sz="4" w:space="0"/>
              <w:right w:val="single" w:color="auto" w:sz="4" w:space="0"/>
            </w:tcBorders>
            <w:vAlign w:val="center"/>
          </w:tcPr>
          <w:p w14:paraId="687BBAF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449" w:type="dxa"/>
            <w:tcBorders>
              <w:top w:val="single" w:color="auto" w:sz="4" w:space="0"/>
              <w:left w:val="single" w:color="auto" w:sz="4" w:space="0"/>
              <w:bottom w:val="single" w:color="auto" w:sz="4" w:space="0"/>
            </w:tcBorders>
            <w:vAlign w:val="center"/>
          </w:tcPr>
          <w:p w14:paraId="3C2CB018">
            <w:pPr>
              <w:pStyle w:val="19"/>
              <w:widowControl/>
              <w:numPr>
                <w:ilvl w:val="0"/>
                <w:numId w:val="6"/>
              </w:numPr>
              <w:spacing w:line="42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递交</w:t>
            </w:r>
            <w:r>
              <w:rPr>
                <w:rFonts w:hint="eastAsia" w:ascii="宋体" w:hAnsi="宋体" w:eastAsia="宋体" w:cs="宋体"/>
                <w:color w:val="000000" w:themeColor="text1"/>
                <w:sz w:val="21"/>
                <w:szCs w:val="21"/>
                <w:highlight w:val="none"/>
                <w14:textFill>
                  <w14:solidFill>
                    <w14:schemeClr w14:val="tx1"/>
                  </w14:solidFill>
                </w14:textFill>
              </w:rPr>
              <w:t>参选文件截止时间：</w:t>
            </w:r>
            <w:r>
              <w:rPr>
                <w:rFonts w:hint="eastAsia" w:ascii="宋体" w:hAnsi="宋体" w:cs="宋体"/>
                <w:color w:val="000000" w:themeColor="text1"/>
                <w:sz w:val="21"/>
                <w:szCs w:val="21"/>
                <w:highlight w:val="none"/>
                <w:lang w:eastAsia="zh-CN"/>
                <w14:textFill>
                  <w14:solidFill>
                    <w14:schemeClr w14:val="tx1"/>
                  </w14:solidFill>
                </w14:textFill>
              </w:rPr>
              <w:t>2025</w:t>
            </w:r>
            <w:r>
              <w:rPr>
                <w:rFonts w:hint="eastAsia" w:ascii="宋体" w:hAnsi="宋体" w:eastAsia="宋体" w:cs="宋体"/>
                <w:color w:val="000000" w:themeColor="text1"/>
                <w:sz w:val="21"/>
                <w:szCs w:val="21"/>
                <w:highlight w:val="none"/>
                <w:lang w:eastAsia="zh-CN"/>
                <w14:textFill>
                  <w14:solidFill>
                    <w14:schemeClr w14:val="tx1"/>
                  </w14:solidFill>
                </w14:textFill>
              </w:rPr>
              <w:t>年1月24日15时30分</w:t>
            </w:r>
          </w:p>
          <w:p w14:paraId="6C38F9EA">
            <w:pPr>
              <w:pStyle w:val="19"/>
              <w:widowControl/>
              <w:numPr>
                <w:ilvl w:val="0"/>
                <w:numId w:val="6"/>
              </w:numPr>
              <w:spacing w:line="420" w:lineRule="exact"/>
              <w:jc w:val="both"/>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参选人须在</w:t>
            </w:r>
            <w:r>
              <w:rPr>
                <w:rFonts w:hint="eastAsia" w:ascii="宋体" w:hAnsi="宋体" w:eastAsia="宋体" w:cs="宋体"/>
                <w:b/>
                <w:bCs/>
                <w:color w:val="000000" w:themeColor="text1"/>
                <w:sz w:val="21"/>
                <w:szCs w:val="21"/>
                <w:highlight w:val="none"/>
                <w:lang w:eastAsia="zh-CN"/>
                <w14:textFill>
                  <w14:solidFill>
                    <w14:schemeClr w14:val="tx1"/>
                  </w14:solidFill>
                </w14:textFill>
              </w:rPr>
              <w:t>递交</w:t>
            </w:r>
            <w:r>
              <w:rPr>
                <w:rFonts w:hint="eastAsia" w:ascii="宋体" w:hAnsi="宋体" w:eastAsia="宋体" w:cs="宋体"/>
                <w:b/>
                <w:bCs/>
                <w:color w:val="000000" w:themeColor="text1"/>
                <w:sz w:val="21"/>
                <w:szCs w:val="21"/>
                <w:highlight w:val="none"/>
                <w14:textFill>
                  <w14:solidFill>
                    <w14:schemeClr w14:val="tx1"/>
                  </w14:solidFill>
                </w14:textFill>
              </w:rPr>
              <w:t>参选文件截止时间前，</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到达比选地点现场递交</w:t>
            </w:r>
            <w:r>
              <w:rPr>
                <w:rFonts w:hint="eastAsia" w:ascii="宋体" w:hAnsi="宋体" w:eastAsia="宋体" w:cs="宋体"/>
                <w:b/>
                <w:bCs/>
                <w:color w:val="000000" w:themeColor="text1"/>
                <w:sz w:val="21"/>
                <w:szCs w:val="21"/>
                <w:highlight w:val="none"/>
                <w14:textFill>
                  <w14:solidFill>
                    <w14:schemeClr w14:val="tx1"/>
                  </w14:solidFill>
                </w14:textFill>
              </w:rPr>
              <w:t>参选文件。</w:t>
            </w:r>
          </w:p>
          <w:p w14:paraId="125A642A">
            <w:pPr>
              <w:pStyle w:val="19"/>
              <w:widowControl/>
              <w:numPr>
                <w:ilvl w:val="0"/>
                <w:numId w:val="6"/>
              </w:numPr>
              <w:spacing w:line="420" w:lineRule="exact"/>
              <w:jc w:val="both"/>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比选</w:t>
            </w:r>
            <w:r>
              <w:rPr>
                <w:rFonts w:hint="eastAsia" w:ascii="宋体" w:hAnsi="宋体" w:cs="宋体"/>
                <w:color w:val="000000" w:themeColor="text1"/>
                <w:sz w:val="21"/>
                <w:szCs w:val="21"/>
                <w:highlight w:val="none"/>
                <w:u w:val="none"/>
                <w:lang w:val="en-US" w:eastAsia="zh-CN"/>
                <w14:textFill>
                  <w14:solidFill>
                    <w14:schemeClr w14:val="tx1"/>
                  </w14:solidFill>
                </w14:textFill>
              </w:rPr>
              <w:t>参选文件</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份数</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壹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份正本，</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贰 </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份副本，比选</w:t>
            </w:r>
            <w:r>
              <w:rPr>
                <w:rFonts w:hint="eastAsia" w:ascii="宋体" w:hAnsi="宋体" w:cs="宋体"/>
                <w:color w:val="000000" w:themeColor="text1"/>
                <w:sz w:val="21"/>
                <w:szCs w:val="21"/>
                <w:highlight w:val="none"/>
                <w:u w:val="none"/>
                <w:lang w:val="en-US" w:eastAsia="zh-CN"/>
                <w14:textFill>
                  <w14:solidFill>
                    <w14:schemeClr w14:val="tx1"/>
                  </w14:solidFill>
                </w14:textFill>
              </w:rPr>
              <w:t>参选文件</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的正本和副本同时装于一个袋内，包装密封，并于密封袋上加盖供应商公章。响应报价函密封袋上须写明：项目名称、供应商名称、项目编号。</w:t>
            </w:r>
          </w:p>
        </w:tc>
      </w:tr>
      <w:tr w14:paraId="0F648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6624DDFA">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1896" w:type="dxa"/>
            <w:tcBorders>
              <w:top w:val="single" w:color="auto" w:sz="4" w:space="0"/>
              <w:left w:val="single" w:color="auto" w:sz="4" w:space="0"/>
              <w:bottom w:val="single" w:color="auto" w:sz="4" w:space="0"/>
              <w:right w:val="single" w:color="auto" w:sz="4" w:space="0"/>
            </w:tcBorders>
            <w:vAlign w:val="center"/>
          </w:tcPr>
          <w:p w14:paraId="6A282A97">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449" w:type="dxa"/>
            <w:tcBorders>
              <w:top w:val="single" w:color="auto" w:sz="4" w:space="0"/>
              <w:left w:val="single" w:color="auto" w:sz="4" w:space="0"/>
              <w:bottom w:val="single" w:color="auto" w:sz="4" w:space="0"/>
            </w:tcBorders>
            <w:vAlign w:val="center"/>
          </w:tcPr>
          <w:p w14:paraId="0B79D386">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w:t>
            </w:r>
            <w:r>
              <w:rPr>
                <w:rFonts w:hint="eastAsia" w:cs="Times New Roman"/>
                <w:szCs w:val="21"/>
                <w:highlight w:val="none"/>
                <w:lang w:val="en-US" w:eastAsia="zh-CN"/>
              </w:rPr>
              <w:t>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5F7E4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02BD723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1896" w:type="dxa"/>
            <w:tcBorders>
              <w:top w:val="single" w:color="auto" w:sz="4" w:space="0"/>
              <w:left w:val="single" w:color="auto" w:sz="4" w:space="0"/>
              <w:bottom w:val="single" w:color="auto" w:sz="4" w:space="0"/>
              <w:right w:val="single" w:color="auto" w:sz="4" w:space="0"/>
            </w:tcBorders>
            <w:vAlign w:val="center"/>
          </w:tcPr>
          <w:p w14:paraId="39F1CCD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449" w:type="dxa"/>
            <w:tcBorders>
              <w:top w:val="single" w:color="auto" w:sz="4" w:space="0"/>
              <w:left w:val="single" w:color="auto" w:sz="4" w:space="0"/>
              <w:bottom w:val="single" w:color="auto" w:sz="4" w:space="0"/>
            </w:tcBorders>
            <w:vAlign w:val="center"/>
          </w:tcPr>
          <w:p w14:paraId="779DCCC0">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eastAsia="zh-CN"/>
                <w14:textFill>
                  <w14:solidFill>
                    <w14:schemeClr w14:val="tx1"/>
                  </w14:solidFill>
                </w14:textFill>
              </w:rPr>
              <w:t>2025</w:t>
            </w:r>
            <w:bookmarkStart w:id="74" w:name="_GoBack"/>
            <w:bookmarkEnd w:id="74"/>
            <w:r>
              <w:rPr>
                <w:rFonts w:hint="eastAsia" w:ascii="宋体" w:hAnsi="宋体" w:eastAsia="宋体" w:cs="宋体"/>
                <w:color w:val="000000" w:themeColor="text1"/>
                <w:sz w:val="21"/>
                <w:szCs w:val="21"/>
                <w:highlight w:val="none"/>
                <w14:textFill>
                  <w14:solidFill>
                    <w14:schemeClr w14:val="tx1"/>
                  </w14:solidFill>
                </w14:textFill>
              </w:rPr>
              <w:t>年1月24日15时30分</w:t>
            </w:r>
          </w:p>
          <w:p w14:paraId="3BAA0E7F">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w:t>
            </w:r>
            <w:r>
              <w:rPr>
                <w:rFonts w:hint="eastAsia" w:ascii="宋体" w:hAnsi="宋体" w:cs="宋体"/>
                <w:color w:val="000000" w:themeColor="text1"/>
                <w:sz w:val="21"/>
                <w:szCs w:val="21"/>
                <w:highlight w:val="none"/>
                <w:lang w:val="en-US" w:eastAsia="zh-CN"/>
                <w14:textFill>
                  <w14:solidFill>
                    <w14:schemeClr w14:val="tx1"/>
                  </w14:solidFill>
                </w14:textFill>
              </w:rPr>
              <w:t>宜园</w:t>
            </w:r>
            <w:r>
              <w:rPr>
                <w:rFonts w:hint="eastAsia" w:ascii="宋体" w:hAnsi="宋体" w:eastAsia="宋体" w:cs="宋体"/>
                <w:color w:val="000000" w:themeColor="text1"/>
                <w:sz w:val="21"/>
                <w:szCs w:val="21"/>
                <w:highlight w:val="none"/>
                <w:lang w:val="en-US" w:eastAsia="zh-CN"/>
                <w14:textFill>
                  <w14:solidFill>
                    <w14:schemeClr w14:val="tx1"/>
                  </w14:solidFill>
                </w14:textFill>
              </w:rPr>
              <w:t>路</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6号）</w:t>
            </w:r>
          </w:p>
        </w:tc>
      </w:tr>
      <w:tr w14:paraId="0B9C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33125920">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1896" w:type="dxa"/>
            <w:tcBorders>
              <w:top w:val="single" w:color="auto" w:sz="4" w:space="0"/>
              <w:left w:val="single" w:color="auto" w:sz="4" w:space="0"/>
              <w:bottom w:val="single" w:color="auto" w:sz="4" w:space="0"/>
              <w:right w:val="single" w:color="auto" w:sz="4" w:space="0"/>
            </w:tcBorders>
          </w:tcPr>
          <w:p w14:paraId="2F1C6C4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449" w:type="dxa"/>
            <w:tcBorders>
              <w:top w:val="single" w:color="auto" w:sz="4" w:space="0"/>
              <w:left w:val="single" w:color="auto" w:sz="4" w:space="0"/>
              <w:bottom w:val="single" w:color="auto" w:sz="4" w:space="0"/>
            </w:tcBorders>
            <w:vAlign w:val="center"/>
          </w:tcPr>
          <w:p w14:paraId="3260F0D5">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56B91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1A56BFB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1896" w:type="dxa"/>
            <w:tcBorders>
              <w:top w:val="single" w:color="auto" w:sz="4" w:space="0"/>
              <w:left w:val="single" w:color="auto" w:sz="4" w:space="0"/>
              <w:bottom w:val="single" w:color="auto" w:sz="4" w:space="0"/>
              <w:right w:val="single" w:color="auto" w:sz="4" w:space="0"/>
            </w:tcBorders>
            <w:vAlign w:val="center"/>
          </w:tcPr>
          <w:p w14:paraId="300F892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449" w:type="dxa"/>
            <w:tcBorders>
              <w:top w:val="single" w:color="auto" w:sz="4" w:space="0"/>
              <w:left w:val="single" w:color="auto" w:sz="4" w:space="0"/>
              <w:bottom w:val="single" w:color="auto" w:sz="4" w:space="0"/>
            </w:tcBorders>
            <w:vAlign w:val="center"/>
          </w:tcPr>
          <w:p w14:paraId="12611DC2">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60A36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0094FCBF">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1896" w:type="dxa"/>
            <w:tcBorders>
              <w:top w:val="single" w:color="auto" w:sz="4" w:space="0"/>
              <w:left w:val="single" w:color="auto" w:sz="4" w:space="0"/>
              <w:bottom w:val="single" w:color="auto" w:sz="4" w:space="0"/>
              <w:right w:val="single" w:color="auto" w:sz="4" w:space="0"/>
            </w:tcBorders>
            <w:vAlign w:val="top"/>
          </w:tcPr>
          <w:p w14:paraId="131CAEFC">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449" w:type="dxa"/>
            <w:tcBorders>
              <w:top w:val="single" w:color="auto" w:sz="4" w:space="0"/>
              <w:left w:val="single" w:color="auto" w:sz="4" w:space="0"/>
              <w:bottom w:val="single" w:color="auto" w:sz="4" w:space="0"/>
            </w:tcBorders>
            <w:vAlign w:val="center"/>
          </w:tcPr>
          <w:p w14:paraId="6FF58C51">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0908A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auto" w:sz="4" w:space="0"/>
              <w:bottom w:val="single" w:color="auto" w:sz="4" w:space="0"/>
              <w:right w:val="single" w:color="auto" w:sz="4" w:space="0"/>
            </w:tcBorders>
            <w:vAlign w:val="center"/>
          </w:tcPr>
          <w:p w14:paraId="17807D8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1896" w:type="dxa"/>
            <w:tcBorders>
              <w:top w:val="single" w:color="auto" w:sz="4" w:space="0"/>
              <w:left w:val="single" w:color="auto" w:sz="4" w:space="0"/>
              <w:bottom w:val="single" w:color="auto" w:sz="4" w:space="0"/>
              <w:right w:val="single" w:color="auto" w:sz="4" w:space="0"/>
            </w:tcBorders>
            <w:vAlign w:val="center"/>
          </w:tcPr>
          <w:p w14:paraId="4B80FA6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eastAsia="宋体" w:cs="Times New Roman"/>
                <w:szCs w:val="21"/>
                <w:highlight w:val="none"/>
              </w:rPr>
              <w:t>付款方式</w:t>
            </w:r>
          </w:p>
        </w:tc>
        <w:tc>
          <w:tcPr>
            <w:tcW w:w="6449" w:type="dxa"/>
            <w:tcBorders>
              <w:top w:val="single" w:color="auto" w:sz="4" w:space="0"/>
              <w:left w:val="single" w:color="auto" w:sz="4" w:space="0"/>
              <w:bottom w:val="single" w:color="auto" w:sz="4" w:space="0"/>
            </w:tcBorders>
            <w:vAlign w:val="center"/>
          </w:tcPr>
          <w:p w14:paraId="6E90D73D">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按年付（满一年后一个月之内付清）。采购人结算付款给成交人时银行承兑与电汇同价。每次付款前成交人须开具13%增值税专用发票。</w:t>
            </w:r>
          </w:p>
        </w:tc>
      </w:tr>
      <w:tr w14:paraId="61E81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5" w:type="dxa"/>
            <w:tcBorders>
              <w:top w:val="single" w:color="auto" w:sz="4" w:space="0"/>
              <w:bottom w:val="single" w:color="auto" w:sz="4" w:space="0"/>
              <w:right w:val="single" w:color="auto" w:sz="4" w:space="0"/>
            </w:tcBorders>
            <w:vAlign w:val="center"/>
          </w:tcPr>
          <w:p w14:paraId="389DF8B4">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1896" w:type="dxa"/>
            <w:tcBorders>
              <w:top w:val="single" w:color="auto" w:sz="4" w:space="0"/>
              <w:left w:val="single" w:color="auto" w:sz="4" w:space="0"/>
              <w:bottom w:val="single" w:color="auto" w:sz="4" w:space="0"/>
              <w:right w:val="single" w:color="auto" w:sz="4" w:space="0"/>
            </w:tcBorders>
            <w:vAlign w:val="center"/>
          </w:tcPr>
          <w:p w14:paraId="4177072D">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449" w:type="dxa"/>
            <w:tcBorders>
              <w:top w:val="single" w:color="auto" w:sz="4" w:space="0"/>
              <w:left w:val="single" w:color="auto" w:sz="4" w:space="0"/>
              <w:bottom w:val="single" w:color="auto" w:sz="4" w:space="0"/>
            </w:tcBorders>
            <w:vAlign w:val="center"/>
          </w:tcPr>
          <w:p w14:paraId="65710BB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1F3E51B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49702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auto" w:sz="4" w:space="0"/>
              <w:bottom w:val="single" w:color="auto" w:sz="4" w:space="0"/>
              <w:right w:val="single" w:color="auto" w:sz="4" w:space="0"/>
            </w:tcBorders>
            <w:vAlign w:val="center"/>
          </w:tcPr>
          <w:p w14:paraId="7EDFBFC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1896" w:type="dxa"/>
            <w:tcBorders>
              <w:top w:val="single" w:color="auto" w:sz="4" w:space="0"/>
              <w:left w:val="single" w:color="auto" w:sz="4" w:space="0"/>
              <w:bottom w:val="single" w:color="auto" w:sz="4" w:space="0"/>
              <w:right w:val="single" w:color="auto" w:sz="4" w:space="0"/>
            </w:tcBorders>
            <w:vAlign w:val="center"/>
          </w:tcPr>
          <w:p w14:paraId="677E7598">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449" w:type="dxa"/>
            <w:tcBorders>
              <w:top w:val="single" w:color="auto" w:sz="4" w:space="0"/>
              <w:left w:val="single" w:color="auto" w:sz="4" w:space="0"/>
              <w:bottom w:val="single" w:color="auto" w:sz="4" w:space="0"/>
              <w:right w:val="single" w:color="auto" w:sz="4" w:space="0"/>
            </w:tcBorders>
            <w:vAlign w:val="center"/>
          </w:tcPr>
          <w:p w14:paraId="61978591">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3A528707">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相应资质，如有</w:t>
            </w:r>
            <w:r>
              <w:rPr>
                <w:rFonts w:hint="eastAsia" w:ascii="宋体" w:hAnsi="宋体" w:cs="宋体"/>
                <w:color w:val="000000" w:themeColor="text1"/>
                <w:sz w:val="21"/>
                <w:szCs w:val="21"/>
                <w:highlight w:val="none"/>
                <w:lang w:val="en-US" w:eastAsia="zh-CN"/>
                <w14:textFill>
                  <w14:solidFill>
                    <w14:schemeClr w14:val="tx1"/>
                  </w14:solidFill>
                </w14:textFill>
              </w:rPr>
              <w:t>特殊需求</w:t>
            </w:r>
            <w:r>
              <w:rPr>
                <w:rFonts w:hint="eastAsia" w:ascii="宋体" w:hAnsi="宋体" w:eastAsia="宋体" w:cs="宋体"/>
                <w:color w:val="000000" w:themeColor="text1"/>
                <w:sz w:val="21"/>
                <w:szCs w:val="21"/>
                <w:highlight w:val="none"/>
                <w14:textFill>
                  <w14:solidFill>
                    <w14:schemeClr w14:val="tx1"/>
                  </w14:solidFill>
                </w14:textFill>
              </w:rPr>
              <w:t>需委托</w:t>
            </w:r>
            <w:r>
              <w:rPr>
                <w:rFonts w:hint="eastAsia" w:ascii="宋体" w:hAnsi="宋体" w:cs="宋体"/>
                <w:color w:val="000000" w:themeColor="text1"/>
                <w:sz w:val="21"/>
                <w:szCs w:val="21"/>
                <w:highlight w:val="none"/>
                <w:lang w:val="en-US" w:eastAsia="zh-CN"/>
                <w14:textFill>
                  <w14:solidFill>
                    <w14:schemeClr w14:val="tx1"/>
                  </w14:solidFill>
                </w14:textFill>
              </w:rPr>
              <w:t>其他</w:t>
            </w:r>
            <w:r>
              <w:rPr>
                <w:rFonts w:hint="eastAsia" w:ascii="宋体" w:hAnsi="宋体" w:eastAsia="宋体" w:cs="宋体"/>
                <w:color w:val="000000" w:themeColor="text1"/>
                <w:sz w:val="21"/>
                <w:szCs w:val="21"/>
                <w:highlight w:val="none"/>
                <w14:textFill>
                  <w14:solidFill>
                    <w14:schemeClr w14:val="tx1"/>
                  </w14:solidFill>
                </w14:textFill>
              </w:rPr>
              <w:t>具有相应资质的机构检测的，</w:t>
            </w:r>
            <w:r>
              <w:rPr>
                <w:rFonts w:hint="eastAsia" w:ascii="宋体" w:hAnsi="宋体" w:cs="宋体"/>
                <w:color w:val="000000" w:themeColor="text1"/>
                <w:sz w:val="21"/>
                <w:szCs w:val="21"/>
                <w:highlight w:val="none"/>
                <w:lang w:val="en-US" w:eastAsia="zh-CN"/>
                <w14:textFill>
                  <w14:solidFill>
                    <w14:schemeClr w14:val="tx1"/>
                  </w14:solidFill>
                </w14:textFill>
              </w:rPr>
              <w:t>需经采购人同意，且相关</w:t>
            </w:r>
            <w:r>
              <w:rPr>
                <w:rFonts w:hint="eastAsia" w:ascii="宋体" w:hAnsi="宋体" w:eastAsia="宋体" w:cs="宋体"/>
                <w:color w:val="000000" w:themeColor="text1"/>
                <w:sz w:val="21"/>
                <w:szCs w:val="21"/>
                <w:highlight w:val="none"/>
                <w14:textFill>
                  <w14:solidFill>
                    <w14:schemeClr w14:val="tx1"/>
                  </w14:solidFill>
                </w14:textFill>
              </w:rPr>
              <w:t>费用</w:t>
            </w:r>
            <w:r>
              <w:rPr>
                <w:rFonts w:hint="eastAsia" w:ascii="宋体" w:hAnsi="宋体" w:cs="宋体"/>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包含在成交价之内。</w:t>
            </w:r>
          </w:p>
          <w:p w14:paraId="3ECE26EA">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主体为安庆市安峰建筑工业化有限公司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7E9B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5" w:type="dxa"/>
            <w:tcBorders>
              <w:top w:val="single" w:color="auto" w:sz="4" w:space="0"/>
              <w:bottom w:val="single" w:color="auto" w:sz="4" w:space="0"/>
              <w:right w:val="single" w:color="auto" w:sz="4" w:space="0"/>
            </w:tcBorders>
            <w:vAlign w:val="center"/>
          </w:tcPr>
          <w:p w14:paraId="2E362BC1">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1896" w:type="dxa"/>
            <w:tcBorders>
              <w:top w:val="single" w:color="auto" w:sz="4" w:space="0"/>
              <w:left w:val="single" w:color="auto" w:sz="4" w:space="0"/>
              <w:bottom w:val="single" w:color="auto" w:sz="4" w:space="0"/>
              <w:right w:val="single" w:color="auto" w:sz="4" w:space="0"/>
            </w:tcBorders>
            <w:vAlign w:val="center"/>
          </w:tcPr>
          <w:p w14:paraId="1699155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449" w:type="dxa"/>
            <w:tcBorders>
              <w:top w:val="single" w:color="auto" w:sz="4" w:space="0"/>
              <w:left w:val="single" w:color="auto" w:sz="4" w:space="0"/>
              <w:bottom w:val="single" w:color="auto" w:sz="4" w:space="0"/>
              <w:right w:val="single" w:color="auto" w:sz="4" w:space="0"/>
            </w:tcBorders>
            <w:vAlign w:val="center"/>
          </w:tcPr>
          <w:p w14:paraId="6261CDB8">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2C3CABC0">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 安庆市交通控股集团有限公司纪检监察室</w:t>
            </w:r>
          </w:p>
          <w:p w14:paraId="5821C7DB">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 0556-5595102。</w:t>
            </w:r>
          </w:p>
        </w:tc>
      </w:tr>
    </w:tbl>
    <w:p w14:paraId="3DD40CC8">
      <w:pPr>
        <w:rPr>
          <w:rFonts w:ascii="宋体" w:hAnsi="宋体"/>
          <w:color w:val="000000" w:themeColor="text1"/>
          <w:kern w:val="0"/>
          <w:highlight w:val="none"/>
          <w:lang w:val="zh-CN"/>
          <w14:textFill>
            <w14:solidFill>
              <w14:schemeClr w14:val="tx1"/>
            </w14:solidFill>
          </w14:textFill>
        </w:rPr>
      </w:pPr>
      <w:bookmarkStart w:id="27" w:name="_Toc439316872"/>
      <w:r>
        <w:rPr>
          <w:color w:val="000000" w:themeColor="text1"/>
          <w:kern w:val="0"/>
          <w:highlight w:val="none"/>
          <w:lang w:val="zh-CN"/>
          <w14:textFill>
            <w14:solidFill>
              <w14:schemeClr w14:val="tx1"/>
            </w14:solidFill>
          </w14:textFill>
        </w:rPr>
        <w:br w:type="page"/>
      </w:r>
    </w:p>
    <w:bookmarkEnd w:id="27"/>
    <w:p w14:paraId="5DD3EF96">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28" w:name="_Toc4481592"/>
      <w:bookmarkStart w:id="29" w:name="_Toc28310"/>
      <w:r>
        <w:rPr>
          <w:rFonts w:hint="eastAsia" w:ascii="Arial" w:hAnsi="Arial" w:eastAsia="宋体" w:cs="Times New Roman"/>
          <w:b/>
          <w:kern w:val="0"/>
          <w:sz w:val="32"/>
        </w:rPr>
        <w:t>（二）总则</w:t>
      </w:r>
      <w:bookmarkEnd w:id="28"/>
    </w:p>
    <w:p w14:paraId="2C8BF6C0">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1、定义</w:t>
      </w:r>
    </w:p>
    <w:p w14:paraId="2FC5D9F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1.1、采购单位是指采购人和采购管理部门。</w:t>
      </w:r>
    </w:p>
    <w:p w14:paraId="27A85B4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1.2、参选人是指对“参选人须知前附表”序号2所指的项目表现出兴趣，按照规定的程序，从采购单位获取了比选文件，并实际参与了该项目投标活动的供应商。</w:t>
      </w:r>
    </w:p>
    <w:p w14:paraId="6749A784">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2、参选人资格要求</w:t>
      </w:r>
    </w:p>
    <w:p w14:paraId="4FDDDD9F">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2.1、参与本项目的参选人必须满足的要求：详见参选人须知前附表。</w:t>
      </w:r>
    </w:p>
    <w:p w14:paraId="72BA688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2.2、参选人之间如果存在下列情形之一的，不得同时参加同一包别或者不分包别的同一项目投标：</w:t>
      </w:r>
    </w:p>
    <w:p w14:paraId="49DC5B64">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（1）法定代表人为同一个人的两个及两个以上法人；</w:t>
      </w:r>
    </w:p>
    <w:p w14:paraId="1B14676D">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（2）母公司、全资子公司及其控股公司；</w:t>
      </w:r>
    </w:p>
    <w:p w14:paraId="292DF0B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（3）法律和行政法规规定的其他情形。</w:t>
      </w:r>
    </w:p>
    <w:p w14:paraId="5D967835">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2.3、参选人必须确保自己信息真实、准确，否则，参选人因此蒙受损失，采购单位概不负责。</w:t>
      </w:r>
    </w:p>
    <w:p w14:paraId="783A6FC2">
      <w:pPr>
        <w:adjustRightInd w:val="0"/>
        <w:spacing w:line="500" w:lineRule="exact"/>
        <w:ind w:firstLine="413" w:firstLineChars="196"/>
        <w:rPr>
          <w:rFonts w:ascii="宋体" w:hAnsi="宋体" w:eastAsia="宋体" w:cs="Times New Roman"/>
          <w:b/>
          <w:szCs w:val="21"/>
        </w:rPr>
      </w:pPr>
      <w:r>
        <w:rPr>
          <w:rFonts w:hint="eastAsia" w:ascii="宋体" w:hAnsi="宋体" w:eastAsia="宋体" w:cs="Times New Roman"/>
          <w:b/>
          <w:szCs w:val="21"/>
        </w:rPr>
        <w:t>3、联合体投标</w:t>
      </w:r>
    </w:p>
    <w:p w14:paraId="040E5F7E">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本项目不接受联合体</w:t>
      </w:r>
    </w:p>
    <w:p w14:paraId="37AD0EFC">
      <w:pPr>
        <w:adjustRightInd w:val="0"/>
        <w:spacing w:line="500" w:lineRule="exact"/>
        <w:ind w:firstLine="413" w:firstLineChars="196"/>
        <w:rPr>
          <w:rFonts w:ascii="宋体" w:hAnsi="宋体" w:eastAsia="宋体" w:cs="Times New Roman"/>
          <w:bCs/>
          <w:szCs w:val="21"/>
        </w:rPr>
      </w:pPr>
      <w:r>
        <w:rPr>
          <w:rFonts w:hint="eastAsia" w:ascii="宋体" w:hAnsi="宋体" w:eastAsia="宋体" w:cs="Times New Roman"/>
          <w:b/>
          <w:szCs w:val="21"/>
        </w:rPr>
        <w:t>4、比选费用：</w:t>
      </w:r>
      <w:r>
        <w:rPr>
          <w:rFonts w:hint="eastAsia" w:ascii="宋体" w:hAnsi="宋体" w:eastAsia="宋体" w:cs="Times New Roman"/>
          <w:bCs/>
          <w:szCs w:val="21"/>
        </w:rPr>
        <w:t>参选人必须自行承担参加比选的所有费用。不论中标与否，采购单位在任何情况下均无义务和责任承担这些费用。</w:t>
      </w:r>
    </w:p>
    <w:p w14:paraId="3DE30F75">
      <w:pPr>
        <w:widowControl/>
        <w:spacing w:line="5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5、参选人有以下情形不得参与本次投标活动</w:t>
      </w:r>
    </w:p>
    <w:p w14:paraId="551A0B1E">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5.1被列入安庆市交通控股集团有限公司黑名单管理系统。</w:t>
      </w:r>
    </w:p>
    <w:p w14:paraId="5828FBA5">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5.2在安庆市交通控股集团有限公司处罚限制期限内的投标人。</w:t>
      </w:r>
    </w:p>
    <w:p w14:paraId="7882E286">
      <w:pPr>
        <w:widowControl/>
        <w:spacing w:line="500" w:lineRule="exact"/>
        <w:ind w:firstLine="420" w:firstLineChars="200"/>
        <w:jc w:val="left"/>
        <w:rPr>
          <w:rFonts w:ascii="宋体" w:hAnsi="宋体" w:eastAsia="宋体" w:cs="Times New Roman"/>
          <w:bCs/>
          <w:szCs w:val="21"/>
        </w:rPr>
      </w:pPr>
      <w:r>
        <w:rPr>
          <w:rFonts w:hint="eastAsia" w:ascii="宋体" w:hAnsi="宋体" w:eastAsia="宋体" w:cs="Times New Roman"/>
          <w:bCs/>
          <w:szCs w:val="21"/>
        </w:rPr>
        <w:t>5.3前期参与安庆市交通控股集团有限公司组织的招标采购活动获得中标候选人资格而放弃中标资格不签订合同的投标人，在处罚期内的投标人不得参与本次投标活动。</w:t>
      </w:r>
    </w:p>
    <w:p w14:paraId="30B7D7E1">
      <w:pPr>
        <w:widowControl/>
        <w:spacing w:line="500" w:lineRule="exact"/>
        <w:ind w:firstLine="420" w:firstLineChars="200"/>
        <w:jc w:val="left"/>
        <w:rPr>
          <w:rFonts w:ascii="宋体" w:hAnsi="宋体" w:eastAsia="宋体" w:cs="Times New Roman"/>
          <w:bCs/>
          <w:szCs w:val="21"/>
        </w:rPr>
      </w:pPr>
    </w:p>
    <w:p w14:paraId="5FBB5C4B">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30" w:name="_Toc479622044"/>
      <w:bookmarkStart w:id="31" w:name="_Toc4481593"/>
      <w:bookmarkStart w:id="32" w:name="_Toc8536"/>
      <w:r>
        <w:rPr>
          <w:rFonts w:hint="eastAsia" w:ascii="Arial" w:hAnsi="Arial" w:eastAsia="宋体" w:cs="Times New Roman"/>
          <w:b/>
          <w:kern w:val="0"/>
          <w:sz w:val="32"/>
        </w:rPr>
        <w:t>（三）</w:t>
      </w:r>
      <w:bookmarkEnd w:id="30"/>
      <w:bookmarkEnd w:id="31"/>
      <w:bookmarkEnd w:id="32"/>
      <w:r>
        <w:rPr>
          <w:rFonts w:hint="eastAsia" w:ascii="Arial" w:hAnsi="Arial" w:eastAsia="宋体" w:cs="Times New Roman"/>
          <w:b/>
          <w:kern w:val="0"/>
          <w:sz w:val="32"/>
        </w:rPr>
        <w:t>比选文件</w:t>
      </w:r>
    </w:p>
    <w:p w14:paraId="233C074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6、比选文件的构成</w:t>
      </w:r>
    </w:p>
    <w:p w14:paraId="112FAC39">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6.1、比选文件包括：</w:t>
      </w:r>
    </w:p>
    <w:p w14:paraId="00179B9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（1）第一章  比选公告；</w:t>
      </w:r>
    </w:p>
    <w:p w14:paraId="7045A827">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（2）第二章  参选人须知；</w:t>
      </w:r>
    </w:p>
    <w:p w14:paraId="53C97909">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（3）第三章  </w:t>
      </w:r>
      <w:r>
        <w:rPr>
          <w:rFonts w:hint="eastAsia" w:ascii="宋体" w:hAnsi="宋体" w:eastAsia="宋体" w:cs="Times New Roman"/>
          <w:szCs w:val="21"/>
          <w:lang w:eastAsia="zh-CN"/>
        </w:rPr>
        <w:t>服务及技术要求</w:t>
      </w:r>
      <w:r>
        <w:rPr>
          <w:rFonts w:hint="eastAsia" w:ascii="宋体" w:hAnsi="宋体" w:eastAsia="宋体" w:cs="Times New Roman"/>
          <w:szCs w:val="21"/>
        </w:rPr>
        <w:t>；</w:t>
      </w:r>
    </w:p>
    <w:p w14:paraId="460B338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（4）第四章</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合同主要条款；</w:t>
      </w:r>
    </w:p>
    <w:p w14:paraId="7A7AC01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（5）第五章  参选文件格式。</w:t>
      </w:r>
    </w:p>
    <w:p w14:paraId="1F77955A">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6.2、参选人应认真阅读和充分理解比选文件中所有的内容。如果参选人没有满足比选文件的有关要求，其风险由参选人自行承担。</w:t>
      </w:r>
    </w:p>
    <w:p w14:paraId="12FBF648">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EB0D66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7、比选文件的澄清</w:t>
      </w:r>
    </w:p>
    <w:p w14:paraId="2754D23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7.1、参选人可以要求采购单位对比选文件中的有关问题进行答疑或澄清。</w:t>
      </w:r>
    </w:p>
    <w:p w14:paraId="4DAF501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7.2、参选人对比选文件如有异议，应在投标截止日期前向采购单位提出。</w:t>
      </w:r>
    </w:p>
    <w:p w14:paraId="696A9E5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7.3、如果参选人未在规定的时间内对比选文件有关条款提出异议，则视为充分理解比选文件所有内容。一旦提交参选文件，则认为该参选人接受比选文件的所有条款。</w:t>
      </w:r>
    </w:p>
    <w:p w14:paraId="0CCBAC94">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7.4、采购单位对在规定时间收到的且需要做出澄清的问题，将以8款所述方式进行答复，但不说明问题的来源。</w:t>
      </w:r>
    </w:p>
    <w:p w14:paraId="1FC94D1E">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8、比选文件的修改</w:t>
      </w:r>
    </w:p>
    <w:p w14:paraId="3A98FB9C">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8.1、采购单位可以对比选文件进行修改。</w:t>
      </w:r>
    </w:p>
    <w:p w14:paraId="33B4C9A5">
      <w:pPr>
        <w:spacing w:line="500" w:lineRule="exact"/>
        <w:ind w:firstLine="422" w:firstLineChars="200"/>
        <w:rPr>
          <w:rFonts w:ascii="宋体" w:hAnsi="宋体" w:eastAsia="宋体" w:cs="Times New Roman"/>
          <w:b/>
          <w:bCs/>
          <w:szCs w:val="21"/>
        </w:rPr>
      </w:pPr>
      <w:r>
        <w:rPr>
          <w:rFonts w:hint="eastAsia" w:ascii="宋体" w:hAnsi="宋体" w:eastAsia="宋体" w:cs="Times New Roman"/>
          <w:b/>
          <w:bCs/>
          <w:szCs w:val="21"/>
        </w:rPr>
        <w:t>8.2、采购单位对参选人异议的答复和对比选文件的</w:t>
      </w:r>
      <w:r>
        <w:rPr>
          <w:rFonts w:ascii="宋体" w:hAnsi="宋体" w:eastAsia="宋体" w:cs="Times New Roman"/>
          <w:b/>
          <w:bCs/>
          <w:szCs w:val="21"/>
        </w:rPr>
        <w:t>澄</w:t>
      </w:r>
      <w:r>
        <w:rPr>
          <w:rFonts w:hint="eastAsia" w:ascii="宋体" w:hAnsi="宋体" w:eastAsia="宋体" w:cs="Times New Roman"/>
          <w:b/>
          <w:bCs/>
          <w:szCs w:val="21"/>
        </w:rPr>
        <w:t>清、修改、补充说明等内容均通过安庆市交通控股集团有限公司集采平台（http：//jc.zh0556.com/）招标采购栏目发布，该修改内容作为比选文件的组成部分，具有约束作用。</w:t>
      </w:r>
    </w:p>
    <w:p w14:paraId="74071788">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8.3、</w:t>
      </w:r>
      <w:bookmarkStart w:id="33" w:name="_Toc9821"/>
      <w:r>
        <w:rPr>
          <w:rFonts w:hint="eastAsia" w:ascii="宋体" w:hAnsi="宋体" w:eastAsia="宋体" w:cs="Times New Roman"/>
          <w:szCs w:val="21"/>
        </w:rPr>
        <w:t>当比选文件与对比选文件的澄清、修改、补充等在同一内容的表述上不一致时，以最后发出的为准。</w:t>
      </w:r>
    </w:p>
    <w:p w14:paraId="5199B9B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rPr>
        <w:t>安庆市交通控股集团有限公司集采平台网站发布</w:t>
      </w:r>
      <w:r>
        <w:rPr>
          <w:rFonts w:hint="eastAsia" w:ascii="宋体" w:hAnsi="宋体" w:eastAsia="宋体" w:cs="Times New Roman"/>
          <w:szCs w:val="21"/>
        </w:rPr>
        <w:t>。</w:t>
      </w:r>
    </w:p>
    <w:bookmarkEnd w:id="33"/>
    <w:p w14:paraId="6D25D958">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9、参选文件的构成</w:t>
      </w:r>
    </w:p>
    <w:p w14:paraId="088113BF">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9.1、参选文件应该按照“参选文件格式”规定的内容和顺序进行编写。</w:t>
      </w:r>
    </w:p>
    <w:p w14:paraId="492729D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9.2、参选人应提交“参选人须知前附表”中规定的参选文件。</w:t>
      </w:r>
    </w:p>
    <w:p w14:paraId="7329CD83">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9.3、参选人必须对其参选文件的真实性与准确性负责。参选人一旦中标，其参选文件将作为合同的重要组成部分。</w:t>
      </w:r>
    </w:p>
    <w:p w14:paraId="34C90D40">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9.4、参选人提供的货物能满足比选文件约定的实质性要求。否则，其参选文件在评标时有可能被认为是对比选文件未做出实质性的响应，而被评标委员会终止对其做进一步的评审。</w:t>
      </w:r>
    </w:p>
    <w:p w14:paraId="013D5968">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10、投标报价</w:t>
      </w:r>
    </w:p>
    <w:p w14:paraId="3A99F392">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10.1、参选文件的货物报价表上应清楚地标明参选人拟提供货物的名称、价格等内容。</w:t>
      </w:r>
    </w:p>
    <w:p w14:paraId="68A2C6BE">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10.2、除非特别要求，每个项目（或每个包）只允许有一个方案、一个报价。多方案、多报价的参选文件将视为无效参选文件。</w:t>
      </w:r>
    </w:p>
    <w:p w14:paraId="2B109618">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10.3、参选人的报价应包含满足本次招标需求的所有费用（包括但不限于：</w:t>
      </w:r>
      <w:r>
        <w:rPr>
          <w:rFonts w:hint="eastAsia" w:ascii="宋体" w:hAnsi="宋体" w:eastAsia="宋体" w:cs="宋体"/>
          <w:szCs w:val="21"/>
        </w:rPr>
        <w:t>人工费、材料费、运输费、保险、税金等）。</w:t>
      </w:r>
    </w:p>
    <w:p w14:paraId="0D6A52D2">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10.4、投标报价高于最高投标限价为投标无效。</w:t>
      </w:r>
    </w:p>
    <w:p w14:paraId="28C3197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10.5、若</w:t>
      </w:r>
      <w:r>
        <w:rPr>
          <w:rFonts w:hint="eastAsia" w:ascii="Times New Roman" w:hAnsi="Times New Roman" w:eastAsia="宋体" w:cs="Times New Roman"/>
          <w:szCs w:val="24"/>
        </w:rPr>
        <w:t>参选报价函中报价的大写金额和小写金额不一致的</w:t>
      </w:r>
      <w:r>
        <w:rPr>
          <w:rFonts w:hint="eastAsia" w:ascii="宋体" w:hAnsi="宋体" w:eastAsia="宋体" w:cs="Times New Roman"/>
          <w:szCs w:val="21"/>
        </w:rPr>
        <w:t>，以大写金额为准；单价金额小数点有明显错位的，应以总价为准，并修正单价。</w:t>
      </w:r>
    </w:p>
    <w:p w14:paraId="780C1E7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10.6、投标函中报价与参选文件中相应内容不一致的，以投标函中报价为准。</w:t>
      </w:r>
    </w:p>
    <w:p w14:paraId="44062118">
      <w:pPr>
        <w:spacing w:line="500" w:lineRule="exact"/>
        <w:ind w:firstLine="422" w:firstLineChars="200"/>
        <w:rPr>
          <w:rFonts w:ascii="宋体" w:hAnsi="宋体" w:eastAsia="宋体" w:cs="Times New Roman"/>
          <w:szCs w:val="21"/>
        </w:rPr>
      </w:pPr>
      <w:r>
        <w:rPr>
          <w:rFonts w:hint="eastAsia" w:ascii="宋体" w:hAnsi="宋体" w:eastAsia="宋体" w:cs="Times New Roman"/>
          <w:b/>
          <w:szCs w:val="21"/>
        </w:rPr>
        <w:t>11、投标货币：</w:t>
      </w:r>
      <w:r>
        <w:rPr>
          <w:rFonts w:hint="eastAsia" w:ascii="宋体" w:hAnsi="宋体" w:eastAsia="宋体" w:cs="Times New Roman"/>
          <w:szCs w:val="21"/>
        </w:rPr>
        <w:t>人民币。</w:t>
      </w:r>
    </w:p>
    <w:p w14:paraId="4BA0E051">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12、投标保证金：本项目不收取</w:t>
      </w:r>
    </w:p>
    <w:p w14:paraId="70C76AEB">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13、投标有效期</w:t>
      </w:r>
    </w:p>
    <w:p w14:paraId="2304C44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14.投标有效期见“参选人须知前附表”的规定。</w:t>
      </w:r>
    </w:p>
    <w:p w14:paraId="418BF5E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14.1、在投标有效期内，参选人不得要求撤销或修改其参选文件。</w:t>
      </w:r>
    </w:p>
    <w:p w14:paraId="649C7AF8">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14.2、投标有效期从投标截止之日算起。</w:t>
      </w:r>
    </w:p>
    <w:p w14:paraId="4A1EFE56">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112BD0C1">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15、参选文件的签署</w:t>
      </w:r>
    </w:p>
    <w:p w14:paraId="0C473A1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15.1、参选人应按“参选人须知前附表”约定的份数和比选文件约定的格式，编制并提交参选文件。</w:t>
      </w:r>
    </w:p>
    <w:p w14:paraId="558EFE40">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15.2、参选文件应由参选人的法定代表人或个体工商户经营者或授权委托人签署，并加盖单位公章。</w:t>
      </w:r>
    </w:p>
    <w:p w14:paraId="5A23856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15.3、参选文件不得行间插字、涂改或增删。如有修改错漏处，必须由参选人的法定代表人或个体工商户经营者或授权委托人签字，并加盖单位公章。</w:t>
      </w:r>
    </w:p>
    <w:p w14:paraId="03D9BC2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34B332C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15.5、参选文件封面、投标函、报价表、货物内容及质量要求均应加盖参选人公章并经法定代表人或个体工商户经营者或授权委托人签字或加盖印章。参选文件封面、投标函、报价表、货物内容及质量要求不符合比选文件要求的，视为无效标。由授权委托人签字或盖章的在参选文件中须同时提交授权书。</w:t>
      </w:r>
    </w:p>
    <w:p w14:paraId="5B9156F6">
      <w:pPr>
        <w:widowControl/>
        <w:spacing w:line="500" w:lineRule="exact"/>
        <w:ind w:firstLine="420" w:firstLineChars="200"/>
        <w:jc w:val="left"/>
        <w:rPr>
          <w:rFonts w:ascii="宋体" w:hAnsi="宋体" w:eastAsia="宋体" w:cs="Times New Roman"/>
          <w:szCs w:val="21"/>
        </w:rPr>
      </w:pPr>
    </w:p>
    <w:p w14:paraId="03AF61F7">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34" w:name="_Toc479622046"/>
      <w:bookmarkStart w:id="35" w:name="_Toc12503"/>
      <w:bookmarkStart w:id="36" w:name="_Toc25319"/>
      <w:bookmarkStart w:id="37" w:name="_Toc4481594"/>
      <w:r>
        <w:rPr>
          <w:rFonts w:hint="eastAsia" w:ascii="Arial" w:hAnsi="Arial" w:eastAsia="宋体" w:cs="Times New Roman"/>
          <w:b/>
          <w:kern w:val="0"/>
          <w:sz w:val="32"/>
        </w:rPr>
        <w:t>（四）参选文件的提交</w:t>
      </w:r>
      <w:bookmarkEnd w:id="34"/>
      <w:bookmarkEnd w:id="35"/>
      <w:bookmarkEnd w:id="36"/>
      <w:bookmarkEnd w:id="37"/>
    </w:p>
    <w:p w14:paraId="5A6C8C92">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16、参选文件的装订、密封和标记</w:t>
      </w:r>
    </w:p>
    <w:p w14:paraId="159F682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16.1、参选文件正本和副本均需胶装成册并标明页码，不得采用活页或容易拆解的装订形式。</w:t>
      </w:r>
    </w:p>
    <w:p w14:paraId="54A51314">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16.2、参选人应将参选文件的正本和副本同时装于一个袋内。包装密封，并于密封袋上加盖单位公章。</w:t>
      </w:r>
    </w:p>
    <w:p w14:paraId="69C63A04">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16.3、密封袋上应写明：项目名称、参选单位名称、项目编号（加盖单位公章），详见参选人须知前附表。</w:t>
      </w:r>
    </w:p>
    <w:p w14:paraId="1FC05F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16.4、未按参选人须知要求装订、密封和标记的参选文件，将认定为投标无效。</w:t>
      </w:r>
    </w:p>
    <w:p w14:paraId="136A70C1">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16.5、查验证件</w:t>
      </w:r>
    </w:p>
    <w:p w14:paraId="16038F2D">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16.5.1、采购人审查参选人以下证件，若证件不全或不符合要求，则查验不合格。</w:t>
      </w:r>
    </w:p>
    <w:p w14:paraId="31CFD305">
      <w:pPr>
        <w:spacing w:line="360" w:lineRule="auto"/>
        <w:ind w:firstLine="422" w:firstLineChars="200"/>
        <w:rPr>
          <w:rFonts w:ascii="宋体" w:hAnsi="宋体" w:eastAsia="宋体" w:cs="Times New Roman"/>
          <w:b/>
          <w:bCs/>
          <w:szCs w:val="21"/>
        </w:rPr>
      </w:pPr>
      <w:r>
        <w:rPr>
          <w:rFonts w:hint="eastAsia" w:ascii="宋体" w:hAnsi="宋体" w:eastAsia="宋体" w:cs="Times New Roman"/>
          <w:b/>
          <w:bCs/>
          <w:szCs w:val="21"/>
        </w:rPr>
        <w:t>法定代表人或个体工商户经营者应出示有效二代居民身份证、授权委托人应出示有效二代居民身份证、授权书；（授权书格式见附件）。</w:t>
      </w:r>
    </w:p>
    <w:p w14:paraId="2E39E48D">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17、投标截止时间</w:t>
      </w:r>
    </w:p>
    <w:p w14:paraId="27CA5B2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17.1、参选人应在参选人须知前附表中约定的投标截止时间前将参选文件提交至指定地点。逾期送达的或者未按要求送达指定地点的参选文件，采购单位不予受理。</w:t>
      </w:r>
    </w:p>
    <w:p w14:paraId="6EED3817">
      <w:pPr>
        <w:widowControl/>
        <w:spacing w:line="500" w:lineRule="exact"/>
        <w:ind w:firstLine="420" w:firstLineChars="200"/>
        <w:jc w:val="left"/>
        <w:rPr>
          <w:rFonts w:ascii="宋体" w:hAnsi="宋体" w:eastAsia="宋体" w:cs="Times New Roman"/>
          <w:b/>
          <w:szCs w:val="21"/>
        </w:rPr>
      </w:pPr>
      <w:r>
        <w:rPr>
          <w:rFonts w:hint="eastAsia" w:ascii="宋体" w:hAnsi="宋体" w:eastAsia="宋体" w:cs="Times New Roman"/>
          <w:szCs w:val="21"/>
        </w:rPr>
        <w:t>17.2、采购人有权按本须知的约定，通过修改比选文件相关条款以延长投标截止时间。在此情况下，采购人和参选人受投标截止时间制约的所有权利和义务均应延长至新的投标截止时间。</w:t>
      </w:r>
    </w:p>
    <w:p w14:paraId="3C1E39CF">
      <w:pPr>
        <w:widowControl/>
        <w:spacing w:line="500" w:lineRule="exact"/>
        <w:ind w:firstLine="422" w:firstLineChars="200"/>
        <w:jc w:val="left"/>
        <w:rPr>
          <w:rFonts w:ascii="宋体" w:hAnsi="宋体" w:eastAsia="宋体" w:cs="Times New Roman"/>
          <w:b/>
          <w:szCs w:val="21"/>
        </w:rPr>
      </w:pPr>
      <w:r>
        <w:rPr>
          <w:rFonts w:hint="eastAsia" w:ascii="宋体" w:hAnsi="宋体" w:eastAsia="宋体" w:cs="Times New Roman"/>
          <w:b/>
          <w:szCs w:val="21"/>
        </w:rPr>
        <w:t>18、参选文件的修改与撤回</w:t>
      </w:r>
    </w:p>
    <w:p w14:paraId="6B3ACC46">
      <w:pPr>
        <w:widowControl/>
        <w:spacing w:line="500" w:lineRule="exact"/>
        <w:ind w:firstLine="420" w:firstLineChars="200"/>
        <w:jc w:val="left"/>
        <w:rPr>
          <w:rFonts w:ascii="宋体" w:hAnsi="宋体" w:eastAsia="宋体" w:cs="Times New Roman"/>
          <w:szCs w:val="21"/>
        </w:rPr>
      </w:pPr>
      <w:bookmarkStart w:id="38" w:name="_Toc23598"/>
      <w:bookmarkStart w:id="39" w:name="_Toc479622047"/>
      <w:r>
        <w:rPr>
          <w:rFonts w:hint="eastAsia" w:ascii="宋体" w:hAnsi="宋体" w:eastAsia="宋体" w:cs="Times New Roman"/>
          <w:szCs w:val="21"/>
        </w:rPr>
        <w:t>18.1、参选人提交参选文件以后，在约定的投标截止时间之前，可以以书面形式补充修改或撤回已提交的参选文件，并以书面形式通知采购人。补充、修改的内容为参选文件的组成部分。</w:t>
      </w:r>
    </w:p>
    <w:p w14:paraId="32CE508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709951C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18.3、在投标截止时间之后，参选人不得对其参选文件做任何修改。</w:t>
      </w:r>
    </w:p>
    <w:p w14:paraId="100FA01E">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19、在规定的投标有效期内，参选人不得撤回其参选文件。</w:t>
      </w:r>
    </w:p>
    <w:p w14:paraId="273B5034">
      <w:pPr>
        <w:widowControl/>
        <w:spacing w:line="500" w:lineRule="exact"/>
        <w:ind w:firstLine="420" w:firstLineChars="200"/>
        <w:jc w:val="left"/>
        <w:rPr>
          <w:rFonts w:ascii="宋体" w:hAnsi="宋体" w:eastAsia="宋体" w:cs="Times New Roman"/>
          <w:szCs w:val="21"/>
        </w:rPr>
      </w:pPr>
    </w:p>
    <w:p w14:paraId="59C638B8">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40" w:name="_Toc4481595"/>
      <w:r>
        <w:rPr>
          <w:rFonts w:hint="eastAsia" w:ascii="Arial" w:hAnsi="Arial" w:eastAsia="宋体" w:cs="Times New Roman"/>
          <w:b/>
          <w:kern w:val="0"/>
          <w:sz w:val="32"/>
        </w:rPr>
        <w:t>（五）开标</w:t>
      </w:r>
      <w:bookmarkEnd w:id="38"/>
      <w:bookmarkEnd w:id="39"/>
      <w:bookmarkEnd w:id="40"/>
    </w:p>
    <w:p w14:paraId="3447F44C">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20、开标时间和地点：</w:t>
      </w:r>
      <w:r>
        <w:rPr>
          <w:rFonts w:hint="eastAsia" w:ascii="宋体" w:hAnsi="宋体" w:eastAsia="宋体" w:cs="Times New Roman"/>
          <w:szCs w:val="21"/>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0A661B80">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21、开标程序</w:t>
      </w:r>
    </w:p>
    <w:p w14:paraId="2AC7EC29">
      <w:pPr>
        <w:spacing w:line="360" w:lineRule="auto"/>
        <w:ind w:firstLine="420" w:firstLineChars="200"/>
        <w:rPr>
          <w:rFonts w:ascii="宋体" w:hAnsi="宋体" w:eastAsia="宋体" w:cs="宋体"/>
          <w:szCs w:val="21"/>
        </w:rPr>
      </w:pPr>
      <w:r>
        <w:rPr>
          <w:rFonts w:hint="eastAsia" w:ascii="宋体" w:hAnsi="宋体" w:eastAsia="宋体" w:cs="宋体"/>
          <w:szCs w:val="21"/>
        </w:rPr>
        <w:t>21.1、开标由采购单位代表主持，主持人按下列程序进行：</w:t>
      </w:r>
    </w:p>
    <w:p w14:paraId="142D0B78">
      <w:pPr>
        <w:spacing w:line="360" w:lineRule="auto"/>
        <w:ind w:firstLine="420" w:firstLineChars="200"/>
        <w:rPr>
          <w:rFonts w:ascii="宋体" w:hAnsi="宋体" w:eastAsia="宋体" w:cs="宋体"/>
          <w:szCs w:val="21"/>
        </w:rPr>
      </w:pPr>
      <w:r>
        <w:rPr>
          <w:rFonts w:hint="eastAsia" w:ascii="宋体" w:hAnsi="宋体" w:eastAsia="宋体" w:cs="宋体"/>
          <w:szCs w:val="21"/>
        </w:rPr>
        <w:t>21.1.1、宣布项目名称、介绍参会人员；</w:t>
      </w:r>
    </w:p>
    <w:p w14:paraId="3643E0F0">
      <w:pPr>
        <w:spacing w:line="360" w:lineRule="auto"/>
        <w:ind w:firstLine="420" w:firstLineChars="200"/>
        <w:rPr>
          <w:rFonts w:ascii="宋体" w:hAnsi="宋体" w:eastAsia="宋体" w:cs="宋体"/>
          <w:szCs w:val="21"/>
        </w:rPr>
      </w:pPr>
      <w:r>
        <w:rPr>
          <w:rFonts w:hint="eastAsia" w:ascii="宋体" w:hAnsi="宋体" w:eastAsia="宋体" w:cs="宋体"/>
          <w:szCs w:val="21"/>
        </w:rPr>
        <w:t>21.1.2、宣布开标纪律；</w:t>
      </w:r>
    </w:p>
    <w:p w14:paraId="5305FB11">
      <w:pPr>
        <w:spacing w:line="360" w:lineRule="auto"/>
        <w:ind w:firstLine="420" w:firstLineChars="200"/>
        <w:rPr>
          <w:rFonts w:ascii="宋体" w:hAnsi="宋体" w:eastAsia="宋体" w:cs="宋体"/>
          <w:szCs w:val="21"/>
        </w:rPr>
      </w:pPr>
      <w:r>
        <w:rPr>
          <w:rFonts w:hint="eastAsia" w:ascii="宋体" w:hAnsi="宋体" w:eastAsia="宋体" w:cs="宋体"/>
          <w:szCs w:val="21"/>
        </w:rPr>
        <w:t>21.1.3、由</w:t>
      </w:r>
      <w:r>
        <w:rPr>
          <w:rFonts w:hint="eastAsia" w:ascii="宋体" w:hAnsi="宋体" w:eastAsia="宋体" w:cs="Times New Roman"/>
          <w:szCs w:val="21"/>
        </w:rPr>
        <w:t>采购人</w:t>
      </w:r>
      <w:r>
        <w:rPr>
          <w:rFonts w:hint="eastAsia" w:ascii="宋体" w:hAnsi="宋体" w:eastAsia="宋体" w:cs="宋体"/>
          <w:szCs w:val="21"/>
        </w:rPr>
        <w:t>代表和监督人员查验参选人相关证件资料并宣布查验结果；</w:t>
      </w:r>
    </w:p>
    <w:p w14:paraId="73721984">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21.1.4、参与现场开标的各参选人互相检查参选文件的密封情况，并确认参选人是否存在异议； </w:t>
      </w:r>
    </w:p>
    <w:p w14:paraId="5280A6E4">
      <w:pPr>
        <w:spacing w:line="360" w:lineRule="auto"/>
        <w:ind w:firstLine="420" w:firstLineChars="200"/>
        <w:rPr>
          <w:rFonts w:ascii="宋体" w:hAnsi="宋体" w:eastAsia="宋体" w:cs="宋体"/>
          <w:szCs w:val="21"/>
        </w:rPr>
      </w:pPr>
      <w:r>
        <w:rPr>
          <w:rFonts w:hint="eastAsia" w:ascii="宋体" w:hAnsi="宋体" w:eastAsia="宋体" w:cs="宋体"/>
          <w:szCs w:val="21"/>
        </w:rPr>
        <w:t>21.1.5、依次当众开标，公布参选人名称、报价及参选报价函其他内容，并记录在案；</w:t>
      </w:r>
    </w:p>
    <w:p w14:paraId="6E4C226E">
      <w:pPr>
        <w:spacing w:line="360" w:lineRule="auto"/>
        <w:ind w:firstLine="420" w:firstLineChars="200"/>
        <w:rPr>
          <w:rFonts w:ascii="宋体" w:hAnsi="宋体" w:eastAsia="宋体" w:cs="宋体"/>
          <w:szCs w:val="21"/>
        </w:rPr>
      </w:pPr>
      <w:r>
        <w:rPr>
          <w:rFonts w:hint="eastAsia" w:ascii="宋体" w:hAnsi="宋体" w:eastAsia="宋体" w:cs="宋体"/>
          <w:szCs w:val="21"/>
        </w:rPr>
        <w:t>21.1.6、</w:t>
      </w:r>
      <w:r>
        <w:rPr>
          <w:rFonts w:hint="eastAsia" w:ascii="宋体" w:hAnsi="宋体" w:eastAsia="宋体" w:cs="Times New Roman"/>
          <w:szCs w:val="21"/>
        </w:rPr>
        <w:t>采购人</w:t>
      </w:r>
      <w:r>
        <w:rPr>
          <w:rFonts w:hint="eastAsia" w:ascii="宋体" w:hAnsi="宋体" w:eastAsia="宋体" w:cs="宋体"/>
          <w:szCs w:val="21"/>
        </w:rPr>
        <w:t>代表、监督人员、记录人等有关人员在开标记录表上签字确认；</w:t>
      </w:r>
    </w:p>
    <w:p w14:paraId="7393A68B">
      <w:pPr>
        <w:spacing w:line="360" w:lineRule="auto"/>
        <w:ind w:firstLine="420" w:firstLineChars="200"/>
        <w:rPr>
          <w:rFonts w:ascii="宋体" w:hAnsi="宋体" w:eastAsia="宋体" w:cs="宋体"/>
          <w:szCs w:val="21"/>
        </w:rPr>
      </w:pPr>
      <w:r>
        <w:rPr>
          <w:rFonts w:hint="eastAsia" w:ascii="宋体" w:hAnsi="宋体" w:eastAsia="宋体" w:cs="宋体"/>
          <w:szCs w:val="21"/>
        </w:rPr>
        <w:t>21.1.7、进入评审阶段；</w:t>
      </w:r>
    </w:p>
    <w:p w14:paraId="601428F5">
      <w:pPr>
        <w:spacing w:line="360" w:lineRule="auto"/>
        <w:ind w:firstLine="420" w:firstLineChars="200"/>
        <w:rPr>
          <w:rFonts w:ascii="宋体" w:hAnsi="宋体" w:eastAsia="宋体" w:cs="宋体"/>
          <w:b/>
          <w:szCs w:val="21"/>
        </w:rPr>
      </w:pPr>
      <w:r>
        <w:rPr>
          <w:rFonts w:hint="eastAsia" w:ascii="宋体" w:hAnsi="宋体" w:eastAsia="宋体" w:cs="宋体"/>
          <w:szCs w:val="21"/>
        </w:rPr>
        <w:t>21.1.8、宣布评审结果。</w:t>
      </w:r>
    </w:p>
    <w:p w14:paraId="3FAF4D8D">
      <w:pPr>
        <w:widowControl/>
        <w:spacing w:line="500" w:lineRule="exact"/>
        <w:ind w:firstLine="420" w:firstLineChars="200"/>
        <w:jc w:val="left"/>
        <w:rPr>
          <w:rFonts w:ascii="宋体" w:hAnsi="宋体" w:eastAsia="宋体" w:cs="Times New Roman"/>
          <w:szCs w:val="21"/>
        </w:rPr>
      </w:pPr>
      <w:r>
        <w:rPr>
          <w:rFonts w:hint="eastAsia" w:ascii="宋体" w:hAnsi="宋体" w:eastAsia="宋体" w:cs="宋体"/>
          <w:szCs w:val="21"/>
        </w:rPr>
        <w:t>21.2、参选</w:t>
      </w:r>
      <w:r>
        <w:rPr>
          <w:rFonts w:hint="eastAsia" w:ascii="宋体" w:hAnsi="宋体" w:eastAsia="宋体" w:cs="Times New Roman"/>
          <w:szCs w:val="21"/>
        </w:rPr>
        <w:t>人必须对其参选文件中所有资料的真实性负责。若发现参选人有弄虚作假行为的，投标无效，由相关管理部门按照比选文件相应条款对其做相应处罚。</w:t>
      </w:r>
    </w:p>
    <w:p w14:paraId="13930FDB">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22、参选文件的有效性</w:t>
      </w:r>
    </w:p>
    <w:p w14:paraId="38B0EA9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 xml:space="preserve">22.1、参选文件有下列情形之一的，将不予受理： </w:t>
      </w:r>
    </w:p>
    <w:p w14:paraId="56FC32B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 xml:space="preserve">（1）逾期送达的或者未送达至指定地点的； </w:t>
      </w:r>
    </w:p>
    <w:p w14:paraId="37105B2C">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（2）未按比选文件要求包装、密封的。</w:t>
      </w:r>
    </w:p>
    <w:p w14:paraId="069A379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22.2、开标过程中发现有下列情况的，由评标委员会评审后，认定为投标无效：</w:t>
      </w:r>
    </w:p>
    <w:p w14:paraId="39262B0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22.2.1、参选人未按要求参加开标会、未按要求出示材料供现场查验或经查验不合格的、参选文件份数少于比选文件要求；</w:t>
      </w:r>
    </w:p>
    <w:p w14:paraId="05556D65">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22.2.2、未按约定格式提供、填写参选文件封面、投标函、报价表、货物内容及质量要求或参选文件封面、投标函、报价表、货物内容及质量要求未加盖参选人公章并经法定代表人或个体工商户经营者或授权委托人签字或加盖印章；</w:t>
      </w:r>
    </w:p>
    <w:p w14:paraId="25A96E2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22.2.3、参选报价高于最高投标限价的；</w:t>
      </w:r>
    </w:p>
    <w:p w14:paraId="3E0715BA">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22.2.4、法律法规及比选文件规定的其他情形。</w:t>
      </w:r>
    </w:p>
    <w:p w14:paraId="23CADA3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22.3、参选人存在下列情形之一，经评标委员会评审后，为参选无效：</w:t>
      </w:r>
    </w:p>
    <w:p w14:paraId="6C7FE42C">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(1)被责令停业且处于有效期内的；</w:t>
      </w:r>
    </w:p>
    <w:p w14:paraId="628FB46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(2)被安庆市行政区域内公共资源交易监管部门限制参选资格且处于有效期内；</w:t>
      </w:r>
    </w:p>
    <w:p w14:paraId="626C5031">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(3)财产被接管或冻结可能影响本项目正常实施的；</w:t>
      </w:r>
    </w:p>
    <w:p w14:paraId="5959644D">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(4)法律法规规定及比选文件约定的其他情形。</w:t>
      </w:r>
    </w:p>
    <w:p w14:paraId="15A895C4">
      <w:pPr>
        <w:widowControl/>
        <w:spacing w:line="500" w:lineRule="exact"/>
        <w:ind w:firstLine="420" w:firstLineChars="200"/>
        <w:jc w:val="left"/>
        <w:rPr>
          <w:rFonts w:ascii="宋体" w:hAnsi="宋体" w:eastAsia="宋体" w:cs="Times New Roman"/>
          <w:szCs w:val="21"/>
        </w:rPr>
      </w:pPr>
    </w:p>
    <w:p w14:paraId="4C46802B">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41" w:name="_Toc4481596"/>
      <w:r>
        <w:rPr>
          <w:rFonts w:hint="eastAsia" w:ascii="Arial" w:hAnsi="Arial" w:eastAsia="宋体" w:cs="Times New Roman"/>
          <w:b/>
          <w:kern w:val="0"/>
          <w:sz w:val="32"/>
        </w:rPr>
        <w:t>（六）评标</w:t>
      </w:r>
      <w:bookmarkEnd w:id="29"/>
      <w:bookmarkEnd w:id="41"/>
    </w:p>
    <w:p w14:paraId="512BC218">
      <w:pPr>
        <w:widowControl/>
        <w:spacing w:line="500" w:lineRule="exact"/>
        <w:ind w:firstLine="422" w:firstLineChars="200"/>
        <w:jc w:val="left"/>
        <w:rPr>
          <w:rFonts w:ascii="宋体" w:hAnsi="宋体" w:eastAsia="宋体" w:cs="Times New Roman"/>
          <w:szCs w:val="21"/>
        </w:rPr>
      </w:pPr>
      <w:r>
        <w:rPr>
          <w:rFonts w:hint="eastAsia" w:ascii="宋体" w:hAnsi="宋体" w:eastAsia="宋体" w:cs="Times New Roman"/>
          <w:b/>
          <w:bCs/>
          <w:szCs w:val="21"/>
        </w:rPr>
        <w:t>23、评标委员会</w:t>
      </w:r>
      <w:r>
        <w:rPr>
          <w:rFonts w:hint="eastAsia" w:ascii="宋体" w:hAnsi="宋体" w:eastAsia="宋体" w:cs="Times New Roman"/>
          <w:szCs w:val="21"/>
        </w:rPr>
        <w:t>（以下简称“评委会”）：评委会依法组建。采购人代表不得担任评委会组长。评标由评委会进行，评委应坚持公正、公平、诚实守信、实事求是、独立评标的原则。</w:t>
      </w:r>
    </w:p>
    <w:p w14:paraId="31DF86F3">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24、评标方法：</w:t>
      </w:r>
      <w:r>
        <w:rPr>
          <w:rFonts w:hint="eastAsia" w:ascii="宋体" w:hAnsi="宋体" w:eastAsia="宋体" w:cs="宋体"/>
          <w:szCs w:val="21"/>
        </w:rPr>
        <w:t>采用最低投标价法。</w:t>
      </w:r>
    </w:p>
    <w:p w14:paraId="14A87E54">
      <w:pPr>
        <w:spacing w:line="360" w:lineRule="auto"/>
        <w:ind w:firstLine="422" w:firstLineChars="200"/>
        <w:jc w:val="left"/>
        <w:rPr>
          <w:rFonts w:ascii="宋体" w:hAnsi="宋体" w:eastAsia="宋体" w:cs="宋体"/>
          <w:b/>
          <w:szCs w:val="21"/>
        </w:rPr>
      </w:pPr>
      <w:r>
        <w:rPr>
          <w:rFonts w:hint="eastAsia" w:ascii="宋体" w:hAnsi="宋体" w:eastAsia="宋体" w:cs="Times New Roman"/>
          <w:b/>
          <w:bCs/>
          <w:szCs w:val="21"/>
        </w:rPr>
        <w:t>25、评标程序</w:t>
      </w:r>
      <w:r>
        <w:rPr>
          <w:rFonts w:hint="eastAsia" w:ascii="宋体" w:hAnsi="宋体" w:eastAsia="宋体" w:cs="Times New Roman"/>
          <w:szCs w:val="21"/>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32BABAA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25.1、参选文件符合性审查，包括但不限于以下内容：</w:t>
      </w:r>
    </w:p>
    <w:p w14:paraId="0CE29B3E">
      <w:pPr>
        <w:spacing w:line="500" w:lineRule="exact"/>
        <w:ind w:firstLine="420" w:firstLineChars="200"/>
        <w:rPr>
          <w:rFonts w:ascii="宋体" w:hAnsi="宋体" w:eastAsia="宋体" w:cs="宋体"/>
          <w:szCs w:val="21"/>
        </w:rPr>
      </w:pPr>
      <w:r>
        <w:rPr>
          <w:rFonts w:hint="eastAsia" w:ascii="宋体" w:hAnsi="宋体" w:eastAsia="宋体" w:cs="Times New Roman"/>
          <w:szCs w:val="21"/>
        </w:rPr>
        <w:t>（</w:t>
      </w:r>
      <w:r>
        <w:rPr>
          <w:rFonts w:hint="eastAsia" w:ascii="宋体" w:hAnsi="宋体" w:eastAsia="宋体" w:cs="宋体"/>
          <w:szCs w:val="21"/>
        </w:rPr>
        <w:t>1）参选人资格是否符合比选文件要求；</w:t>
      </w:r>
    </w:p>
    <w:p w14:paraId="61E22427">
      <w:pPr>
        <w:spacing w:line="500" w:lineRule="exact"/>
        <w:ind w:firstLine="420" w:firstLineChars="200"/>
        <w:rPr>
          <w:rFonts w:ascii="宋体" w:hAnsi="宋体" w:eastAsia="宋体" w:cs="宋体"/>
          <w:szCs w:val="21"/>
        </w:rPr>
      </w:pPr>
      <w:r>
        <w:rPr>
          <w:rFonts w:hint="eastAsia" w:ascii="宋体" w:hAnsi="宋体" w:eastAsia="宋体" w:cs="宋体"/>
          <w:szCs w:val="21"/>
        </w:rPr>
        <w:t>（2）参选文件是否按比选文件的要求进行编制、盖章和标记；</w:t>
      </w:r>
    </w:p>
    <w:p w14:paraId="0AEABF70">
      <w:pPr>
        <w:spacing w:line="500" w:lineRule="exact"/>
        <w:ind w:firstLine="420" w:firstLineChars="200"/>
        <w:rPr>
          <w:rFonts w:ascii="宋体" w:hAnsi="宋体" w:eastAsia="宋体" w:cs="宋体"/>
          <w:szCs w:val="21"/>
        </w:rPr>
      </w:pPr>
      <w:r>
        <w:rPr>
          <w:rFonts w:hint="eastAsia" w:ascii="宋体" w:hAnsi="宋体" w:eastAsia="宋体" w:cs="宋体"/>
          <w:szCs w:val="21"/>
        </w:rPr>
        <w:t>（3）比选文件要求提交的各种资格证明文件是否真实、完整、合法、有效；</w:t>
      </w:r>
    </w:p>
    <w:p w14:paraId="02252B33">
      <w:pPr>
        <w:spacing w:line="500" w:lineRule="exact"/>
        <w:ind w:firstLine="420" w:firstLineChars="200"/>
        <w:rPr>
          <w:rFonts w:ascii="宋体" w:hAnsi="宋体" w:eastAsia="宋体" w:cs="宋体"/>
          <w:szCs w:val="21"/>
        </w:rPr>
      </w:pPr>
      <w:r>
        <w:rPr>
          <w:rFonts w:hint="eastAsia" w:ascii="宋体" w:hAnsi="宋体" w:eastAsia="宋体" w:cs="宋体"/>
          <w:szCs w:val="21"/>
        </w:rPr>
        <w:t>（4）货物内容及质量是否完全响应或优于比选文件要求；</w:t>
      </w:r>
    </w:p>
    <w:p w14:paraId="48501F1C">
      <w:pPr>
        <w:spacing w:line="500" w:lineRule="exact"/>
        <w:ind w:firstLine="420" w:firstLineChars="200"/>
        <w:rPr>
          <w:rFonts w:ascii="宋体" w:hAnsi="宋体" w:eastAsia="宋体" w:cs="宋体"/>
          <w:szCs w:val="21"/>
        </w:rPr>
      </w:pPr>
      <w:r>
        <w:rPr>
          <w:rFonts w:hint="eastAsia" w:ascii="宋体" w:hAnsi="宋体" w:eastAsia="宋体" w:cs="宋体"/>
          <w:szCs w:val="21"/>
        </w:rPr>
        <w:t>（5）参选文件对法律法规和比选文件其他明确要求的符合性；</w:t>
      </w:r>
    </w:p>
    <w:p w14:paraId="12BE2300">
      <w:pPr>
        <w:spacing w:line="500" w:lineRule="exact"/>
        <w:ind w:firstLine="420" w:firstLineChars="200"/>
        <w:rPr>
          <w:rFonts w:ascii="宋体" w:hAnsi="宋体" w:eastAsia="宋体" w:cs="宋体"/>
          <w:szCs w:val="21"/>
        </w:rPr>
      </w:pPr>
      <w:r>
        <w:rPr>
          <w:rFonts w:hint="eastAsia" w:ascii="宋体" w:hAnsi="宋体" w:eastAsia="宋体" w:cs="宋体"/>
          <w:szCs w:val="21"/>
        </w:rPr>
        <w:t>（6）参选文件是否附有采购人不能接受的条件；</w:t>
      </w:r>
    </w:p>
    <w:p w14:paraId="780B5541">
      <w:pPr>
        <w:spacing w:line="500" w:lineRule="exact"/>
        <w:ind w:firstLine="420" w:firstLineChars="200"/>
        <w:rPr>
          <w:rFonts w:ascii="宋体" w:hAnsi="宋体" w:eastAsia="宋体" w:cs="宋体"/>
          <w:szCs w:val="21"/>
        </w:rPr>
      </w:pPr>
      <w:r>
        <w:rPr>
          <w:rFonts w:hint="eastAsia" w:ascii="宋体" w:hAnsi="宋体" w:eastAsia="宋体" w:cs="宋体"/>
          <w:szCs w:val="21"/>
        </w:rPr>
        <w:t>（7）参选文件是否存在比选文件中</w:t>
      </w:r>
      <w:r>
        <w:rPr>
          <w:rFonts w:hint="eastAsia" w:ascii="宋体" w:hAnsi="宋体" w:eastAsia="宋体" w:cs="宋体"/>
          <w:kern w:val="0"/>
          <w:szCs w:val="21"/>
        </w:rPr>
        <w:t>约定</w:t>
      </w:r>
      <w:r>
        <w:rPr>
          <w:rFonts w:hint="eastAsia" w:ascii="宋体" w:hAnsi="宋体" w:eastAsia="宋体" w:cs="宋体"/>
          <w:szCs w:val="21"/>
        </w:rPr>
        <w:t>的无效参选文件的其他情形；</w:t>
      </w:r>
    </w:p>
    <w:p w14:paraId="0C1FF058">
      <w:pPr>
        <w:spacing w:line="500" w:lineRule="exact"/>
        <w:ind w:firstLine="420" w:firstLineChars="200"/>
        <w:rPr>
          <w:rFonts w:ascii="宋体" w:hAnsi="宋体" w:eastAsia="宋体" w:cs="宋体"/>
          <w:szCs w:val="21"/>
        </w:rPr>
      </w:pPr>
      <w:r>
        <w:rPr>
          <w:rFonts w:hint="eastAsia" w:ascii="宋体" w:hAnsi="宋体" w:eastAsia="宋体" w:cs="宋体"/>
          <w:szCs w:val="21"/>
        </w:rPr>
        <w:t>（8）参选文件是否符合比选文件的要求。</w:t>
      </w:r>
    </w:p>
    <w:p w14:paraId="0EFD3BF9">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25.2、</w:t>
      </w:r>
      <w:r>
        <w:rPr>
          <w:rFonts w:hint="eastAsia" w:ascii="宋体" w:hAnsi="宋体" w:eastAsia="宋体" w:cs="宋体"/>
          <w:b/>
          <w:bCs/>
          <w:szCs w:val="21"/>
        </w:rPr>
        <w:t>参选文件所有要求提供复印件或影印件的，若在参选文件中某一页未盖章或漏页，或参选人的报价明显低于其他通过符合性审查参选人的报价，有可能影响货物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04B0817A">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25.3、报价评审：</w:t>
      </w:r>
      <w:r>
        <w:rPr>
          <w:rFonts w:hint="eastAsia" w:ascii="宋体" w:hAnsi="宋体" w:eastAsia="宋体" w:cs="Times New Roman"/>
          <w:b/>
          <w:bCs/>
          <w:szCs w:val="21"/>
        </w:rPr>
        <w:t>参选人报价不得高于最高投标限价，否则为无效报价，即报价评审不通过</w:t>
      </w:r>
      <w:r>
        <w:rPr>
          <w:rFonts w:hint="eastAsia" w:ascii="宋体" w:hAnsi="宋体" w:eastAsia="宋体" w:cs="Times New Roman"/>
          <w:szCs w:val="21"/>
        </w:rPr>
        <w:t>。</w:t>
      </w:r>
    </w:p>
    <w:p w14:paraId="3874E382">
      <w:pPr>
        <w:widowControl/>
        <w:spacing w:line="480" w:lineRule="exact"/>
        <w:ind w:firstLine="420" w:firstLineChars="200"/>
        <w:jc w:val="left"/>
        <w:rPr>
          <w:rFonts w:ascii="宋体" w:hAnsi="宋体" w:eastAsia="宋体" w:cs="Times New Roman"/>
          <w:szCs w:val="21"/>
        </w:rPr>
      </w:pPr>
      <w:r>
        <w:rPr>
          <w:rFonts w:hint="eastAsia" w:ascii="宋体" w:hAnsi="宋体" w:eastAsia="宋体" w:cs="Times New Roman"/>
          <w:szCs w:val="21"/>
        </w:rPr>
        <w:t>25.4、报价中包含单价与总价的，应审核总价金额与按单价汇总金额是否一致。</w:t>
      </w:r>
    </w:p>
    <w:p w14:paraId="1C449936">
      <w:pPr>
        <w:widowControl/>
        <w:spacing w:line="480" w:lineRule="exact"/>
        <w:ind w:firstLine="420" w:firstLineChars="200"/>
        <w:jc w:val="left"/>
        <w:rPr>
          <w:rFonts w:ascii="宋体" w:hAnsi="宋体" w:eastAsia="宋体" w:cs="Times New Roman"/>
          <w:szCs w:val="21"/>
        </w:rPr>
      </w:pPr>
      <w:r>
        <w:rPr>
          <w:rFonts w:hint="eastAsia" w:ascii="宋体" w:hAnsi="宋体" w:eastAsia="宋体" w:cs="Times New Roman"/>
          <w:szCs w:val="21"/>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6BAB40C4">
      <w:pPr>
        <w:widowControl/>
        <w:spacing w:line="500" w:lineRule="exact"/>
        <w:ind w:firstLine="420"/>
        <w:jc w:val="left"/>
        <w:rPr>
          <w:rFonts w:ascii="宋体" w:hAnsi="宋体" w:eastAsia="宋体" w:cs="Times New Roman"/>
          <w:szCs w:val="21"/>
        </w:rPr>
      </w:pPr>
      <w:r>
        <w:rPr>
          <w:rFonts w:hint="eastAsia" w:ascii="宋体" w:hAnsi="宋体" w:eastAsia="宋体" w:cs="Times New Roman"/>
          <w:szCs w:val="21"/>
        </w:rPr>
        <w:t>25.6、失信核查</w:t>
      </w:r>
    </w:p>
    <w:p w14:paraId="4D26B3E1">
      <w:pPr>
        <w:widowControl/>
        <w:spacing w:line="500" w:lineRule="exact"/>
        <w:ind w:firstLine="420"/>
        <w:jc w:val="left"/>
        <w:rPr>
          <w:rFonts w:ascii="宋体" w:hAnsi="宋体" w:eastAsia="宋体" w:cs="Times New Roman"/>
          <w:szCs w:val="21"/>
        </w:rPr>
      </w:pPr>
      <w:r>
        <w:rPr>
          <w:rFonts w:hint="eastAsia" w:ascii="宋体" w:hAnsi="宋体" w:eastAsia="宋体" w:cs="Times New Roman"/>
          <w:szCs w:val="21"/>
        </w:rPr>
        <w:t>评标委员会对推荐为中标候选人的参选人是否被列入“信用中国、中国政府采购网”政府采购严重违法失信名单进行网上核查（网址：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"http://www.creditchina.gov.cn/" </w:instrText>
      </w:r>
      <w:r>
        <w:rPr>
          <w:rFonts w:ascii="Times New Roman" w:hAnsi="Times New Roman" w:eastAsia="宋体" w:cs="Times New Roman"/>
        </w:rPr>
        <w:fldChar w:fldCharType="separate"/>
      </w:r>
      <w:r>
        <w:rPr>
          <w:rStyle w:val="75"/>
          <w:rFonts w:hint="eastAsia" w:ascii="宋体" w:hAnsi="宋体" w:eastAsia="宋体" w:cs="Times New Roman"/>
          <w:color w:val="auto"/>
          <w:szCs w:val="21"/>
        </w:rPr>
        <w:t>http://www.creditchina.gov.cn/</w:t>
      </w:r>
      <w:r>
        <w:rPr>
          <w:rStyle w:val="75"/>
          <w:rFonts w:hint="eastAsia" w:ascii="宋体" w:hAnsi="宋体" w:eastAsia="宋体" w:cs="Times New Roman"/>
          <w:color w:val="auto"/>
          <w:szCs w:val="21"/>
        </w:rPr>
        <w:fldChar w:fldCharType="end"/>
      </w:r>
      <w:r>
        <w:rPr>
          <w:rFonts w:hint="eastAsia" w:ascii="宋体" w:hAnsi="宋体" w:eastAsia="宋体" w:cs="Times New Roman"/>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rPr>
        <w:fldChar w:fldCharType="separate"/>
      </w:r>
      <w:r>
        <w:rPr>
          <w:rStyle w:val="75"/>
          <w:rFonts w:hint="eastAsia" w:ascii="宋体" w:hAnsi="Times New Roman" w:eastAsia="宋体" w:cs="Times New Roman"/>
          <w:color w:val="auto"/>
          <w:szCs w:val="21"/>
        </w:rPr>
        <w:t>http://www.ccgp.gov.cn/）</w:t>
      </w:r>
      <w:r>
        <w:rPr>
          <w:rStyle w:val="75"/>
          <w:rFonts w:hint="eastAsia" w:ascii="宋体" w:hAnsi="Times New Roman" w:eastAsia="宋体" w:cs="Times New Roman"/>
          <w:color w:val="auto"/>
          <w:szCs w:val="21"/>
          <w:u w:val="none"/>
        </w:rPr>
        <w:t>，若核查存在</w:t>
      </w:r>
      <w:r>
        <w:rPr>
          <w:rStyle w:val="75"/>
          <w:rFonts w:hint="eastAsia" w:ascii="宋体" w:hAnsi="宋体" w:eastAsia="宋体" w:cs="Times New Roman"/>
          <w:color w:val="auto"/>
          <w:szCs w:val="21"/>
          <w:u w:val="none"/>
        </w:rPr>
        <w:t>政府采购严重违法</w:t>
      </w:r>
      <w:r>
        <w:rPr>
          <w:rStyle w:val="75"/>
          <w:rFonts w:hint="eastAsia" w:ascii="宋体" w:hAnsi="Times New Roman" w:eastAsia="宋体" w:cs="Times New Roman"/>
          <w:color w:val="auto"/>
          <w:szCs w:val="21"/>
          <w:u w:val="none"/>
        </w:rPr>
        <w:t>失信名单记录的参选人，评标委员会不得将其推荐为中标候选人，依序递补，并再次对递补的参选人进行核查。</w:t>
      </w:r>
      <w:r>
        <w:rPr>
          <w:rStyle w:val="75"/>
          <w:rFonts w:hint="eastAsia" w:ascii="宋体" w:hAnsi="Times New Roman" w:eastAsia="宋体" w:cs="Times New Roman"/>
          <w:color w:val="auto"/>
          <w:szCs w:val="21"/>
          <w:u w:val="none"/>
        </w:rPr>
        <w:fldChar w:fldCharType="end"/>
      </w:r>
    </w:p>
    <w:p w14:paraId="11B2585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25.7、</w:t>
      </w:r>
      <w:r>
        <w:rPr>
          <w:rFonts w:hint="eastAsia" w:ascii="宋体" w:hAnsi="宋体" w:eastAsia="宋体" w:cs="宋体"/>
          <w:szCs w:val="21"/>
        </w:rPr>
        <w:t>确定中标候选人排序：评委会对通过参选文件</w:t>
      </w:r>
      <w:r>
        <w:rPr>
          <w:rFonts w:hint="eastAsia" w:ascii="宋体" w:hAnsi="宋体" w:eastAsia="宋体" w:cs="宋体"/>
          <w:bCs/>
          <w:szCs w:val="24"/>
        </w:rPr>
        <w:t>符合性审查</w:t>
      </w:r>
      <w:r>
        <w:rPr>
          <w:rFonts w:hint="eastAsia" w:ascii="宋体" w:hAnsi="宋体" w:eastAsia="宋体" w:cs="宋体"/>
          <w:szCs w:val="21"/>
        </w:rPr>
        <w:t>、报价评审和失信核查的参选人，根据最低价由低至高的顺序排列，报价最低者为第一中标候选人。若出现两家或两家以上参选人报价最低且相等，</w:t>
      </w:r>
      <w:r>
        <w:rPr>
          <w:rFonts w:hint="eastAsia" w:ascii="宋体" w:hAnsi="宋体" w:eastAsia="宋体" w:cs="Times New Roman"/>
          <w:szCs w:val="21"/>
        </w:rPr>
        <w:t>则由采购人采取现场随机抽取的方式确定中标候选人排序。</w:t>
      </w:r>
    </w:p>
    <w:p w14:paraId="6906D4F9">
      <w:pPr>
        <w:widowControl/>
        <w:spacing w:line="500" w:lineRule="exact"/>
        <w:ind w:firstLine="422" w:firstLineChars="200"/>
        <w:jc w:val="left"/>
        <w:rPr>
          <w:rFonts w:ascii="宋体" w:hAnsi="宋体" w:eastAsia="宋体" w:cs="Times New Roman"/>
          <w:b/>
          <w:bCs/>
          <w:szCs w:val="21"/>
        </w:rPr>
      </w:pPr>
      <w:r>
        <w:rPr>
          <w:rFonts w:hint="eastAsia" w:ascii="宋体" w:hAnsi="宋体" w:eastAsia="宋体" w:cs="Times New Roman"/>
          <w:b/>
          <w:bCs/>
          <w:szCs w:val="21"/>
        </w:rPr>
        <w:t>26、开标评标异常情况处理</w:t>
      </w:r>
    </w:p>
    <w:p w14:paraId="2E75240B">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26.1、在招标采购中，出现下列情况之一的，应予废标，采购单位重新组织采购：</w:t>
      </w:r>
    </w:p>
    <w:p w14:paraId="249FF074">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(1) 提交参选文件的参选人不足3家的；</w:t>
      </w:r>
    </w:p>
    <w:p w14:paraId="507407B7">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(2)出现影响采购公正的违法、违规行为的；</w:t>
      </w:r>
    </w:p>
    <w:p w14:paraId="478BF96D">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(3)参选人的报价均高于最高投标限价的；</w:t>
      </w:r>
    </w:p>
    <w:p w14:paraId="79367865">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(4)因重大变故，采购任务取消的。</w:t>
      </w:r>
    </w:p>
    <w:p w14:paraId="0F5665DA">
      <w:pPr>
        <w:widowControl/>
        <w:spacing w:line="500" w:lineRule="exact"/>
        <w:ind w:firstLine="405"/>
        <w:jc w:val="left"/>
        <w:rPr>
          <w:rFonts w:ascii="宋体" w:hAnsi="宋体" w:eastAsia="宋体" w:cs="Times New Roman"/>
          <w:b/>
          <w:szCs w:val="21"/>
        </w:rPr>
      </w:pPr>
      <w:r>
        <w:rPr>
          <w:rFonts w:hint="eastAsia" w:ascii="宋体" w:hAnsi="宋体" w:eastAsia="宋体" w:cs="Times New Roman"/>
          <w:b/>
          <w:szCs w:val="21"/>
        </w:rPr>
        <w:t>27、评标过程的保密性</w:t>
      </w:r>
    </w:p>
    <w:p w14:paraId="0FF5AD8F">
      <w:pPr>
        <w:widowControl/>
        <w:spacing w:line="500" w:lineRule="exact"/>
        <w:ind w:firstLine="405"/>
        <w:jc w:val="left"/>
        <w:rPr>
          <w:rFonts w:ascii="宋体" w:hAnsi="宋体" w:eastAsia="宋体" w:cs="Times New Roman"/>
          <w:szCs w:val="21"/>
        </w:rPr>
      </w:pPr>
      <w:r>
        <w:rPr>
          <w:rFonts w:hint="eastAsia" w:ascii="宋体" w:hAnsi="宋体" w:eastAsia="宋体" w:cs="Times New Roman"/>
          <w:szCs w:val="21"/>
        </w:rPr>
        <w:t>27.1、</w:t>
      </w:r>
      <w:bookmarkStart w:id="42" w:name="_Toc417655921"/>
      <w:bookmarkStart w:id="43" w:name="_Toc15032"/>
      <w:bookmarkStart w:id="44" w:name="_Toc418517858"/>
      <w:r>
        <w:rPr>
          <w:rFonts w:hint="eastAsia" w:ascii="宋体" w:hAnsi="宋体" w:eastAsia="宋体" w:cs="Times New Roman"/>
          <w:szCs w:val="21"/>
        </w:rPr>
        <w:t>开标后，直到授予中标人合同止，凡是与参选文件审查、澄清、评价、比较以及授标建议等评审方面的情况，均不得向参选人或其他无关的人员透露。</w:t>
      </w:r>
    </w:p>
    <w:p w14:paraId="042698B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27.2、在评标过程中，参选人如向评委会成员施加任何影响，都将会导致其参选文件被拒绝。</w:t>
      </w:r>
    </w:p>
    <w:p w14:paraId="5B1C4D3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27.3、中标人确定后，采购单位不对未中标人就评标过程以及未能中标原因作出任何解释。参选人不得向评委会组成人员或其他有关人员询问评标过程的情况和要求提供材料。</w:t>
      </w:r>
    </w:p>
    <w:p w14:paraId="5A4AFC8E">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27.4、中标通知书</w:t>
      </w:r>
      <w:bookmarkEnd w:id="42"/>
      <w:bookmarkEnd w:id="43"/>
      <w:bookmarkEnd w:id="44"/>
    </w:p>
    <w:p w14:paraId="01066209">
      <w:pPr>
        <w:widowControl/>
        <w:spacing w:line="360" w:lineRule="auto"/>
        <w:ind w:firstLine="420" w:firstLineChars="200"/>
        <w:rPr>
          <w:rFonts w:ascii="宋体" w:hAnsi="宋体" w:eastAsia="宋体" w:cs="宋体"/>
          <w:kern w:val="0"/>
          <w:sz w:val="24"/>
          <w:szCs w:val="24"/>
        </w:rPr>
      </w:pPr>
      <w:r>
        <w:rPr>
          <w:rFonts w:hint="eastAsia" w:ascii="宋体" w:hAnsi="宋体" w:eastAsia="宋体" w:cs="宋体"/>
        </w:rPr>
        <w:t>中标候选人确定后，采购单位将在安庆市交通控股集团有限公司集采平台（http：//jc.zh0556.com/）上公示，参选人如有异议，必须在公示期内向有关部门提出。</w:t>
      </w:r>
    </w:p>
    <w:p w14:paraId="61BF3E51">
      <w:pPr>
        <w:spacing w:line="360" w:lineRule="auto"/>
        <w:ind w:firstLine="420" w:firstLineChars="200"/>
        <w:rPr>
          <w:rFonts w:ascii="Times New Roman" w:hAnsi="宋体" w:eastAsia="宋体" w:cs="宋体"/>
          <w:b/>
          <w:szCs w:val="24"/>
        </w:rPr>
      </w:pPr>
      <w:bookmarkStart w:id="45" w:name="_Toc31095"/>
      <w:bookmarkStart w:id="46" w:name="_Toc10987"/>
      <w:bookmarkStart w:id="47" w:name="_Toc478821422"/>
      <w:bookmarkStart w:id="48" w:name="_Toc10586"/>
      <w:bookmarkStart w:id="49" w:name="_Toc19876"/>
      <w:bookmarkStart w:id="50" w:name="_Toc456882340"/>
      <w:bookmarkStart w:id="51" w:name="_Toc457998294"/>
      <w:bookmarkStart w:id="52" w:name="_Toc433721697"/>
      <w:r>
        <w:rPr>
          <w:rFonts w:ascii="Times New Roman" w:hAnsi="宋体" w:eastAsia="宋体" w:cs="宋体"/>
          <w:szCs w:val="24"/>
        </w:rPr>
        <w:t>公示期满无异议，且未发现中标人在</w:t>
      </w:r>
      <w:r>
        <w:rPr>
          <w:rFonts w:hint="eastAsia" w:ascii="Times New Roman" w:hAnsi="宋体" w:eastAsia="宋体" w:cs="宋体"/>
          <w:szCs w:val="24"/>
        </w:rPr>
        <w:t>比选</w:t>
      </w:r>
      <w:r>
        <w:rPr>
          <w:rFonts w:ascii="Times New Roman" w:hAnsi="宋体" w:eastAsia="宋体" w:cs="宋体"/>
          <w:szCs w:val="24"/>
        </w:rPr>
        <w:t>活动中有违法行为的，</w:t>
      </w:r>
      <w:r>
        <w:rPr>
          <w:rFonts w:hint="eastAsia" w:ascii="Times New Roman" w:hAnsi="宋体" w:eastAsia="宋体" w:cs="宋体"/>
          <w:szCs w:val="24"/>
        </w:rPr>
        <w:t>采购人</w:t>
      </w:r>
      <w:r>
        <w:rPr>
          <w:rFonts w:ascii="Times New Roman" w:hAnsi="宋体" w:eastAsia="宋体" w:cs="宋体"/>
          <w:szCs w:val="24"/>
        </w:rPr>
        <w:t>将向中标人发出中标通知书。</w:t>
      </w:r>
      <w:bookmarkEnd w:id="45"/>
      <w:bookmarkEnd w:id="46"/>
      <w:bookmarkEnd w:id="47"/>
      <w:bookmarkEnd w:id="48"/>
      <w:bookmarkEnd w:id="49"/>
      <w:bookmarkEnd w:id="50"/>
      <w:bookmarkEnd w:id="51"/>
      <w:bookmarkEnd w:id="52"/>
    </w:p>
    <w:p w14:paraId="7B4C192A">
      <w:pPr>
        <w:keepNext/>
        <w:keepLines/>
        <w:autoSpaceDE w:val="0"/>
        <w:autoSpaceDN w:val="0"/>
        <w:adjustRightInd w:val="0"/>
        <w:spacing w:before="120" w:line="360" w:lineRule="auto"/>
        <w:jc w:val="center"/>
        <w:outlineLvl w:val="1"/>
        <w:rPr>
          <w:rFonts w:ascii="Arial" w:hAnsi="Arial" w:eastAsia="宋体" w:cs="Times New Roman"/>
          <w:b/>
          <w:kern w:val="0"/>
          <w:sz w:val="32"/>
        </w:rPr>
      </w:pPr>
      <w:bookmarkStart w:id="53" w:name="_Toc4481597"/>
      <w:r>
        <w:rPr>
          <w:rFonts w:hint="eastAsia" w:ascii="Arial" w:hAnsi="Arial" w:eastAsia="宋体" w:cs="Times New Roman"/>
          <w:b/>
          <w:kern w:val="0"/>
          <w:sz w:val="32"/>
        </w:rPr>
        <w:t>（七）合同授予</w:t>
      </w:r>
      <w:bookmarkEnd w:id="53"/>
    </w:p>
    <w:p w14:paraId="163D52B3">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w:t>
      </w:r>
      <w:bookmarkStart w:id="54" w:name="_Toc418517860"/>
      <w:bookmarkStart w:id="55" w:name="_Toc417655923"/>
      <w:bookmarkStart w:id="56" w:name="_Toc21358"/>
      <w:r>
        <w:rPr>
          <w:rFonts w:hint="eastAsia" w:ascii="宋体" w:hAnsi="宋体" w:eastAsia="宋体" w:cs="Times New Roman"/>
          <w:szCs w:val="21"/>
        </w:rPr>
        <w:t>签订合同</w:t>
      </w:r>
      <w:bookmarkEnd w:id="54"/>
      <w:bookmarkEnd w:id="55"/>
      <w:bookmarkEnd w:id="56"/>
    </w:p>
    <w:p w14:paraId="37482FA2">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28.1.1、中标人的中标价即为合同价款。</w:t>
      </w:r>
    </w:p>
    <w:p w14:paraId="64A07EFF">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28.1.2、中标人在收到中标通知书起30天内，与采购人签订合同。</w:t>
      </w:r>
    </w:p>
    <w:p w14:paraId="1A001FE6">
      <w:pPr>
        <w:widowControl/>
        <w:spacing w:line="500" w:lineRule="exact"/>
        <w:ind w:firstLine="420" w:firstLineChars="200"/>
        <w:jc w:val="left"/>
        <w:rPr>
          <w:rFonts w:ascii="宋体" w:hAnsi="宋体" w:eastAsia="宋体" w:cs="Times New Roman"/>
          <w:szCs w:val="21"/>
        </w:rPr>
      </w:pPr>
      <w:r>
        <w:rPr>
          <w:rFonts w:hint="eastAsia" w:ascii="宋体" w:hAnsi="宋体" w:eastAsia="宋体" w:cs="Times New Roman"/>
          <w:szCs w:val="21"/>
        </w:rPr>
        <w:t>28.1.3、中标人（中标候选人）被取消中标资格的，采购人可以按照评标委员会提出的中标候选人名单排序依次确定其他中标候选人为中标人，或重新组织采购。</w:t>
      </w:r>
    </w:p>
    <w:p w14:paraId="520A05AD">
      <w:pPr>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7D3109BD">
      <w:pPr>
        <w:keepNext/>
        <w:widowControl w:val="0"/>
        <w:numPr>
          <w:ilvl w:val="0"/>
          <w:numId w:val="7"/>
        </w:numPr>
        <w:tabs>
          <w:tab w:val="left" w:pos="1440"/>
          <w:tab w:val="left" w:pos="5670"/>
        </w:tabs>
        <w:spacing w:before="62" w:beforeLines="20" w:after="62" w:afterLines="20" w:line="480" w:lineRule="exact"/>
        <w:ind w:firstLine="0" w:firstLineChars="0"/>
        <w:jc w:val="center"/>
        <w:outlineLvl w:val="0"/>
        <w:rPr>
          <w:rFonts w:ascii="Arial" w:hAnsi="Arial" w:eastAsia="黑体" w:cs="Times New Roman"/>
          <w:b/>
          <w:color w:val="auto"/>
          <w:kern w:val="2"/>
          <w:sz w:val="32"/>
          <w:szCs w:val="32"/>
          <w:highlight w:val="none"/>
          <w:lang w:val="zh-CN" w:eastAsia="zh-CN" w:bidi="ar-SA"/>
        </w:rPr>
      </w:pPr>
      <w:bookmarkStart w:id="57" w:name="_Toc10569"/>
      <w:bookmarkStart w:id="58" w:name="_Toc54941340"/>
      <w:bookmarkStart w:id="59" w:name="_Toc11149"/>
      <w:r>
        <w:rPr>
          <w:rFonts w:hint="eastAsia" w:ascii="Arial" w:hAnsi="Arial" w:eastAsia="黑体" w:cs="Times New Roman"/>
          <w:b/>
          <w:color w:val="auto"/>
          <w:kern w:val="2"/>
          <w:sz w:val="32"/>
          <w:szCs w:val="32"/>
          <w:highlight w:val="none"/>
          <w:lang w:val="en-US" w:eastAsia="zh-CN" w:bidi="ar-SA"/>
        </w:rPr>
        <w:t xml:space="preserve"> 服务需求及</w:t>
      </w:r>
      <w:r>
        <w:rPr>
          <w:rFonts w:hint="eastAsia" w:ascii="Arial" w:hAnsi="Arial" w:eastAsia="黑体" w:cs="Times New Roman"/>
          <w:b/>
          <w:color w:val="auto"/>
          <w:kern w:val="2"/>
          <w:sz w:val="32"/>
          <w:szCs w:val="32"/>
          <w:highlight w:val="none"/>
          <w:lang w:val="zh-CN" w:eastAsia="zh-CN" w:bidi="ar-SA"/>
        </w:rPr>
        <w:t>技术要求（</w:t>
      </w:r>
      <w:r>
        <w:rPr>
          <w:rFonts w:hint="eastAsia" w:ascii="Arial" w:hAnsi="Arial" w:eastAsia="黑体" w:cs="Times New Roman"/>
          <w:b/>
          <w:color w:val="auto"/>
          <w:kern w:val="2"/>
          <w:sz w:val="32"/>
          <w:szCs w:val="32"/>
          <w:highlight w:val="none"/>
          <w:lang w:val="en-US" w:eastAsia="zh-CN" w:bidi="ar-SA"/>
        </w:rPr>
        <w:t>服务期一年</w:t>
      </w:r>
      <w:r>
        <w:rPr>
          <w:rFonts w:hint="eastAsia" w:ascii="Arial" w:hAnsi="Arial" w:eastAsia="黑体" w:cs="Times New Roman"/>
          <w:b/>
          <w:color w:val="auto"/>
          <w:kern w:val="2"/>
          <w:sz w:val="32"/>
          <w:szCs w:val="32"/>
          <w:highlight w:val="none"/>
          <w:lang w:val="zh-CN" w:eastAsia="zh-CN" w:bidi="ar-SA"/>
        </w:rPr>
        <w:t>）</w:t>
      </w:r>
    </w:p>
    <w:p w14:paraId="7270EBB5">
      <w:pPr>
        <w:widowControl/>
        <w:spacing w:line="440" w:lineRule="exact"/>
        <w:jc w:val="left"/>
        <w:rPr>
          <w:rFonts w:hint="default"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一、技术参数</w:t>
      </w:r>
    </w:p>
    <w:p w14:paraId="2E506AED">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000000"/>
          <w:szCs w:val="21"/>
          <w:highlight w:val="none"/>
          <w:lang w:val="en-US" w:eastAsia="zh-CN"/>
        </w:rPr>
        <w:t>1、第三方检测机构需根据建设工程质量检测资质范围对安庆市安峰建筑工业化有限公司所采购的项目原材</w:t>
      </w:r>
      <w:r>
        <w:rPr>
          <w:rFonts w:hint="eastAsia" w:ascii="宋体" w:hAnsi="宋体" w:eastAsia="宋体" w:cs="宋体"/>
          <w:b w:val="0"/>
          <w:bCs w:val="0"/>
          <w:color w:val="auto"/>
          <w:szCs w:val="21"/>
          <w:highlight w:val="none"/>
          <w:lang w:val="en-US" w:eastAsia="zh-CN"/>
        </w:rPr>
        <w:t>料进行全面检测，包括但不限于水泥、粉煤灰和高炉粒化矿渣粉等掺合料、砂石、外加剂膨胀剂等主要原材料。以及与检测原材料配套配合比。</w:t>
      </w:r>
    </w:p>
    <w:p w14:paraId="49604FC9">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2、不定期的生产配合比验证。</w:t>
      </w:r>
    </w:p>
    <w:p w14:paraId="1477FCA2">
      <w:pPr>
        <w:widowControl w:val="0"/>
        <w:spacing w:beforeLines="50" w:after="10"/>
        <w:ind w:left="0" w:leftChars="0" w:firstLine="0" w:firstLineChars="0"/>
        <w:jc w:val="left"/>
        <w:rPr>
          <w:rFonts w:hint="eastAsia" w:ascii="宋体" w:hAnsi="宋体" w:eastAsia="宋体" w:cs="宋体"/>
          <w:b/>
          <w:bCs/>
          <w:color w:val="auto"/>
          <w:kern w:val="2"/>
          <w:sz w:val="20"/>
          <w:szCs w:val="21"/>
          <w:highlight w:val="none"/>
          <w:lang w:val="en-US" w:eastAsia="zh-CN" w:bidi="ar-SA"/>
        </w:rPr>
      </w:pPr>
      <w:r>
        <w:rPr>
          <w:rFonts w:hint="eastAsia" w:ascii="宋体" w:hAnsi="宋体" w:eastAsia="宋体" w:cs="宋体"/>
          <w:b/>
          <w:bCs/>
          <w:color w:val="auto"/>
          <w:kern w:val="2"/>
          <w:sz w:val="20"/>
          <w:szCs w:val="21"/>
          <w:highlight w:val="none"/>
          <w:lang w:val="en-US" w:eastAsia="zh-CN" w:bidi="ar-SA"/>
        </w:rPr>
        <w:t>3、服务期：自合同签订后1年（经招标人考核合格的后，且在服务期内未出现较大事故或较大经济损失的，经双方协商一致后可续签2次，每次1年）。</w:t>
      </w:r>
    </w:p>
    <w:p w14:paraId="1363FCB6">
      <w:pPr>
        <w:widowControl w:val="0"/>
        <w:spacing w:beforeLines="50" w:after="10"/>
        <w:ind w:left="0" w:leftChars="0" w:firstLine="0" w:firstLineChars="0"/>
        <w:jc w:val="left"/>
        <w:rPr>
          <w:rFonts w:hint="default" w:ascii="宋体" w:hAnsi="宋体" w:eastAsia="宋体" w:cs="宋体"/>
          <w:b w:val="0"/>
          <w:bCs w:val="0"/>
          <w:color w:val="auto"/>
          <w:kern w:val="2"/>
          <w:sz w:val="20"/>
          <w:szCs w:val="21"/>
          <w:highlight w:val="none"/>
          <w:lang w:val="en-US" w:eastAsia="zh-CN" w:bidi="ar-SA"/>
        </w:rPr>
      </w:pPr>
      <w:r>
        <w:rPr>
          <w:rFonts w:hint="eastAsia" w:ascii="宋体" w:hAnsi="宋体" w:eastAsia="宋体" w:cs="宋体"/>
          <w:b w:val="0"/>
          <w:bCs w:val="0"/>
          <w:color w:val="auto"/>
          <w:kern w:val="2"/>
          <w:sz w:val="20"/>
          <w:szCs w:val="21"/>
          <w:highlight w:val="none"/>
          <w:lang w:val="en-US" w:eastAsia="zh-CN" w:bidi="ar-SA"/>
        </w:rPr>
        <w:t>4、检测内容见表</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253"/>
        <w:gridCol w:w="7169"/>
      </w:tblGrid>
      <w:tr w14:paraId="07D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64" w:type="pct"/>
            <w:vAlign w:val="top"/>
          </w:tcPr>
          <w:p w14:paraId="710F1913">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序号</w:t>
            </w:r>
          </w:p>
        </w:tc>
        <w:tc>
          <w:tcPr>
            <w:tcW w:w="675" w:type="pct"/>
            <w:vAlign w:val="top"/>
          </w:tcPr>
          <w:p w14:paraId="53B5A470">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检测项目</w:t>
            </w:r>
          </w:p>
        </w:tc>
        <w:tc>
          <w:tcPr>
            <w:tcW w:w="3860" w:type="pct"/>
            <w:vAlign w:val="top"/>
          </w:tcPr>
          <w:p w14:paraId="009042C1">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检测内容</w:t>
            </w:r>
          </w:p>
        </w:tc>
      </w:tr>
      <w:tr w14:paraId="4DC8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64" w:type="pct"/>
            <w:vAlign w:val="top"/>
          </w:tcPr>
          <w:p w14:paraId="15EB6631">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75" w:type="pct"/>
            <w:vAlign w:val="top"/>
          </w:tcPr>
          <w:p w14:paraId="217484D1">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水泥</w:t>
            </w:r>
          </w:p>
        </w:tc>
        <w:tc>
          <w:tcPr>
            <w:tcW w:w="3860" w:type="pct"/>
          </w:tcPr>
          <w:p w14:paraId="45B7AAF7">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比表面积、细度、凝结时间、安定性（雷氏法）、标准稠度用水量、胶砂强度、胶砂流动度、密度、烧失量等</w:t>
            </w:r>
          </w:p>
        </w:tc>
      </w:tr>
      <w:tr w14:paraId="06AA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64" w:type="pct"/>
            <w:vAlign w:val="top"/>
          </w:tcPr>
          <w:p w14:paraId="7A2A1DEB">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75" w:type="pct"/>
            <w:vAlign w:val="top"/>
          </w:tcPr>
          <w:p w14:paraId="18378D58">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粉煤灰</w:t>
            </w:r>
          </w:p>
        </w:tc>
        <w:tc>
          <w:tcPr>
            <w:tcW w:w="3860" w:type="pct"/>
          </w:tcPr>
          <w:p w14:paraId="2D82BBCC">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烧失量、细度、需水量比、活性指数、SO3含量、含水量等</w:t>
            </w:r>
          </w:p>
        </w:tc>
      </w:tr>
      <w:tr w14:paraId="0E7B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64" w:type="pct"/>
            <w:vAlign w:val="top"/>
          </w:tcPr>
          <w:p w14:paraId="2380D872">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5" w:type="pct"/>
            <w:vAlign w:val="top"/>
          </w:tcPr>
          <w:p w14:paraId="3583D935">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矿渣粉</w:t>
            </w:r>
          </w:p>
        </w:tc>
        <w:tc>
          <w:tcPr>
            <w:tcW w:w="3860" w:type="pct"/>
          </w:tcPr>
          <w:p w14:paraId="20A9DB01">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比表面积、活性指数、流动度比、初凝时间比、烧失量、细度、SO3含量、含水量等</w:t>
            </w:r>
          </w:p>
        </w:tc>
      </w:tr>
      <w:tr w14:paraId="5C8F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4" w:type="pct"/>
            <w:vAlign w:val="top"/>
          </w:tcPr>
          <w:p w14:paraId="6F19E661">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75" w:type="pct"/>
            <w:vAlign w:val="top"/>
          </w:tcPr>
          <w:p w14:paraId="4C623C7F">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砂</w:t>
            </w:r>
          </w:p>
        </w:tc>
        <w:tc>
          <w:tcPr>
            <w:tcW w:w="3860" w:type="pct"/>
          </w:tcPr>
          <w:p w14:paraId="2D5AE000">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颗粒级配、含泥量/石粉含量、泥块含量、压碎值（人工砂）、亚甲蓝值、表观密度等</w:t>
            </w:r>
          </w:p>
        </w:tc>
      </w:tr>
      <w:tr w14:paraId="6A44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64" w:type="pct"/>
            <w:vAlign w:val="top"/>
          </w:tcPr>
          <w:p w14:paraId="4A529345">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75" w:type="pct"/>
            <w:vAlign w:val="top"/>
          </w:tcPr>
          <w:p w14:paraId="49DC66B4">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石</w:t>
            </w:r>
          </w:p>
        </w:tc>
        <w:tc>
          <w:tcPr>
            <w:tcW w:w="3860" w:type="pct"/>
          </w:tcPr>
          <w:p w14:paraId="76573FD7">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颗粒级配、表观密度、含泥量、泥块含量、针片状颗粒含量、压碎值等</w:t>
            </w:r>
          </w:p>
        </w:tc>
      </w:tr>
      <w:tr w14:paraId="2C51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64" w:type="pct"/>
            <w:vAlign w:val="top"/>
          </w:tcPr>
          <w:p w14:paraId="7052D598">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675" w:type="pct"/>
            <w:vAlign w:val="top"/>
          </w:tcPr>
          <w:p w14:paraId="05EED126">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外加剂</w:t>
            </w:r>
          </w:p>
        </w:tc>
        <w:tc>
          <w:tcPr>
            <w:tcW w:w="3860" w:type="pct"/>
          </w:tcPr>
          <w:p w14:paraId="3A4FF075">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水泥与减水剂相容性试验、减水率、PH值、密度、含气量、含固量、泌水率比、收缩率比、凝结时间比、抗压强度比等</w:t>
            </w:r>
          </w:p>
        </w:tc>
      </w:tr>
      <w:tr w14:paraId="0541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4" w:type="pct"/>
            <w:vAlign w:val="top"/>
          </w:tcPr>
          <w:p w14:paraId="5AC1A465">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675" w:type="pct"/>
            <w:vAlign w:val="top"/>
          </w:tcPr>
          <w:p w14:paraId="2C3A1DD1">
            <w:pPr>
              <w:widowControl/>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膨胀剂</w:t>
            </w:r>
          </w:p>
        </w:tc>
        <w:tc>
          <w:tcPr>
            <w:tcW w:w="3860" w:type="pct"/>
          </w:tcPr>
          <w:p w14:paraId="0BC9DCEB">
            <w:pPr>
              <w:widowControl/>
              <w:spacing w:line="44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细度、限制膨胀率、凝结时间、抗压强度等</w:t>
            </w:r>
          </w:p>
        </w:tc>
      </w:tr>
      <w:tr w14:paraId="2AF8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5000" w:type="pct"/>
            <w:gridSpan w:val="3"/>
            <w:vAlign w:val="top"/>
          </w:tcPr>
          <w:p w14:paraId="37D4A746">
            <w:pPr>
              <w:widowControl/>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p w14:paraId="5CDB5144">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1.原材料、混凝土检测包括碱含量、碱骨料、氯离子等检测。</w:t>
            </w:r>
          </w:p>
          <w:p w14:paraId="5AF3F99B">
            <w:pPr>
              <w:widowControl/>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2.与检测原材料配套配合比。</w:t>
            </w:r>
          </w:p>
          <w:p w14:paraId="585408BC">
            <w:pPr>
              <w:widowControl/>
              <w:spacing w:line="44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3.不定期的生产配合比验证。</w:t>
            </w:r>
          </w:p>
          <w:p w14:paraId="3ED452A9">
            <w:pPr>
              <w:widowControl/>
              <w:spacing w:line="440" w:lineRule="exact"/>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4.包括但不限于以上内容。</w:t>
            </w:r>
          </w:p>
        </w:tc>
      </w:tr>
    </w:tbl>
    <w:p w14:paraId="4B57BAAF">
      <w:pPr>
        <w:widowControl/>
        <w:spacing w:line="440" w:lineRule="exact"/>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二、检测周期</w:t>
      </w:r>
    </w:p>
    <w:p w14:paraId="6A3EDF5B">
      <w:pPr>
        <w:widowControl/>
        <w:spacing w:line="440" w:lineRule="exact"/>
        <w:jc w:val="left"/>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1、原材料两个月1~2次。</w:t>
      </w:r>
    </w:p>
    <w:p w14:paraId="7CBC5F97">
      <w:pPr>
        <w:widowControl/>
        <w:spacing w:line="440" w:lineRule="exact"/>
        <w:jc w:val="left"/>
        <w:rPr>
          <w:rFonts w:hint="eastAsia" w:ascii="宋体" w:hAnsi="宋体" w:eastAsia="宋体" w:cs="宋体"/>
          <w:b w:val="0"/>
          <w:bCs w:val="0"/>
          <w:color w:val="auto"/>
          <w:szCs w:val="21"/>
          <w:highlight w:val="none"/>
          <w:u w:val="single"/>
          <w:lang w:val="en-US" w:eastAsia="zh-CN"/>
        </w:rPr>
      </w:pPr>
      <w:r>
        <w:rPr>
          <w:rFonts w:hint="eastAsia" w:ascii="宋体" w:hAnsi="宋体" w:eastAsia="宋体" w:cs="宋体"/>
          <w:b w:val="0"/>
          <w:bCs w:val="0"/>
          <w:color w:val="auto"/>
          <w:szCs w:val="21"/>
          <w:highlight w:val="none"/>
          <w:u w:val="single"/>
          <w:lang w:val="en-US" w:eastAsia="zh-CN"/>
        </w:rPr>
        <w:t xml:space="preserve">2、相关配套配合比两个月1~2次。 </w:t>
      </w:r>
    </w:p>
    <w:p w14:paraId="177C3D35">
      <w:pPr>
        <w:widowControl/>
        <w:spacing w:line="440" w:lineRule="exact"/>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3、配套配合比验证根据需要不定期进行。</w:t>
      </w:r>
    </w:p>
    <w:p w14:paraId="3D2C1180">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三、检测方法和标准</w:t>
      </w:r>
    </w:p>
    <w:p w14:paraId="694DEA5C">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检测机构应采用国家和行业规定的标准方法进行检测，确保检测结果的准确性和可靠性。</w:t>
      </w:r>
    </w:p>
    <w:p w14:paraId="2A87FA7B">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取样方法</w:t>
      </w:r>
    </w:p>
    <w:p w14:paraId="16DC0A7C">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1、原材料由安庆市安峰建筑工业化有限公司送检。</w:t>
      </w:r>
    </w:p>
    <w:p w14:paraId="29371E13">
      <w:pPr>
        <w:widowControl/>
        <w:spacing w:line="440" w:lineRule="exact"/>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2、配套配合比验证由第三方检测机构来安庆市安峰建筑工业化有限公司现场取样、成型、拆模后由第三方检测机构标养和试验，出配合比验证报告。</w:t>
      </w:r>
    </w:p>
    <w:p w14:paraId="078F8429">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四、检测报告形式和内容</w:t>
      </w:r>
    </w:p>
    <w:p w14:paraId="23C85F43">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1、检测机构应提供书面形式的检测报告。</w:t>
      </w:r>
    </w:p>
    <w:p w14:paraId="6E952A28">
      <w:pPr>
        <w:widowControl/>
        <w:spacing w:line="440" w:lineRule="exact"/>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2、报告内容应包括检测项目、检测标准、检测结果及结论等，并加盖检测机构公章及试验章。</w:t>
      </w:r>
    </w:p>
    <w:p w14:paraId="5B9378B1">
      <w:pPr>
        <w:widowControl/>
        <w:spacing w:line="440" w:lineRule="exact"/>
        <w:jc w:val="left"/>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3、采购人可根据需要要求检测机构提供其他格式或内容的报告。</w:t>
      </w:r>
    </w:p>
    <w:p w14:paraId="30573F07">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五、检测费用与支付方式</w:t>
      </w:r>
    </w:p>
    <w:p w14:paraId="35D2E1A2">
      <w:pPr>
        <w:widowControl/>
        <w:spacing w:line="44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Cs w:val="21"/>
          <w:highlight w:val="none"/>
          <w:lang w:val="en-US" w:eastAsia="zh-CN"/>
        </w:rPr>
        <w:t>1.采购人以约定检测费用包年的形式支付检测费用，支付方式：</w:t>
      </w:r>
      <w:r>
        <w:rPr>
          <w:rFonts w:hint="eastAsia" w:ascii="宋体" w:hAnsi="宋体" w:eastAsia="宋体" w:cs="宋体"/>
          <w:color w:val="auto"/>
          <w:sz w:val="21"/>
          <w:szCs w:val="21"/>
          <w:highlight w:val="none"/>
          <w:lang w:val="en-US" w:eastAsia="zh-CN"/>
        </w:rPr>
        <w:t>按年付（满一年后一个月之内付清）。采购人结算付款给成交人时</w:t>
      </w:r>
      <w:r>
        <w:rPr>
          <w:rFonts w:hint="eastAsia" w:ascii="宋体" w:hAnsi="宋体" w:eastAsia="宋体" w:cs="宋体"/>
          <w:color w:val="auto"/>
          <w:sz w:val="21"/>
          <w:szCs w:val="21"/>
          <w:highlight w:val="none"/>
          <w:u w:val="none"/>
          <w:lang w:val="en-US" w:eastAsia="zh-CN"/>
        </w:rPr>
        <w:t>银行承兑与电汇同价。</w:t>
      </w:r>
      <w:r>
        <w:rPr>
          <w:rFonts w:hint="eastAsia" w:ascii="宋体" w:hAnsi="宋体" w:eastAsia="宋体" w:cs="宋体"/>
          <w:color w:val="auto"/>
          <w:sz w:val="21"/>
          <w:szCs w:val="21"/>
          <w:highlight w:val="none"/>
          <w:u w:val="none"/>
        </w:rPr>
        <w:t>每次付款前成交人须开具</w:t>
      </w:r>
      <w:r>
        <w:rPr>
          <w:rFonts w:hint="eastAsia" w:ascii="宋体" w:hAnsi="宋体" w:eastAsia="宋体" w:cs="宋体"/>
          <w:color w:val="auto"/>
          <w:sz w:val="21"/>
          <w:szCs w:val="21"/>
          <w:highlight w:val="none"/>
          <w:u w:val="none"/>
          <w:lang w:val="en-US" w:eastAsia="zh-CN"/>
        </w:rPr>
        <w:t>13%</w:t>
      </w:r>
      <w:r>
        <w:rPr>
          <w:rFonts w:hint="eastAsia" w:ascii="宋体" w:hAnsi="宋体" w:eastAsia="宋体" w:cs="宋体"/>
          <w:color w:val="auto"/>
          <w:sz w:val="21"/>
          <w:szCs w:val="21"/>
          <w:highlight w:val="none"/>
          <w:u w:val="none"/>
        </w:rPr>
        <w:t>增值税专用发票</w:t>
      </w:r>
      <w:r>
        <w:rPr>
          <w:rFonts w:hint="eastAsia" w:ascii="宋体" w:hAnsi="宋体" w:eastAsia="宋体" w:cs="宋体"/>
          <w:color w:val="auto"/>
          <w:sz w:val="21"/>
          <w:szCs w:val="21"/>
          <w:highlight w:val="none"/>
          <w:u w:val="none"/>
          <w:lang w:eastAsia="zh-CN"/>
        </w:rPr>
        <w:t>。</w:t>
      </w:r>
    </w:p>
    <w:p w14:paraId="7B74E2B4">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2.如因检测机构原因导致检测结果不准确或延误，其应承担相应的责任和费用。</w:t>
      </w:r>
    </w:p>
    <w:p w14:paraId="05EE2BFD">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六</w:t>
      </w:r>
      <w:r>
        <w:rPr>
          <w:rFonts w:hint="eastAsia" w:ascii="宋体" w:hAnsi="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val="en-US" w:eastAsia="zh-CN"/>
        </w:rPr>
        <w:t>保密条款</w:t>
      </w:r>
    </w:p>
    <w:p w14:paraId="5FB6D51C">
      <w:pPr>
        <w:widowControl/>
        <w:spacing w:line="44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检测机构应对所有涉及商业机密的检测信息进行保密，未经采购人同意，不得泄露给第三方。</w:t>
      </w:r>
    </w:p>
    <w:p w14:paraId="52207FCB">
      <w:pPr>
        <w:widowControl/>
        <w:spacing w:line="440" w:lineRule="exact"/>
        <w:jc w:val="left"/>
        <w:rPr>
          <w:rFonts w:hint="eastAsia" w:ascii="宋体" w:hAnsi="宋体" w:eastAsia="宋体" w:cs="宋体"/>
          <w:b/>
          <w:bCs/>
          <w:color w:val="000000"/>
          <w:szCs w:val="21"/>
          <w:highlight w:val="none"/>
          <w:lang w:val="en-US" w:eastAsia="zh-CN"/>
        </w:rPr>
      </w:pPr>
    </w:p>
    <w:p w14:paraId="30CF5AFC">
      <w:pPr>
        <w:rPr>
          <w:rFonts w:ascii="Arial" w:hAnsi="Arial"/>
          <w:color w:val="000000" w:themeColor="text1"/>
          <w:sz w:val="32"/>
          <w:szCs w:val="32"/>
          <w:highlight w:val="none"/>
          <w14:textFill>
            <w14:solidFill>
              <w14:schemeClr w14:val="tx1"/>
            </w14:solidFill>
          </w14:textFill>
        </w:rPr>
      </w:pPr>
      <w:r>
        <w:rPr>
          <w:rFonts w:hint="eastAsia" w:ascii="Arial" w:hAnsi="Arial"/>
          <w:color w:val="000000" w:themeColor="text1"/>
          <w:sz w:val="32"/>
          <w:szCs w:val="32"/>
          <w:highlight w:val="none"/>
          <w14:textFill>
            <w14:solidFill>
              <w14:schemeClr w14:val="tx1"/>
            </w14:solidFill>
          </w14:textFill>
        </w:rPr>
        <w:br w:type="page"/>
      </w:r>
    </w:p>
    <w:p w14:paraId="1746F5BE">
      <w:pPr>
        <w:pStyle w:val="2"/>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0" w:name="_Toc476584431"/>
      <w:bookmarkStart w:id="61"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7"/>
      <w:bookmarkEnd w:id="58"/>
      <w:bookmarkEnd w:id="59"/>
      <w:bookmarkEnd w:id="60"/>
      <w:bookmarkEnd w:id="61"/>
    </w:p>
    <w:p w14:paraId="53BDCB32">
      <w:pPr>
        <w:tabs>
          <w:tab w:val="left" w:pos="3640"/>
        </w:tabs>
        <w:autoSpaceDE w:val="0"/>
        <w:autoSpaceDN w:val="0"/>
        <w:spacing w:line="360" w:lineRule="auto"/>
        <w:rPr>
          <w:rFonts w:ascii="宋体"/>
          <w:color w:val="000000" w:themeColor="text1"/>
          <w:szCs w:val="21"/>
          <w:highlight w:val="none"/>
          <w:u w:val="single"/>
          <w14:textFill>
            <w14:solidFill>
              <w14:schemeClr w14:val="tx1"/>
            </w14:solidFill>
          </w14:textFill>
        </w:rPr>
      </w:pPr>
      <w:bookmarkStart w:id="62" w:name="_Toc439316880"/>
      <w:bookmarkStart w:id="63" w:name="_Toc54941341"/>
      <w:bookmarkStart w:id="64" w:name="_Toc8981"/>
      <w:bookmarkStart w:id="65" w:name="_Toc25399"/>
      <w:r>
        <w:rPr>
          <w:rFonts w:hint="eastAsia" w:ascii="宋体" w:hAnsi="宋体" w:cs="宋体"/>
          <w:color w:val="000000" w:themeColor="text1"/>
          <w:szCs w:val="21"/>
          <w:highlight w:val="none"/>
          <w14:textFill>
            <w14:solidFill>
              <w14:schemeClr w14:val="tx1"/>
            </w14:solidFill>
          </w14:textFill>
        </w:rPr>
        <w:t>买方（采购人）：</w:t>
      </w:r>
      <w:r>
        <w:rPr>
          <w:rFonts w:hint="eastAsia" w:ascii="宋体" w:hAnsi="宋体" w:cs="宋体"/>
          <w:color w:val="000000" w:themeColor="text1"/>
          <w:szCs w:val="21"/>
          <w:highlight w:val="none"/>
          <w:u w:val="single"/>
          <w14:textFill>
            <w14:solidFill>
              <w14:schemeClr w14:val="tx1"/>
            </w14:solidFill>
          </w14:textFill>
        </w:rPr>
        <w:t xml:space="preserve">                            </w:t>
      </w:r>
    </w:p>
    <w:p w14:paraId="21B6720E">
      <w:pPr>
        <w:tabs>
          <w:tab w:val="left" w:pos="3640"/>
        </w:tabs>
        <w:autoSpaceDE w:val="0"/>
        <w:autoSpaceDN w:val="0"/>
        <w:spacing w:line="360" w:lineRule="auto"/>
        <w:rPr>
          <w:rFonts w:asci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卖方（成交人）：</w:t>
      </w:r>
      <w:r>
        <w:rPr>
          <w:rFonts w:hint="eastAsia" w:ascii="宋体" w:hAnsi="宋体" w:cs="宋体"/>
          <w:color w:val="000000" w:themeColor="text1"/>
          <w:szCs w:val="21"/>
          <w:highlight w:val="none"/>
          <w:u w:val="single"/>
          <w14:textFill>
            <w14:solidFill>
              <w14:schemeClr w14:val="tx1"/>
            </w14:solidFill>
          </w14:textFill>
        </w:rPr>
        <w:t xml:space="preserve">                            </w:t>
      </w:r>
    </w:p>
    <w:p w14:paraId="782738F0">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根据《中华人民共和国民法典》及</w:t>
      </w:r>
      <w:r>
        <w:rPr>
          <w:rFonts w:hint="eastAsia" w:ascii="宋体" w:hAnsi="宋体" w:cs="宋体"/>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的比选文件、参选文件等，买、卖双方经协商一致，签订如下合同条款，并共同遵守。</w:t>
      </w:r>
    </w:p>
    <w:p w14:paraId="121B87F6">
      <w:pPr>
        <w:numPr>
          <w:ilvl w:val="0"/>
          <w:numId w:val="8"/>
        </w:numPr>
        <w:tabs>
          <w:tab w:val="left" w:pos="3640"/>
        </w:tabs>
        <w:autoSpaceDE w:val="0"/>
        <w:autoSpaceDN w:val="0"/>
        <w:spacing w:line="360" w:lineRule="auto"/>
        <w:ind w:firstLine="422" w:firstLineChars="200"/>
        <w:rPr>
          <w:color w:val="000000" w:themeColor="text1"/>
          <w:spacing w:val="8"/>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服务内容：</w:t>
      </w:r>
    </w:p>
    <w:p w14:paraId="03ED5CB8">
      <w:pPr>
        <w:tabs>
          <w:tab w:val="left" w:pos="3640"/>
        </w:tabs>
        <w:autoSpaceDE w:val="0"/>
        <w:autoSpaceDN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二、服务期：</w:t>
      </w:r>
    </w:p>
    <w:p w14:paraId="0FBCE243">
      <w:pPr>
        <w:tabs>
          <w:tab w:val="left" w:pos="3640"/>
        </w:tabs>
        <w:autoSpaceDE w:val="0"/>
        <w:autoSpaceDN w:val="0"/>
        <w:spacing w:line="360" w:lineRule="auto"/>
        <w:ind w:firstLine="422" w:firstLineChars="200"/>
        <w:rPr>
          <w:b/>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w:t>
      </w:r>
      <w:r>
        <w:rPr>
          <w:rFonts w:hint="eastAsia"/>
          <w:b/>
          <w:color w:val="000000" w:themeColor="text1"/>
          <w:highlight w:val="none"/>
          <w14:textFill>
            <w14:solidFill>
              <w14:schemeClr w14:val="tx1"/>
            </w14:solidFill>
          </w14:textFill>
        </w:rPr>
        <w:t>验　　收：</w:t>
      </w:r>
    </w:p>
    <w:p w14:paraId="58F8AF1B">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四、付款方式：</w:t>
      </w:r>
    </w:p>
    <w:p w14:paraId="642BDD37">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五、履约保证金退还：</w:t>
      </w:r>
    </w:p>
    <w:p w14:paraId="52105AB5">
      <w:pPr>
        <w:spacing w:line="360" w:lineRule="auto"/>
        <w:ind w:firstLine="454" w:firstLineChars="200"/>
        <w:rPr>
          <w:rFonts w:ascii="宋体"/>
          <w:b/>
          <w:color w:val="000000" w:themeColor="text1"/>
          <w:szCs w:val="21"/>
          <w:highlight w:val="none"/>
          <w14:textFill>
            <w14:solidFill>
              <w14:schemeClr w14:val="tx1"/>
            </w14:solidFill>
          </w14:textFill>
        </w:rPr>
      </w:pPr>
      <w:r>
        <w:rPr>
          <w:rFonts w:hint="eastAsia" w:ascii="宋体" w:hAnsi="宋体"/>
          <w:b/>
          <w:color w:val="000000" w:themeColor="text1"/>
          <w:spacing w:val="8"/>
          <w:szCs w:val="21"/>
          <w:highlight w:val="none"/>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违约责任</w:t>
      </w:r>
    </w:p>
    <w:p w14:paraId="00D3A387">
      <w:pPr>
        <w:tabs>
          <w:tab w:val="left" w:pos="3640"/>
        </w:tabs>
        <w:autoSpaceDE w:val="0"/>
        <w:autoSpaceDN w:val="0"/>
        <w:spacing w:line="360" w:lineRule="auto"/>
        <w:ind w:firstLine="452" w:firstLineChars="200"/>
        <w:rPr>
          <w:rFonts w:ascii="宋体"/>
          <w:b/>
          <w:color w:val="000000" w:themeColor="text1"/>
          <w:szCs w:val="21"/>
          <w:highlight w:val="none"/>
          <w14:textFill>
            <w14:solidFill>
              <w14:schemeClr w14:val="tx1"/>
            </w14:solidFill>
          </w14:textFill>
        </w:rPr>
      </w:pPr>
      <w:r>
        <w:rPr>
          <w:rFonts w:hint="eastAsia" w:ascii="宋体" w:hAnsi="宋体"/>
          <w:color w:val="000000" w:themeColor="text1"/>
          <w:spacing w:val="8"/>
          <w:szCs w:val="21"/>
          <w:highlight w:val="none"/>
          <w14:textFill>
            <w14:solidFill>
              <w14:schemeClr w14:val="tx1"/>
            </w14:solidFill>
          </w14:textFill>
        </w:rPr>
        <w:t>1、卖方违约的，卖方向买方支合同价款</w:t>
      </w:r>
      <w:r>
        <w:rPr>
          <w:rFonts w:hint="eastAsia" w:ascii="宋体" w:hAnsi="宋体"/>
          <w:color w:val="000000" w:themeColor="text1"/>
          <w:spacing w:val="8"/>
          <w:szCs w:val="21"/>
          <w:highlight w:val="none"/>
          <w:u w:val="single"/>
          <w14:textFill>
            <w14:solidFill>
              <w14:schemeClr w14:val="tx1"/>
            </w14:solidFill>
          </w14:textFill>
        </w:rPr>
        <w:t xml:space="preserve">       </w:t>
      </w:r>
      <w:r>
        <w:rPr>
          <w:rFonts w:hint="eastAsia" w:ascii="宋体" w:hAnsi="宋体"/>
          <w:color w:val="000000" w:themeColor="text1"/>
          <w:spacing w:val="8"/>
          <w:szCs w:val="21"/>
          <w:highlight w:val="none"/>
          <w14:textFill>
            <w14:solidFill>
              <w14:schemeClr w14:val="tx1"/>
            </w14:solidFill>
          </w14:textFill>
        </w:rPr>
        <w:t>％的违约金；</w:t>
      </w:r>
    </w:p>
    <w:p w14:paraId="06AF168C">
      <w:pPr>
        <w:tabs>
          <w:tab w:val="left" w:pos="3640"/>
        </w:tabs>
        <w:autoSpaceDE w:val="0"/>
        <w:autoSpaceDN w:val="0"/>
        <w:spacing w:line="360" w:lineRule="auto"/>
        <w:ind w:firstLine="452" w:firstLineChars="200"/>
        <w:rPr>
          <w:rFonts w:ascii="宋体"/>
          <w:b/>
          <w:color w:val="000000" w:themeColor="text1"/>
          <w:szCs w:val="21"/>
          <w:highlight w:val="none"/>
          <w14:textFill>
            <w14:solidFill>
              <w14:schemeClr w14:val="tx1"/>
            </w14:solidFill>
          </w14:textFill>
        </w:rPr>
      </w:pPr>
      <w:r>
        <w:rPr>
          <w:rFonts w:hint="eastAsia" w:ascii="宋体" w:hAnsi="宋体"/>
          <w:color w:val="000000" w:themeColor="text1"/>
          <w:spacing w:val="8"/>
          <w:szCs w:val="21"/>
          <w:highlight w:val="none"/>
          <w14:textFill>
            <w14:solidFill>
              <w14:schemeClr w14:val="tx1"/>
            </w14:solidFill>
          </w14:textFill>
        </w:rPr>
        <w:t>2、卖方逾期完工，卖方向买方每日偿付合同价款的</w:t>
      </w:r>
      <w:r>
        <w:rPr>
          <w:rFonts w:hint="eastAsia" w:ascii="宋体" w:hAnsi="宋体"/>
          <w:color w:val="000000" w:themeColor="text1"/>
          <w:spacing w:val="8"/>
          <w:szCs w:val="21"/>
          <w:highlight w:val="none"/>
          <w:u w:val="single"/>
          <w14:textFill>
            <w14:solidFill>
              <w14:schemeClr w14:val="tx1"/>
            </w14:solidFill>
          </w14:textFill>
        </w:rPr>
        <w:t xml:space="preserve">             </w:t>
      </w:r>
      <w:r>
        <w:rPr>
          <w:rFonts w:hint="eastAsia" w:ascii="宋体" w:hAnsi="宋体"/>
          <w:color w:val="000000" w:themeColor="text1"/>
          <w:spacing w:val="8"/>
          <w:szCs w:val="21"/>
          <w:highlight w:val="none"/>
          <w14:textFill>
            <w14:solidFill>
              <w14:schemeClr w14:val="tx1"/>
            </w14:solidFill>
          </w14:textFill>
        </w:rPr>
        <w:t>‰的违约金。</w:t>
      </w:r>
    </w:p>
    <w:p w14:paraId="3D464B3E">
      <w:pPr>
        <w:spacing w:line="360" w:lineRule="auto"/>
        <w:ind w:left="-178" w:leftChars="-85" w:firstLine="583" w:firstLineChars="257"/>
        <w:rPr>
          <w:rFonts w:ascii="宋体" w:hAnsi="宋体"/>
          <w:b/>
          <w:color w:val="000000" w:themeColor="text1"/>
          <w:spacing w:val="8"/>
          <w:szCs w:val="21"/>
          <w:highlight w:val="none"/>
          <w14:textFill>
            <w14:solidFill>
              <w14:schemeClr w14:val="tx1"/>
            </w14:solidFill>
          </w14:textFill>
        </w:rPr>
      </w:pPr>
      <w:r>
        <w:rPr>
          <w:rFonts w:hint="eastAsia" w:ascii="宋体" w:hAnsi="宋体"/>
          <w:b/>
          <w:color w:val="000000" w:themeColor="text1"/>
          <w:spacing w:val="8"/>
          <w:szCs w:val="21"/>
          <w:highlight w:val="none"/>
          <w14:textFill>
            <w14:solidFill>
              <w14:schemeClr w14:val="tx1"/>
            </w14:solidFill>
          </w14:textFill>
        </w:rPr>
        <w:t>七、解决合同纠纷方式</w:t>
      </w:r>
    </w:p>
    <w:p w14:paraId="0AC99F01">
      <w:pPr>
        <w:spacing w:line="360" w:lineRule="auto"/>
        <w:ind w:left="-178" w:leftChars="-85" w:firstLine="580" w:firstLineChars="257"/>
        <w:rPr>
          <w:rFonts w:ascii="宋体" w:hAnsi="宋体"/>
          <w:color w:val="000000" w:themeColor="text1"/>
          <w:spacing w:val="8"/>
          <w:szCs w:val="21"/>
          <w:highlight w:val="none"/>
          <w14:textFill>
            <w14:solidFill>
              <w14:schemeClr w14:val="tx1"/>
            </w14:solidFill>
          </w14:textFill>
        </w:rPr>
      </w:pPr>
      <w:r>
        <w:rPr>
          <w:rFonts w:hint="eastAsia" w:ascii="宋体" w:hAnsi="宋体"/>
          <w:color w:val="000000" w:themeColor="text1"/>
          <w:spacing w:val="8"/>
          <w:szCs w:val="21"/>
          <w:highlight w:val="none"/>
          <w14:textFill>
            <w14:solidFill>
              <w14:schemeClr w14:val="tx1"/>
            </w14:solidFill>
          </w14:textFill>
        </w:rPr>
        <w:t>本合同如发生纠纷，买卖双方应当及时协商解决，协商不成时，按以下第（②）项方式处理：①根据《中华人民共和国仲裁法》的规定向 安庆仲裁委员会申请仲裁。②向_</w:t>
      </w:r>
      <w:r>
        <w:rPr>
          <w:rFonts w:hint="eastAsia" w:ascii="宋体" w:hAnsi="宋体"/>
          <w:color w:val="000000" w:themeColor="text1"/>
          <w:spacing w:val="8"/>
          <w:szCs w:val="21"/>
          <w:highlight w:val="none"/>
          <w:u w:val="single"/>
          <w:lang w:val="en-US" w:eastAsia="zh-CN"/>
          <w14:textFill>
            <w14:solidFill>
              <w14:schemeClr w14:val="tx1"/>
            </w14:solidFill>
          </w14:textFill>
        </w:rPr>
        <w:t>合同履行地</w:t>
      </w:r>
      <w:r>
        <w:rPr>
          <w:rFonts w:hint="eastAsia" w:ascii="宋体" w:hAnsi="宋体"/>
          <w:color w:val="000000" w:themeColor="text1"/>
          <w:spacing w:val="8"/>
          <w:szCs w:val="21"/>
          <w:highlight w:val="none"/>
          <w14:textFill>
            <w14:solidFill>
              <w14:schemeClr w14:val="tx1"/>
            </w14:solidFill>
          </w14:textFill>
        </w:rPr>
        <w:t>__人民法院起诉。</w:t>
      </w:r>
    </w:p>
    <w:p w14:paraId="44CA345B">
      <w:pPr>
        <w:spacing w:line="360" w:lineRule="auto"/>
        <w:ind w:left="-178" w:leftChars="-85" w:firstLine="583" w:firstLineChars="257"/>
        <w:rPr>
          <w:rFonts w:ascii="宋体" w:hAnsi="宋体"/>
          <w:b/>
          <w:color w:val="000000" w:themeColor="text1"/>
          <w:spacing w:val="8"/>
          <w:szCs w:val="21"/>
          <w:highlight w:val="none"/>
          <w14:textFill>
            <w14:solidFill>
              <w14:schemeClr w14:val="tx1"/>
            </w14:solidFill>
          </w14:textFill>
        </w:rPr>
      </w:pPr>
      <w:r>
        <w:rPr>
          <w:rFonts w:hint="eastAsia" w:ascii="宋体" w:hAnsi="宋体"/>
          <w:b/>
          <w:color w:val="000000" w:themeColor="text1"/>
          <w:spacing w:val="8"/>
          <w:szCs w:val="21"/>
          <w:highlight w:val="none"/>
          <w14:textFill>
            <w14:solidFill>
              <w14:schemeClr w14:val="tx1"/>
            </w14:solidFill>
          </w14:textFill>
        </w:rPr>
        <w:t>八、</w:t>
      </w:r>
      <w:r>
        <w:rPr>
          <w:rFonts w:hint="eastAsia" w:ascii="宋体" w:hAnsi="宋体" w:cs="宋体"/>
          <w:b/>
          <w:color w:val="000000" w:themeColor="text1"/>
          <w:szCs w:val="21"/>
          <w:highlight w:val="none"/>
          <w14:textFill>
            <w14:solidFill>
              <w14:schemeClr w14:val="tx1"/>
            </w14:solidFill>
          </w14:textFill>
        </w:rPr>
        <w:t>本合同组成及解释先后顺序：</w:t>
      </w:r>
    </w:p>
    <w:p w14:paraId="64BF6BB0">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1、成交通知书；</w:t>
      </w:r>
    </w:p>
    <w:p w14:paraId="0AD1ABAA">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2、比选文件；</w:t>
      </w:r>
    </w:p>
    <w:p w14:paraId="672C683E">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3、本合同文本；</w:t>
      </w:r>
    </w:p>
    <w:p w14:paraId="0E1FC172">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4、成交人的参选文件；　</w:t>
      </w:r>
    </w:p>
    <w:p w14:paraId="0D7B5BD0">
      <w:pPr>
        <w:tabs>
          <w:tab w:val="left" w:pos="3640"/>
        </w:tabs>
        <w:autoSpaceDE w:val="0"/>
        <w:autoSpaceDN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5、其他补充</w:t>
      </w:r>
      <w:r>
        <w:rPr>
          <w:rFonts w:hint="eastAsia" w:ascii="宋体" w:hAnsi="宋体" w:cs="宋体"/>
          <w:color w:val="000000" w:themeColor="text1"/>
          <w:kern w:val="0"/>
          <w:szCs w:val="21"/>
          <w:highlight w:val="none"/>
          <w14:textFill>
            <w14:solidFill>
              <w14:schemeClr w14:val="tx1"/>
            </w14:solidFill>
          </w14:textFill>
        </w:rPr>
        <w:t>约定</w:t>
      </w:r>
      <w:r>
        <w:rPr>
          <w:rFonts w:hint="eastAsia" w:ascii="宋体" w:hAnsi="宋体" w:cs="宋体"/>
          <w:color w:val="000000" w:themeColor="text1"/>
          <w:szCs w:val="21"/>
          <w:highlight w:val="none"/>
          <w14:textFill>
            <w14:solidFill>
              <w14:schemeClr w14:val="tx1"/>
            </w14:solidFill>
          </w14:textFill>
        </w:rPr>
        <w:t>事项。</w:t>
      </w:r>
    </w:p>
    <w:p w14:paraId="0A368E9C">
      <w:pPr>
        <w:spacing w:line="360" w:lineRule="auto"/>
        <w:ind w:firstLine="413" w:firstLineChars="196"/>
        <w:rPr>
          <w:rFonts w:hint="eastAsia" w:ascii="宋体" w:hAnsi="宋体"/>
          <w:color w:val="000000" w:themeColor="text1"/>
          <w:spacing w:val="8"/>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九、其他约定事项：</w:t>
      </w:r>
      <w:r>
        <w:rPr>
          <w:rFonts w:hint="eastAsia" w:ascii="宋体" w:hAnsi="宋体"/>
          <w:color w:val="000000" w:themeColor="text1"/>
          <w:spacing w:val="8"/>
          <w:szCs w:val="21"/>
          <w:highlight w:val="none"/>
          <w:u w:val="single"/>
          <w14:textFill>
            <w14:solidFill>
              <w14:schemeClr w14:val="tx1"/>
            </w14:solidFill>
          </w14:textFill>
        </w:rPr>
        <w:t xml:space="preserve"> 　　　　　　　　　　　  </w:t>
      </w:r>
    </w:p>
    <w:p w14:paraId="2DE4320D">
      <w:pPr>
        <w:spacing w:line="360" w:lineRule="auto"/>
        <w:ind w:firstLine="442" w:firstLineChars="196"/>
        <w:rPr>
          <w:rFonts w:hint="eastAsia" w:ascii="宋体" w:hAnsi="宋体"/>
          <w:color w:val="000000" w:themeColor="text1"/>
          <w:spacing w:val="8"/>
          <w:szCs w:val="21"/>
          <w:highlight w:val="none"/>
          <w:u w:val="single"/>
          <w14:textFill>
            <w14:solidFill>
              <w14:schemeClr w14:val="tx1"/>
            </w14:solidFill>
          </w14:textFill>
        </w:rPr>
      </w:pPr>
    </w:p>
    <w:p w14:paraId="0B0C2E6C">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买  方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卖   方</w:t>
      </w:r>
    </w:p>
    <w:p w14:paraId="2EFC7A28">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采购人（盖章）：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成交人（盖章）：</w:t>
      </w:r>
    </w:p>
    <w:p w14:paraId="52D3075D">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法人代表：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法人代表：</w:t>
      </w:r>
    </w:p>
    <w:p w14:paraId="662FC0A8">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联系人：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联系人：</w:t>
      </w:r>
    </w:p>
    <w:p w14:paraId="08128826">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地址：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地址：</w:t>
      </w:r>
    </w:p>
    <w:p w14:paraId="161F8419">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电话：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电话：</w:t>
      </w:r>
    </w:p>
    <w:p w14:paraId="6284A2F1">
      <w:pPr>
        <w:tabs>
          <w:tab w:val="left" w:pos="3640"/>
        </w:tabs>
        <w:autoSpaceDE w:val="0"/>
        <w:autoSpaceDN w:val="0"/>
        <w:spacing w:line="48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                        年   月    日</w:t>
      </w:r>
    </w:p>
    <w:p w14:paraId="42628AB2">
      <w:pPr>
        <w:tabs>
          <w:tab w:val="left" w:pos="3640"/>
        </w:tabs>
        <w:autoSpaceDE w:val="0"/>
        <w:autoSpaceDN w:val="0"/>
        <w:spacing w:line="480" w:lineRule="auto"/>
        <w:ind w:firstLine="56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注：本合同仅为参考文本，合同签订双方可根据项目的具体要求进行修订</w:t>
      </w:r>
    </w:p>
    <w:p w14:paraId="0BEC5E5F">
      <w:pP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br w:type="page"/>
      </w:r>
    </w:p>
    <w:p w14:paraId="4FE7F68B">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2"/>
      <w:bookmarkEnd w:id="63"/>
      <w:bookmarkEnd w:id="64"/>
      <w:bookmarkEnd w:id="65"/>
      <w:bookmarkStart w:id="66" w:name="_Toc26873"/>
      <w:bookmarkStart w:id="67"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6"/>
      <w:bookmarkEnd w:id="67"/>
    </w:p>
    <w:p w14:paraId="3FC4F664">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50AF13F">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2CAB555">
      <w:pPr>
        <w:spacing w:line="360" w:lineRule="auto"/>
        <w:rPr>
          <w:rFonts w:ascii="宋体" w:hAnsi="宋体"/>
          <w:color w:val="000000" w:themeColor="text1"/>
          <w:sz w:val="24"/>
          <w:highlight w:val="none"/>
          <w14:textFill>
            <w14:solidFill>
              <w14:schemeClr w14:val="tx1"/>
            </w14:solidFill>
          </w14:textFill>
        </w:rPr>
      </w:pPr>
    </w:p>
    <w:p w14:paraId="1355E26A">
      <w:pPr>
        <w:spacing w:line="360" w:lineRule="auto"/>
        <w:rPr>
          <w:rFonts w:ascii="宋体" w:hAnsi="宋体"/>
          <w:color w:val="000000" w:themeColor="text1"/>
          <w:sz w:val="24"/>
          <w:highlight w:val="none"/>
          <w14:textFill>
            <w14:solidFill>
              <w14:schemeClr w14:val="tx1"/>
            </w14:solidFill>
          </w14:textFill>
        </w:rPr>
      </w:pPr>
    </w:p>
    <w:p w14:paraId="4B390E9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7AB1A57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5CDA1339">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0EFBC7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F633AD2">
      <w:pPr>
        <w:pStyle w:val="82"/>
        <w:spacing w:before="156"/>
        <w:ind w:firstLine="350"/>
        <w:rPr>
          <w:color w:val="000000" w:themeColor="text1"/>
          <w:highlight w:val="none"/>
          <w14:textFill>
            <w14:solidFill>
              <w14:schemeClr w14:val="tx1"/>
            </w14:solidFill>
          </w14:textFill>
        </w:rPr>
      </w:pPr>
    </w:p>
    <w:p w14:paraId="300602CA">
      <w:pPr>
        <w:spacing w:line="360" w:lineRule="auto"/>
        <w:rPr>
          <w:rFonts w:ascii="宋体" w:hAnsi="宋体"/>
          <w:color w:val="000000" w:themeColor="text1"/>
          <w:sz w:val="24"/>
          <w:highlight w:val="none"/>
          <w14:textFill>
            <w14:solidFill>
              <w14:schemeClr w14:val="tx1"/>
            </w14:solidFill>
          </w14:textFill>
        </w:rPr>
      </w:pPr>
    </w:p>
    <w:p w14:paraId="029A5BC3">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080C43D9">
      <w:pPr>
        <w:spacing w:line="360" w:lineRule="auto"/>
        <w:rPr>
          <w:rFonts w:ascii="宋体" w:hAnsi="宋体"/>
          <w:b/>
          <w:color w:val="000000" w:themeColor="text1"/>
          <w:sz w:val="30"/>
          <w:szCs w:val="30"/>
          <w:highlight w:val="none"/>
          <w14:textFill>
            <w14:solidFill>
              <w14:schemeClr w14:val="tx1"/>
            </w14:solidFill>
          </w14:textFill>
        </w:rPr>
      </w:pPr>
    </w:p>
    <w:p w14:paraId="1701159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B119D68">
      <w:pPr>
        <w:pStyle w:val="82"/>
        <w:spacing w:before="156"/>
        <w:ind w:firstLine="350"/>
        <w:rPr>
          <w:color w:val="000000" w:themeColor="text1"/>
          <w:highlight w:val="none"/>
          <w14:textFill>
            <w14:solidFill>
              <w14:schemeClr w14:val="tx1"/>
            </w14:solidFill>
          </w14:textFill>
        </w:rPr>
      </w:pPr>
    </w:p>
    <w:p w14:paraId="52B977BC">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B516048">
      <w:pPr>
        <w:spacing w:line="360" w:lineRule="auto"/>
        <w:rPr>
          <w:rFonts w:ascii="仿宋_GB2312" w:eastAsia="仿宋_GB2312"/>
          <w:color w:val="000000" w:themeColor="text1"/>
          <w:sz w:val="30"/>
          <w:szCs w:val="30"/>
          <w:highlight w:val="none"/>
          <w14:textFill>
            <w14:solidFill>
              <w14:schemeClr w14:val="tx1"/>
            </w14:solidFill>
          </w14:textFill>
        </w:rPr>
      </w:pPr>
    </w:p>
    <w:p w14:paraId="0931D905">
      <w:pPr>
        <w:spacing w:line="480" w:lineRule="exact"/>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0F8D4DA2">
      <w:pP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br w:type="page"/>
      </w:r>
    </w:p>
    <w:p w14:paraId="1CA78E27">
      <w:pPr>
        <w:spacing w:line="480" w:lineRule="exact"/>
        <w:jc w:val="center"/>
        <w:rPr>
          <w:rFonts w:hint="eastAsia" w:ascii="宋体" w:hAnsi="宋体"/>
          <w:b/>
          <w:color w:val="000000" w:themeColor="text1"/>
          <w:sz w:val="30"/>
          <w:szCs w:val="30"/>
          <w:highlight w:val="none"/>
          <w14:textFill>
            <w14:solidFill>
              <w14:schemeClr w14:val="tx1"/>
            </w14:solidFill>
          </w14:textFill>
        </w:rPr>
      </w:pPr>
    </w:p>
    <w:p w14:paraId="76338AA4">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w:t>
      </w:r>
    </w:p>
    <w:p w14:paraId="18E997A5">
      <w:pPr>
        <w:numPr>
          <w:ilvl w:val="0"/>
          <w:numId w:val="9"/>
        </w:numPr>
        <w:spacing w:line="480" w:lineRule="auto"/>
        <w:ind w:firstLine="480" w:firstLineChars="200"/>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投标函</w:t>
      </w:r>
    </w:p>
    <w:p w14:paraId="6900ED2B">
      <w:pPr>
        <w:numPr>
          <w:ilvl w:val="0"/>
          <w:numId w:val="9"/>
        </w:numPr>
        <w:spacing w:line="480" w:lineRule="auto"/>
        <w:ind w:left="0" w:leftChars="0"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报价表</w:t>
      </w:r>
    </w:p>
    <w:p w14:paraId="6A15FE59">
      <w:pPr>
        <w:numPr>
          <w:ilvl w:val="0"/>
          <w:numId w:val="9"/>
        </w:numPr>
        <w:spacing w:line="480" w:lineRule="auto"/>
        <w:ind w:left="0" w:leftChars="0"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诚信投标承诺书</w:t>
      </w:r>
    </w:p>
    <w:p w14:paraId="6200B004">
      <w:pPr>
        <w:numPr>
          <w:ilvl w:val="0"/>
          <w:numId w:val="9"/>
        </w:numPr>
        <w:spacing w:line="48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相关证明文件</w:t>
      </w:r>
    </w:p>
    <w:p w14:paraId="207673AA">
      <w:pPr>
        <w:pStyle w:val="82"/>
        <w:spacing w:before="156"/>
        <w:ind w:firstLine="350"/>
        <w:rPr>
          <w:color w:val="000000" w:themeColor="text1"/>
          <w:highlight w:val="none"/>
          <w14:textFill>
            <w14:solidFill>
              <w14:schemeClr w14:val="tx1"/>
            </w14:solidFill>
          </w14:textFill>
        </w:rPr>
      </w:pPr>
    </w:p>
    <w:p w14:paraId="1827C04C">
      <w:pPr>
        <w:spacing w:line="480" w:lineRule="auto"/>
        <w:ind w:firstLine="480" w:firstLineChars="200"/>
        <w:rPr>
          <w:rFonts w:ascii="宋体" w:cs="宋体"/>
          <w:color w:val="000000" w:themeColor="text1"/>
          <w:sz w:val="24"/>
          <w:highlight w:val="none"/>
          <w14:textFill>
            <w14:solidFill>
              <w14:schemeClr w14:val="tx1"/>
            </w14:solidFill>
          </w14:textFill>
        </w:rPr>
      </w:pPr>
    </w:p>
    <w:p w14:paraId="64E62560">
      <w:pPr>
        <w:spacing w:line="360" w:lineRule="auto"/>
        <w:ind w:firstLine="480" w:firstLineChars="200"/>
        <w:rPr>
          <w:rFonts w:ascii="宋体" w:cs="宋体"/>
          <w:color w:val="000000" w:themeColor="text1"/>
          <w:sz w:val="24"/>
          <w:highlight w:val="none"/>
          <w14:textFill>
            <w14:solidFill>
              <w14:schemeClr w14:val="tx1"/>
            </w14:solidFill>
          </w14:textFill>
        </w:rPr>
      </w:pPr>
    </w:p>
    <w:p w14:paraId="151CA395">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1E26CAC3">
      <w:pPr>
        <w:pStyle w:val="4"/>
        <w:jc w:val="center"/>
        <w:rPr>
          <w:color w:val="000000" w:themeColor="text1"/>
          <w:szCs w:val="21"/>
          <w:highlight w:val="none"/>
          <w14:textFill>
            <w14:solidFill>
              <w14:schemeClr w14:val="tx1"/>
            </w14:solidFill>
          </w14:textFill>
        </w:rPr>
      </w:pPr>
      <w:bookmarkStart w:id="68" w:name="_Toc476584433"/>
      <w:bookmarkStart w:id="69" w:name="_Toc54941342"/>
      <w:r>
        <w:rPr>
          <w:rFonts w:hint="eastAsia" w:cs="宋体"/>
          <w:color w:val="000000" w:themeColor="text1"/>
          <w:sz w:val="28"/>
          <w:szCs w:val="28"/>
          <w:highlight w:val="none"/>
          <w14:textFill>
            <w14:solidFill>
              <w14:schemeClr w14:val="tx1"/>
            </w14:solidFill>
          </w14:textFill>
        </w:rPr>
        <w:t>一、</w:t>
      </w:r>
      <w:bookmarkEnd w:id="68"/>
      <w:bookmarkEnd w:id="69"/>
      <w:r>
        <w:rPr>
          <w:rFonts w:hint="eastAsia"/>
          <w:color w:val="000000" w:themeColor="text1"/>
          <w:highlight w:val="none"/>
          <w14:textFill>
            <w14:solidFill>
              <w14:schemeClr w14:val="tx1"/>
            </w14:solidFill>
          </w14:textFill>
        </w:rPr>
        <w:t>投标函</w:t>
      </w:r>
    </w:p>
    <w:p w14:paraId="2833EED9">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（采购人名称）</w:t>
      </w:r>
    </w:p>
    <w:p w14:paraId="2BB2C5C8">
      <w:pPr>
        <w:pStyle w:val="31"/>
        <w:tabs>
          <w:tab w:val="left" w:pos="5580"/>
        </w:tabs>
        <w:spacing w:line="360" w:lineRule="auto"/>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1、根据贵方比选公告，我方决定参加贵方组织的</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eastAsia="zh-CN"/>
          <w14:textFill>
            <w14:solidFill>
              <w14:schemeClr w14:val="tx1"/>
            </w14:solidFill>
          </w14:textFill>
        </w:rPr>
        <w:t>安庆市安峰建筑工业化有限公司试验室第三方检测服务采购</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的比选活动。我方授权</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(姓名和</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职务)代表我方</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（参选人的名称）全权处理本项目投标的有关事宜。</w:t>
      </w:r>
    </w:p>
    <w:p w14:paraId="7C7428C0">
      <w:pPr>
        <w:tabs>
          <w:tab w:val="left" w:pos="5580"/>
        </w:tabs>
        <w:spacing w:line="360" w:lineRule="auto"/>
        <w:ind w:firstLine="420" w:firstLineChars="200"/>
        <w:rPr>
          <w:rFonts w:ascii="宋体" w:hAnsi="宋体" w:eastAsia="宋体" w:cs="Courier New"/>
          <w:szCs w:val="21"/>
        </w:rPr>
      </w:pPr>
      <w:r>
        <w:rPr>
          <w:rFonts w:hint="eastAsia" w:ascii="宋体" w:hAnsi="宋体" w:eastAsia="宋体" w:cs="Courier New"/>
          <w:szCs w:val="21"/>
        </w:rPr>
        <w:t>2、我方充分了解并完全响应比选文件的全部内容，愿意按照比选文件规定的各项要求，向采购人提供所需服务，比选报价为（大写）</w:t>
      </w:r>
      <w:r>
        <w:rPr>
          <w:rFonts w:hint="eastAsia" w:ascii="宋体" w:hAnsi="宋体" w:eastAsia="宋体" w:cs="Courier New"/>
          <w:szCs w:val="21"/>
          <w:u w:val="single"/>
        </w:rPr>
        <w:t>人民币         元</w:t>
      </w:r>
      <w:r>
        <w:rPr>
          <w:rFonts w:hint="eastAsia" w:ascii="宋体" w:hAnsi="宋体" w:eastAsia="宋体" w:cs="Courier New"/>
          <w:szCs w:val="21"/>
        </w:rPr>
        <w:t>；(小写)</w:t>
      </w:r>
      <w:r>
        <w:rPr>
          <w:rFonts w:hint="eastAsia" w:ascii="宋体" w:hAnsi="宋体" w:eastAsia="宋体" w:cs="Courier New"/>
          <w:szCs w:val="21"/>
          <w:u w:val="single"/>
        </w:rPr>
        <w:t xml:space="preserve">      元</w:t>
      </w:r>
      <w:r>
        <w:rPr>
          <w:rFonts w:hint="eastAsia" w:ascii="宋体" w:hAnsi="宋体" w:eastAsia="宋体" w:cs="Courier New"/>
          <w:szCs w:val="21"/>
        </w:rPr>
        <w:t>。</w:t>
      </w:r>
    </w:p>
    <w:p w14:paraId="64FE3DCB">
      <w:pPr>
        <w:tabs>
          <w:tab w:val="left" w:pos="5580"/>
        </w:tabs>
        <w:spacing w:line="360" w:lineRule="auto"/>
        <w:ind w:firstLine="420" w:firstLineChars="200"/>
        <w:rPr>
          <w:rFonts w:ascii="宋体" w:hAnsi="宋体" w:eastAsia="宋体" w:cs="Courier New"/>
          <w:b/>
          <w:bCs/>
          <w:szCs w:val="21"/>
          <w:u w:val="single"/>
        </w:rPr>
      </w:pPr>
      <w:r>
        <w:rPr>
          <w:rFonts w:hint="eastAsia" w:ascii="宋体" w:hAnsi="宋体" w:eastAsia="宋体" w:cs="Courier New"/>
          <w:szCs w:val="21"/>
        </w:rPr>
        <w:t>3、一旦我方成交，我方将严格履行合同规定的责任和义务，保证该项目应达到的时间及质量要求。</w:t>
      </w:r>
    </w:p>
    <w:p w14:paraId="572607DD">
      <w:pPr>
        <w:tabs>
          <w:tab w:val="left" w:pos="5580"/>
        </w:tabs>
        <w:spacing w:line="360" w:lineRule="auto"/>
        <w:ind w:firstLine="417" w:firstLineChars="199"/>
        <w:rPr>
          <w:rFonts w:ascii="宋体" w:hAnsi="宋体" w:eastAsia="宋体" w:cs="Courier New"/>
          <w:szCs w:val="21"/>
        </w:rPr>
      </w:pPr>
      <w:r>
        <w:rPr>
          <w:rFonts w:hint="eastAsia" w:ascii="宋体" w:hAnsi="宋体" w:eastAsia="宋体" w:cs="Courier New"/>
          <w:szCs w:val="21"/>
        </w:rPr>
        <w:t>4、我方保证按照本项目比选文件要求提交参选文件。</w:t>
      </w:r>
    </w:p>
    <w:p w14:paraId="7B8135E6">
      <w:pPr>
        <w:tabs>
          <w:tab w:val="left" w:pos="5580"/>
        </w:tabs>
        <w:spacing w:line="360" w:lineRule="auto"/>
        <w:ind w:firstLine="417" w:firstLineChars="199"/>
        <w:rPr>
          <w:rFonts w:ascii="宋体" w:hAnsi="宋体" w:eastAsia="宋体" w:cs="Courier New"/>
          <w:szCs w:val="21"/>
        </w:rPr>
      </w:pPr>
      <w:r>
        <w:rPr>
          <w:rFonts w:hint="eastAsia" w:ascii="宋体" w:hAnsi="宋体" w:eastAsia="宋体" w:cs="Courier New"/>
          <w:szCs w:val="21"/>
        </w:rPr>
        <w:t>5、</w:t>
      </w:r>
      <w:r>
        <w:rPr>
          <w:rFonts w:hint="eastAsia" w:ascii="宋体" w:hAnsi="宋体" w:eastAsia="宋体" w:cs="Courier New"/>
          <w:b/>
          <w:szCs w:val="21"/>
        </w:rPr>
        <w:t>我方愿意提供贵方可能另外要求的、与比选有关的文件资料，并保证我方已提供和将要提供的文件是真实的、准确的。</w:t>
      </w:r>
    </w:p>
    <w:p w14:paraId="7B4DA79C">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5AE94939">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60EAB8D">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468E5706">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32E6F886">
      <w:pPr>
        <w:pStyle w:val="31"/>
        <w:tabs>
          <w:tab w:val="left" w:pos="5580"/>
        </w:tabs>
        <w:spacing w:line="480" w:lineRule="auto"/>
        <w:ind w:right="360" w:firstLine="3570" w:firstLineChars="17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 </w:t>
      </w:r>
    </w:p>
    <w:p w14:paraId="0F552D30">
      <w:pPr>
        <w:pStyle w:val="31"/>
        <w:tabs>
          <w:tab w:val="left" w:pos="5580"/>
        </w:tabs>
        <w:spacing w:line="480" w:lineRule="auto"/>
        <w:ind w:firstLine="420" w:firstLineChars="20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单位地址：</w:t>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u w:val="single"/>
          <w14:textFill>
            <w14:solidFill>
              <w14:schemeClr w14:val="tx1"/>
            </w14:solidFill>
          </w14:textFill>
        </w:rPr>
        <w:tab/>
      </w:r>
      <w:r>
        <w:rPr>
          <w:rFonts w:hint="eastAsia" w:hAnsi="宋体"/>
          <w:color w:val="000000" w:themeColor="text1"/>
          <w:highlight w:val="none"/>
          <w:u w:val="single"/>
          <w14:textFill>
            <w14:solidFill>
              <w14:schemeClr w14:val="tx1"/>
            </w14:solidFill>
          </w14:textFill>
        </w:rPr>
        <w:tab/>
      </w:r>
    </w:p>
    <w:p w14:paraId="01D776E0">
      <w:pPr>
        <w:pStyle w:val="31"/>
        <w:tabs>
          <w:tab w:val="left" w:pos="5580"/>
        </w:tabs>
        <w:spacing w:line="480" w:lineRule="auto"/>
        <w:ind w:firstLine="3570" w:firstLineChars="1700"/>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5A040919">
      <w:pPr>
        <w:pStyle w:val="31"/>
        <w:tabs>
          <w:tab w:val="left" w:pos="5580"/>
        </w:tabs>
        <w:spacing w:line="480" w:lineRule="auto"/>
        <w:ind w:firstLine="3570" w:firstLineChars="17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29CC73A5">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p w14:paraId="5C74883A">
      <w:pPr>
        <w:spacing w:line="360" w:lineRule="auto"/>
        <w:ind w:firstLine="480" w:firstLineChars="200"/>
        <w:jc w:val="center"/>
        <w:rPr>
          <w:rFonts w:ascii="宋体" w:hAnsi="宋体"/>
          <w:color w:val="000000" w:themeColor="text1"/>
          <w:sz w:val="24"/>
          <w:highlight w:val="none"/>
          <w14:textFill>
            <w14:solidFill>
              <w14:schemeClr w14:val="tx1"/>
            </w14:solidFill>
          </w14:textFill>
        </w:rPr>
      </w:pPr>
    </w:p>
    <w:p w14:paraId="1F4F7A2C">
      <w:pPr>
        <w:pStyle w:val="82"/>
        <w:rPr>
          <w:rFonts w:ascii="宋体" w:hAnsi="宋体"/>
          <w:color w:val="000000" w:themeColor="text1"/>
          <w:sz w:val="24"/>
          <w:highlight w:val="none"/>
          <w14:textFill>
            <w14:solidFill>
              <w14:schemeClr w14:val="tx1"/>
            </w14:solidFill>
          </w14:textFill>
        </w:rPr>
      </w:pPr>
    </w:p>
    <w:p w14:paraId="7B1D5441">
      <w:pPr>
        <w:pStyle w:val="82"/>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p>
    <w:p w14:paraId="0CBBD202">
      <w:pPr>
        <w:pStyle w:val="82"/>
        <w:rPr>
          <w:rFonts w:hint="eastAsia" w:ascii="宋体" w:hAnsi="宋体"/>
          <w:color w:val="000000" w:themeColor="text1"/>
          <w:sz w:val="24"/>
          <w:highlight w:val="none"/>
          <w:lang w:eastAsia="zh-CN"/>
          <w14:textFill>
            <w14:solidFill>
              <w14:schemeClr w14:val="tx1"/>
            </w14:solidFill>
          </w14:textFill>
        </w:rPr>
      </w:pPr>
    </w:p>
    <w:p w14:paraId="7A7AE6DB">
      <w:pPr>
        <w:pStyle w:val="82"/>
        <w:rPr>
          <w:rFonts w:hint="eastAsia" w:ascii="宋体" w:hAnsi="宋体"/>
          <w:color w:val="000000" w:themeColor="text1"/>
          <w:sz w:val="24"/>
          <w:highlight w:val="none"/>
          <w:lang w:eastAsia="zh-CN"/>
          <w14:textFill>
            <w14:solidFill>
              <w14:schemeClr w14:val="tx1"/>
            </w14:solidFill>
          </w14:textFill>
        </w:rPr>
      </w:pPr>
    </w:p>
    <w:p w14:paraId="2865BD80">
      <w:pPr>
        <w:pStyle w:val="82"/>
        <w:rPr>
          <w:rFonts w:hint="eastAsia" w:ascii="宋体" w:hAnsi="宋体"/>
          <w:color w:val="000000" w:themeColor="text1"/>
          <w:sz w:val="24"/>
          <w:highlight w:val="none"/>
          <w:lang w:eastAsia="zh-CN"/>
          <w14:textFill>
            <w14:solidFill>
              <w14:schemeClr w14:val="tx1"/>
            </w14:solidFill>
          </w14:textFill>
        </w:rPr>
      </w:pPr>
    </w:p>
    <w:p w14:paraId="233AD92D">
      <w:pPr>
        <w:pStyle w:val="82"/>
        <w:rPr>
          <w:rFonts w:hint="eastAsia" w:ascii="宋体" w:hAnsi="宋体"/>
          <w:color w:val="000000" w:themeColor="text1"/>
          <w:sz w:val="24"/>
          <w:highlight w:val="none"/>
          <w:lang w:eastAsia="zh-CN"/>
          <w14:textFill>
            <w14:solidFill>
              <w14:schemeClr w14:val="tx1"/>
            </w14:solidFill>
          </w14:textFill>
        </w:rPr>
      </w:pPr>
    </w:p>
    <w:p w14:paraId="373EEAEA">
      <w:pPr>
        <w:pStyle w:val="82"/>
        <w:rPr>
          <w:rFonts w:hint="eastAsia" w:ascii="宋体" w:hAnsi="宋体"/>
          <w:color w:val="000000" w:themeColor="text1"/>
          <w:sz w:val="24"/>
          <w:highlight w:val="none"/>
          <w:lang w:eastAsia="zh-CN"/>
          <w14:textFill>
            <w14:solidFill>
              <w14:schemeClr w14:val="tx1"/>
            </w14:solidFill>
          </w14:textFill>
        </w:rPr>
      </w:pPr>
    </w:p>
    <w:p w14:paraId="326E68E3">
      <w:pPr>
        <w:spacing w:line="360" w:lineRule="auto"/>
        <w:jc w:val="center"/>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报价表</w:t>
      </w:r>
    </w:p>
    <w:p w14:paraId="4AB1730A">
      <w:pPr>
        <w:pStyle w:val="83"/>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AQJK-CG-2025-005</w:t>
      </w:r>
    </w:p>
    <w:p w14:paraId="17CA8880">
      <w:pPr>
        <w:pStyle w:val="83"/>
        <w:rPr>
          <w:rFonts w:hint="eastAsia" w:asciiTheme="minorEastAsia" w:hAnsiTheme="minorEastAsia" w:eastAsia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r>
        <w:rPr>
          <w:rFonts w:hint="eastAsia" w:asciiTheme="minorEastAsia" w:hAnsiTheme="minorEastAsia" w:eastAsiaTheme="minorEastAsia"/>
          <w:b/>
          <w:color w:val="000000" w:themeColor="text1"/>
          <w:sz w:val="24"/>
          <w:highlight w:val="none"/>
          <w:lang w:eastAsia="zh-CN"/>
          <w14:textFill>
            <w14:solidFill>
              <w14:schemeClr w14:val="tx1"/>
            </w14:solidFill>
          </w14:textFill>
        </w:rPr>
        <w:t>安庆市安峰建筑工业化有限公司试验室第三方检测服务采购</w:t>
      </w:r>
    </w:p>
    <w:tbl>
      <w:tblPr>
        <w:tblStyle w:val="6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775"/>
      </w:tblGrid>
      <w:tr w14:paraId="5573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511" w:type="dxa"/>
            <w:tcBorders>
              <w:top w:val="single" w:color="auto" w:sz="4" w:space="0"/>
              <w:bottom w:val="single" w:color="auto" w:sz="4" w:space="0"/>
              <w:right w:val="single" w:color="auto" w:sz="4" w:space="0"/>
            </w:tcBorders>
            <w:vAlign w:val="center"/>
          </w:tcPr>
          <w:p w14:paraId="292F1AA4">
            <w:pPr>
              <w:spacing w:line="360" w:lineRule="exact"/>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tc>
        <w:tc>
          <w:tcPr>
            <w:tcW w:w="6775" w:type="dxa"/>
            <w:tcBorders>
              <w:top w:val="single" w:color="auto" w:sz="4" w:space="0"/>
              <w:bottom w:val="single" w:color="auto" w:sz="4" w:space="0"/>
              <w:right w:val="single" w:color="auto" w:sz="4" w:space="0"/>
            </w:tcBorders>
            <w:vAlign w:val="center"/>
          </w:tcPr>
          <w:p w14:paraId="2FB8365C">
            <w:pPr>
              <w:spacing w:line="360" w:lineRule="auto"/>
              <w:ind w:right="-670" w:firstLine="4080" w:firstLineChars="17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元</w:t>
            </w:r>
          </w:p>
        </w:tc>
      </w:tr>
      <w:tr w14:paraId="794D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2511" w:type="dxa"/>
            <w:tcBorders>
              <w:top w:val="nil"/>
            </w:tcBorders>
            <w:vAlign w:val="center"/>
          </w:tcPr>
          <w:p w14:paraId="7EDE2C2A">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其他</w:t>
            </w:r>
          </w:p>
        </w:tc>
        <w:tc>
          <w:tcPr>
            <w:tcW w:w="6775" w:type="dxa"/>
            <w:tcBorders>
              <w:top w:val="nil"/>
            </w:tcBorders>
            <w:vAlign w:val="center"/>
          </w:tcPr>
          <w:p w14:paraId="375E0D11">
            <w:pPr>
              <w:spacing w:line="360" w:lineRule="auto"/>
              <w:jc w:val="left"/>
              <w:rPr>
                <w:rFonts w:asciiTheme="minorEastAsia" w:hAnsiTheme="minorEastAsia" w:eastAsiaTheme="minorEastAsia"/>
                <w:color w:val="000000" w:themeColor="text1"/>
                <w:sz w:val="24"/>
                <w:szCs w:val="28"/>
                <w:highlight w:val="none"/>
                <w14:textFill>
                  <w14:solidFill>
                    <w14:schemeClr w14:val="tx1"/>
                  </w14:solidFill>
                </w14:textFill>
              </w:rPr>
            </w:pPr>
          </w:p>
        </w:tc>
      </w:tr>
    </w:tbl>
    <w:p w14:paraId="3C528856">
      <w:pPr>
        <w:spacing w:line="360" w:lineRule="auto"/>
        <w:ind w:firstLine="480"/>
        <w:rPr>
          <w:rFonts w:ascii="宋体" w:hAnsi="Times New Roman" w:eastAsia="宋体" w:cs="Times New Roman"/>
          <w:b/>
          <w:sz w:val="24"/>
          <w:szCs w:val="24"/>
        </w:rPr>
      </w:pPr>
      <w:r>
        <w:rPr>
          <w:rFonts w:hint="eastAsia" w:ascii="宋体" w:hAnsi="宋体" w:eastAsia="宋体" w:cs="Times New Roman"/>
          <w:b/>
          <w:sz w:val="24"/>
          <w:szCs w:val="24"/>
        </w:rPr>
        <w:t>（此表须法定代表人签字或盖章，并加盖供应商公章）</w:t>
      </w:r>
    </w:p>
    <w:p w14:paraId="35330420">
      <w:pPr>
        <w:pStyle w:val="31"/>
        <w:tabs>
          <w:tab w:val="left" w:pos="5580"/>
        </w:tabs>
        <w:spacing w:line="360" w:lineRule="auto"/>
        <w:ind w:right="360" w:firstLine="3570" w:firstLineChars="1700"/>
        <w:rPr>
          <w:rFonts w:hAnsi="宋体"/>
          <w:color w:val="000000" w:themeColor="text1"/>
          <w:szCs w:val="21"/>
          <w:highlight w:val="none"/>
          <w14:textFill>
            <w14:solidFill>
              <w14:schemeClr w14:val="tx1"/>
            </w14:solidFill>
          </w14:textFill>
        </w:rPr>
      </w:pPr>
    </w:p>
    <w:p w14:paraId="59340FBF">
      <w:pPr>
        <w:spacing w:line="360" w:lineRule="auto"/>
        <w:ind w:firstLine="4725" w:firstLineChars="2250"/>
        <w:rPr>
          <w:rFonts w:ascii="宋体" w:hAnsi="Times New Roman" w:eastAsia="宋体" w:cs="Times New Roman"/>
          <w:szCs w:val="21"/>
        </w:rPr>
      </w:pPr>
      <w:r>
        <w:rPr>
          <w:rFonts w:hint="eastAsia" w:ascii="宋体" w:hAnsi="宋体" w:eastAsia="宋体" w:cs="Times New Roman"/>
          <w:szCs w:val="21"/>
        </w:rPr>
        <w:t>参选人：（盖章）</w:t>
      </w:r>
    </w:p>
    <w:p w14:paraId="48B01183">
      <w:pPr>
        <w:wordWrap w:val="0"/>
        <w:spacing w:line="360" w:lineRule="auto"/>
        <w:ind w:firstLine="3561" w:firstLineChars="1696"/>
        <w:jc w:val="right"/>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 xml:space="preserve"> </w:t>
      </w:r>
    </w:p>
    <w:p w14:paraId="01A2011C">
      <w:pPr>
        <w:wordWrap w:val="0"/>
        <w:spacing w:line="360" w:lineRule="auto"/>
        <w:ind w:firstLine="3465" w:firstLineChars="1650"/>
        <w:jc w:val="right"/>
        <w:rPr>
          <w:rFonts w:ascii="宋体" w:hAnsi="Times New Roman" w:eastAsia="宋体" w:cs="Times New Roman"/>
          <w:szCs w:val="21"/>
        </w:rPr>
      </w:pPr>
      <w:r>
        <w:rPr>
          <w:rFonts w:hint="eastAsia" w:ascii="Times New Roman" w:hAnsi="宋体" w:eastAsia="宋体" w:cs="宋体"/>
          <w:color w:val="000000" w:themeColor="text1"/>
          <w14:textFill>
            <w14:solidFill>
              <w14:schemeClr w14:val="tx1"/>
            </w14:solidFill>
          </w14:textFill>
        </w:rPr>
        <w:t>法定代表人或委托代理人</w:t>
      </w:r>
      <w:r>
        <w:rPr>
          <w:rFonts w:hint="eastAsia" w:ascii="宋体" w:hAnsi="宋体" w:eastAsia="宋体" w:cs="Times New Roman"/>
          <w:szCs w:val="21"/>
        </w:rPr>
        <w:t>：</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（签字或签章）</w:t>
      </w:r>
    </w:p>
    <w:p w14:paraId="13C5B54C">
      <w:pPr>
        <w:spacing w:line="360" w:lineRule="auto"/>
        <w:ind w:firstLine="3570" w:firstLineChars="1700"/>
        <w:jc w:val="right"/>
        <w:rPr>
          <w:rFonts w:ascii="宋体" w:hAnsi="Times New Roman" w:eastAsia="宋体" w:cs="Times New Roman"/>
          <w:szCs w:val="21"/>
        </w:rPr>
      </w:pPr>
    </w:p>
    <w:p w14:paraId="5C60B9FD">
      <w:pPr>
        <w:spacing w:line="360" w:lineRule="auto"/>
        <w:ind w:firstLine="4725" w:firstLineChars="2250"/>
        <w:rPr>
          <w:rFonts w:ascii="Times New Roman" w:hAnsi="宋体" w:eastAsia="宋体" w:cs="宋体"/>
          <w:color w:val="000000" w:themeColor="text1"/>
          <w14:textFill>
            <w14:solidFill>
              <w14:schemeClr w14:val="tx1"/>
            </w14:solidFill>
          </w14:textFill>
        </w:rPr>
      </w:pPr>
      <w:r>
        <w:rPr>
          <w:rFonts w:hint="eastAsia" w:ascii="Times New Roman" w:hAnsi="宋体" w:eastAsia="宋体" w:cs="宋体"/>
          <w:color w:val="000000" w:themeColor="text1"/>
          <w14:textFill>
            <w14:solidFill>
              <w14:schemeClr w14:val="tx1"/>
            </w14:solidFill>
          </w14:textFill>
        </w:rPr>
        <w:t>日期：</w:t>
      </w:r>
      <w:r>
        <w:rPr>
          <w:rFonts w:hint="eastAsia" w:ascii="Times New Roman" w:hAnsi="宋体" w:eastAsia="宋体" w:cs="宋体"/>
          <w:color w:val="000000" w:themeColor="text1"/>
          <w:lang w:val="en-US" w:eastAsia="zh-CN"/>
          <w14:textFill>
            <w14:solidFill>
              <w14:schemeClr w14:val="tx1"/>
            </w14:solidFill>
          </w14:textFill>
        </w:rPr>
        <w:t xml:space="preserve">       </w:t>
      </w:r>
      <w:r>
        <w:rPr>
          <w:rFonts w:hint="eastAsia" w:ascii="Times New Roman" w:hAnsi="宋体" w:eastAsia="宋体" w:cs="宋体"/>
          <w:color w:val="000000" w:themeColor="text1"/>
          <w14:textFill>
            <w14:solidFill>
              <w14:schemeClr w14:val="tx1"/>
            </w14:solidFill>
          </w14:textFill>
        </w:rPr>
        <w:t>年</w:t>
      </w:r>
      <w:r>
        <w:rPr>
          <w:rFonts w:hint="eastAsia" w:ascii="Times New Roman" w:hAnsi="宋体" w:eastAsia="宋体" w:cs="宋体"/>
          <w:color w:val="000000" w:themeColor="text1"/>
          <w:lang w:val="en-US" w:eastAsia="zh-CN"/>
          <w14:textFill>
            <w14:solidFill>
              <w14:schemeClr w14:val="tx1"/>
            </w14:solidFill>
          </w14:textFill>
        </w:rPr>
        <w:t xml:space="preserve">        </w:t>
      </w:r>
      <w:r>
        <w:rPr>
          <w:rFonts w:hint="eastAsia" w:ascii="Times New Roman" w:hAnsi="宋体" w:eastAsia="宋体" w:cs="宋体"/>
          <w:color w:val="000000" w:themeColor="text1"/>
          <w14:textFill>
            <w14:solidFill>
              <w14:schemeClr w14:val="tx1"/>
            </w14:solidFill>
          </w14:textFill>
        </w:rPr>
        <w:t>月</w:t>
      </w:r>
      <w:r>
        <w:rPr>
          <w:rFonts w:hint="eastAsia" w:ascii="Times New Roman" w:hAnsi="宋体" w:eastAsia="宋体" w:cs="宋体"/>
          <w:color w:val="000000" w:themeColor="text1"/>
          <w:lang w:val="en-US" w:eastAsia="zh-CN"/>
          <w14:textFill>
            <w14:solidFill>
              <w14:schemeClr w14:val="tx1"/>
            </w14:solidFill>
          </w14:textFill>
        </w:rPr>
        <w:t xml:space="preserve">        </w:t>
      </w:r>
      <w:r>
        <w:rPr>
          <w:rFonts w:hint="eastAsia" w:ascii="Times New Roman" w:hAnsi="宋体" w:eastAsia="宋体" w:cs="宋体"/>
          <w:color w:val="000000" w:themeColor="text1"/>
          <w14:textFill>
            <w14:solidFill>
              <w14:schemeClr w14:val="tx1"/>
            </w14:solidFill>
          </w14:textFill>
        </w:rPr>
        <w:t>日</w:t>
      </w:r>
    </w:p>
    <w:p w14:paraId="322FB002">
      <w:pPr>
        <w:rPr>
          <w:rFonts w:hint="eastAsia" w:asciiTheme="minorEastAsia" w:hAnsiTheme="minorEastAsia" w:eastAsiaTheme="minorEastAsia"/>
          <w:color w:val="000000" w:themeColor="text1"/>
          <w:sz w:val="24"/>
          <w:highlight w:val="none"/>
          <w:u w:val="single"/>
          <w14:textFill>
            <w14:solidFill>
              <w14:schemeClr w14:val="tx1"/>
            </w14:solidFill>
          </w14:textFill>
        </w:rPr>
      </w:pPr>
    </w:p>
    <w:p w14:paraId="34DF6C7F">
      <w:pPr>
        <w:pStyle w:val="4"/>
        <w:rPr>
          <w:rFonts w:hint="eastAsia" w:asciiTheme="minorEastAsia" w:hAnsiTheme="minorEastAsia" w:eastAsiaTheme="minorEastAsia"/>
          <w:color w:val="000000" w:themeColor="text1"/>
          <w:sz w:val="24"/>
          <w:highlight w:val="none"/>
          <w:u w:val="single"/>
          <w14:textFill>
            <w14:solidFill>
              <w14:schemeClr w14:val="tx1"/>
            </w14:solidFill>
          </w14:textFill>
        </w:rPr>
      </w:pPr>
    </w:p>
    <w:p w14:paraId="47C3489D">
      <w:pPr>
        <w:rPr>
          <w:rFonts w:hint="eastAsia" w:asciiTheme="minorEastAsia" w:hAnsiTheme="minorEastAsia" w:eastAsiaTheme="minorEastAsia"/>
          <w:color w:val="000000" w:themeColor="text1"/>
          <w:sz w:val="24"/>
          <w:highlight w:val="none"/>
          <w:u w:val="single"/>
          <w14:textFill>
            <w14:solidFill>
              <w14:schemeClr w14:val="tx1"/>
            </w14:solidFill>
          </w14:textFill>
        </w:rPr>
      </w:pPr>
    </w:p>
    <w:p w14:paraId="6A44165B">
      <w:pPr>
        <w:spacing w:line="360" w:lineRule="auto"/>
        <w:ind w:firstLine="435"/>
        <w:rPr>
          <w:rFonts w:hint="eastAsia"/>
          <w:color w:val="000000" w:themeColor="text1"/>
          <w:highlight w:val="none"/>
          <w14:textFill>
            <w14:solidFill>
              <w14:schemeClr w14:val="tx1"/>
            </w14:solidFill>
          </w14:textFill>
        </w:rPr>
        <w:sectPr>
          <w:headerReference r:id="rId9" w:type="default"/>
          <w:footerReference r:id="rId10" w:type="default"/>
          <w:pgSz w:w="11906" w:h="16838"/>
          <w:pgMar w:top="1418" w:right="1418" w:bottom="1276" w:left="1418" w:header="680" w:footer="680" w:gutter="0"/>
          <w:pgNumType w:fmt="decimal" w:start="1"/>
          <w:cols w:space="720" w:num="1"/>
          <w:docGrid w:type="lines" w:linePitch="312" w:charSpace="0"/>
        </w:sectPr>
      </w:pPr>
    </w:p>
    <w:p w14:paraId="1A3C7987">
      <w:pPr>
        <w:keepNext/>
        <w:keepLines/>
        <w:wordWrap w:val="0"/>
        <w:autoSpaceDE w:val="0"/>
        <w:autoSpaceDN w:val="0"/>
        <w:adjustRightInd w:val="0"/>
        <w:spacing w:line="440" w:lineRule="exact"/>
        <w:jc w:val="center"/>
        <w:outlineLvl w:val="2"/>
        <w:rPr>
          <w:rFonts w:ascii="宋体" w:hAnsi="Times New Roman" w:eastAsia="宋体" w:cs="宋体"/>
          <w:b/>
          <w:kern w:val="0"/>
          <w:sz w:val="28"/>
          <w:szCs w:val="28"/>
          <w:shd w:val="clear" w:color="auto" w:fill="FFFFFF"/>
        </w:rPr>
      </w:pPr>
      <w:bookmarkStart w:id="70" w:name="_Toc28153"/>
      <w:bookmarkStart w:id="71" w:name="_Toc32647"/>
      <w:bookmarkStart w:id="72" w:name="_Toc54941350"/>
      <w:bookmarkStart w:id="73" w:name="_Toc476584438"/>
      <w:r>
        <w:rPr>
          <w:rFonts w:hint="eastAsia" w:cs="宋体"/>
          <w:color w:val="000000" w:themeColor="text1"/>
          <w:sz w:val="28"/>
          <w:szCs w:val="28"/>
          <w:highlight w:val="none"/>
          <w:lang w:val="en-US" w:eastAsia="zh-CN"/>
          <w14:textFill>
            <w14:solidFill>
              <w14:schemeClr w14:val="tx1"/>
            </w14:solidFill>
          </w14:textFill>
        </w:rPr>
        <w:t>三、</w:t>
      </w:r>
      <w:bookmarkEnd w:id="70"/>
      <w:bookmarkEnd w:id="71"/>
      <w:r>
        <w:rPr>
          <w:rFonts w:hint="eastAsia" w:ascii="宋体" w:hAnsi="Times New Roman" w:eastAsia="宋体" w:cs="宋体"/>
          <w:b/>
          <w:kern w:val="0"/>
          <w:sz w:val="28"/>
          <w:szCs w:val="28"/>
          <w:shd w:val="clear" w:color="auto" w:fill="FFFFFF"/>
        </w:rPr>
        <w:t>诚信投标承诺书</w:t>
      </w:r>
    </w:p>
    <w:p w14:paraId="0EEF5D53">
      <w:pPr>
        <w:rPr>
          <w:rFonts w:ascii="仿宋" w:hAnsi="仿宋" w:eastAsia="仿宋" w:cs="仿宋"/>
          <w:b/>
          <w:bCs/>
          <w:color w:val="000000"/>
          <w:sz w:val="24"/>
          <w:szCs w:val="24"/>
        </w:rPr>
      </w:pPr>
    </w:p>
    <w:p w14:paraId="3518C8FE">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本人以企业法定代表人（或个体工商户经营者）的身份郑重承诺：</w:t>
      </w:r>
    </w:p>
    <w:p w14:paraId="47A67DDF">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一、将遵循公开、公正和诚实信用的原则自愿参加</w:t>
      </w:r>
      <w:r>
        <w:rPr>
          <w:rFonts w:hint="eastAsia" w:ascii="仿宋" w:hAnsi="仿宋" w:eastAsia="仿宋" w:cs="仿宋"/>
          <w:b/>
          <w:bCs/>
          <w:color w:val="000000"/>
          <w:sz w:val="24"/>
          <w:szCs w:val="24"/>
          <w:u w:val="single"/>
          <w:lang w:val="en-US" w:eastAsia="zh-CN"/>
        </w:rPr>
        <w:t>安庆市安峰建筑工业化有限公司试验室第三方检测服务采购</w:t>
      </w:r>
      <w:r>
        <w:rPr>
          <w:rFonts w:hint="eastAsia" w:ascii="仿宋" w:hAnsi="仿宋" w:eastAsia="仿宋" w:cs="仿宋"/>
          <w:b/>
          <w:bCs/>
          <w:color w:val="000000"/>
          <w:sz w:val="24"/>
          <w:szCs w:val="24"/>
        </w:rPr>
        <w:t>项目的比选招标；</w:t>
      </w:r>
    </w:p>
    <w:p w14:paraId="08B0E9FF">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二、所提供的一切材料都是真实、有效、合法的；  </w:t>
      </w:r>
    </w:p>
    <w:p w14:paraId="6C6CA02A">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三、不出借、转让资质证书，不让他人挂靠投标，不以他人名义投标或者以其他方式弄虚作假，骗取中标；  </w:t>
      </w:r>
    </w:p>
    <w:p w14:paraId="2BFDAA30">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四、不与其他参选人相互串通投标报价，不排挤其他参选人的公平竞争、损害采购人的合法权益；  </w:t>
      </w:r>
    </w:p>
    <w:p w14:paraId="107D7706">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五、不与采购单位或其他参选人串通投标，损害国家利益、社会公共利益或者他人的合法权益；  </w:t>
      </w:r>
    </w:p>
    <w:p w14:paraId="3BA8F2F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六、严格遵守开标现场纪律，服从监管人员管理；  </w:t>
      </w:r>
    </w:p>
    <w:p w14:paraId="18F3F9DB">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七、保证中标后不转包，若有合法分包征得采购人同意；</w:t>
      </w:r>
    </w:p>
    <w:p w14:paraId="29C8A649">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八、保证中标之后，按照参选文件承诺提供货物、服务及派驻人员；</w:t>
      </w:r>
    </w:p>
    <w:p w14:paraId="548D654D">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九、保证企业及所属相关人员在本次投标中无行贿等犯罪行为；</w:t>
      </w:r>
    </w:p>
    <w:p w14:paraId="3CF4EEF6">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0358462A">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十一、我方保证对本次招标活动有任何疑问或投诉，都依法在规定的时间内提出。否则，不针对本次招标活动提出任何异议或投诉。</w:t>
      </w:r>
    </w:p>
    <w:p w14:paraId="62FB9A74">
      <w:pPr>
        <w:spacing w:line="44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以上内容我已仔细阅读，本公司若有违反承诺内容的行为，自愿承担比选文件确定的责任和法律责任并接受相关行政部门给予的处理和处罚。给采购人造成损失的，依法承担赔偿责任。</w:t>
      </w:r>
    </w:p>
    <w:p w14:paraId="2C635955">
      <w:pPr>
        <w:rPr>
          <w:rFonts w:ascii="仿宋" w:hAnsi="仿宋" w:eastAsia="仿宋" w:cs="仿宋"/>
          <w:b/>
          <w:bCs/>
          <w:color w:val="000000"/>
          <w:sz w:val="22"/>
          <w:szCs w:val="22"/>
        </w:rPr>
      </w:pPr>
    </w:p>
    <w:p w14:paraId="24078380">
      <w:pPr>
        <w:rPr>
          <w:rFonts w:ascii="仿宋" w:hAnsi="仿宋" w:eastAsia="仿宋" w:cs="仿宋"/>
          <w:b/>
          <w:bCs/>
          <w:color w:val="000000"/>
          <w:sz w:val="22"/>
          <w:szCs w:val="22"/>
        </w:rPr>
      </w:pPr>
    </w:p>
    <w:p w14:paraId="61797E76">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                                   投标单位（盖章）：</w:t>
      </w:r>
    </w:p>
    <w:p w14:paraId="7CBF0A9C">
      <w:pPr>
        <w:jc w:val="right"/>
        <w:rPr>
          <w:rFonts w:ascii="仿宋" w:hAnsi="仿宋" w:eastAsia="仿宋" w:cs="仿宋"/>
          <w:b/>
          <w:bCs/>
          <w:color w:val="000000"/>
          <w:sz w:val="24"/>
          <w:szCs w:val="24"/>
        </w:rPr>
      </w:pPr>
    </w:p>
    <w:p w14:paraId="721D621A">
      <w:pPr>
        <w:jc w:val="right"/>
        <w:rPr>
          <w:rFonts w:ascii="仿宋" w:hAnsi="仿宋" w:eastAsia="仿宋" w:cs="仿宋"/>
          <w:b/>
          <w:bCs/>
          <w:color w:val="000000"/>
          <w:sz w:val="24"/>
          <w:szCs w:val="24"/>
        </w:rPr>
      </w:pPr>
    </w:p>
    <w:p w14:paraId="5769DCBA">
      <w:pPr>
        <w:ind w:right="480"/>
        <w:jc w:val="right"/>
        <w:rPr>
          <w:rFonts w:ascii="仿宋" w:hAnsi="仿宋" w:eastAsia="仿宋" w:cs="仿宋"/>
          <w:b/>
          <w:bCs/>
          <w:color w:val="000000"/>
          <w:sz w:val="24"/>
          <w:szCs w:val="24"/>
        </w:rPr>
      </w:pPr>
      <w:r>
        <w:rPr>
          <w:rFonts w:hint="eastAsia" w:ascii="仿宋" w:hAnsi="仿宋" w:eastAsia="仿宋" w:cs="仿宋"/>
          <w:b/>
          <w:bCs/>
          <w:color w:val="000000"/>
          <w:sz w:val="24"/>
          <w:szCs w:val="24"/>
        </w:rPr>
        <w:t>日期：_____年____月____日</w:t>
      </w:r>
    </w:p>
    <w:p w14:paraId="1D900724">
      <w:pPr>
        <w:keepNext/>
        <w:keepLines/>
        <w:shd w:val="clear" w:color="auto" w:fill="FFFFFF"/>
        <w:wordWrap w:val="0"/>
        <w:spacing w:line="360" w:lineRule="exact"/>
        <w:ind w:firstLine="562"/>
        <w:outlineLvl w:val="2"/>
        <w:rPr>
          <w:rFonts w:cs="Times New Roman" w:asciiTheme="majorEastAsia" w:hAnsiTheme="majorEastAsia" w:eastAsiaTheme="majorEastAsia"/>
          <w:color w:val="000000" w:themeColor="text1"/>
          <w:szCs w:val="21"/>
          <w14:textFill>
            <w14:solidFill>
              <w14:schemeClr w14:val="tx1"/>
            </w14:solidFill>
          </w14:textFill>
        </w:rPr>
      </w:pPr>
    </w:p>
    <w:p w14:paraId="5D6AB74B">
      <w:pPr>
        <w:pStyle w:val="82"/>
        <w:rPr>
          <w:rFonts w:hint="eastAsia" w:cs="宋体"/>
          <w:color w:val="000000" w:themeColor="text1"/>
          <w:highlight w:val="none"/>
          <w14:textFill>
            <w14:solidFill>
              <w14:schemeClr w14:val="tx1"/>
            </w14:solidFill>
          </w14:textFill>
        </w:rPr>
      </w:pPr>
    </w:p>
    <w:p w14:paraId="215CC401">
      <w:pPr>
        <w:pStyle w:val="82"/>
        <w:ind w:left="0" w:leftChars="0" w:firstLine="0" w:firstLineChars="0"/>
        <w:rPr>
          <w:rFonts w:hint="eastAsia" w:cs="宋体"/>
          <w:color w:val="000000" w:themeColor="text1"/>
          <w:highlight w:val="none"/>
          <w14:textFill>
            <w14:solidFill>
              <w14:schemeClr w14:val="tx1"/>
            </w14:solidFill>
          </w14:textFill>
        </w:rPr>
      </w:pPr>
    </w:p>
    <w:p w14:paraId="3DB5A045">
      <w:pPr>
        <w:pStyle w:val="4"/>
        <w:jc w:val="center"/>
        <w:rPr>
          <w:rFonts w:cs="宋体"/>
          <w:color w:val="000000" w:themeColor="text1"/>
          <w:highlight w:val="none"/>
          <w:bdr w:val="single" w:color="auto" w:sz="4" w:space="0"/>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四</w:t>
      </w:r>
      <w:r>
        <w:rPr>
          <w:rFonts w:hint="eastAsia" w:cs="宋体"/>
          <w:color w:val="000000" w:themeColor="text1"/>
          <w:highlight w:val="none"/>
          <w14:textFill>
            <w14:solidFill>
              <w14:schemeClr w14:val="tx1"/>
            </w14:solidFill>
          </w14:textFill>
        </w:rPr>
        <w:t>、相关证明文件</w:t>
      </w:r>
      <w:bookmarkEnd w:id="72"/>
      <w:bookmarkEnd w:id="73"/>
    </w:p>
    <w:p w14:paraId="66C4650B">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营业执照副本复印件；</w:t>
      </w:r>
    </w:p>
    <w:p w14:paraId="7AD87E84">
      <w:pPr>
        <w:spacing w:line="360" w:lineRule="auto"/>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、税务登记证副本复印件；（如为三证合一的，只需提供三证合一的营业执照复印件）  </w:t>
      </w:r>
    </w:p>
    <w:p w14:paraId="00F9A22E">
      <w:pPr>
        <w:spacing w:line="360" w:lineRule="auto"/>
        <w:ind w:firstLine="420" w:firstLineChars="20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、法定代表人身份证明书（格式见附件）及其有效二代居民身份证；</w:t>
      </w:r>
    </w:p>
    <w:p w14:paraId="485C6C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、法定代表人授权委托书（格式见附件）及委托代理人有效二代居民身份证，若法定代表人本人参与比选则不需此件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只需提供</w:t>
      </w:r>
      <w:r>
        <w:rPr>
          <w:rFonts w:hint="eastAsia" w:ascii="宋体" w:hAnsi="宋体"/>
          <w:color w:val="000000" w:themeColor="text1"/>
          <w:szCs w:val="21"/>
          <w:highlight w:val="none"/>
          <w14:textFill>
            <w14:solidFill>
              <w14:schemeClr w14:val="tx1"/>
            </w14:solidFill>
          </w14:textFill>
        </w:rPr>
        <w:t>法定代表人身份证明书；</w:t>
      </w:r>
    </w:p>
    <w:p w14:paraId="2611A4C0">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5、检验检测机构资质认定证书复印件；</w:t>
      </w:r>
    </w:p>
    <w:p w14:paraId="3A16EC5F">
      <w:pPr>
        <w:spacing w:line="360" w:lineRule="auto"/>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6.建设工程质量检测机构资质证书复印件(检测范围需具有本项目检测内容相应的检测参数）；</w:t>
      </w:r>
    </w:p>
    <w:p w14:paraId="226C0B89">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、参选人认为提供的其他材料</w:t>
      </w:r>
      <w:r>
        <w:rPr>
          <w:rFonts w:hint="eastAsia" w:ascii="宋体" w:hAnsi="宋体"/>
          <w:color w:val="000000" w:themeColor="text1"/>
          <w:szCs w:val="21"/>
          <w:highlight w:val="none"/>
          <w:lang w:eastAsia="zh-CN"/>
          <w14:textFill>
            <w14:solidFill>
              <w14:schemeClr w14:val="tx1"/>
            </w14:solidFill>
          </w14:textFill>
        </w:rPr>
        <w:t>；</w:t>
      </w:r>
    </w:p>
    <w:p w14:paraId="7AFE6AC4">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4098A8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366281AB">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69B7B06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22214223">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6F82585">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A23E65F">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ADE0380">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DB6C8F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07AE21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7E860FB4">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24BB0703">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6E601FC1">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26201C7F">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C9C9355">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3C5F293F">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0FC0DBB9">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1E214953">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27C8656A">
      <w:pPr>
        <w:pStyle w:val="82"/>
        <w:spacing w:before="156"/>
        <w:ind w:firstLine="350"/>
        <w:rPr>
          <w:color w:val="000000" w:themeColor="text1"/>
          <w:highlight w:val="none"/>
          <w14:textFill>
            <w14:solidFill>
              <w14:schemeClr w14:val="tx1"/>
            </w14:solidFill>
          </w14:textFill>
        </w:rPr>
      </w:pPr>
    </w:p>
    <w:p w14:paraId="7D6C2B20">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349B57F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r>
        <w:rPr>
          <w:rFonts w:hint="eastAsia" w:ascii="宋体" w:hAnsi="宋体" w:cs="宋体"/>
          <w:b/>
          <w:color w:val="000000" w:themeColor="text1"/>
          <w:spacing w:val="-4"/>
          <w:kern w:val="0"/>
          <w:szCs w:val="21"/>
          <w:highlight w:val="none"/>
          <w14:textFill>
            <w14:solidFill>
              <w14:schemeClr w14:val="tx1"/>
            </w14:solidFill>
          </w14:textFill>
        </w:rPr>
        <w:t>附件：</w:t>
      </w:r>
    </w:p>
    <w:p w14:paraId="1353E24B">
      <w:pPr>
        <w:spacing w:line="360" w:lineRule="auto"/>
        <w:ind w:firstLine="413" w:firstLineChars="196"/>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法定代表人身份证明书</w:t>
      </w:r>
    </w:p>
    <w:p w14:paraId="18424A3E">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参选人名称：</w:t>
      </w:r>
      <w:r>
        <w:rPr>
          <w:rFonts w:hint="eastAsia" w:ascii="宋体" w:hAnsi="宋体" w:cs="宋体"/>
          <w:color w:val="000000" w:themeColor="text1"/>
          <w:szCs w:val="21"/>
          <w:highlight w:val="none"/>
          <w:u w:val="single"/>
          <w14:textFill>
            <w14:solidFill>
              <w14:schemeClr w14:val="tx1"/>
            </w14:solidFill>
          </w14:textFill>
        </w:rPr>
        <w:t xml:space="preserve">                    </w:t>
      </w:r>
    </w:p>
    <w:p w14:paraId="7C29F57F">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单位性质：</w:t>
      </w:r>
      <w:r>
        <w:rPr>
          <w:rFonts w:hint="eastAsia" w:ascii="宋体" w:hAnsi="宋体" w:cs="宋体"/>
          <w:color w:val="000000" w:themeColor="text1"/>
          <w:szCs w:val="21"/>
          <w:highlight w:val="none"/>
          <w:u w:val="single"/>
          <w14:textFill>
            <w14:solidFill>
              <w14:schemeClr w14:val="tx1"/>
            </w14:solidFill>
          </w14:textFill>
        </w:rPr>
        <w:t xml:space="preserve">                     </w:t>
      </w:r>
    </w:p>
    <w:p w14:paraId="232A8E8C">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71A0C84F">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p>
    <w:p w14:paraId="009F6DD1">
      <w:pPr>
        <w:wordWrap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w:t>
      </w:r>
    </w:p>
    <w:p w14:paraId="2338275D">
      <w:pPr>
        <w:wordWrap w:val="0"/>
        <w:adjustRightInd w:val="0"/>
        <w:snapToGrid w:val="0"/>
        <w:spacing w:line="360" w:lineRule="auto"/>
        <w:ind w:firstLine="411" w:firstLineChars="196"/>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联系方式（移动电话）：</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778C0340">
      <w:pPr>
        <w:wordWrap w:val="0"/>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14:textFill>
            <w14:solidFill>
              <w14:schemeClr w14:val="tx1"/>
            </w14:solidFill>
          </w14:textFill>
        </w:rPr>
        <w:t> </w:t>
      </w:r>
    </w:p>
    <w:p w14:paraId="1DAF73EB">
      <w:pPr>
        <w:wordWrap w:val="0"/>
        <w:adjustRightInd w:val="0"/>
        <w:snapToGrid w:val="0"/>
        <w:spacing w:line="360" w:lineRule="auto"/>
        <w:ind w:firstLine="411" w:firstLineChars="196"/>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14:paraId="25E3189B">
      <w:pPr>
        <w:wordWrap w:val="0"/>
        <w:adjustRightInd w:val="0"/>
        <w:snapToGrid w:val="0"/>
        <w:spacing w:line="360" w:lineRule="auto"/>
        <w:ind w:firstLine="4137" w:firstLineChars="197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27017987">
      <w:pPr>
        <w:wordWrap w:val="0"/>
        <w:adjustRightInd w:val="0"/>
        <w:snapToGrid w:val="0"/>
        <w:spacing w:line="360" w:lineRule="auto"/>
        <w:ind w:right="360" w:firstLine="4851" w:firstLineChars="231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14:paraId="5B7965C4">
      <w:pPr>
        <w:spacing w:line="360" w:lineRule="auto"/>
        <w:rPr>
          <w:rFonts w:ascii="宋体" w:cs="宋体"/>
          <w:color w:val="000000" w:themeColor="text1"/>
          <w:szCs w:val="21"/>
          <w:highlight w:val="none"/>
          <w14:textFill>
            <w14:solidFill>
              <w14:schemeClr w14:val="tx1"/>
            </w14:solidFill>
          </w14:textFill>
        </w:rPr>
      </w:pPr>
    </w:p>
    <w:p w14:paraId="5C02B103">
      <w:pPr>
        <w:wordWrap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法定代表人授权委托书</w:t>
      </w:r>
    </w:p>
    <w:p w14:paraId="56ABD9A0">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（参选人名称）的法定代表人，现委托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安庆市安峰建筑工业化有限公司试验室第三方检测服务采购</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（项目名称）参选文件、签订合同等一切事宜，其法律后果由我方承担。</w:t>
      </w:r>
    </w:p>
    <w:p w14:paraId="1AE8CC3D">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00F2727">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14:paraId="4B858999">
      <w:pPr>
        <w:wordWrap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ascii="宋体" w:hAnsi="宋体" w:cs="宋体"/>
          <w:color w:val="000000" w:themeColor="text1"/>
          <w:szCs w:val="21"/>
          <w:highlight w:val="none"/>
          <w14:textFill>
            <w14:solidFill>
              <w14:schemeClr w14:val="tx1"/>
            </w14:solidFill>
          </w14:textFill>
        </w:rPr>
        <w:t>_______</w:t>
      </w:r>
    </w:p>
    <w:p w14:paraId="5F010264">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10C88BDE">
      <w:pPr>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w:t>
      </w:r>
      <w:r>
        <w:rPr>
          <w:rFonts w:hint="eastAsia" w:hAnsi="宋体"/>
          <w:color w:val="000000" w:themeColor="text1"/>
          <w:szCs w:val="21"/>
          <w:highlight w:val="none"/>
          <w14:textFill>
            <w14:solidFill>
              <w14:schemeClr w14:val="tx1"/>
            </w14:solidFill>
          </w14:textFill>
        </w:rPr>
        <w:t>式（移动电话）</w:t>
      </w:r>
      <w:r>
        <w:rPr>
          <w:rFonts w:hint="eastAsia" w:ascii="宋体" w:hAnsi="宋体" w:cs="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p>
    <w:p w14:paraId="5A9E8024">
      <w:pPr>
        <w:wordWrap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p>
    <w:p w14:paraId="2D33CE6C">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（盖章）</w:t>
      </w:r>
    </w:p>
    <w:p w14:paraId="51CB801C">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w:t>
      </w:r>
      <w:r>
        <w:rPr>
          <w:rFonts w:hint="eastAsia" w:ascii="宋体" w:hAnsi="宋体" w:cs="宋体"/>
          <w:color w:val="000000" w:themeColor="text1"/>
          <w:szCs w:val="21"/>
          <w:highlight w:val="none"/>
          <w:u w:val="single"/>
          <w14:textFill>
            <w14:solidFill>
              <w14:schemeClr w14:val="tx1"/>
            </w14:solidFill>
          </w14:textFill>
        </w:rPr>
        <w:t>盖章）</w:t>
      </w:r>
    </w:p>
    <w:p w14:paraId="070E4735">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授权委托日期：  年  月  日</w:t>
      </w:r>
    </w:p>
    <w:sectPr>
      <w:headerReference r:id="rId12" w:type="first"/>
      <w:footerReference r:id="rId14" w:type="first"/>
      <w:headerReference r:id="rId11" w:type="default"/>
      <w:footerReference r:id="rId13" w:type="default"/>
      <w:pgSz w:w="11906" w:h="16838"/>
      <w:pgMar w:top="1440" w:right="1587" w:bottom="1440" w:left="1587"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7536">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B8B5">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14:paraId="44BC1632">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3542">
    <w:pPr>
      <w:pStyle w:val="38"/>
      <w:jc w:val="center"/>
      <w:rPr>
        <w:rFonts w:hint="eastAsia" w:ascii="宋体" w:eastAsia="宋体"/>
        <w:lang w:val="en-US" w:eastAsia="zh-CN"/>
      </w:rPr>
    </w:pPr>
    <w:r>
      <w:rPr>
        <w:rFonts w:hint="eastAsia" w:ascii="宋体"/>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8BB0">
    <w:pPr>
      <w:pStyle w:val="38"/>
      <w:jc w:val="center"/>
      <w:rPr>
        <w:rFonts w:hint="eastAsia" w:ascii="宋体"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058C6">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E058C6">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lang w:val="en-US"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5E446">
    <w:pPr>
      <w:pStyle w:val="3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42570493"/>
                            <w:docPartObj>
                              <w:docPartGallery w:val="autotext"/>
                            </w:docPartObj>
                          </w:sdtPr>
                          <w:sdtContent>
                            <w:p w14:paraId="1F0DB911">
                              <w:pPr>
                                <w:pStyle w:val="38"/>
                                <w:jc w:val="center"/>
                              </w:pPr>
                              <w:r>
                                <w:fldChar w:fldCharType="begin"/>
                              </w:r>
                              <w:r>
                                <w:instrText xml:space="preserve">PAGE   \* MERGEFORMAT</w:instrText>
                              </w:r>
                              <w:r>
                                <w:fldChar w:fldCharType="separate"/>
                              </w:r>
                              <w:r>
                                <w:rPr>
                                  <w:lang w:val="zh-CN"/>
                                </w:rPr>
                                <w:t>2</w:t>
                              </w:r>
                              <w:r>
                                <w:fldChar w:fldCharType="end"/>
                              </w:r>
                            </w:p>
                          </w:sdtContent>
                        </w:sdt>
                        <w:p w14:paraId="6FB47F2B">
                          <w:pPr>
                            <w:pStyle w:val="8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42570493"/>
                      <w:docPartObj>
                        <w:docPartGallery w:val="autotext"/>
                      </w:docPartObj>
                    </w:sdtPr>
                    <w:sdtContent>
                      <w:p w14:paraId="1F0DB911">
                        <w:pPr>
                          <w:pStyle w:val="38"/>
                          <w:jc w:val="center"/>
                        </w:pPr>
                        <w:r>
                          <w:fldChar w:fldCharType="begin"/>
                        </w:r>
                        <w:r>
                          <w:instrText xml:space="preserve">PAGE   \* MERGEFORMAT</w:instrText>
                        </w:r>
                        <w:r>
                          <w:fldChar w:fldCharType="separate"/>
                        </w:r>
                        <w:r>
                          <w:rPr>
                            <w:lang w:val="zh-CN"/>
                          </w:rPr>
                          <w:t>2</w:t>
                        </w:r>
                        <w:r>
                          <w:fldChar w:fldCharType="end"/>
                        </w:r>
                      </w:p>
                    </w:sdtContent>
                  </w:sdt>
                  <w:p w14:paraId="6FB47F2B">
                    <w:pPr>
                      <w:pStyle w:val="82"/>
                    </w:pPr>
                  </w:p>
                </w:txbxContent>
              </v:textbox>
            </v:shape>
          </w:pict>
        </mc:Fallback>
      </mc:AlternateContent>
    </w:r>
  </w:p>
  <w:p w14:paraId="7CB23F31">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C8F2">
    <w:pPr>
      <w:pStyle w:val="3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3079808"/>
                            <w:docPartObj>
                              <w:docPartGallery w:val="autotext"/>
                            </w:docPartObj>
                          </w:sdtPr>
                          <w:sdtContent>
                            <w:p w14:paraId="5F19A66B">
                              <w:pPr>
                                <w:pStyle w:val="38"/>
                                <w:jc w:val="center"/>
                              </w:pPr>
                              <w:r>
                                <w:fldChar w:fldCharType="begin"/>
                              </w:r>
                              <w:r>
                                <w:instrText xml:space="preserve">PAGE   \* MERGEFORMAT</w:instrText>
                              </w:r>
                              <w:r>
                                <w:fldChar w:fldCharType="separate"/>
                              </w:r>
                              <w:r>
                                <w:rPr>
                                  <w:lang w:val="zh-CN"/>
                                </w:rPr>
                                <w:t>2</w:t>
                              </w:r>
                              <w:r>
                                <w:fldChar w:fldCharType="end"/>
                              </w:r>
                            </w:p>
                          </w:sdtContent>
                        </w:sdt>
                        <w:p w14:paraId="55A8524B">
                          <w:pPr>
                            <w:pStyle w:val="8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683079808"/>
                      <w:docPartObj>
                        <w:docPartGallery w:val="autotext"/>
                      </w:docPartObj>
                    </w:sdtPr>
                    <w:sdtContent>
                      <w:p w14:paraId="5F19A66B">
                        <w:pPr>
                          <w:pStyle w:val="38"/>
                          <w:jc w:val="center"/>
                        </w:pPr>
                        <w:r>
                          <w:fldChar w:fldCharType="begin"/>
                        </w:r>
                        <w:r>
                          <w:instrText xml:space="preserve">PAGE   \* MERGEFORMAT</w:instrText>
                        </w:r>
                        <w:r>
                          <w:fldChar w:fldCharType="separate"/>
                        </w:r>
                        <w:r>
                          <w:rPr>
                            <w:lang w:val="zh-CN"/>
                          </w:rPr>
                          <w:t>2</w:t>
                        </w:r>
                        <w:r>
                          <w:fldChar w:fldCharType="end"/>
                        </w:r>
                      </w:p>
                    </w:sdtContent>
                  </w:sdt>
                  <w:p w14:paraId="55A8524B">
                    <w:pPr>
                      <w:pStyle w:val="82"/>
                    </w:pPr>
                  </w:p>
                </w:txbxContent>
              </v:textbox>
            </v:shape>
          </w:pict>
        </mc:Fallback>
      </mc:AlternateContent>
    </w:r>
  </w:p>
  <w:p w14:paraId="0602D2E3">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DA12">
    <w:pPr>
      <w:pStyle w:val="39"/>
      <w:pBdr>
        <w:bottom w:val="single" w:color="auto" w:sz="4" w:space="1"/>
      </w:pBdr>
      <w:jc w:val="right"/>
    </w:pPr>
    <w:r>
      <w:rPr>
        <w:rFonts w:hint="eastAsia"/>
        <w:sz w:val="16"/>
        <w:szCs w:val="16"/>
      </w:rPr>
      <w:t xml:space="preserve"> </w:t>
    </w:r>
    <w:r>
      <w:rPr>
        <w:rFonts w:hint="eastAsia"/>
        <w:sz w:val="16"/>
        <w:szCs w:val="16"/>
        <w:lang w:eastAsia="zh-CN"/>
      </w:rPr>
      <w:t>安庆市安峰建筑工业化有限公司试验室第三方检测服务采购</w:t>
    </w:r>
    <w:r>
      <w:rPr>
        <w:rFonts w:hint="eastAsia"/>
        <w:sz w:val="16"/>
        <w:szCs w:val="16"/>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DFA3">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14D7">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F19F9">
    <w:pPr>
      <w:pStyle w:val="39"/>
      <w:pBdr>
        <w:bottom w:val="single" w:color="auto" w:sz="4" w:space="1"/>
      </w:pBdr>
      <w:jc w:val="right"/>
    </w:pPr>
    <w:r>
      <w:rPr>
        <w:rFonts w:hint="eastAsia"/>
        <w:sz w:val="16"/>
        <w:szCs w:val="16"/>
      </w:rPr>
      <w:t xml:space="preserve"> </w:t>
    </w:r>
    <w:r>
      <w:rPr>
        <w:rFonts w:hint="eastAsia"/>
        <w:sz w:val="16"/>
        <w:szCs w:val="16"/>
        <w:lang w:eastAsia="zh-CN"/>
      </w:rPr>
      <w:t>安庆市安峰建筑工业化有限公司试验室第三方检测服务采购</w:t>
    </w:r>
    <w:r>
      <w:rPr>
        <w:rFonts w:hint="eastAsia"/>
        <w:sz w:val="16"/>
        <w:szCs w:val="16"/>
      </w:rPr>
      <w:t>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7E6">
    <w:pPr>
      <w:pStyle w:val="39"/>
      <w:pBdr>
        <w:bottom w:val="single" w:color="auto" w:sz="4" w:space="1"/>
      </w:pBdr>
      <w:jc w:val="right"/>
    </w:pPr>
    <w:r>
      <w:rPr>
        <w:rFonts w:hint="eastAsia"/>
        <w:sz w:val="16"/>
        <w:szCs w:val="16"/>
        <w:lang w:eastAsia="zh-CN"/>
      </w:rPr>
      <w:t>安庆市安峰建筑工业化有限公司试验室第三方检测服务采购</w:t>
    </w:r>
    <w:r>
      <w:rPr>
        <w:rFonts w:hint="eastAsia"/>
        <w:sz w:val="16"/>
        <w:szCs w:val="16"/>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3E50">
    <w:pPr>
      <w:pStyle w:val="39"/>
      <w:pBdr>
        <w:bottom w:val="single" w:color="auto" w:sz="4" w:space="1"/>
      </w:pBdr>
      <w:jc w:val="right"/>
      <w:rPr>
        <w:sz w:val="16"/>
        <w:szCs w:val="16"/>
      </w:rPr>
    </w:pPr>
    <w:r>
      <w:rPr>
        <w:rFonts w:hint="eastAsia"/>
        <w:sz w:val="16"/>
        <w:szCs w:val="16"/>
        <w:lang w:eastAsia="zh-CN"/>
      </w:rPr>
      <w:t>安庆市安峰建筑工业化有限公司试验室第三方检测服务采购</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F0D7F644"/>
    <w:multiLevelType w:val="singleLevel"/>
    <w:tmpl w:val="F0D7F644"/>
    <w:lvl w:ilvl="0" w:tentative="0">
      <w:start w:val="1"/>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B2CFAFC"/>
    <w:multiLevelType w:val="singleLevel"/>
    <w:tmpl w:val="1B2CFAFC"/>
    <w:lvl w:ilvl="0" w:tentative="0">
      <w:start w:val="1"/>
      <w:numFmt w:val="chineseCounting"/>
      <w:suff w:val="nothing"/>
      <w:lvlText w:val="%1、"/>
      <w:lvlJc w:val="left"/>
      <w:rPr>
        <w:rFonts w:hint="eastAsia"/>
      </w:rPr>
    </w:lvl>
  </w:abstractNum>
  <w:abstractNum w:abstractNumId="7">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260934E1"/>
    <w:multiLevelType w:val="singleLevel"/>
    <w:tmpl w:val="260934E1"/>
    <w:lvl w:ilvl="0" w:tentative="0">
      <w:start w:val="1"/>
      <w:numFmt w:val="decimal"/>
      <w:suff w:val="nothing"/>
      <w:lvlText w:val="%1、"/>
      <w:lvlJc w:val="left"/>
    </w:lvl>
  </w:abstractNum>
  <w:num w:numId="1">
    <w:abstractNumId w:val="1"/>
  </w:num>
  <w:num w:numId="2">
    <w:abstractNumId w:val="3"/>
  </w:num>
  <w:num w:numId="3">
    <w:abstractNumId w:val="5"/>
  </w:num>
  <w:num w:numId="4">
    <w:abstractNumId w:val="7"/>
  </w:num>
  <w:num w:numId="5">
    <w:abstractNumId w:val="4"/>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96D4B"/>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375861"/>
    <w:rsid w:val="01527EDF"/>
    <w:rsid w:val="01535EB9"/>
    <w:rsid w:val="0191681C"/>
    <w:rsid w:val="019E06E3"/>
    <w:rsid w:val="01FD0DAF"/>
    <w:rsid w:val="02060261"/>
    <w:rsid w:val="022E6257"/>
    <w:rsid w:val="02555ED9"/>
    <w:rsid w:val="02B14DC7"/>
    <w:rsid w:val="02F94AB6"/>
    <w:rsid w:val="0319408F"/>
    <w:rsid w:val="032717F3"/>
    <w:rsid w:val="03552727"/>
    <w:rsid w:val="037261AB"/>
    <w:rsid w:val="0383243B"/>
    <w:rsid w:val="038F71C9"/>
    <w:rsid w:val="03935BFE"/>
    <w:rsid w:val="03B66504"/>
    <w:rsid w:val="03B70FA8"/>
    <w:rsid w:val="03B81543"/>
    <w:rsid w:val="03EF1A15"/>
    <w:rsid w:val="03EF27C8"/>
    <w:rsid w:val="03F1273F"/>
    <w:rsid w:val="04197674"/>
    <w:rsid w:val="041E3B9F"/>
    <w:rsid w:val="044D094D"/>
    <w:rsid w:val="046441B2"/>
    <w:rsid w:val="048F1B7F"/>
    <w:rsid w:val="050913A9"/>
    <w:rsid w:val="050A31D6"/>
    <w:rsid w:val="051557B4"/>
    <w:rsid w:val="051F656E"/>
    <w:rsid w:val="058101E9"/>
    <w:rsid w:val="05963421"/>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12E4502"/>
    <w:rsid w:val="113668A2"/>
    <w:rsid w:val="114D7560"/>
    <w:rsid w:val="1161187F"/>
    <w:rsid w:val="11717F0E"/>
    <w:rsid w:val="11A8682E"/>
    <w:rsid w:val="11C046E6"/>
    <w:rsid w:val="12914286"/>
    <w:rsid w:val="129B5577"/>
    <w:rsid w:val="12B654AE"/>
    <w:rsid w:val="12BF6C3A"/>
    <w:rsid w:val="12E945CE"/>
    <w:rsid w:val="13057218"/>
    <w:rsid w:val="131F3FC3"/>
    <w:rsid w:val="132C1DDC"/>
    <w:rsid w:val="133236CD"/>
    <w:rsid w:val="133E598E"/>
    <w:rsid w:val="13682AD5"/>
    <w:rsid w:val="137B5074"/>
    <w:rsid w:val="140631C3"/>
    <w:rsid w:val="14211A7C"/>
    <w:rsid w:val="142D3EB0"/>
    <w:rsid w:val="143310E5"/>
    <w:rsid w:val="14764964"/>
    <w:rsid w:val="14771CDF"/>
    <w:rsid w:val="147C0B64"/>
    <w:rsid w:val="14964B92"/>
    <w:rsid w:val="14C557AE"/>
    <w:rsid w:val="15500F65"/>
    <w:rsid w:val="155362A8"/>
    <w:rsid w:val="15645850"/>
    <w:rsid w:val="15A34C73"/>
    <w:rsid w:val="15AE7982"/>
    <w:rsid w:val="15B34F99"/>
    <w:rsid w:val="15C745A0"/>
    <w:rsid w:val="15CD45BF"/>
    <w:rsid w:val="15E070C3"/>
    <w:rsid w:val="15E24861"/>
    <w:rsid w:val="15FF4448"/>
    <w:rsid w:val="16473933"/>
    <w:rsid w:val="16766FAA"/>
    <w:rsid w:val="168669B4"/>
    <w:rsid w:val="16A910FE"/>
    <w:rsid w:val="16BA21D7"/>
    <w:rsid w:val="16C32FBA"/>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3C1123"/>
    <w:rsid w:val="1A475CB0"/>
    <w:rsid w:val="1A6159EB"/>
    <w:rsid w:val="1AB31E5A"/>
    <w:rsid w:val="1ABA4CF6"/>
    <w:rsid w:val="1B1E62C5"/>
    <w:rsid w:val="1B324BB2"/>
    <w:rsid w:val="1B3E740A"/>
    <w:rsid w:val="1B522ECD"/>
    <w:rsid w:val="1B593EEC"/>
    <w:rsid w:val="1B8A679C"/>
    <w:rsid w:val="1B906A96"/>
    <w:rsid w:val="1B9708D8"/>
    <w:rsid w:val="1BA93D87"/>
    <w:rsid w:val="1BBB0703"/>
    <w:rsid w:val="1BC3580A"/>
    <w:rsid w:val="1BC80A07"/>
    <w:rsid w:val="1BEF4851"/>
    <w:rsid w:val="1C1B6D10"/>
    <w:rsid w:val="1C6325C6"/>
    <w:rsid w:val="1CC41839"/>
    <w:rsid w:val="1CED005C"/>
    <w:rsid w:val="1D3A5FA0"/>
    <w:rsid w:val="1D6F5C49"/>
    <w:rsid w:val="1D835251"/>
    <w:rsid w:val="1E156B8A"/>
    <w:rsid w:val="1E335D6C"/>
    <w:rsid w:val="1E494C39"/>
    <w:rsid w:val="1E550BE9"/>
    <w:rsid w:val="1E94348E"/>
    <w:rsid w:val="1F016D75"/>
    <w:rsid w:val="1F0B25BC"/>
    <w:rsid w:val="1F176861"/>
    <w:rsid w:val="1F220E88"/>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851AFF"/>
    <w:rsid w:val="22943AF1"/>
    <w:rsid w:val="22C56F28"/>
    <w:rsid w:val="230961F8"/>
    <w:rsid w:val="230D47B1"/>
    <w:rsid w:val="23445819"/>
    <w:rsid w:val="23456B9C"/>
    <w:rsid w:val="234E00AF"/>
    <w:rsid w:val="237D20DD"/>
    <w:rsid w:val="237F6C4B"/>
    <w:rsid w:val="238B5CC6"/>
    <w:rsid w:val="2399026C"/>
    <w:rsid w:val="23CD2AB0"/>
    <w:rsid w:val="23E2675E"/>
    <w:rsid w:val="23ED5B9A"/>
    <w:rsid w:val="242B66E0"/>
    <w:rsid w:val="246036F7"/>
    <w:rsid w:val="24B46637"/>
    <w:rsid w:val="25276E09"/>
    <w:rsid w:val="252D4FEE"/>
    <w:rsid w:val="254A62EC"/>
    <w:rsid w:val="255B6AB3"/>
    <w:rsid w:val="25A84900"/>
    <w:rsid w:val="25B53949"/>
    <w:rsid w:val="26103D41"/>
    <w:rsid w:val="2623548B"/>
    <w:rsid w:val="262461E3"/>
    <w:rsid w:val="267A330E"/>
    <w:rsid w:val="26CB1A16"/>
    <w:rsid w:val="26CF7759"/>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B159E"/>
    <w:rsid w:val="29AE7D3A"/>
    <w:rsid w:val="29D0219D"/>
    <w:rsid w:val="29D77EF3"/>
    <w:rsid w:val="29E51041"/>
    <w:rsid w:val="29F20600"/>
    <w:rsid w:val="2A184A3C"/>
    <w:rsid w:val="2A391286"/>
    <w:rsid w:val="2A4F4886"/>
    <w:rsid w:val="2ABA427C"/>
    <w:rsid w:val="2B143B98"/>
    <w:rsid w:val="2B3F2753"/>
    <w:rsid w:val="2B406EFF"/>
    <w:rsid w:val="2B720822"/>
    <w:rsid w:val="2BAE19C7"/>
    <w:rsid w:val="2BB87E35"/>
    <w:rsid w:val="2BCE32E3"/>
    <w:rsid w:val="2C067B37"/>
    <w:rsid w:val="2C5379A3"/>
    <w:rsid w:val="2C974875"/>
    <w:rsid w:val="2CAD335C"/>
    <w:rsid w:val="2CF33FC6"/>
    <w:rsid w:val="2CFD4778"/>
    <w:rsid w:val="2D216834"/>
    <w:rsid w:val="2D4F1E09"/>
    <w:rsid w:val="2D6D14C1"/>
    <w:rsid w:val="2DC42A84"/>
    <w:rsid w:val="2DE60E0D"/>
    <w:rsid w:val="2DF751F3"/>
    <w:rsid w:val="2E891740"/>
    <w:rsid w:val="2EA953B6"/>
    <w:rsid w:val="2ED75A9F"/>
    <w:rsid w:val="2EFC4E63"/>
    <w:rsid w:val="2F4D56BE"/>
    <w:rsid w:val="2F5842D0"/>
    <w:rsid w:val="2F7D3F84"/>
    <w:rsid w:val="2F7F5907"/>
    <w:rsid w:val="2FA13062"/>
    <w:rsid w:val="30055F99"/>
    <w:rsid w:val="303D02A2"/>
    <w:rsid w:val="314B586D"/>
    <w:rsid w:val="317C0BC3"/>
    <w:rsid w:val="31CB3665"/>
    <w:rsid w:val="31CE0296"/>
    <w:rsid w:val="31DA771B"/>
    <w:rsid w:val="32034DFD"/>
    <w:rsid w:val="3240150B"/>
    <w:rsid w:val="32902492"/>
    <w:rsid w:val="32A45F3D"/>
    <w:rsid w:val="32A82827"/>
    <w:rsid w:val="32B53456"/>
    <w:rsid w:val="33111653"/>
    <w:rsid w:val="334A479D"/>
    <w:rsid w:val="33641B20"/>
    <w:rsid w:val="33751688"/>
    <w:rsid w:val="33CF29A4"/>
    <w:rsid w:val="34193CA8"/>
    <w:rsid w:val="34196205"/>
    <w:rsid w:val="34425A0E"/>
    <w:rsid w:val="344F2ED9"/>
    <w:rsid w:val="34733E19"/>
    <w:rsid w:val="34A93377"/>
    <w:rsid w:val="34AE5F2C"/>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E50701"/>
    <w:rsid w:val="37F17C4E"/>
    <w:rsid w:val="37FE4100"/>
    <w:rsid w:val="385F4816"/>
    <w:rsid w:val="3870241E"/>
    <w:rsid w:val="38DD7AB3"/>
    <w:rsid w:val="38EE00C1"/>
    <w:rsid w:val="39035FE4"/>
    <w:rsid w:val="39553EE3"/>
    <w:rsid w:val="396310BC"/>
    <w:rsid w:val="39657E94"/>
    <w:rsid w:val="39817C51"/>
    <w:rsid w:val="39A405D1"/>
    <w:rsid w:val="39F234CA"/>
    <w:rsid w:val="39F32DB4"/>
    <w:rsid w:val="3A357430"/>
    <w:rsid w:val="3A490333"/>
    <w:rsid w:val="3A5A447A"/>
    <w:rsid w:val="3A5C2DAD"/>
    <w:rsid w:val="3A6B503D"/>
    <w:rsid w:val="3AE710BD"/>
    <w:rsid w:val="3AF31761"/>
    <w:rsid w:val="3AF37A62"/>
    <w:rsid w:val="3AF63950"/>
    <w:rsid w:val="3B143534"/>
    <w:rsid w:val="3B1E43B3"/>
    <w:rsid w:val="3B2B3384"/>
    <w:rsid w:val="3B454DA1"/>
    <w:rsid w:val="3B505571"/>
    <w:rsid w:val="3B5B1163"/>
    <w:rsid w:val="3B6718AB"/>
    <w:rsid w:val="3B9113BF"/>
    <w:rsid w:val="3BAB75A9"/>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42613F"/>
    <w:rsid w:val="3F542383"/>
    <w:rsid w:val="3F7B39D1"/>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342F6"/>
    <w:rsid w:val="44FD397C"/>
    <w:rsid w:val="452913FC"/>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9F573AB"/>
    <w:rsid w:val="4A0977B8"/>
    <w:rsid w:val="4A1D0657"/>
    <w:rsid w:val="4A317C5F"/>
    <w:rsid w:val="4A7933B4"/>
    <w:rsid w:val="4ADB4211"/>
    <w:rsid w:val="4ADD7DE7"/>
    <w:rsid w:val="4AEF7951"/>
    <w:rsid w:val="4AFD5D93"/>
    <w:rsid w:val="4B0968CB"/>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63D0A"/>
    <w:rsid w:val="4FC26BC9"/>
    <w:rsid w:val="4FE53EE9"/>
    <w:rsid w:val="502C0328"/>
    <w:rsid w:val="505059C1"/>
    <w:rsid w:val="507111E9"/>
    <w:rsid w:val="50744D49"/>
    <w:rsid w:val="50827466"/>
    <w:rsid w:val="508302FA"/>
    <w:rsid w:val="50A10CF0"/>
    <w:rsid w:val="50D73662"/>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635240"/>
    <w:rsid w:val="551D56FC"/>
    <w:rsid w:val="554671C6"/>
    <w:rsid w:val="556D1D67"/>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1F559B"/>
    <w:rsid w:val="58236478"/>
    <w:rsid w:val="588E54CA"/>
    <w:rsid w:val="58922210"/>
    <w:rsid w:val="58A9755A"/>
    <w:rsid w:val="58AE5938"/>
    <w:rsid w:val="590C3FF5"/>
    <w:rsid w:val="59407F54"/>
    <w:rsid w:val="597E1677"/>
    <w:rsid w:val="59823E17"/>
    <w:rsid w:val="59851D75"/>
    <w:rsid w:val="59937919"/>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CD40915"/>
    <w:rsid w:val="5D530D5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7C5F97"/>
    <w:rsid w:val="63F41F58"/>
    <w:rsid w:val="63F76584"/>
    <w:rsid w:val="644C3BBB"/>
    <w:rsid w:val="64F32289"/>
    <w:rsid w:val="65303E16"/>
    <w:rsid w:val="654752D4"/>
    <w:rsid w:val="65965996"/>
    <w:rsid w:val="659730E5"/>
    <w:rsid w:val="65C82F60"/>
    <w:rsid w:val="65CE0D2C"/>
    <w:rsid w:val="65DF280D"/>
    <w:rsid w:val="663E0D58"/>
    <w:rsid w:val="66846410"/>
    <w:rsid w:val="66A24F5B"/>
    <w:rsid w:val="66A6332B"/>
    <w:rsid w:val="671F6E1E"/>
    <w:rsid w:val="67453492"/>
    <w:rsid w:val="67E71B6D"/>
    <w:rsid w:val="67FF20E2"/>
    <w:rsid w:val="68306BC4"/>
    <w:rsid w:val="688073EB"/>
    <w:rsid w:val="68842FD3"/>
    <w:rsid w:val="689C2C37"/>
    <w:rsid w:val="68A2014F"/>
    <w:rsid w:val="68C43E52"/>
    <w:rsid w:val="68F55EA4"/>
    <w:rsid w:val="690B1A91"/>
    <w:rsid w:val="69201173"/>
    <w:rsid w:val="692B215E"/>
    <w:rsid w:val="698E432E"/>
    <w:rsid w:val="69D41F5D"/>
    <w:rsid w:val="6A9040D6"/>
    <w:rsid w:val="6AC50223"/>
    <w:rsid w:val="6AD26CD2"/>
    <w:rsid w:val="6B016D82"/>
    <w:rsid w:val="6B2D6EEB"/>
    <w:rsid w:val="6B5F5D4D"/>
    <w:rsid w:val="6B685053"/>
    <w:rsid w:val="6BAF4A30"/>
    <w:rsid w:val="6BC06C3D"/>
    <w:rsid w:val="6C3D5F2F"/>
    <w:rsid w:val="6C6770B8"/>
    <w:rsid w:val="6C71768C"/>
    <w:rsid w:val="6CA125CA"/>
    <w:rsid w:val="6CB22DA1"/>
    <w:rsid w:val="6CC03E6D"/>
    <w:rsid w:val="6CD363C3"/>
    <w:rsid w:val="6CD526FE"/>
    <w:rsid w:val="6D3451EC"/>
    <w:rsid w:val="6D8855DB"/>
    <w:rsid w:val="6DE360A7"/>
    <w:rsid w:val="6DEE5CE3"/>
    <w:rsid w:val="6E245261"/>
    <w:rsid w:val="6E2D3C69"/>
    <w:rsid w:val="6E720E9C"/>
    <w:rsid w:val="6E960C20"/>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131699"/>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72338B"/>
    <w:rsid w:val="767D7F65"/>
    <w:rsid w:val="76856640"/>
    <w:rsid w:val="76A809F9"/>
    <w:rsid w:val="76C31579"/>
    <w:rsid w:val="77494B12"/>
    <w:rsid w:val="77575CD8"/>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106FE1"/>
    <w:rsid w:val="7A382CBF"/>
    <w:rsid w:val="7A5011CC"/>
    <w:rsid w:val="7A643FFA"/>
    <w:rsid w:val="7A6D140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B579CC"/>
    <w:rsid w:val="7D1868D9"/>
    <w:rsid w:val="7D24527D"/>
    <w:rsid w:val="7D27773C"/>
    <w:rsid w:val="7D3356C7"/>
    <w:rsid w:val="7D422172"/>
    <w:rsid w:val="7D4713B5"/>
    <w:rsid w:val="7D5976B6"/>
    <w:rsid w:val="7DA07E94"/>
    <w:rsid w:val="7DA16F04"/>
    <w:rsid w:val="7E2D0162"/>
    <w:rsid w:val="7E321CD4"/>
    <w:rsid w:val="7EA3546E"/>
    <w:rsid w:val="7EB33EA8"/>
    <w:rsid w:val="7ED6280D"/>
    <w:rsid w:val="7F1C70BC"/>
    <w:rsid w:val="7F4406D0"/>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6">
    <w:name w:val="heading 5"/>
    <w:basedOn w:val="1"/>
    <w:next w:val="7"/>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next w:val="24"/>
    <w:link w:val="85"/>
    <w:autoRedefine/>
    <w:qFormat/>
    <w:uiPriority w:val="0"/>
    <w:rPr>
      <w:rFonts w:ascii="楷体_GB2312" w:hAnsi="Arial" w:eastAsia="楷体_GB2312"/>
      <w:sz w:val="20"/>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5">
    <w:name w:val="Body Text Indent"/>
    <w:basedOn w:val="1"/>
    <w:next w:val="26"/>
    <w:link w:val="178"/>
    <w:autoRedefine/>
    <w:qFormat/>
    <w:uiPriority w:val="0"/>
    <w:pPr>
      <w:ind w:firstLine="645"/>
    </w:pPr>
    <w:rPr>
      <w:sz w:val="20"/>
    </w:rPr>
  </w:style>
  <w:style w:type="paragraph" w:styleId="26">
    <w:name w:val="envelope return"/>
    <w:basedOn w:val="1"/>
    <w:autoRedefine/>
    <w:unhideWhenUsed/>
    <w:qFormat/>
    <w:uiPriority w:val="99"/>
    <w:pPr>
      <w:snapToGrid w:val="0"/>
    </w:pPr>
    <w:rPr>
      <w:rFonts w:hint="eastAsia" w:ascii="Arial" w:hAnsi="Arial"/>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53"/>
    <w:autoRedefine/>
    <w:qFormat/>
    <w:uiPriority w:val="0"/>
    <w:rPr>
      <w:b/>
      <w:bCs/>
    </w:rPr>
  </w:style>
  <w:style w:type="paragraph" w:styleId="60">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5"/>
    <w:next w:val="1"/>
    <w:autoRedefine/>
    <w:unhideWhenUsed/>
    <w:qFormat/>
    <w:uiPriority w:val="99"/>
    <w:pPr>
      <w:spacing w:after="120"/>
      <w:ind w:left="420" w:leftChars="200" w:firstLine="420"/>
    </w:pPr>
    <w:rPr>
      <w:sz w:val="21"/>
      <w:szCs w:val="24"/>
    </w:rPr>
  </w:style>
  <w:style w:type="table" w:styleId="63">
    <w:name w:val="Table Grid"/>
    <w:basedOn w:val="6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autoRedefine/>
    <w:qFormat/>
    <w:uiPriority w:val="0"/>
    <w:rPr>
      <w:b/>
      <w:bCs/>
    </w:rPr>
  </w:style>
  <w:style w:type="character" w:styleId="66">
    <w:name w:val="endnote reference"/>
    <w:basedOn w:val="64"/>
    <w:autoRedefine/>
    <w:qFormat/>
    <w:uiPriority w:val="0"/>
    <w:rPr>
      <w:vertAlign w:val="superscript"/>
    </w:rPr>
  </w:style>
  <w:style w:type="character" w:styleId="67">
    <w:name w:val="page number"/>
    <w:basedOn w:val="64"/>
    <w:autoRedefine/>
    <w:qFormat/>
    <w:uiPriority w:val="0"/>
    <w:rPr>
      <w:rFonts w:cs="Times New Roman"/>
    </w:rPr>
  </w:style>
  <w:style w:type="character" w:styleId="68">
    <w:name w:val="FollowedHyperlink"/>
    <w:basedOn w:val="64"/>
    <w:autoRedefine/>
    <w:qFormat/>
    <w:uiPriority w:val="0"/>
    <w:rPr>
      <w:color w:val="800080"/>
      <w:u w:val="single"/>
    </w:rPr>
  </w:style>
  <w:style w:type="character" w:styleId="69">
    <w:name w:val="Emphasis"/>
    <w:basedOn w:val="64"/>
    <w:autoRedefine/>
    <w:qFormat/>
    <w:uiPriority w:val="0"/>
    <w:rPr>
      <w:b/>
      <w:i/>
      <w:spacing w:val="10"/>
      <w:shd w:val="clear" w:color="auto" w:fill="auto"/>
    </w:rPr>
  </w:style>
  <w:style w:type="character" w:styleId="70">
    <w:name w:val="line number"/>
    <w:basedOn w:val="64"/>
    <w:autoRedefine/>
    <w:qFormat/>
    <w:uiPriority w:val="0"/>
    <w:rPr>
      <w:rFonts w:cs="Times New Roman"/>
    </w:rPr>
  </w:style>
  <w:style w:type="character" w:styleId="71">
    <w:name w:val="HTML Definition"/>
    <w:basedOn w:val="64"/>
    <w:autoRedefine/>
    <w:semiHidden/>
    <w:unhideWhenUsed/>
    <w:qFormat/>
    <w:uiPriority w:val="99"/>
    <w:rPr>
      <w:i/>
      <w:iCs/>
    </w:rPr>
  </w:style>
  <w:style w:type="character" w:styleId="72">
    <w:name w:val="HTML Typewriter"/>
    <w:basedOn w:val="64"/>
    <w:autoRedefine/>
    <w:qFormat/>
    <w:uiPriority w:val="0"/>
    <w:rPr>
      <w:rFonts w:ascii="宋体" w:hAnsi="宋体" w:eastAsia="宋体"/>
      <w:sz w:val="24"/>
    </w:rPr>
  </w:style>
  <w:style w:type="character" w:styleId="73">
    <w:name w:val="HTML Acronym"/>
    <w:basedOn w:val="64"/>
    <w:autoRedefine/>
    <w:semiHidden/>
    <w:unhideWhenUsed/>
    <w:qFormat/>
    <w:uiPriority w:val="99"/>
  </w:style>
  <w:style w:type="character" w:styleId="74">
    <w:name w:val="HTML Variable"/>
    <w:basedOn w:val="64"/>
    <w:autoRedefine/>
    <w:semiHidden/>
    <w:unhideWhenUsed/>
    <w:qFormat/>
    <w:uiPriority w:val="99"/>
  </w:style>
  <w:style w:type="character" w:styleId="75">
    <w:name w:val="Hyperlink"/>
    <w:basedOn w:val="64"/>
    <w:autoRedefine/>
    <w:qFormat/>
    <w:uiPriority w:val="99"/>
    <w:rPr>
      <w:color w:val="0000FF"/>
      <w:u w:val="single"/>
    </w:rPr>
  </w:style>
  <w:style w:type="character" w:styleId="76">
    <w:name w:val="HTML Code"/>
    <w:basedOn w:val="64"/>
    <w:autoRedefine/>
    <w:semiHidden/>
    <w:unhideWhenUsed/>
    <w:qFormat/>
    <w:uiPriority w:val="99"/>
    <w:rPr>
      <w:rFonts w:hint="default" w:ascii="monospace" w:hAnsi="monospace" w:eastAsia="monospace" w:cs="monospace"/>
      <w:sz w:val="21"/>
      <w:szCs w:val="21"/>
    </w:rPr>
  </w:style>
  <w:style w:type="character" w:styleId="77">
    <w:name w:val="annotation reference"/>
    <w:basedOn w:val="64"/>
    <w:autoRedefine/>
    <w:qFormat/>
    <w:uiPriority w:val="99"/>
    <w:rPr>
      <w:sz w:val="21"/>
    </w:rPr>
  </w:style>
  <w:style w:type="character" w:styleId="78">
    <w:name w:val="HTML Cite"/>
    <w:basedOn w:val="64"/>
    <w:autoRedefine/>
    <w:semiHidden/>
    <w:unhideWhenUsed/>
    <w:qFormat/>
    <w:uiPriority w:val="99"/>
  </w:style>
  <w:style w:type="character" w:styleId="79">
    <w:name w:val="footnote reference"/>
    <w:basedOn w:val="64"/>
    <w:autoRedefine/>
    <w:qFormat/>
    <w:uiPriority w:val="0"/>
    <w:rPr>
      <w:vertAlign w:val="superscript"/>
    </w:rPr>
  </w:style>
  <w:style w:type="character" w:styleId="80">
    <w:name w:val="HTML Keyboard"/>
    <w:basedOn w:val="64"/>
    <w:autoRedefine/>
    <w:semiHidden/>
    <w:unhideWhenUsed/>
    <w:qFormat/>
    <w:uiPriority w:val="99"/>
    <w:rPr>
      <w:rFonts w:hint="default" w:ascii="monospace" w:hAnsi="monospace" w:eastAsia="monospace" w:cs="monospace"/>
      <w:sz w:val="21"/>
      <w:szCs w:val="21"/>
    </w:rPr>
  </w:style>
  <w:style w:type="character" w:styleId="81">
    <w:name w:val="HTML Sample"/>
    <w:basedOn w:val="64"/>
    <w:autoRedefine/>
    <w:qFormat/>
    <w:uiPriority w:val="0"/>
    <w:rPr>
      <w:rFonts w:ascii="Courier New" w:hAnsi="宋体" w:eastAsia="宋体"/>
    </w:rPr>
  </w:style>
  <w:style w:type="paragraph" w:customStyle="1" w:styleId="82">
    <w:name w:val="模板普通正文"/>
    <w:basedOn w:val="25"/>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4"/>
    <w:autoRedefine/>
    <w:qFormat/>
    <w:uiPriority w:val="0"/>
    <w:rPr>
      <w:rFonts w:cs="Times New Roman"/>
      <w:kern w:val="2"/>
      <w:sz w:val="18"/>
      <w:szCs w:val="18"/>
    </w:rPr>
  </w:style>
  <w:style w:type="character" w:customStyle="1" w:styleId="85">
    <w:name w:val="正文文本 字符"/>
    <w:basedOn w:val="64"/>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4"/>
    <w:link w:val="6"/>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4"/>
    <w:autoRedefine/>
    <w:qFormat/>
    <w:uiPriority w:val="0"/>
    <w:rPr>
      <w:rFonts w:ascii="Times New Roman" w:hAnsi="Times New Roman"/>
      <w:kern w:val="2"/>
      <w:sz w:val="16"/>
      <w:szCs w:val="16"/>
    </w:rPr>
  </w:style>
  <w:style w:type="character" w:customStyle="1" w:styleId="89">
    <w:name w:val="副标题 字符"/>
    <w:basedOn w:val="64"/>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4"/>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4"/>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4"/>
    <w:autoRedefine/>
    <w:qFormat/>
    <w:uiPriority w:val="0"/>
    <w:rPr>
      <w:rFonts w:ascii="Times New Roman" w:hAnsi="Times New Roman" w:eastAsia="宋体" w:cs="Times New Roman"/>
      <w:b/>
      <w:bCs/>
      <w:sz w:val="32"/>
      <w:szCs w:val="32"/>
    </w:rPr>
  </w:style>
  <w:style w:type="character" w:customStyle="1" w:styleId="97">
    <w:name w:val="标题 4 字符"/>
    <w:basedOn w:val="64"/>
    <w:link w:val="5"/>
    <w:autoRedefine/>
    <w:qFormat/>
    <w:uiPriority w:val="0"/>
    <w:rPr>
      <w:rFonts w:ascii="Arial" w:hAnsi="Arial" w:eastAsia="黑体" w:cs="Times New Roman"/>
      <w:b/>
      <w:sz w:val="20"/>
      <w:szCs w:val="20"/>
    </w:rPr>
  </w:style>
  <w:style w:type="character" w:customStyle="1" w:styleId="98">
    <w:name w:val="正文文本 3 字符"/>
    <w:basedOn w:val="64"/>
    <w:link w:val="22"/>
    <w:autoRedefine/>
    <w:qFormat/>
    <w:uiPriority w:val="0"/>
    <w:rPr>
      <w:rFonts w:ascii="仿宋_GB2312" w:hAnsi="Arial" w:eastAsia="仿宋_GB2312" w:cs="Times New Roman"/>
      <w:sz w:val="20"/>
      <w:szCs w:val="20"/>
    </w:rPr>
  </w:style>
  <w:style w:type="character" w:customStyle="1" w:styleId="99">
    <w:name w:val="正文文本缩进 Char"/>
    <w:basedOn w:val="64"/>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4"/>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60"/>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4"/>
    <w:autoRedefine/>
    <w:qFormat/>
    <w:uiPriority w:val="0"/>
    <w:rPr>
      <w:rFonts w:cs="Times New Roman"/>
    </w:rPr>
  </w:style>
  <w:style w:type="character" w:customStyle="1" w:styleId="117">
    <w:name w:val="Intense Quote Char2"/>
    <w:basedOn w:val="64"/>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4"/>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4"/>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4"/>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4"/>
    <w:link w:val="31"/>
    <w:autoRedefine/>
    <w:qFormat/>
    <w:uiPriority w:val="99"/>
    <w:rPr>
      <w:rFonts w:ascii="宋体" w:hAnsi="Courier New" w:cs="Courier New"/>
      <w:kern w:val="2"/>
      <w:sz w:val="21"/>
      <w:szCs w:val="21"/>
    </w:rPr>
  </w:style>
  <w:style w:type="character" w:customStyle="1" w:styleId="131">
    <w:name w:val="标题 6 字符"/>
    <w:basedOn w:val="64"/>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4"/>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4"/>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4"/>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4"/>
    <w:link w:val="46"/>
    <w:autoRedefine/>
    <w:qFormat/>
    <w:uiPriority w:val="0"/>
    <w:rPr>
      <w:rFonts w:ascii="Times New Roman" w:hAnsi="Times New Roman" w:eastAsia="宋体" w:cs="Times New Roman"/>
      <w:sz w:val="18"/>
      <w:szCs w:val="18"/>
    </w:rPr>
  </w:style>
  <w:style w:type="character" w:customStyle="1" w:styleId="143">
    <w:name w:val="页眉 字符"/>
    <w:basedOn w:val="64"/>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4"/>
    <w:autoRedefine/>
    <w:qFormat/>
    <w:uiPriority w:val="0"/>
    <w:rPr>
      <w:rFonts w:cs="Times New Roman"/>
    </w:rPr>
  </w:style>
  <w:style w:type="character" w:customStyle="1" w:styleId="146">
    <w:name w:val="标题 7 字符"/>
    <w:basedOn w:val="64"/>
    <w:link w:val="9"/>
    <w:autoRedefine/>
    <w:qFormat/>
    <w:uiPriority w:val="0"/>
    <w:rPr>
      <w:rFonts w:ascii="Times New Roman" w:hAnsi="Times New Roman" w:eastAsia="宋体" w:cs="Times New Roman"/>
      <w:b/>
      <w:bCs/>
      <w:sz w:val="24"/>
      <w:szCs w:val="24"/>
    </w:rPr>
  </w:style>
  <w:style w:type="character" w:customStyle="1" w:styleId="147">
    <w:name w:val="Title Char1"/>
    <w:basedOn w:val="64"/>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4"/>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9"/>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4"/>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4"/>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4"/>
    <w:autoRedefine/>
    <w:qFormat/>
    <w:uiPriority w:val="0"/>
    <w:rPr>
      <w:rFonts w:ascii="Times New Roman" w:hAnsi="Times New Roman"/>
      <w:kern w:val="2"/>
      <w:sz w:val="21"/>
    </w:rPr>
  </w:style>
  <w:style w:type="character" w:customStyle="1" w:styleId="166">
    <w:name w:val="标题 9 字符"/>
    <w:basedOn w:val="64"/>
    <w:link w:val="11"/>
    <w:autoRedefine/>
    <w:qFormat/>
    <w:uiPriority w:val="0"/>
    <w:rPr>
      <w:rFonts w:ascii="Arial" w:hAnsi="Arial" w:eastAsia="黑体" w:cs="Times New Roman"/>
      <w:sz w:val="21"/>
      <w:szCs w:val="21"/>
    </w:rPr>
  </w:style>
  <w:style w:type="character" w:customStyle="1" w:styleId="167">
    <w:name w:val="明显强调1"/>
    <w:basedOn w:val="64"/>
    <w:autoRedefine/>
    <w:qFormat/>
    <w:uiPriority w:val="0"/>
    <w:rPr>
      <w:b/>
    </w:rPr>
  </w:style>
  <w:style w:type="character" w:customStyle="1" w:styleId="168">
    <w:name w:val="标题 2 字符"/>
    <w:basedOn w:val="64"/>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4"/>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4"/>
    <w:link w:val="35"/>
    <w:autoRedefine/>
    <w:qFormat/>
    <w:uiPriority w:val="0"/>
    <w:rPr>
      <w:rFonts w:ascii="Times New Roman" w:hAnsi="Times New Roman" w:eastAsia="宋体" w:cs="Times New Roman"/>
      <w:sz w:val="20"/>
      <w:szCs w:val="20"/>
    </w:rPr>
  </w:style>
  <w:style w:type="character" w:customStyle="1" w:styleId="173">
    <w:name w:val="Quote Char1"/>
    <w:basedOn w:val="64"/>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4"/>
    <w:autoRedefine/>
    <w:qFormat/>
    <w:uiPriority w:val="0"/>
    <w:rPr>
      <w:rFonts w:ascii="宋体" w:hAnsi="Times New Roman" w:eastAsia="宋体" w:cs="Times New Roman"/>
      <w:sz w:val="18"/>
      <w:szCs w:val="18"/>
    </w:rPr>
  </w:style>
  <w:style w:type="character" w:customStyle="1" w:styleId="176">
    <w:name w:val="HTML 预设格式 字符"/>
    <w:basedOn w:val="64"/>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4"/>
    <w:link w:val="25"/>
    <w:autoRedefine/>
    <w:qFormat/>
    <w:uiPriority w:val="0"/>
    <w:rPr>
      <w:rFonts w:ascii="Times New Roman" w:hAnsi="Times New Roman"/>
      <w:kern w:val="2"/>
      <w:sz w:val="21"/>
    </w:rPr>
  </w:style>
  <w:style w:type="character" w:customStyle="1" w:styleId="179">
    <w:name w:val="标题 字符"/>
    <w:basedOn w:val="64"/>
    <w:link w:val="58"/>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4"/>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4"/>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4"/>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4"/>
    <w:link w:val="2"/>
    <w:autoRedefine/>
    <w:qFormat/>
    <w:uiPriority w:val="0"/>
    <w:rPr>
      <w:rFonts w:ascii="黑体" w:hAnsi="Times New Roman" w:eastAsia="黑体" w:cs="Times New Roman"/>
      <w:b/>
      <w:kern w:val="44"/>
      <w:sz w:val="28"/>
      <w:szCs w:val="28"/>
    </w:rPr>
  </w:style>
  <w:style w:type="character" w:customStyle="1" w:styleId="200">
    <w:name w:val="明显参考1"/>
    <w:basedOn w:val="64"/>
    <w:autoRedefine/>
    <w:qFormat/>
    <w:uiPriority w:val="0"/>
    <w:rPr>
      <w:smallCaps/>
      <w:spacing w:val="5"/>
      <w:u w:val="single"/>
    </w:rPr>
  </w:style>
  <w:style w:type="character" w:customStyle="1" w:styleId="201">
    <w:name w:val="称呼 字符"/>
    <w:basedOn w:val="64"/>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4"/>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4"/>
    <w:link w:val="38"/>
    <w:autoRedefine/>
    <w:qFormat/>
    <w:uiPriority w:val="99"/>
    <w:rPr>
      <w:rFonts w:cs="Times New Roman"/>
      <w:sz w:val="18"/>
      <w:szCs w:val="18"/>
    </w:rPr>
  </w:style>
  <w:style w:type="character" w:customStyle="1" w:styleId="208">
    <w:name w:val="书籍标题1"/>
    <w:basedOn w:val="64"/>
    <w:autoRedefine/>
    <w:qFormat/>
    <w:uiPriority w:val="0"/>
    <w:rPr>
      <w:i/>
      <w:smallCaps/>
      <w:spacing w:val="5"/>
    </w:rPr>
  </w:style>
  <w:style w:type="character" w:customStyle="1" w:styleId="209">
    <w:name w:val="不明显参考1"/>
    <w:basedOn w:val="64"/>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4"/>
    <w:link w:val="4"/>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4"/>
    <w:link w:val="37"/>
    <w:autoRedefine/>
    <w:qFormat/>
    <w:uiPriority w:val="0"/>
    <w:rPr>
      <w:rFonts w:ascii="Times New Roman" w:hAnsi="Times New Roman" w:eastAsia="宋体" w:cs="Times New Roman"/>
      <w:sz w:val="18"/>
      <w:szCs w:val="18"/>
    </w:rPr>
  </w:style>
  <w:style w:type="character" w:customStyle="1" w:styleId="215">
    <w:name w:val="尾注文本 字符"/>
    <w:basedOn w:val="64"/>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qFormat/>
    <w:uiPriority w:val="0"/>
    <w:rPr>
      <w:rFonts w:ascii="Tahoma" w:hAnsi="Tahoma"/>
      <w:sz w:val="24"/>
    </w:rPr>
  </w:style>
  <w:style w:type="paragraph" w:customStyle="1" w:styleId="24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5"/>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6"/>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4"/>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4"/>
    <w:autoRedefine/>
    <w:qFormat/>
    <w:uiPriority w:val="0"/>
    <w:rPr>
      <w:rFonts w:hint="eastAsia" w:ascii="宋体" w:hAnsi="宋体" w:eastAsia="宋体" w:cs="宋体"/>
      <w:color w:val="000000"/>
      <w:sz w:val="24"/>
      <w:szCs w:val="24"/>
      <w:u w:val="none"/>
    </w:rPr>
  </w:style>
  <w:style w:type="character" w:customStyle="1" w:styleId="426">
    <w:name w:val="font31"/>
    <w:basedOn w:val="64"/>
    <w:autoRedefine/>
    <w:qFormat/>
    <w:uiPriority w:val="0"/>
    <w:rPr>
      <w:rFonts w:hint="default" w:ascii="楷体_GB2312" w:eastAsia="楷体_GB2312" w:cs="楷体_GB2312"/>
      <w:color w:val="000000"/>
      <w:sz w:val="24"/>
      <w:szCs w:val="24"/>
      <w:u w:val="none"/>
    </w:rPr>
  </w:style>
  <w:style w:type="character" w:customStyle="1" w:styleId="427">
    <w:name w:val="tit"/>
    <w:basedOn w:val="64"/>
    <w:autoRedefine/>
    <w:qFormat/>
    <w:uiPriority w:val="0"/>
    <w:rPr>
      <w:color w:val="333333"/>
      <w:sz w:val="24"/>
      <w:szCs w:val="24"/>
    </w:rPr>
  </w:style>
  <w:style w:type="character" w:customStyle="1" w:styleId="428">
    <w:name w:val="img_title18"/>
    <w:basedOn w:val="64"/>
    <w:autoRedefine/>
    <w:qFormat/>
    <w:uiPriority w:val="0"/>
    <w:rPr>
      <w:vanish/>
    </w:rPr>
  </w:style>
  <w:style w:type="character" w:customStyle="1" w:styleId="429">
    <w:name w:val="nostart"/>
    <w:basedOn w:val="64"/>
    <w:autoRedefine/>
    <w:qFormat/>
    <w:uiPriority w:val="0"/>
    <w:rPr>
      <w:rFonts w:ascii="Arial" w:hAnsi="Arial" w:cs="Arial"/>
      <w:color w:val="DD0000"/>
      <w:sz w:val="19"/>
      <w:szCs w:val="19"/>
    </w:rPr>
  </w:style>
  <w:style w:type="character" w:customStyle="1" w:styleId="430">
    <w:name w:val="starting"/>
    <w:basedOn w:val="64"/>
    <w:autoRedefine/>
    <w:qFormat/>
    <w:uiPriority w:val="0"/>
    <w:rPr>
      <w:color w:val="13844D"/>
    </w:rPr>
  </w:style>
  <w:style w:type="character" w:customStyle="1" w:styleId="431">
    <w:name w:val="hit"/>
    <w:basedOn w:val="64"/>
    <w:autoRedefine/>
    <w:qFormat/>
    <w:uiPriority w:val="0"/>
  </w:style>
  <w:style w:type="character" w:customStyle="1" w:styleId="432">
    <w:name w:val="c3"/>
    <w:basedOn w:val="64"/>
    <w:autoRedefine/>
    <w:qFormat/>
    <w:uiPriority w:val="0"/>
  </w:style>
  <w:style w:type="character" w:customStyle="1" w:styleId="433">
    <w:name w:val="over8"/>
    <w:basedOn w:val="64"/>
    <w:autoRedefine/>
    <w:qFormat/>
    <w:uiPriority w:val="0"/>
    <w:rPr>
      <w:color w:val="999999"/>
      <w:sz w:val="19"/>
      <w:szCs w:val="19"/>
    </w:rPr>
  </w:style>
  <w:style w:type="character" w:customStyle="1" w:styleId="434">
    <w:name w:val="right4"/>
    <w:basedOn w:val="64"/>
    <w:autoRedefine/>
    <w:qFormat/>
    <w:uiPriority w:val="0"/>
    <w:rPr>
      <w:color w:val="A1A1A1"/>
    </w:rPr>
  </w:style>
  <w:style w:type="character" w:customStyle="1" w:styleId="435">
    <w:name w:val="msg-box8"/>
    <w:basedOn w:val="64"/>
    <w:autoRedefine/>
    <w:qFormat/>
    <w:uiPriority w:val="0"/>
  </w:style>
  <w:style w:type="character" w:customStyle="1" w:styleId="436">
    <w:name w:val="c2"/>
    <w:basedOn w:val="64"/>
    <w:autoRedefine/>
    <w:qFormat/>
    <w:uiPriority w:val="0"/>
  </w:style>
  <w:style w:type="character" w:customStyle="1" w:styleId="437">
    <w:name w:val="c1"/>
    <w:basedOn w:val="64"/>
    <w:autoRedefine/>
    <w:qFormat/>
    <w:uiPriority w:val="0"/>
  </w:style>
  <w:style w:type="character" w:customStyle="1" w:styleId="438">
    <w:name w:val="tit4"/>
    <w:basedOn w:val="64"/>
    <w:autoRedefine/>
    <w:qFormat/>
    <w:uiPriority w:val="0"/>
    <w:rPr>
      <w:color w:val="333333"/>
      <w:sz w:val="24"/>
      <w:szCs w:val="24"/>
    </w:rPr>
  </w:style>
  <w:style w:type="character" w:customStyle="1" w:styleId="439">
    <w:name w:val="starting8"/>
    <w:basedOn w:val="64"/>
    <w:autoRedefine/>
    <w:qFormat/>
    <w:uiPriority w:val="0"/>
    <w:rPr>
      <w:color w:val="13844D"/>
    </w:rPr>
  </w:style>
  <w:style w:type="character" w:customStyle="1" w:styleId="440">
    <w:name w:val="nostart8"/>
    <w:basedOn w:val="64"/>
    <w:autoRedefine/>
    <w:qFormat/>
    <w:uiPriority w:val="0"/>
    <w:rPr>
      <w:color w:val="DD0000"/>
    </w:rPr>
  </w:style>
  <w:style w:type="character" w:customStyle="1" w:styleId="441">
    <w:name w:val="over"/>
    <w:basedOn w:val="64"/>
    <w:autoRedefine/>
    <w:qFormat/>
    <w:uiPriority w:val="0"/>
    <w:rPr>
      <w:color w:val="999999"/>
      <w:sz w:val="19"/>
      <w:szCs w:val="19"/>
    </w:rPr>
  </w:style>
  <w:style w:type="character" w:customStyle="1" w:styleId="442">
    <w:name w:val="msg-box"/>
    <w:basedOn w:val="64"/>
    <w:autoRedefine/>
    <w:qFormat/>
    <w:uiPriority w:val="0"/>
  </w:style>
  <w:style w:type="character" w:customStyle="1" w:styleId="443">
    <w:name w:val="img_title"/>
    <w:basedOn w:val="64"/>
    <w:autoRedefine/>
    <w:qFormat/>
    <w:uiPriority w:val="0"/>
    <w:rPr>
      <w:vanish/>
    </w:rPr>
  </w:style>
  <w:style w:type="character" w:customStyle="1" w:styleId="444">
    <w:name w:val="right3"/>
    <w:basedOn w:val="64"/>
    <w:autoRedefine/>
    <w:qFormat/>
    <w:uiPriority w:val="0"/>
    <w:rPr>
      <w:color w:val="A1A1A1"/>
    </w:rPr>
  </w:style>
  <w:style w:type="character" w:customStyle="1" w:styleId="445">
    <w:name w:val="right"/>
    <w:basedOn w:val="64"/>
    <w:autoRedefine/>
    <w:qFormat/>
    <w:uiPriority w:val="0"/>
    <w:rPr>
      <w:color w:val="A1A1A1"/>
    </w:rPr>
  </w:style>
  <w:style w:type="character" w:customStyle="1" w:styleId="446">
    <w:name w:val="starting7"/>
    <w:basedOn w:val="64"/>
    <w:autoRedefine/>
    <w:qFormat/>
    <w:uiPriority w:val="0"/>
    <w:rPr>
      <w:color w:val="13844D"/>
    </w:rPr>
  </w:style>
  <w:style w:type="character" w:customStyle="1" w:styleId="447">
    <w:name w:val="tit3"/>
    <w:basedOn w:val="64"/>
    <w:autoRedefine/>
    <w:qFormat/>
    <w:uiPriority w:val="0"/>
    <w:rPr>
      <w:color w:val="333333"/>
      <w:sz w:val="24"/>
      <w:szCs w:val="24"/>
    </w:rPr>
  </w:style>
  <w:style w:type="character" w:customStyle="1" w:styleId="448">
    <w:name w:val="nostart5"/>
    <w:basedOn w:val="64"/>
    <w:autoRedefine/>
    <w:qFormat/>
    <w:uiPriority w:val="0"/>
    <w:rPr>
      <w:color w:val="DD0000"/>
    </w:rPr>
  </w:style>
  <w:style w:type="character" w:customStyle="1" w:styleId="449">
    <w:name w:val="starting5"/>
    <w:basedOn w:val="64"/>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4"/>
    <w:autoRedefine/>
    <w:qFormat/>
    <w:uiPriority w:val="0"/>
  </w:style>
  <w:style w:type="character" w:customStyle="1" w:styleId="454">
    <w:name w:val="layui-layer-tabnow"/>
    <w:basedOn w:val="64"/>
    <w:autoRedefine/>
    <w:qFormat/>
    <w:uiPriority w:val="0"/>
    <w:rPr>
      <w:bdr w:val="single" w:color="CCCCCC" w:sz="6" w:space="0"/>
      <w:shd w:val="clear" w:color="auto" w:fill="FFFFFF"/>
    </w:rPr>
  </w:style>
  <w:style w:type="paragraph" w:customStyle="1" w:styleId="455">
    <w:name w:val="Char Char Char Char Char Char Char1 Char"/>
    <w:autoRedefine/>
    <w:qFormat/>
    <w:uiPriority w:val="0"/>
    <w:pPr>
      <w:widowControl w:val="0"/>
      <w:jc w:val="both"/>
    </w:pPr>
    <w:rPr>
      <w:rFonts w:ascii="Arial" w:hAnsi="Arial"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9557</Words>
  <Characters>10196</Characters>
  <Lines>69</Lines>
  <Paragraphs>19</Paragraphs>
  <TotalTime>179</TotalTime>
  <ScaleCrop>false</ScaleCrop>
  <LinksUpToDate>false</LinksUpToDate>
  <CharactersWithSpaces>10963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2025-01-20T00:55:59Z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B8C6DFBEC13C4CB4823ABB53C91DECAF_13</vt:lpwstr>
  </property>
  <property fmtid="{D5CDD505-2E9C-101B-9397-08002B2CF9AE}" pid="4" name="KSOTemplateDocerSaveRecord">
    <vt:lpwstr>eyJoZGlkIjoiNDAwYjZlMTE2MGVkOWY1ZjMwNDkxYTg1M2FlMWYzM2YiLCJ1c2VySWQiOiI1MDM3OTU2NDYifQ==</vt:lpwstr>
  </property>
</Properties>
</file>