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D3C8">
      <w:pPr>
        <w:pStyle w:val="2"/>
        <w:numPr>
          <w:ilvl w:val="0"/>
          <w:numId w:val="0"/>
        </w:numPr>
        <w:spacing w:before="62" w:beforeLines="20" w:after="62" w:afterLines="20" w:line="480" w:lineRule="exact"/>
        <w:ind w:left="0" w:leftChars="0" w:firstLine="0" w:firstLineChars="0"/>
        <w:jc w:val="center"/>
        <w:outlineLvl w:val="0"/>
        <w:rPr>
          <w:rFonts w:hint="eastAsia" w:ascii="宋体" w:hAnsi="宋体" w:eastAsia="宋体" w:cs="宋体"/>
          <w:b w:val="0"/>
          <w:bCs/>
          <w:color w:val="000000" w:themeColor="text1"/>
          <w:kern w:val="2"/>
          <w:sz w:val="24"/>
          <w:szCs w:val="24"/>
          <w:highlight w:val="none"/>
          <w:lang w:val="en-US" w:eastAsia="zh-CN"/>
          <w14:textFill>
            <w14:solidFill>
              <w14:schemeClr w14:val="tx1"/>
            </w14:solidFill>
          </w14:textFill>
        </w:rPr>
      </w:pPr>
      <w:bookmarkStart w:id="0" w:name="_GoBack"/>
      <w:bookmarkEnd w:id="0"/>
      <w:r>
        <w:rPr>
          <w:rFonts w:hint="eastAsia" w:ascii="Arial" w:hAnsi="Arial"/>
          <w:color w:val="000000" w:themeColor="text1"/>
          <w:kern w:val="2"/>
          <w:sz w:val="32"/>
          <w:szCs w:val="32"/>
          <w:highlight w:val="none"/>
          <w:lang w:val="en-US" w:eastAsia="zh-CN"/>
          <w14:textFill>
            <w14:solidFill>
              <w14:schemeClr w14:val="tx1"/>
            </w14:solidFill>
          </w14:textFill>
        </w:rPr>
        <w:t>采购</w:t>
      </w:r>
      <w:r>
        <w:rPr>
          <w:rFonts w:hint="eastAsia" w:ascii="Arial" w:hAnsi="Arial"/>
          <w:color w:val="000000" w:themeColor="text1"/>
          <w:kern w:val="2"/>
          <w:sz w:val="32"/>
          <w:szCs w:val="32"/>
          <w:highlight w:val="none"/>
          <w:lang w:val="zh-CN"/>
          <w14:textFill>
            <w14:solidFill>
              <w14:schemeClr w14:val="tx1"/>
            </w14:solidFill>
          </w14:textFill>
        </w:rPr>
        <w:t>需求及技术要求</w:t>
      </w:r>
    </w:p>
    <w:p w14:paraId="05D94065">
      <w:pPr>
        <w:pStyle w:val="11"/>
        <w:spacing w:line="360" w:lineRule="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地材标准：</w:t>
      </w:r>
    </w:p>
    <w:p w14:paraId="36DBCE56">
      <w:pPr>
        <w:spacing w:line="360" w:lineRule="auto"/>
        <w:ind w:firstLine="480" w:firstLineChars="200"/>
        <w:rPr>
          <w:rFonts w:hint="eastAsia" w:ascii="宋体" w:hAnsi="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碎石质量要求:必须满足现行国家、行业标准及设计要求和规定。大批供货的质量要求，不得低于样品的质量。应选用质地致密坚硬、级配合理、粒径形状良好的洁净骨料，应特别重视混凝土骨料的级配以及粗骨料的粒径要求。本项目粗集料应符合下表Ⅱ类要求，具体要求见下表</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w:t>
      </w:r>
    </w:p>
    <w:tbl>
      <w:tblPr>
        <w:tblStyle w:val="9"/>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5"/>
        <w:gridCol w:w="2327"/>
        <w:gridCol w:w="2040"/>
        <w:gridCol w:w="2910"/>
      </w:tblGrid>
      <w:tr w14:paraId="7EA8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855" w:type="dxa"/>
            <w:noWrap w:val="0"/>
            <w:vAlign w:val="top"/>
          </w:tcPr>
          <w:p w14:paraId="2B264226">
            <w:pPr>
              <w:pStyle w:val="3"/>
              <w:ind w:firstLine="840" w:firstLineChars="400"/>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color w:val="000000" w:themeColor="text1"/>
                <w:sz w:val="2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085850" cy="600075"/>
                      <wp:effectExtent l="2540" t="4445" r="16510" b="5080"/>
                      <wp:wrapNone/>
                      <wp:docPr id="7" name="直接连接符 7"/>
                      <wp:cNvGraphicFramePr/>
                      <a:graphic xmlns:a="http://schemas.openxmlformats.org/drawingml/2006/main">
                        <a:graphicData uri="http://schemas.microsoft.com/office/word/2010/wordprocessingShape">
                          <wps:wsp>
                            <wps:cNvCnPr/>
                            <wps:spPr>
                              <a:xfrm>
                                <a:off x="0" y="0"/>
                                <a:ext cx="1085850" cy="6000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pt;margin-top:0.05pt;height:47.25pt;width:85.5pt;z-index:251659264;mso-width-relative:page;mso-height-relative:page;" filled="f" stroked="t" coordsize="21600,21600" o:gfxdata="UEsDBAoAAAAAAIdO4kAAAAAAAAAAAAAAAAAEAAAAZHJzL1BLAwQUAAAACACHTuJA2sGiY9UAAAAH&#10;AQAADwAAAGRycy9kb3ducmV2LnhtbE2OTU/DMBBE70j9D9ZW4lK1dkob0RCnByA3LpQirtt4SSLi&#10;dRq7H/DrcU5wHL3RzMu3V9uJMw2+dawhWSgQxJUzLdca9m/l/B6ED8gGO8ek4Zs8bIvJTY6ZcRd+&#10;pfMu1CKOsM9QQxNCn0npq4Ys+oXriSP7dIPFEONQSzPgJY7bTi6VSqXFluNDgz09NlR97U5Wgy/f&#10;6Vj+zKqZ+rirHS2PTy/PqPXtNFEPIAJdw18ZRv2oDkV0OrgTGy86DfMkWcXqCMSI15sUxEHDZpWC&#10;LHL537/4BVBLAwQUAAAACACHTuJAVUKzRvgBAADpAwAADgAAAGRycy9lMm9Eb2MueG1srVPNjtMw&#10;EL4j8Q6W7zRppW5L1HQPW5YLgpWAB5g6TmLJf/K4TfsSvAASNzhx5M7bsDwGY6d0Ybn0QA7O2PP5&#10;83yfx6vrg9FsLwMqZ2s+nZScSStco2xX8/fvbp8tOcMItgHtrKz5USK/Xj99shp8JWeud7qRgRGJ&#10;xWrwNe9j9FVRoOilAZw4Ly0lWxcMRJqGrmgCDMRudDEry6ticKHxwQmJSKubMclPjOESQte2SsiN&#10;EzsjbRxZg9QQSRL2yiNf52rbVor4pm1RRqZrTkpjHukQirdpLNYrqLoAvlfiVAJcUsIjTQaUpUPP&#10;VBuIwHZB/UNllAgOXRsnwpliFJIdIRXT8pE3b3vwMmshq9GfTcf/Ryte7+8CU03NF5xZMHTh9x+/&#10;/fjw+ef3TzTef/3CFsmkwWNF2Bt7F04z9HchKT60waQ/aWGHbOzxbKw8RCZocVou58s5eS4od1WW&#10;5WKeSIuH3T5gfCmdYSmouVY2CYcK9q8wjtDfkLSsLRtq/nw+mxMnUBe2dPsUGk9K0HZ5Lzqtmlul&#10;ddqBodve6MD2kDohf6cS/oKlQzaA/YjLqQSDqpfQvLANi0dPHll6GjyVYGTDmZb0klKUkRGUvgRJ&#10;6rUlE5K1o5kp2rrmSDey80F1PTkxzVWmDHVAtuzUranF/pxnpocXu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sGiY9UAAAAHAQAADwAAAAAAAAABACAAAAAiAAAAZHJzL2Rvd25yZXYueG1sUEsB&#10;AhQAFAAAAAgAh07iQFVCs0b4AQAA6QMAAA4AAAAAAAAAAQAgAAAAJA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 目</w:t>
            </w:r>
          </w:p>
          <w:p w14:paraId="7E6C0B51">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p w14:paraId="50451039">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技术要求</w:t>
            </w:r>
          </w:p>
        </w:tc>
        <w:tc>
          <w:tcPr>
            <w:tcW w:w="2327" w:type="dxa"/>
            <w:noWrap w:val="0"/>
            <w:vAlign w:val="center"/>
          </w:tcPr>
          <w:p w14:paraId="3BE51FFE">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I类</w:t>
            </w:r>
          </w:p>
        </w:tc>
        <w:tc>
          <w:tcPr>
            <w:tcW w:w="2040" w:type="dxa"/>
            <w:noWrap w:val="0"/>
            <w:vAlign w:val="center"/>
          </w:tcPr>
          <w:p w14:paraId="4FF8A60E">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II类</w:t>
            </w:r>
          </w:p>
        </w:tc>
        <w:tc>
          <w:tcPr>
            <w:tcW w:w="2910" w:type="dxa"/>
            <w:noWrap w:val="0"/>
            <w:vAlign w:val="center"/>
          </w:tcPr>
          <w:p w14:paraId="44F0FF0F">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III类</w:t>
            </w:r>
          </w:p>
        </w:tc>
      </w:tr>
      <w:tr w14:paraId="1DD74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14:paraId="73FD36E1">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碎石压碎指标（%）</w:t>
            </w:r>
          </w:p>
        </w:tc>
        <w:tc>
          <w:tcPr>
            <w:tcW w:w="2327" w:type="dxa"/>
            <w:noWrap w:val="0"/>
            <w:vAlign w:val="center"/>
          </w:tcPr>
          <w:p w14:paraId="1686DFB4">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2040" w:type="dxa"/>
            <w:noWrap w:val="0"/>
            <w:vAlign w:val="center"/>
          </w:tcPr>
          <w:p w14:paraId="1A017338">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c>
          <w:tcPr>
            <w:tcW w:w="2910" w:type="dxa"/>
            <w:noWrap w:val="0"/>
            <w:vAlign w:val="center"/>
          </w:tcPr>
          <w:p w14:paraId="14ABCC88">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≤30</w:t>
            </w:r>
          </w:p>
        </w:tc>
      </w:tr>
      <w:tr w14:paraId="7A82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14:paraId="53EED8EE">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针片状颗粒总含量(按质量计，%)</w:t>
            </w:r>
          </w:p>
        </w:tc>
        <w:tc>
          <w:tcPr>
            <w:tcW w:w="2327" w:type="dxa"/>
            <w:noWrap w:val="0"/>
            <w:vAlign w:val="center"/>
          </w:tcPr>
          <w:p w14:paraId="244C23A6">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≤5</w:t>
            </w:r>
          </w:p>
        </w:tc>
        <w:tc>
          <w:tcPr>
            <w:tcW w:w="2040" w:type="dxa"/>
            <w:noWrap w:val="0"/>
            <w:vAlign w:val="center"/>
          </w:tcPr>
          <w:p w14:paraId="51D5A49F">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2910" w:type="dxa"/>
            <w:noWrap w:val="0"/>
            <w:vAlign w:val="center"/>
          </w:tcPr>
          <w:p w14:paraId="4C637552">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≤15</w:t>
            </w:r>
          </w:p>
        </w:tc>
      </w:tr>
      <w:tr w14:paraId="071E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14:paraId="70EF0484">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含泥量</w:t>
            </w:r>
          </w:p>
          <w:p w14:paraId="60D8B7ED">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 按质量计，%)</w:t>
            </w:r>
          </w:p>
        </w:tc>
        <w:tc>
          <w:tcPr>
            <w:tcW w:w="2327" w:type="dxa"/>
            <w:noWrap w:val="0"/>
            <w:vAlign w:val="center"/>
          </w:tcPr>
          <w:p w14:paraId="636CACF8">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≤0.5</w:t>
            </w:r>
          </w:p>
        </w:tc>
        <w:tc>
          <w:tcPr>
            <w:tcW w:w="2040" w:type="dxa"/>
            <w:noWrap w:val="0"/>
            <w:vAlign w:val="center"/>
          </w:tcPr>
          <w:p w14:paraId="05C2DA12">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2910" w:type="dxa"/>
            <w:noWrap w:val="0"/>
            <w:vAlign w:val="center"/>
          </w:tcPr>
          <w:p w14:paraId="300B4C4E">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≤1.5</w:t>
            </w:r>
          </w:p>
        </w:tc>
      </w:tr>
      <w:tr w14:paraId="3C2E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14:paraId="0ADA6A9A">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泥块含量( 按质量计，%)</w:t>
            </w:r>
          </w:p>
        </w:tc>
        <w:tc>
          <w:tcPr>
            <w:tcW w:w="2327" w:type="dxa"/>
            <w:noWrap w:val="0"/>
            <w:vAlign w:val="center"/>
          </w:tcPr>
          <w:p w14:paraId="100A5106">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w:t>
            </w:r>
          </w:p>
        </w:tc>
        <w:tc>
          <w:tcPr>
            <w:tcW w:w="2040" w:type="dxa"/>
            <w:noWrap w:val="0"/>
            <w:vAlign w:val="center"/>
          </w:tcPr>
          <w:p w14:paraId="05A233EF">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≤0.2</w:t>
            </w:r>
          </w:p>
        </w:tc>
        <w:tc>
          <w:tcPr>
            <w:tcW w:w="2910" w:type="dxa"/>
            <w:noWrap w:val="0"/>
            <w:vAlign w:val="center"/>
          </w:tcPr>
          <w:p w14:paraId="256C6848">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≤0.5</w:t>
            </w:r>
          </w:p>
        </w:tc>
      </w:tr>
      <w:tr w14:paraId="71E5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14:paraId="1FDE4B1C">
            <w:pPr>
              <w:pStyle w:val="3"/>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吸水率（%）</w:t>
            </w:r>
          </w:p>
        </w:tc>
        <w:tc>
          <w:tcPr>
            <w:tcW w:w="2327" w:type="dxa"/>
            <w:noWrap w:val="0"/>
            <w:vAlign w:val="center"/>
          </w:tcPr>
          <w:p w14:paraId="69FEB474">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≤1.0</w:t>
            </w:r>
          </w:p>
        </w:tc>
        <w:tc>
          <w:tcPr>
            <w:tcW w:w="4950" w:type="dxa"/>
            <w:gridSpan w:val="2"/>
            <w:noWrap w:val="0"/>
            <w:vAlign w:val="center"/>
          </w:tcPr>
          <w:p w14:paraId="1C1C7D06">
            <w:pPr>
              <w:pStyle w:val="3"/>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≤2.0</w:t>
            </w:r>
          </w:p>
        </w:tc>
      </w:tr>
      <w:tr w14:paraId="7ED6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noWrap w:val="0"/>
            <w:vAlign w:val="top"/>
          </w:tcPr>
          <w:p w14:paraId="07B804B9">
            <w:pPr>
              <w:pStyle w:val="3"/>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表观密度  （kg/m³）</w:t>
            </w:r>
          </w:p>
        </w:tc>
        <w:tc>
          <w:tcPr>
            <w:tcW w:w="7277" w:type="dxa"/>
            <w:gridSpan w:val="3"/>
            <w:noWrap w:val="0"/>
            <w:vAlign w:val="center"/>
          </w:tcPr>
          <w:p w14:paraId="30DF63FD">
            <w:pPr>
              <w:pStyle w:val="3"/>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 xml:space="preserve">≥2600  </w:t>
            </w:r>
          </w:p>
        </w:tc>
      </w:tr>
    </w:tbl>
    <w:p w14:paraId="1C336657">
      <w:pPr>
        <w:pStyle w:val="3"/>
        <w:rPr>
          <w:rFonts w:hint="eastAsia" w:ascii="宋体" w:hAnsi="宋体" w:eastAsia="宋体" w:cs="宋体"/>
          <w:color w:val="000000" w:themeColor="text1"/>
          <w:sz w:val="24"/>
          <w:szCs w:val="24"/>
          <w:highlight w:val="none"/>
          <w:lang w:val="en-US" w:eastAsia="zh-CN"/>
          <w14:textFill>
            <w14:solidFill>
              <w14:schemeClr w14:val="tx1"/>
            </w14:solidFill>
          </w14:textFill>
        </w:rPr>
      </w:pPr>
    </w:p>
    <w:tbl>
      <w:tblPr>
        <w:tblStyle w:val="8"/>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0"/>
        <w:gridCol w:w="790"/>
        <w:gridCol w:w="1174"/>
        <w:gridCol w:w="1174"/>
        <w:gridCol w:w="1174"/>
        <w:gridCol w:w="879"/>
        <w:gridCol w:w="879"/>
        <w:gridCol w:w="879"/>
        <w:gridCol w:w="879"/>
        <w:gridCol w:w="882"/>
      </w:tblGrid>
      <w:tr w14:paraId="5430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5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公称粒级</w:t>
            </w:r>
          </w:p>
        </w:tc>
        <w:tc>
          <w:tcPr>
            <w:tcW w:w="79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8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累计筛余</w:t>
            </w:r>
          </w:p>
        </w:tc>
      </w:tr>
      <w:tr w14:paraId="5C51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5788">
            <w:pPr>
              <w:jc w:val="center"/>
              <w:rPr>
                <w:rFonts w:hint="eastAsia" w:ascii="宋体" w:hAnsi="宋体" w:eastAsia="宋体" w:cs="宋体"/>
                <w:i w:val="0"/>
                <w:iCs w:val="0"/>
                <w:color w:val="000000"/>
                <w:sz w:val="22"/>
                <w:szCs w:val="22"/>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4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方孔筛/%</w:t>
            </w:r>
          </w:p>
        </w:tc>
      </w:tr>
      <w:tr w14:paraId="4C70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33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0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ED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02F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3C5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1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F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F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r>
      <w:tr w14:paraId="5513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8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单粒粒级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0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4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B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7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C8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231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5F4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E5E9">
            <w:pPr>
              <w:jc w:val="center"/>
              <w:rPr>
                <w:rFonts w:hint="eastAsia" w:ascii="宋体" w:hAnsi="宋体" w:eastAsia="宋体" w:cs="宋体"/>
                <w:i w:val="0"/>
                <w:iCs w:val="0"/>
                <w:color w:val="000000"/>
                <w:sz w:val="22"/>
                <w:szCs w:val="22"/>
                <w:u w:val="none"/>
              </w:rPr>
            </w:pPr>
          </w:p>
        </w:tc>
      </w:tr>
      <w:tr w14:paraId="4220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F83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B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34F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8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5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F4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57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6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21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CFE5">
            <w:pPr>
              <w:jc w:val="center"/>
              <w:rPr>
                <w:rFonts w:hint="eastAsia" w:ascii="宋体" w:hAnsi="宋体" w:eastAsia="宋体" w:cs="宋体"/>
                <w:i w:val="0"/>
                <w:iCs w:val="0"/>
                <w:color w:val="000000"/>
                <w:sz w:val="22"/>
                <w:szCs w:val="22"/>
                <w:u w:val="none"/>
              </w:rPr>
            </w:pPr>
          </w:p>
        </w:tc>
      </w:tr>
    </w:tbl>
    <w:p w14:paraId="58AB7CCE">
      <w:pPr>
        <w:pStyle w:val="3"/>
        <w:rPr>
          <w:rFonts w:hint="eastAsia" w:ascii="宋体" w:hAnsi="宋体" w:eastAsia="宋体" w:cs="宋体"/>
          <w:b/>
          <w:bCs/>
          <w:color w:val="FF0000"/>
          <w:sz w:val="24"/>
          <w:szCs w:val="24"/>
          <w:highlight w:val="none"/>
          <w:lang w:val="en-US" w:eastAsia="zh-CN"/>
        </w:rPr>
      </w:pPr>
    </w:p>
    <w:p w14:paraId="52614603">
      <w:pPr>
        <w:pStyle w:val="3"/>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备注：技术指标参考上表II类标准，参选人须在参选文件中提供近三个月内有效的质量检测机构出具的检测报告扫描件（检测报告需能体现上述技术指标）。</w:t>
      </w:r>
    </w:p>
    <w:p w14:paraId="3A355778">
      <w:pPr>
        <w:widowControl w:val="0"/>
        <w:numPr>
          <w:ilvl w:val="0"/>
          <w:numId w:val="0"/>
        </w:numPr>
        <w:spacing w:line="360" w:lineRule="auto"/>
        <w:jc w:val="both"/>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2"/>
          <w:sz w:val="24"/>
          <w:szCs w:val="24"/>
          <w:highlight w:val="none"/>
          <w:lang w:val="en-US" w:eastAsia="zh-CN" w:bidi="ar-SA"/>
          <w14:textFill>
            <w14:solidFill>
              <w14:schemeClr w14:val="tx1"/>
            </w14:solidFill>
          </w14:textFill>
        </w:rPr>
        <w:t>二、货物需求：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835"/>
        <w:gridCol w:w="2760"/>
      </w:tblGrid>
      <w:tr w14:paraId="5FA7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noWrap w:val="0"/>
            <w:vAlign w:val="center"/>
          </w:tcPr>
          <w:p w14:paraId="398F0F39">
            <w:pPr>
              <w:pStyle w:val="7"/>
              <w:numPr>
                <w:ilvl w:val="0"/>
                <w:numId w:val="0"/>
              </w:numPr>
              <w:jc w:val="cente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材料种类</w:t>
            </w:r>
          </w:p>
        </w:tc>
        <w:tc>
          <w:tcPr>
            <w:tcW w:w="2835" w:type="dxa"/>
            <w:noWrap w:val="0"/>
            <w:vAlign w:val="center"/>
          </w:tcPr>
          <w:p w14:paraId="6E936833">
            <w:pPr>
              <w:pStyle w:val="7"/>
              <w:numPr>
                <w:ilvl w:val="0"/>
                <w:numId w:val="0"/>
              </w:numPr>
              <w:jc w:val="center"/>
              <w:rPr>
                <w:rFonts w:hint="default" w:ascii="宋体" w:hAnsi="宋体" w:eastAsia="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数量（单位：t）</w:t>
            </w:r>
          </w:p>
        </w:tc>
        <w:tc>
          <w:tcPr>
            <w:tcW w:w="2760" w:type="dxa"/>
            <w:noWrap w:val="0"/>
            <w:vAlign w:val="center"/>
          </w:tcPr>
          <w:p w14:paraId="5F606AD0">
            <w:pPr>
              <w:pStyle w:val="7"/>
              <w:numPr>
                <w:ilvl w:val="0"/>
                <w:numId w:val="0"/>
              </w:numPr>
              <w:ind w:left="0" w:leftChars="0" w:firstLine="0" w:firstLineChars="0"/>
              <w:jc w:val="cente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控制单价</w:t>
            </w:r>
          </w:p>
          <w:p w14:paraId="355350F5">
            <w:pPr>
              <w:pStyle w:val="7"/>
              <w:numPr>
                <w:ilvl w:val="0"/>
                <w:numId w:val="0"/>
              </w:numPr>
              <w:ind w:left="0" w:leftChars="0" w:firstLine="0" w:firstLineChars="0"/>
              <w:jc w:val="center"/>
              <w:rPr>
                <w:rFonts w:hint="default"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s="宋体"/>
                <w:b w:val="0"/>
                <w:bCs w:val="0"/>
                <w:color w:val="000000" w:themeColor="text1"/>
                <w:sz w:val="24"/>
                <w:szCs w:val="24"/>
                <w:highlight w:val="none"/>
                <w:vertAlign w:val="baseline"/>
                <w:lang w:val="en-US" w:eastAsia="zh-CN"/>
                <w14:textFill>
                  <w14:solidFill>
                    <w14:schemeClr w14:val="tx1"/>
                  </w14:solidFill>
                </w14:textFill>
              </w:rPr>
              <w:t>（元/t）</w:t>
            </w:r>
          </w:p>
        </w:tc>
      </w:tr>
      <w:tr w14:paraId="4154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noWrap w:val="0"/>
            <w:vAlign w:val="center"/>
          </w:tcPr>
          <w:p w14:paraId="61936CD7">
            <w:pPr>
              <w:pStyle w:val="7"/>
              <w:numPr>
                <w:ilvl w:val="0"/>
                <w:numId w:val="0"/>
              </w:numPr>
              <w:jc w:val="center"/>
              <w:rPr>
                <w:rFonts w:hint="eastAsia" w:ascii="宋体" w:hAnsi="宋体" w:eastAsia="宋体" w:cs="宋体"/>
                <w:b/>
                <w:bCs/>
                <w:color w:val="000000" w:themeColor="text1"/>
                <w:sz w:val="28"/>
                <w:szCs w:val="32"/>
                <w:highlight w:val="none"/>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瓜子片（高标）5-10mm</w:t>
            </w:r>
          </w:p>
        </w:tc>
        <w:tc>
          <w:tcPr>
            <w:tcW w:w="2835" w:type="dxa"/>
            <w:noWrap w:val="0"/>
            <w:vAlign w:val="center"/>
          </w:tcPr>
          <w:p w14:paraId="770CBC0B">
            <w:pPr>
              <w:keepNext w:val="0"/>
              <w:keepLines w:val="0"/>
              <w:widowControl/>
              <w:suppressLineNumbers w:val="0"/>
              <w:jc w:val="center"/>
              <w:textAlignment w:val="center"/>
              <w:rPr>
                <w:rFonts w:hint="default" w:ascii="宋体" w:hAnsi="宋体" w:eastAsia="宋体" w:cs="宋体"/>
                <w:b w:val="0"/>
                <w:bCs w:val="0"/>
                <w:color w:val="000000" w:themeColor="text1"/>
                <w:sz w:val="24"/>
                <w:szCs w:val="28"/>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17000</w:t>
            </w:r>
          </w:p>
        </w:tc>
        <w:tc>
          <w:tcPr>
            <w:tcW w:w="2760" w:type="dxa"/>
            <w:noWrap w:val="0"/>
            <w:vAlign w:val="center"/>
          </w:tcPr>
          <w:p w14:paraId="4F3A5EF5">
            <w:pPr>
              <w:keepNext w:val="0"/>
              <w:keepLines w:val="0"/>
              <w:widowControl/>
              <w:suppressLineNumbers w:val="0"/>
              <w:jc w:val="center"/>
              <w:textAlignment w:val="center"/>
              <w:rPr>
                <w:rFonts w:hint="default"/>
                <w:color w:val="000000" w:themeColor="text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8"/>
                <w:highlight w:val="none"/>
                <w:vertAlign w:val="baseline"/>
                <w:lang w:val="en-US" w:eastAsia="zh-CN"/>
                <w14:textFill>
                  <w14:solidFill>
                    <w14:schemeClr w14:val="tx1"/>
                  </w14:solidFill>
                </w14:textFill>
              </w:rPr>
              <w:t>125</w:t>
            </w:r>
          </w:p>
        </w:tc>
      </w:tr>
      <w:tr w14:paraId="2AF0B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2" w:type="dxa"/>
            <w:noWrap w:val="0"/>
            <w:vAlign w:val="center"/>
          </w:tcPr>
          <w:p w14:paraId="600D2C4C">
            <w:pPr>
              <w:pStyle w:val="7"/>
              <w:numPr>
                <w:ilvl w:val="0"/>
                <w:numId w:val="0"/>
              </w:numPr>
              <w:jc w:val="center"/>
              <w:rPr>
                <w:rFonts w:hint="eastAsia" w:ascii="宋体" w:hAnsi="宋体" w:eastAsia="宋体" w:cs="宋体"/>
                <w:b/>
                <w:bCs/>
                <w:color w:val="000000" w:themeColor="text1"/>
                <w:sz w:val="28"/>
                <w:szCs w:val="32"/>
                <w:highlight w:val="none"/>
                <w:vertAlign w:val="baseli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1-2石子（高标）</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0mm</w:t>
            </w:r>
          </w:p>
        </w:tc>
        <w:tc>
          <w:tcPr>
            <w:tcW w:w="2835" w:type="dxa"/>
            <w:noWrap w:val="0"/>
            <w:vAlign w:val="center"/>
          </w:tcPr>
          <w:p w14:paraId="784DAD2C">
            <w:pPr>
              <w:keepNext w:val="0"/>
              <w:keepLines w:val="0"/>
              <w:widowControl/>
              <w:suppressLineNumbers w:val="0"/>
              <w:jc w:val="center"/>
              <w:textAlignment w:val="center"/>
              <w:rPr>
                <w:rFonts w:hint="default" w:ascii="宋体" w:hAnsi="宋体" w:eastAsia="宋体" w:cs="宋体"/>
                <w:b w:val="0"/>
                <w:bCs w:val="0"/>
                <w:color w:val="000000" w:themeColor="text1"/>
                <w:sz w:val="24"/>
                <w:szCs w:val="28"/>
                <w:highlight w:val="none"/>
                <w:vertAlign w:val="baseline"/>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38000</w:t>
            </w:r>
          </w:p>
        </w:tc>
        <w:tc>
          <w:tcPr>
            <w:tcW w:w="2760" w:type="dxa"/>
            <w:noWrap w:val="0"/>
            <w:vAlign w:val="center"/>
          </w:tcPr>
          <w:p w14:paraId="1A2F37EA">
            <w:pPr>
              <w:keepNext w:val="0"/>
              <w:keepLines w:val="0"/>
              <w:widowControl/>
              <w:suppressLineNumbers w:val="0"/>
              <w:jc w:val="center"/>
              <w:textAlignment w:val="center"/>
              <w:rPr>
                <w:rFonts w:hint="default" w:ascii="宋体" w:hAnsi="宋体" w:eastAsia="宋体" w:cs="宋体"/>
                <w:b w:val="0"/>
                <w:bCs w:val="0"/>
                <w:color w:val="000000" w:themeColor="text1"/>
                <w:sz w:val="24"/>
                <w:szCs w:val="28"/>
                <w:highlight w:val="none"/>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4"/>
                <w:szCs w:val="28"/>
                <w:highlight w:val="none"/>
                <w:vertAlign w:val="baseline"/>
                <w:lang w:val="en-US" w:eastAsia="zh-CN"/>
                <w14:textFill>
                  <w14:solidFill>
                    <w14:schemeClr w14:val="tx1"/>
                  </w14:solidFill>
                </w14:textFill>
              </w:rPr>
              <w:t>130</w:t>
            </w:r>
          </w:p>
        </w:tc>
      </w:tr>
    </w:tbl>
    <w:p w14:paraId="6018055D">
      <w:pPr>
        <w:numPr>
          <w:ilvl w:val="0"/>
          <w:numId w:val="0"/>
        </w:numPr>
        <w:spacing w:line="360" w:lineRule="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14:paraId="542F9934">
      <w:pPr>
        <w:numPr>
          <w:ilvl w:val="0"/>
          <w:numId w:val="0"/>
        </w:numPr>
        <w:spacing w:line="360" w:lineRule="auto"/>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结算方式：</w:t>
      </w: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结算价（上述按月结算方式）=控制单价*投标费率*数量。结算单价为综合单价，包含投标人出厂价+运杂费+财务费+服务费+税费(13%)，运杂费用包含物资到达甲方收货地点前的运费、出库费等费用；财务费包含资金成本；服务费包含管理费用、销售费用、利润等相关费用等一切费用。合同执行过程中不得调整报价。实际结算数量以施工方签收量为准。</w:t>
      </w:r>
    </w:p>
    <w:p w14:paraId="77DE07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ZGU5YzFmMjAyNTFlYzY2YTkwYmU3ZGU5YzU4YjEifQ=="/>
  </w:docVars>
  <w:rsids>
    <w:rsidRoot w:val="0ACA2C3A"/>
    <w:rsid w:val="0ACA2C3A"/>
    <w:rsid w:val="103D7416"/>
    <w:rsid w:val="18BE41EE"/>
    <w:rsid w:val="2F4A15AF"/>
    <w:rsid w:val="504A5FEF"/>
    <w:rsid w:val="547D1D3A"/>
    <w:rsid w:val="56CD6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sz w:val="20"/>
    </w:rPr>
  </w:style>
  <w:style w:type="paragraph" w:styleId="4">
    <w:name w:val="Body Text Indent"/>
    <w:basedOn w:val="1"/>
    <w:next w:val="5"/>
    <w:qFormat/>
    <w:uiPriority w:val="0"/>
    <w:pPr>
      <w:ind w:firstLine="645"/>
    </w:pPr>
    <w:rPr>
      <w:sz w:val="20"/>
    </w:rPr>
  </w:style>
  <w:style w:type="paragraph" w:styleId="5">
    <w:name w:val="envelope return"/>
    <w:basedOn w:val="1"/>
    <w:next w:val="6"/>
    <w:unhideWhenUsed/>
    <w:qFormat/>
    <w:uiPriority w:val="99"/>
    <w:pPr>
      <w:snapToGrid w:val="0"/>
    </w:pPr>
    <w:rPr>
      <w:rFonts w:hint="eastAsia" w:ascii="Arial" w:hAnsi="Arial"/>
      <w:sz w:val="21"/>
    </w:rPr>
  </w:style>
  <w:style w:type="paragraph" w:styleId="6">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7">
    <w:name w:val="Body Text First Indent 2"/>
    <w:basedOn w:val="4"/>
    <w:unhideWhenUsed/>
    <w:qFormat/>
    <w:uiPriority w:val="99"/>
    <w:pPr>
      <w:spacing w:after="120"/>
      <w:ind w:left="420" w:leftChars="200" w:firstLine="420"/>
    </w:pPr>
    <w:rPr>
      <w:rFonts w:ascii="Times New Roman"/>
      <w:sz w:val="21"/>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模板普通正文"/>
    <w:basedOn w:val="4"/>
    <w:autoRedefine/>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554</Words>
  <Characters>675</Characters>
  <Lines>0</Lines>
  <Paragraphs>0</Paragraphs>
  <TotalTime>25</TotalTime>
  <ScaleCrop>false</ScaleCrop>
  <LinksUpToDate>false</LinksUpToDate>
  <CharactersWithSpaces>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2024-11-01T02:51:00Z</dcterms:created>
  <dc:creator>HE</dc:creator>
  <cp:lastModifiedBy>为我撩人°</cp:lastModifiedBy>
  <dcterms:modified xsi:type="dcterms:W3CDTF">2024-11-01T09:38:33Z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6041811D63C144B7874109EC420556FD_13</vt:lpwstr>
  </property>
</Properties>
</file>