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62" w:beforeLines="20" w:after="62" w:afterLines="20" w:line="480" w:lineRule="exact"/>
        <w:ind w:left="0" w:leftChars="0" w:firstLine="0" w:firstLineChars="0"/>
        <w:jc w:val="center"/>
        <w:outlineLvl w:val="0"/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采购需求及技术要求</w:t>
      </w:r>
    </w:p>
    <w:p>
      <w:pPr>
        <w:rPr>
          <w:rFonts w:hint="eastAsia"/>
          <w:b w:val="0"/>
          <w:bCs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一、基本需求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1、本项目为安徽路达公路工程有限责任公司S22天天高速安庆至潜山段（月山至潜山）路基路面工程施工YQB1标13mT梁梁板、装配式标准节、小构件预制及梁板、装配式标准节现浇安装劳务，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人提供混凝土、钢筋、钢绞线。中标人须完成所有工序的施工内容并配合甲方报检、验收合格后方可予以计量，最终结算工程数量以现场实际发生，并经招标人现场签证且验收合格后的工程量为准。</w:t>
      </w:r>
    </w:p>
    <w:p>
      <w:pPr>
        <w:widowControl/>
        <w:spacing w:line="500" w:lineRule="exact"/>
        <w:jc w:val="left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2、项目名称：安徽路达公路工程有限责任公司S22天天高速安庆至潜山段（月山至潜山）路基路面工程施工YQB1标13mT梁梁板、装配式标准节、小构件预制及梁板、装配式标准节现浇安装劳务合作项目。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  3、建设地点：安庆市怀宁县。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  4、项目类别：劳务施工。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　  5、质量要求：交工验收的质量评定：合格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　　　　　　竣工验收的质量评定： 合格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　　6、施工产生的一切环保问题（包括废渣、废砼、淤泥、扬尘、推土等）均由乙方自行负责。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二、服务需求及技术要求等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1、技术要求：人员、设备等本项目施工所需要的主设备、附属设备及辅助性材料均由中标人自行提供，</w:t>
      </w: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投标人需为本项目拟派一个专职安全员，投标文件中须提供安全员的专职安全员C证。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2、　工期要求：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</w:rPr>
        <w:t>730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个日历天（工期以实际发生为准，中标人不得以工期延长而要求增加费用）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3、报价计税方式：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</w:rPr>
        <w:t>工程量清单综合单价计价法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提供增值税专用发票，税率9%。</w:t>
      </w:r>
    </w:p>
    <w:p>
      <w:pP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4、乙方在施工中不得偷工减料，但对其丢失、损坏以及其他原因导致使用的甲供的材料超过规定损耗范围的，甲方在中期结算时对损耗进行核算，对超出约定损耗范围外的材料由乙方按市场价100%进行赔偿。其中，双方约定的材料损耗率为（1）钢筋：0 ，（2）混凝土：1%，（3）钢铰线：详见招标文件第六章《投标文件-清单分项报价表相关内容》（4）其他材料：/”</w:t>
      </w:r>
    </w:p>
    <w:p>
      <w:pP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5、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控制价中已包含但不限于为完成本项目所需的工程机械、重要辅材等全部费用，中标实施期间，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人与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人共同参照市场价遴选第三方作为工程机械、重要辅材的供应商，并以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人名义与第三方签订协议,上述协议价已包含在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人与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人签订的合同总价之中，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成交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人需无条件同意并出具授权书以及承担连带责任，同时</w:t>
      </w:r>
      <w:r>
        <w:rPr>
          <w:rFonts w:hint="eastAsia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采购</w:t>
      </w:r>
      <w:r>
        <w:rPr>
          <w:rFonts w:hint="eastAsia" w:ascii="Times New Roman" w:hAnsi="Times New Roman" w:eastAsia="仿宋" w:cs="Times New Roman"/>
          <w:color w:val="auto"/>
          <w:kern w:val="2"/>
          <w:sz w:val="28"/>
          <w:szCs w:val="28"/>
          <w:highlight w:val="none"/>
          <w:lang w:val="en-US" w:eastAsia="zh-CN" w:bidi="ar-SA"/>
        </w:rPr>
        <w:t>人有权对与第三方签订的协议(合同)行使优先支付权。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三、付款方式：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中期结算支付比例：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 xml:space="preserve">参见招标文件及合同相关条款。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Toc23541"/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2、计量方式：参见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</w:rPr>
        <w:t>参选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文件第六章《</w:t>
      </w:r>
      <w:r>
        <w:rPr>
          <w:rFonts w:hint="eastAsia" w:eastAsia="仿宋" w:cs="Times New Roman"/>
          <w:color w:val="auto"/>
          <w:sz w:val="28"/>
          <w:szCs w:val="28"/>
          <w:highlight w:val="none"/>
          <w:lang w:val="en-US" w:eastAsia="zh-CN"/>
        </w:rPr>
        <w:t>参选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文件-清单分项报价表相关内容》。</w:t>
      </w:r>
      <w:bookmarkEnd w:id="0"/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left"/>
        <w:textAlignment w:val="auto"/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四、最高投标限价：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</w:p>
    <w:tbl>
      <w:tblPr>
        <w:tblStyle w:val="4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523"/>
        <w:gridCol w:w="916"/>
        <w:gridCol w:w="1716"/>
        <w:gridCol w:w="1833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子目名称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（含税9%）元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（含税9%）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上部结构钢筋HPB300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186646.08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0.82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153049.79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上部结构钢筋HRB400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485579.74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0.82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398175.39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预应力混凝土工程后张法预应力钢绞线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kg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97121.72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4.91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476867.65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C50混凝土（T梁预制）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2644.68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359.70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951291.40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C50混凝土（T梁运输、安装）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2644.68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207.10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547713.23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边沟C30预制安装盖板（预制）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621.10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162479.76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排水沟C30预制安装混凝土（预制）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1820.80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476321.28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C30预制混凝土截水沟（预制）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382.50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100062.00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C30混凝土急流槽（预制）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252.30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66001.68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C30混凝土骨架护坡（预制）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3048.30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797435.28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C30预制安装混凝土护面墙（预制）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603.20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157797.12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中央分隔带C30砼路缘石（预制）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389.20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101814.72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混凝土预制块加固土路肩（预制）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m3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1449.90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261.60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379293.84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1-3x2.5装配式管涵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282.00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4334.33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1222281.06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1-4x2.7装配式箱通（暗）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42.71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7056.90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301400.20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1-4x2.7装配式箱通（明）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34.50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6921.28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238784.16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1-4x3.5装配式箱通（暗）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354.77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6999.49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2483209.07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1-4x3.5装配式箱通（明）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72.11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7999.18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576820.87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1-6x4装配式箱通（暗）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127.00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10329.12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1311798.24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1-6x4装配式箱通（明）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79.52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10473.77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832874.19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1-7x4.5装配式箱通（明）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m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37.67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13475.76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507631.88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梁厂建设（13mT梁混凝土台座）含钢面板定型材料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20.00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2736.75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54735.00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智能喷淋养生设施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项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54500.00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54500.00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龙门吊（10t）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163500.00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327000.00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龙门吊（30t）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272500.00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272500.00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龙门吊（80t）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436000.00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436000.00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计日工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工日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327.00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327.00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</w:rPr>
              <w:t>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挖掘机（斗容量1m3以上）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小时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1.00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305.20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</w:rPr>
              <w:t>305.20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64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/>
                <w:color w:val="auto"/>
                <w:sz w:val="1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24"/>
                <w:highlight w:val="none"/>
                <w:lang w:val="en-US" w:eastAsia="zh-CN"/>
              </w:rPr>
              <w:t>13388470.01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78E37540"/>
    <w:rsid w:val="2D9F7F63"/>
    <w:rsid w:val="78E3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0"/>
    </w:rPr>
  </w:style>
  <w:style w:type="paragraph" w:customStyle="1" w:styleId="6">
    <w:name w:val="正文1"/>
    <w:basedOn w:val="1"/>
    <w:autoRedefine/>
    <w:qFormat/>
    <w:uiPriority w:val="0"/>
    <w:rPr>
      <w:rFonts w:ascii="Calibri" w:hAnsi="Calibri" w:eastAsia="Times New Roman" w:cs="宋体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2088</Characters>
  <Lines>0</Lines>
  <Paragraphs>0</Paragraphs>
  <TotalTime>0</TotalTime>
  <ScaleCrop>false</ScaleCrop>
  <LinksUpToDate>false</LinksUpToDate>
  <CharactersWithSpaces>2117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2024-07-17T03:12:00Z</dcterms:created>
  <dc:creator>媛媛__</dc:creator>
  <cp:lastModifiedBy>随便</cp:lastModifiedBy>
  <dcterms:modified xsi:type="dcterms:W3CDTF">2024-07-17T03:22:42Z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55C424ED8D7342DEA8F68A563A6E1EC8_13</vt:lpwstr>
  </property>
</Properties>
</file>