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Lines="20" w:afterLines="20" w:line="480" w:lineRule="exact"/>
        <w:ind w:firstLine="0" w:firstLineChars="0"/>
        <w:jc w:val="center"/>
        <w:rPr>
          <w:rFonts w:ascii="宋体" w:hAnsi="宋体" w:cs="宋体"/>
          <w:color w:val="000000" w:themeColor="text1"/>
          <w:sz w:val="21"/>
          <w:szCs w:val="21"/>
          <w:highlight w:val="none"/>
          <w14:textFill>
            <w14:solidFill>
              <w14:schemeClr w14:val="tx1"/>
            </w14:solidFill>
          </w14:textFill>
        </w:rPr>
      </w:pPr>
      <w:bookmarkStart w:id="0" w:name="_GoBack"/>
      <w:bookmarkEnd w:id="0"/>
      <w:r>
        <w:rPr>
          <w:rFonts w:ascii="Arial" w:hAnsi="Arial"/>
          <w:color w:val="000000" w:themeColor="text1"/>
          <w:kern w:val="2"/>
          <w:sz w:val="32"/>
          <w:szCs w:val="32"/>
          <w:highlight w:val="none"/>
          <w:lang w:val="zh-CN"/>
          <w14:textFill>
            <w14:solidFill>
              <w14:schemeClr w14:val="tx1"/>
            </w14:solidFill>
          </w14:textFill>
        </w:rPr>
        <w:t xml:space="preserve"> </w:t>
      </w:r>
      <w:r>
        <w:rPr>
          <w:rFonts w:hint="eastAsia" w:ascii="Arial" w:hAnsi="Arial"/>
          <w:color w:val="000000" w:themeColor="text1"/>
          <w:kern w:val="2"/>
          <w:sz w:val="32"/>
          <w:szCs w:val="32"/>
          <w:highlight w:val="none"/>
          <w:lang w:val="zh-CN"/>
          <w14:textFill>
            <w14:solidFill>
              <w14:schemeClr w14:val="tx1"/>
            </w14:solidFill>
          </w14:textFill>
        </w:rPr>
        <w:t>服务需求及技术要求</w:t>
      </w:r>
    </w:p>
    <w:p>
      <w:pPr>
        <w:adjustRightInd w:val="0"/>
        <w:snapToGrid w:val="0"/>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一、基本情况</w:t>
      </w:r>
    </w:p>
    <w:p>
      <w:pPr>
        <w:pStyle w:val="4"/>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1.建设规模：</w:t>
      </w:r>
      <w:r>
        <w:rPr>
          <w:rFonts w:hint="eastAsia" w:ascii="宋体" w:hAnsi="宋体" w:cs="宋体"/>
          <w:color w:val="000000" w:themeColor="text1"/>
          <w:sz w:val="21"/>
          <w:szCs w:val="21"/>
          <w:highlight w:val="none"/>
          <w:lang w:val="en-US" w:eastAsia="zh-CN"/>
          <w14:textFill>
            <w14:solidFill>
              <w14:schemeClr w14:val="tx1"/>
            </w14:solidFill>
          </w14:textFill>
        </w:rPr>
        <w:t>本项目在魏家咀污水处理厂、北部新城污水处理厂、凤凰污水处理厂建设光伏电站并新建充电桩系统，运行模式为“自发自用，余电上网”。光伏项目总装机容量约12MW。在魏家咀污水处理厂新建4台120KW充电桩和4台7KW充电桩；依附原建筑物改建一处观景平台。在凤凰污水处理厂新建1台120KW充电桩和2台7KW充电桩</w:t>
      </w:r>
      <w:r>
        <w:rPr>
          <w:rFonts w:hint="eastAsia" w:ascii="宋体" w:hAnsi="宋体" w:cs="宋体"/>
          <w:color w:val="000000" w:themeColor="text1"/>
          <w:sz w:val="21"/>
          <w:szCs w:val="21"/>
          <w:highlight w:val="none"/>
          <w14:textFill>
            <w14:solidFill>
              <w14:schemeClr w14:val="tx1"/>
            </w14:solidFill>
          </w14:textFill>
        </w:rPr>
        <w:t>。</w:t>
      </w:r>
    </w:p>
    <w:p>
      <w:pPr>
        <w:pStyle w:val="4"/>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工程监理内容：上述工程施工及缺陷责任期全过程监理，包括项目的全部工程缺陷责任期期满为止。含建设工程项目施工前期准备阶段及施工阶段的质量、进度、投资控制和安全、合同、信息管理及各参建方协调等监理及后续服务工作。</w:t>
      </w:r>
    </w:p>
    <w:p>
      <w:pPr>
        <w:widowControl/>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依据《安庆市人民政府办公室关于印发安庆市工程建设领域农民工工资专用账户和工程款分账管理办法的通知》（宜政办秘〔2021〕17号）的规定，监理人必须将农民工工资支付情况纳入监理日志内容，督促工程项目总承包人按时足额支付农民工工资。对工程项目发包人未按时足额拨付工资性工程款，工程项目总承包人未按时足额支付农民工工资、未在施工现场醒目位置公示工资性工程款拨付和农民工工资支付清单的，工程项目监理人应及时向安庆市农民工工资专用账户管理办公室报告。</w:t>
      </w:r>
    </w:p>
    <w:p>
      <w:pPr>
        <w:widowControl/>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项目监理人未将农民工工资支付情况记入监理日志的；或应向管理办公室报告农民工工资支付事项而未报告的，由管理办公室限期约谈，责令限期整改，逾期未整改或整改不到位的，记入市建设行业信用信息系统，列入全市建筑市场重点监管对象。</w:t>
      </w:r>
    </w:p>
    <w:p>
      <w:pPr>
        <w:pStyle w:val="4"/>
        <w:numPr>
          <w:ilvl w:val="0"/>
          <w:numId w:val="1"/>
        </w:num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工程监理范围：本次监理工程主要范围为上述工程施工及缺陷责任期全过程监理。在项目实施中如有增减项，成交人的服务内容则相应予以增加或减少，并作为本次招标的组成部分，费用增减按合同约定执行。</w:t>
      </w:r>
    </w:p>
    <w:p>
      <w:pPr>
        <w:pStyle w:val="4"/>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工程监理具体内容详见施工设计图内容和有关说明。</w:t>
      </w:r>
    </w:p>
    <w:p>
      <w:pPr>
        <w:pStyle w:val="4"/>
        <w:numPr>
          <w:ilvl w:val="0"/>
          <w:numId w:val="2"/>
        </w:numPr>
        <w:spacing w:line="360" w:lineRule="auto"/>
        <w:ind w:firstLine="402" w:firstLineChars="20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服务要求</w:t>
      </w:r>
    </w:p>
    <w:p>
      <w:pPr>
        <w:pStyle w:val="4"/>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1.工程质量监理及检查验收标准、采购人的项目实施目标、拟采用的具体项目控制手段：</w:t>
      </w:r>
    </w:p>
    <w:p>
      <w:pPr>
        <w:pStyle w:val="4"/>
        <w:snapToGrid w:val="0"/>
        <w:spacing w:line="360" w:lineRule="auto"/>
        <w:ind w:firstLine="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工程以工程施工设计图纸、图纸会审记录、设计变更通知书、技术联系单、各类试验报告、产品合格证书等有关资料和合同规定的条款为依据，按国家颁布的工程施工验收规范及监理大纲进行监理、检查、验收。</w:t>
      </w:r>
    </w:p>
    <w:p>
      <w:pPr>
        <w:pStyle w:val="4"/>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承诺提供正常监理服务以外其他的相关服务，包括但不限于配合采购人办理报建、报批、报审、施工招标过程的技术服务、施工图设计文件复核、施工合同的拟定、洽谈以及施工许可证申请办理、工程现场前期的准备工作、设计协调、竣工验收、工程结算初审、工程备案以及工期控制等全过程服务。</w:t>
      </w:r>
    </w:p>
    <w:p>
      <w:pPr>
        <w:pStyle w:val="4"/>
        <w:snapToGrid w:val="0"/>
        <w:spacing w:line="360" w:lineRule="auto"/>
        <w:ind w:firstLine="420" w:firstLineChars="200"/>
        <w:jc w:val="left"/>
        <w:rPr>
          <w:rFonts w:ascii="宋体" w:hAnsi="宋体" w:cs="宋体"/>
          <w:color w:val="000000" w:themeColor="text1"/>
          <w:sz w:val="21"/>
          <w:szCs w:val="16"/>
          <w:highlight w:val="none"/>
          <w14:textFill>
            <w14:solidFill>
              <w14:schemeClr w14:val="tx1"/>
            </w14:solidFill>
          </w14:textFill>
        </w:rPr>
      </w:pPr>
      <w:r>
        <w:rPr>
          <w:rFonts w:hint="eastAsia" w:ascii="宋体" w:hAnsi="宋体" w:cs="宋体"/>
          <w:color w:val="000000" w:themeColor="text1"/>
          <w:sz w:val="21"/>
          <w:szCs w:val="16"/>
          <w:highlight w:val="none"/>
          <w14:textFill>
            <w14:solidFill>
              <w14:schemeClr w14:val="tx1"/>
            </w14:solidFill>
          </w14:textFill>
        </w:rPr>
        <w:t>3.成交人在本工程中配备的总监及监理工程师，须具有丰富的监理经验、身体健康、年龄适中、有良好职业道德的专职人员。总监理工程师必须具备国家注册监理工程师执业资格。</w:t>
      </w:r>
    </w:p>
    <w:p>
      <w:pPr>
        <w:spacing w:line="360" w:lineRule="auto"/>
        <w:ind w:firstLine="420" w:firstLineChars="200"/>
        <w:rPr>
          <w:rFonts w:ascii="宋体" w:hAnsi="宋体" w:cs="宋体"/>
          <w:color w:val="000000" w:themeColor="text1"/>
          <w:szCs w:val="16"/>
          <w:highlight w:val="none"/>
          <w14:textFill>
            <w14:solidFill>
              <w14:schemeClr w14:val="tx1"/>
            </w14:solidFill>
          </w14:textFill>
        </w:rPr>
      </w:pPr>
      <w:r>
        <w:rPr>
          <w:rFonts w:hint="eastAsia" w:ascii="宋体" w:hAnsi="宋体" w:cs="宋体"/>
          <w:color w:val="000000" w:themeColor="text1"/>
          <w:szCs w:val="16"/>
          <w:highlight w:val="none"/>
          <w14:textFill>
            <w14:solidFill>
              <w14:schemeClr w14:val="tx1"/>
            </w14:solidFill>
          </w14:textFill>
        </w:rPr>
        <w:t>4.承担本项目监理的监理机构须进驻现场，总监理工程师必须常驻现场，所有监理人员出勤率为100%（除总监），项目监理机构关键岗位人员必须符合住房城乡建设部及安徽省相关标准规定，否则根据相关规定予以处理，直至清退出场。</w:t>
      </w:r>
    </w:p>
    <w:p>
      <w:pPr>
        <w:spacing w:line="360" w:lineRule="auto"/>
        <w:ind w:firstLine="420" w:firstLineChars="200"/>
        <w:rPr>
          <w:rFonts w:ascii="宋体" w:hAnsi="宋体" w:cs="宋体"/>
          <w:color w:val="000000" w:themeColor="text1"/>
          <w:szCs w:val="16"/>
          <w:highlight w:val="none"/>
          <w14:textFill>
            <w14:solidFill>
              <w14:schemeClr w14:val="tx1"/>
            </w14:solidFill>
          </w14:textFill>
        </w:rPr>
      </w:pPr>
      <w:r>
        <w:rPr>
          <w:rFonts w:hint="eastAsia" w:ascii="宋体" w:hAnsi="宋体" w:cs="宋体"/>
          <w:color w:val="000000" w:themeColor="text1"/>
          <w:szCs w:val="16"/>
          <w:highlight w:val="none"/>
          <w14:textFill>
            <w14:solidFill>
              <w14:schemeClr w14:val="tx1"/>
            </w14:solidFill>
          </w14:textFill>
        </w:rPr>
        <w:t>5.在建设过程中，成交人必须按投标时承诺配备的人员及时到位。未经采购人同意，成交人不得擅自更换投标时所报总监理工程师及其他监理人员。根据现场施工情况，保证监理人员每天到场数量，采购人有权根据监理现场人员到位情况，要求其增加专业人员，监理单位必须服从，否则，视同成交人违约，采购人有权中止合同履行。</w:t>
      </w:r>
    </w:p>
    <w:p>
      <w:pPr>
        <w:spacing w:line="360" w:lineRule="auto"/>
        <w:ind w:firstLine="420" w:firstLineChars="200"/>
        <w:rPr>
          <w:rFonts w:ascii="宋体" w:hAnsi="宋体" w:cs="宋体"/>
          <w:color w:val="000000" w:themeColor="text1"/>
          <w:szCs w:val="16"/>
          <w:highlight w:val="none"/>
          <w14:textFill>
            <w14:solidFill>
              <w14:schemeClr w14:val="tx1"/>
            </w14:solidFill>
          </w14:textFill>
        </w:rPr>
      </w:pPr>
      <w:r>
        <w:rPr>
          <w:rFonts w:hint="eastAsia" w:ascii="宋体" w:hAnsi="宋体" w:cs="宋体"/>
          <w:color w:val="000000" w:themeColor="text1"/>
          <w:szCs w:val="16"/>
          <w:highlight w:val="none"/>
          <w14:textFill>
            <w14:solidFill>
              <w14:schemeClr w14:val="tx1"/>
            </w14:solidFill>
          </w14:textFill>
        </w:rPr>
        <w:t>6.因监理原因造成工程质量缺陷、进度滞后、工期延误，给委托人造成损失的，委托人有权在监理合同价款中扣除相关损失费用。</w:t>
      </w:r>
    </w:p>
    <w:p>
      <w:pPr>
        <w:spacing w:line="360" w:lineRule="auto"/>
        <w:ind w:firstLine="420" w:firstLineChars="200"/>
        <w:rPr>
          <w:rFonts w:ascii="宋体" w:hAnsi="宋体" w:cs="宋体"/>
          <w:color w:val="000000" w:themeColor="text1"/>
          <w:szCs w:val="16"/>
          <w:highlight w:val="none"/>
          <w14:textFill>
            <w14:solidFill>
              <w14:schemeClr w14:val="tx1"/>
            </w14:solidFill>
          </w14:textFill>
        </w:rPr>
      </w:pPr>
      <w:r>
        <w:rPr>
          <w:rFonts w:hint="eastAsia" w:ascii="宋体" w:hAnsi="宋体" w:cs="宋体"/>
          <w:color w:val="000000" w:themeColor="text1"/>
          <w:szCs w:val="16"/>
          <w:highlight w:val="none"/>
          <w14:textFill>
            <w14:solidFill>
              <w14:schemeClr w14:val="tx1"/>
            </w14:solidFill>
          </w14:textFill>
        </w:rPr>
        <w:t>7.成交人应及时安排专业人员负责本项目的工程量形象进度审核工作，向委托人提交监理工作月报及监理业务范围内的专项报告。</w:t>
      </w:r>
    </w:p>
    <w:p>
      <w:pPr>
        <w:spacing w:line="360" w:lineRule="auto"/>
        <w:ind w:firstLine="422" w:firstLineChars="200"/>
        <w:rPr>
          <w:rFonts w:ascii="宋体" w:hAnsi="宋体" w:cs="宋体"/>
          <w:b/>
          <w:bCs/>
          <w:color w:val="000000" w:themeColor="text1"/>
          <w:szCs w:val="16"/>
          <w:highlight w:val="none"/>
          <w14:textFill>
            <w14:solidFill>
              <w14:schemeClr w14:val="tx1"/>
            </w14:solidFill>
          </w14:textFill>
        </w:rPr>
      </w:pPr>
      <w:r>
        <w:rPr>
          <w:rFonts w:hint="eastAsia" w:ascii="宋体" w:hAnsi="宋体" w:cs="宋体"/>
          <w:b/>
          <w:bCs/>
          <w:color w:val="000000" w:themeColor="text1"/>
          <w:szCs w:val="16"/>
          <w:highlight w:val="none"/>
          <w14:textFill>
            <w14:solidFill>
              <w14:schemeClr w14:val="tx1"/>
            </w14:solidFill>
          </w14:textFill>
        </w:rPr>
        <w:t>三、本项目人员的最低配备要求</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2715"/>
        <w:gridCol w:w="4325"/>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409" w:type="pct"/>
            <w:vAlign w:val="center"/>
          </w:tcPr>
          <w:p>
            <w:pPr>
              <w:jc w:val="center"/>
              <w:rPr>
                <w:rFonts w:ascii="宋体" w:hAnsi="宋体" w:cs="宋体"/>
                <w:b/>
                <w:bCs/>
                <w:color w:val="000000" w:themeColor="text1"/>
                <w:spacing w:val="20"/>
                <w:sz w:val="28"/>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1594" w:type="pct"/>
            <w:vAlign w:val="center"/>
          </w:tcPr>
          <w:p>
            <w:pPr>
              <w:jc w:val="center"/>
              <w:rPr>
                <w:rFonts w:ascii="宋体" w:hAnsi="宋体" w:cs="宋体"/>
                <w:b/>
                <w:bCs/>
                <w:color w:val="000000" w:themeColor="text1"/>
                <w:spacing w:val="20"/>
                <w:sz w:val="28"/>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监理岗位</w:t>
            </w:r>
          </w:p>
        </w:tc>
        <w:tc>
          <w:tcPr>
            <w:tcW w:w="2538" w:type="pct"/>
            <w:vAlign w:val="center"/>
          </w:tcPr>
          <w:p>
            <w:pPr>
              <w:jc w:val="center"/>
              <w:rPr>
                <w:rFonts w:ascii="宋体" w:hAnsi="宋体" w:cs="宋体"/>
                <w:b/>
                <w:bCs/>
                <w:color w:val="000000" w:themeColor="text1"/>
                <w:spacing w:val="20"/>
                <w:sz w:val="28"/>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资格要求</w:t>
            </w:r>
          </w:p>
        </w:tc>
        <w:tc>
          <w:tcPr>
            <w:tcW w:w="457" w:type="pct"/>
            <w:vAlign w:val="center"/>
          </w:tcPr>
          <w:p>
            <w:pPr>
              <w:jc w:val="center"/>
              <w:rPr>
                <w:rFonts w:ascii="宋体" w:hAnsi="宋体" w:cs="宋体"/>
                <w:b/>
                <w:bCs/>
                <w:color w:val="000000" w:themeColor="text1"/>
                <w:spacing w:val="20"/>
                <w:sz w:val="28"/>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exact"/>
        </w:trPr>
        <w:tc>
          <w:tcPr>
            <w:tcW w:w="409" w:type="pct"/>
            <w:vAlign w:val="center"/>
          </w:tcPr>
          <w:p>
            <w:pPr>
              <w:spacing w:beforeLines="50" w:afterLines="50"/>
              <w:jc w:val="center"/>
              <w:rPr>
                <w:rFonts w:ascii="宋体" w:hAnsi="宋体" w:cs="宋体"/>
                <w:color w:val="000000" w:themeColor="text1"/>
                <w:spacing w:val="20"/>
                <w:szCs w:val="16"/>
                <w:highlight w:val="none"/>
                <w14:textFill>
                  <w14:solidFill>
                    <w14:schemeClr w14:val="tx1"/>
                  </w14:solidFill>
                </w14:textFill>
              </w:rPr>
            </w:pPr>
            <w:r>
              <w:rPr>
                <w:color w:val="000000" w:themeColor="text1"/>
                <w:highlight w:val="none"/>
                <w14:textFill>
                  <w14:solidFill>
                    <w14:schemeClr w14:val="tx1"/>
                  </w14:solidFill>
                </w14:textFill>
              </w:rPr>
              <w:t>1</w:t>
            </w:r>
          </w:p>
        </w:tc>
        <w:tc>
          <w:tcPr>
            <w:tcW w:w="1594" w:type="pct"/>
            <w:vAlign w:val="center"/>
          </w:tcPr>
          <w:p>
            <w:pPr>
              <w:jc w:val="center"/>
              <w:rPr>
                <w:rFonts w:ascii="宋体" w:hAnsi="宋体" w:cs="宋体"/>
                <w:color w:val="000000" w:themeColor="text1"/>
                <w:spacing w:val="20"/>
                <w:szCs w:val="16"/>
                <w:highlight w:val="none"/>
                <w14:textFill>
                  <w14:solidFill>
                    <w14:schemeClr w14:val="tx1"/>
                  </w14:solidFill>
                </w14:textFill>
              </w:rPr>
            </w:pPr>
            <w:r>
              <w:rPr>
                <w:rFonts w:hint="eastAsia" w:ascii="宋体" w:hAnsi="宋体" w:cs="宋体"/>
                <w:color w:val="000000" w:themeColor="text1"/>
                <w:spacing w:val="20"/>
                <w:szCs w:val="16"/>
                <w:highlight w:val="none"/>
                <w14:textFill>
                  <w14:solidFill>
                    <w14:schemeClr w14:val="tx1"/>
                  </w14:solidFill>
                </w14:textFill>
              </w:rPr>
              <w:t>总监理工程师</w:t>
            </w:r>
          </w:p>
        </w:tc>
        <w:tc>
          <w:tcPr>
            <w:tcW w:w="2538" w:type="pct"/>
            <w:vAlign w:val="center"/>
          </w:tcPr>
          <w:p>
            <w:pPr>
              <w:widowControl/>
              <w:rPr>
                <w:rFonts w:ascii="宋体" w:hAnsi="宋体" w:cs="宋体"/>
                <w:color w:val="000000" w:themeColor="text1"/>
                <w:spacing w:val="20"/>
                <w:szCs w:val="16"/>
                <w:highlight w:val="none"/>
                <w14:textFill>
                  <w14:solidFill>
                    <w14:schemeClr w14:val="tx1"/>
                  </w14:solidFill>
                </w14:textFill>
              </w:rPr>
            </w:pPr>
            <w:r>
              <w:rPr>
                <w:rFonts w:hint="eastAsia" w:ascii="宋体" w:hAnsi="宋体" w:cs="宋体"/>
                <w:color w:val="000000" w:themeColor="text1"/>
                <w:spacing w:val="20"/>
                <w:szCs w:val="16"/>
                <w:highlight w:val="none"/>
                <w14:textFill>
                  <w14:solidFill>
                    <w14:schemeClr w14:val="tx1"/>
                  </w14:solidFill>
                </w14:textFill>
              </w:rPr>
              <w:t>具有</w:t>
            </w:r>
            <w:r>
              <w:rPr>
                <w:rFonts w:hint="eastAsia" w:ascii="宋体" w:hAnsi="宋体" w:cs="宋体"/>
                <w:color w:val="000000" w:themeColor="text1"/>
                <w:spacing w:val="20"/>
                <w:szCs w:val="16"/>
                <w:highlight w:val="none"/>
                <w:u w:val="single"/>
                <w14:textFill>
                  <w14:solidFill>
                    <w14:schemeClr w14:val="tx1"/>
                  </w14:solidFill>
                </w14:textFill>
              </w:rPr>
              <w:t>电力工程专业</w:t>
            </w:r>
            <w:r>
              <w:rPr>
                <w:rFonts w:hint="eastAsia" w:ascii="宋体" w:hAnsi="宋体" w:cs="宋体"/>
                <w:color w:val="000000" w:themeColor="text1"/>
                <w:spacing w:val="20"/>
                <w:szCs w:val="16"/>
                <w:highlight w:val="none"/>
                <w14:textFill>
                  <w14:solidFill>
                    <w14:schemeClr w14:val="tx1"/>
                  </w14:solidFill>
                </w14:textFill>
              </w:rPr>
              <w:t>国家监理工程师注册证书</w:t>
            </w:r>
          </w:p>
        </w:tc>
        <w:tc>
          <w:tcPr>
            <w:tcW w:w="457" w:type="pct"/>
            <w:vAlign w:val="center"/>
          </w:tcPr>
          <w:p>
            <w:pPr>
              <w:spacing w:beforeLines="50" w:afterLines="50"/>
              <w:jc w:val="center"/>
              <w:rPr>
                <w:rFonts w:ascii="宋体" w:hAnsi="宋体" w:cs="宋体"/>
                <w:b/>
                <w:color w:val="000000" w:themeColor="text1"/>
                <w:spacing w:val="20"/>
                <w:szCs w:val="16"/>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exact"/>
        </w:trPr>
        <w:tc>
          <w:tcPr>
            <w:tcW w:w="409" w:type="pct"/>
            <w:vAlign w:val="center"/>
          </w:tcPr>
          <w:p>
            <w:pPr>
              <w:spacing w:line="360" w:lineRule="auto"/>
              <w:jc w:val="center"/>
              <w:rPr>
                <w:rFonts w:ascii="宋体" w:hAnsi="宋体" w:cs="宋体"/>
                <w:color w:val="000000" w:themeColor="text1"/>
                <w:spacing w:val="20"/>
                <w:szCs w:val="16"/>
                <w:highlight w:val="none"/>
                <w14:textFill>
                  <w14:solidFill>
                    <w14:schemeClr w14:val="tx1"/>
                  </w14:solidFill>
                </w14:textFill>
              </w:rPr>
            </w:pPr>
            <w:r>
              <w:rPr>
                <w:rFonts w:hint="eastAsia" w:ascii="宋体" w:hAnsi="宋体" w:cs="宋体"/>
                <w:color w:val="000000" w:themeColor="text1"/>
                <w:spacing w:val="20"/>
                <w:szCs w:val="16"/>
                <w:highlight w:val="none"/>
                <w14:textFill>
                  <w14:solidFill>
                    <w14:schemeClr w14:val="tx1"/>
                  </w14:solidFill>
                </w14:textFill>
              </w:rPr>
              <w:t>2</w:t>
            </w:r>
          </w:p>
        </w:tc>
        <w:tc>
          <w:tcPr>
            <w:tcW w:w="1594" w:type="pct"/>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专业监理工程师</w:t>
            </w:r>
          </w:p>
        </w:tc>
        <w:tc>
          <w:tcPr>
            <w:tcW w:w="2538" w:type="pct"/>
            <w:vAlign w:val="center"/>
          </w:tcPr>
          <w:p>
            <w:pPr>
              <w:rPr>
                <w:rFonts w:ascii="宋体" w:hAnsi="宋体" w:cs="宋体"/>
                <w:color w:val="000000" w:themeColor="text1"/>
                <w:szCs w:val="16"/>
                <w:highlight w:val="none"/>
                <w14:textFill>
                  <w14:solidFill>
                    <w14:schemeClr w14:val="tx1"/>
                  </w14:solidFill>
                </w14:textFill>
              </w:rPr>
            </w:pPr>
            <w:r>
              <w:rPr>
                <w:rFonts w:hint="eastAsia" w:ascii="宋体" w:hAnsi="宋体" w:cs="宋体"/>
                <w:color w:val="000000" w:themeColor="text1"/>
                <w:spacing w:val="20"/>
                <w:szCs w:val="16"/>
                <w:highlight w:val="none"/>
                <w14:textFill>
                  <w14:solidFill>
                    <w14:schemeClr w14:val="tx1"/>
                  </w14:solidFill>
                </w14:textFill>
              </w:rPr>
              <w:t>具有</w:t>
            </w:r>
            <w:r>
              <w:rPr>
                <w:rFonts w:hint="eastAsia" w:ascii="宋体" w:hAnsi="宋体" w:cs="宋体"/>
                <w:color w:val="000000" w:themeColor="text1"/>
                <w:spacing w:val="20"/>
                <w:szCs w:val="16"/>
                <w:highlight w:val="none"/>
                <w:u w:val="single"/>
                <w14:textFill>
                  <w14:solidFill>
                    <w14:schemeClr w14:val="tx1"/>
                  </w14:solidFill>
                </w14:textFill>
              </w:rPr>
              <w:t>电力工程专业</w:t>
            </w:r>
            <w:r>
              <w:rPr>
                <w:rFonts w:hint="eastAsia" w:ascii="宋体" w:hAnsi="宋体" w:cs="宋体"/>
                <w:color w:val="000000" w:themeColor="text1"/>
                <w:spacing w:val="20"/>
                <w:szCs w:val="16"/>
                <w:highlight w:val="none"/>
                <w14:textFill>
                  <w14:solidFill>
                    <w14:schemeClr w14:val="tx1"/>
                  </w14:solidFill>
                </w14:textFill>
              </w:rPr>
              <w:t>国家监理工程师注册证书</w:t>
            </w:r>
          </w:p>
        </w:tc>
        <w:tc>
          <w:tcPr>
            <w:tcW w:w="457" w:type="pct"/>
            <w:vAlign w:val="center"/>
          </w:tcPr>
          <w:p>
            <w:pPr>
              <w:spacing w:line="360" w:lineRule="auto"/>
              <w:jc w:val="center"/>
              <w:rPr>
                <w:rFonts w:ascii="宋体" w:hAnsi="宋体" w:cs="宋体"/>
                <w:b/>
                <w:color w:val="000000" w:themeColor="text1"/>
                <w:spacing w:val="20"/>
                <w:szCs w:val="16"/>
                <w:highlight w:val="none"/>
                <w14:textFill>
                  <w14:solidFill>
                    <w14:schemeClr w14:val="tx1"/>
                  </w14:solidFill>
                </w14:textFill>
              </w:rPr>
            </w:pPr>
            <w:r>
              <w:rPr>
                <w:rFonts w:hint="eastAsia" w:ascii="宋体" w:hAnsi="宋体" w:cs="宋体"/>
                <w:b/>
                <w:color w:val="000000" w:themeColor="text1"/>
                <w:spacing w:val="20"/>
                <w:szCs w:val="16"/>
                <w:highlight w:val="none"/>
                <w14:textFill>
                  <w14:solidFill>
                    <w14:schemeClr w14:val="tx1"/>
                  </w14:solidFill>
                </w14:textFill>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3" w:hRule="exact"/>
        </w:trPr>
        <w:tc>
          <w:tcPr>
            <w:tcW w:w="409" w:type="pct"/>
            <w:vAlign w:val="center"/>
          </w:tcPr>
          <w:p>
            <w:pPr>
              <w:spacing w:line="360" w:lineRule="auto"/>
              <w:jc w:val="center"/>
              <w:rPr>
                <w:rFonts w:hint="eastAsia" w:ascii="宋体" w:hAnsi="宋体" w:eastAsia="宋体" w:cs="宋体"/>
                <w:color w:val="000000" w:themeColor="text1"/>
                <w:spacing w:val="20"/>
                <w:szCs w:val="16"/>
                <w:highlight w:val="none"/>
                <w:lang w:val="en-US" w:eastAsia="zh-CN"/>
                <w14:textFill>
                  <w14:solidFill>
                    <w14:schemeClr w14:val="tx1"/>
                  </w14:solidFill>
                </w14:textFill>
              </w:rPr>
            </w:pPr>
            <w:r>
              <w:rPr>
                <w:rFonts w:hint="eastAsia" w:ascii="宋体" w:hAnsi="宋体" w:cs="宋体"/>
                <w:color w:val="000000" w:themeColor="text1"/>
                <w:spacing w:val="20"/>
                <w:szCs w:val="16"/>
                <w:highlight w:val="none"/>
                <w:lang w:val="en-US" w:eastAsia="zh-CN"/>
                <w14:textFill>
                  <w14:solidFill>
                    <w14:schemeClr w14:val="tx1"/>
                  </w14:solidFill>
                </w14:textFill>
              </w:rPr>
              <w:t>3</w:t>
            </w:r>
          </w:p>
        </w:tc>
        <w:tc>
          <w:tcPr>
            <w:tcW w:w="1594" w:type="pct"/>
            <w:vAlign w:val="center"/>
          </w:tcPr>
          <w:p>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监理员</w:t>
            </w:r>
          </w:p>
        </w:tc>
        <w:tc>
          <w:tcPr>
            <w:tcW w:w="2538" w:type="pct"/>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根 据 安 徽 省 住 房 和 城 乡 建 设 厅 </w:t>
            </w:r>
          </w:p>
          <w:p>
            <w:pPr>
              <w:keepNext w:val="0"/>
              <w:keepLines w:val="0"/>
              <w:widowControl/>
              <w:suppressLineNumbers w:val="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 关 于 调 整 招 标 投 标 活 动 中 有 关 </w:t>
            </w:r>
          </w:p>
          <w:p>
            <w:pPr>
              <w:keepNext w:val="0"/>
              <w:keepLines w:val="0"/>
              <w:widowControl/>
              <w:suppressLineNumbers w:val="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住 房 城 乡 建 设 领 域 现 场 专 业 人 员 </w:t>
            </w:r>
          </w:p>
          <w:p>
            <w:pPr>
              <w:keepNext w:val="0"/>
              <w:keepLines w:val="0"/>
              <w:widowControl/>
              <w:suppressLineNumbers w:val="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证 书 要 求 的 通 知 》（ 建 市 函〔 2019〕 </w:t>
            </w:r>
          </w:p>
          <w:p>
            <w:pPr>
              <w:keepNext w:val="0"/>
              <w:keepLines w:val="0"/>
              <w:widowControl/>
              <w:suppressLineNumbers w:val="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1112 号 ） 要 求 ， 不 再 要 求 将 住 房 </w:t>
            </w:r>
          </w:p>
          <w:p>
            <w:pPr>
              <w:keepNext w:val="0"/>
              <w:keepLines w:val="0"/>
              <w:widowControl/>
              <w:suppressLineNumbers w:val="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城 乡 建 设 领 域 监 理 员 持 证 情 况 列 </w:t>
            </w:r>
          </w:p>
          <w:p>
            <w:pPr>
              <w:keepNext w:val="0"/>
              <w:keepLines w:val="0"/>
              <w:widowControl/>
              <w:suppressLineNumbers w:val="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入 招 标 投 标 文 件 。 中 标 人 和 招 标 </w:t>
            </w:r>
          </w:p>
          <w:p>
            <w:pPr>
              <w:keepNext w:val="0"/>
              <w:keepLines w:val="0"/>
              <w:widowControl/>
              <w:suppressLineNumbers w:val="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人 在 签 订 合 同 时 应 按 照 不 低 于 本 </w:t>
            </w:r>
          </w:p>
          <w:p>
            <w:pPr>
              <w:keepNext w:val="0"/>
              <w:keepLines w:val="0"/>
              <w:widowControl/>
              <w:suppressLineNumbers w:val="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表 监 理 员 配 置 的 要 求 填 写 承 包 人 </w:t>
            </w:r>
          </w:p>
          <w:p>
            <w:pPr>
              <w:keepNext w:val="0"/>
              <w:keepLines w:val="0"/>
              <w:widowControl/>
              <w:suppressLineNumbers w:val="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主 要 人 员 表 ， 并 作 为 合 同 的 附 件 </w:t>
            </w:r>
          </w:p>
          <w:p>
            <w:pPr>
              <w:keepNext w:val="0"/>
              <w:keepLines w:val="0"/>
              <w:widowControl/>
              <w:suppressLineNumbers w:val="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之 一 。 </w:t>
            </w:r>
          </w:p>
          <w:p>
            <w:pPr>
              <w:rPr>
                <w:rFonts w:hint="eastAsia" w:ascii="宋体" w:hAnsi="宋体" w:cs="宋体"/>
                <w:color w:val="000000" w:themeColor="text1"/>
                <w:spacing w:val="20"/>
                <w:szCs w:val="16"/>
                <w:highlight w:val="none"/>
                <w14:textFill>
                  <w14:solidFill>
                    <w14:schemeClr w14:val="tx1"/>
                  </w14:solidFill>
                </w14:textFill>
              </w:rPr>
            </w:pPr>
          </w:p>
        </w:tc>
        <w:tc>
          <w:tcPr>
            <w:tcW w:w="457" w:type="pct"/>
            <w:vAlign w:val="center"/>
          </w:tcPr>
          <w:p>
            <w:pPr>
              <w:spacing w:line="360" w:lineRule="auto"/>
              <w:jc w:val="center"/>
              <w:rPr>
                <w:rFonts w:hint="default" w:ascii="宋体" w:hAnsi="宋体" w:eastAsia="宋体" w:cs="宋体"/>
                <w:b/>
                <w:color w:val="000000" w:themeColor="text1"/>
                <w:spacing w:val="20"/>
                <w:szCs w:val="16"/>
                <w:highlight w:val="none"/>
                <w:lang w:val="en-US" w:eastAsia="zh-CN"/>
                <w14:textFill>
                  <w14:solidFill>
                    <w14:schemeClr w14:val="tx1"/>
                  </w14:solidFill>
                </w14:textFill>
              </w:rPr>
            </w:pPr>
            <w:r>
              <w:rPr>
                <w:rFonts w:hint="eastAsia" w:ascii="宋体" w:hAnsi="宋体" w:cs="宋体"/>
                <w:b/>
                <w:color w:val="000000" w:themeColor="text1"/>
                <w:spacing w:val="20"/>
                <w:szCs w:val="16"/>
                <w:highlight w:val="none"/>
                <w:lang w:val="en-US" w:eastAsia="zh-CN"/>
                <w14:textFill>
                  <w14:solidFill>
                    <w14:schemeClr w14:val="tx1"/>
                  </w14:solidFill>
                </w14:textFill>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542" w:type="pct"/>
            <w:gridSpan w:val="3"/>
            <w:vAlign w:val="center"/>
          </w:tcPr>
          <w:p>
            <w:pPr>
              <w:spacing w:line="360" w:lineRule="auto"/>
              <w:jc w:val="center"/>
              <w:rPr>
                <w:rFonts w:ascii="宋体" w:hAnsi="宋体" w:cs="宋体"/>
                <w:color w:val="000000" w:themeColor="text1"/>
                <w:spacing w:val="20"/>
                <w:szCs w:val="16"/>
                <w:highlight w:val="none"/>
                <w14:textFill>
                  <w14:solidFill>
                    <w14:schemeClr w14:val="tx1"/>
                  </w14:solidFill>
                </w14:textFill>
              </w:rPr>
            </w:pPr>
            <w:r>
              <w:rPr>
                <w:rFonts w:hint="eastAsia" w:ascii="宋体" w:hAnsi="宋体" w:cs="宋体"/>
                <w:color w:val="000000" w:themeColor="text1"/>
                <w:spacing w:val="20"/>
                <w:szCs w:val="16"/>
                <w:highlight w:val="none"/>
                <w14:textFill>
                  <w14:solidFill>
                    <w14:schemeClr w14:val="tx1"/>
                  </w14:solidFill>
                </w14:textFill>
              </w:rPr>
              <w:t>合计</w:t>
            </w:r>
          </w:p>
        </w:tc>
        <w:tc>
          <w:tcPr>
            <w:tcW w:w="457" w:type="pct"/>
            <w:vAlign w:val="center"/>
          </w:tcPr>
          <w:p>
            <w:pPr>
              <w:spacing w:line="360" w:lineRule="auto"/>
              <w:jc w:val="center"/>
              <w:rPr>
                <w:rFonts w:hint="default" w:ascii="宋体" w:hAnsi="宋体" w:eastAsia="宋体" w:cs="宋体"/>
                <w:bCs/>
                <w:color w:val="000000" w:themeColor="text1"/>
                <w:spacing w:val="20"/>
                <w:szCs w:val="16"/>
                <w:highlight w:val="none"/>
                <w:lang w:val="en-US" w:eastAsia="zh-CN"/>
                <w14:textFill>
                  <w14:solidFill>
                    <w14:schemeClr w14:val="tx1"/>
                  </w14:solidFill>
                </w14:textFill>
              </w:rPr>
            </w:pPr>
            <w:r>
              <w:rPr>
                <w:rFonts w:hint="eastAsia" w:ascii="宋体" w:hAnsi="宋体" w:cs="宋体"/>
                <w:bCs/>
                <w:color w:val="000000" w:themeColor="text1"/>
                <w:spacing w:val="20"/>
                <w:szCs w:val="16"/>
                <w:highlight w:val="none"/>
                <w:lang w:val="en-US" w:eastAsia="zh-CN"/>
                <w14:textFill>
                  <w14:solidFill>
                    <w14:schemeClr w14:val="tx1"/>
                  </w14:solidFill>
                </w14:textFill>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5000" w:type="pct"/>
            <w:gridSpan w:val="4"/>
            <w:vAlign w:val="center"/>
          </w:tcPr>
          <w:p>
            <w:pPr>
              <w:spacing w:line="4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人员配备通则：</w:t>
            </w:r>
          </w:p>
          <w:p>
            <w:pPr>
              <w:widowControl/>
              <w:spacing w:line="4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表中所列监理人员配额为投标时须提供的最低专业人数要求；施工过程中，成交人项目监理机构关键岗位人员须符合住房城乡建设部及安徽省相关标准规定，配置满足工程项目监理工作进展需要人数，且应专业配套。</w:t>
            </w:r>
          </w:p>
          <w:p>
            <w:pPr>
              <w:spacing w:line="4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2.如监理工程师岗位证书未体现专业，则须提供毕业证书或职称证书或工程建设类注册资格证书证明。</w:t>
            </w:r>
          </w:p>
          <w:p>
            <w:pPr>
              <w:spacing w:line="440" w:lineRule="exact"/>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3.成交人不得擅自更换响应文件中所报总监理工程师、专业监理工程师,否则采购人有权解除合同，由此造成的损失由成交人自行承担。确需更换的须在签订合同后，报经采购人同意后按相关规定办理。更换项目总监的处以5万元/人·次的违约金，更换专业监理工程师的处以2万元/人·次的违约金，更换后的人员不得低于承包人投标时所报人员资质和技术水平。</w:t>
            </w:r>
          </w:p>
          <w:p>
            <w:pPr>
              <w:pStyle w:val="2"/>
              <w:spacing w:line="440" w:lineRule="exact"/>
              <w:rPr>
                <w:color w:val="000000" w:themeColor="text1"/>
                <w:highlight w:val="none"/>
                <w14:textFill>
                  <w14:solidFill>
                    <w14:schemeClr w14:val="tx1"/>
                  </w14:solidFill>
                </w14:textFill>
              </w:rPr>
            </w:pPr>
            <w:r>
              <w:rPr>
                <w:rFonts w:hint="eastAsia" w:ascii="Times New Roman" w:hAnsi="Times New Roman" w:eastAsia="宋体"/>
                <w:b/>
                <w:bCs/>
                <w:color w:val="000000" w:themeColor="text1"/>
                <w:sz w:val="21"/>
                <w:highlight w:val="none"/>
                <w14:textFill>
                  <w14:solidFill>
                    <w14:schemeClr w14:val="tx1"/>
                  </w14:solidFill>
                </w14:textFill>
              </w:rPr>
              <w:t>4.拟派人员须是本单位人员（不接受退休返聘人员、外聘人员），参选文件中提供</w:t>
            </w:r>
            <w:r>
              <w:rPr>
                <w:rFonts w:hint="eastAsia" w:ascii="Times New Roman" w:hAnsi="Times New Roman" w:eastAsia="宋体"/>
                <w:b/>
                <w:bCs/>
                <w:color w:val="000000" w:themeColor="text1"/>
                <w:sz w:val="21"/>
                <w:highlight w:val="none"/>
                <w:lang w:val="en-US" w:eastAsia="zh-CN"/>
                <w14:textFill>
                  <w14:solidFill>
                    <w14:schemeClr w14:val="tx1"/>
                  </w14:solidFill>
                </w14:textFill>
              </w:rPr>
              <w:t>以上人员（监理员除外）</w:t>
            </w:r>
            <w:r>
              <w:rPr>
                <w:rFonts w:hint="eastAsia" w:ascii="Times New Roman" w:hAnsi="Times New Roman" w:eastAsia="宋体"/>
                <w:b/>
                <w:bCs/>
                <w:color w:val="000000" w:themeColor="text1"/>
                <w:sz w:val="21"/>
                <w:highlight w:val="none"/>
                <w14:textFill>
                  <w14:solidFill>
                    <w14:schemeClr w14:val="tx1"/>
                  </w14:solidFill>
                </w14:textFill>
              </w:rPr>
              <w:t>自</w:t>
            </w:r>
            <w:r>
              <w:rPr>
                <w:rFonts w:hint="eastAsia" w:ascii="Times New Roman" w:hAnsi="Times New Roman" w:eastAsia="宋体"/>
                <w:b/>
                <w:bCs/>
                <w:color w:val="000000" w:themeColor="text1"/>
                <w:sz w:val="21"/>
                <w:highlight w:val="none"/>
                <w:lang w:eastAsia="zh-CN"/>
                <w14:textFill>
                  <w14:solidFill>
                    <w14:schemeClr w14:val="tx1"/>
                  </w14:solidFill>
                </w14:textFill>
              </w:rPr>
              <w:t>2024</w:t>
            </w:r>
            <w:r>
              <w:rPr>
                <w:rFonts w:hint="eastAsia" w:ascii="Times New Roman" w:hAnsi="Times New Roman" w:eastAsia="宋体"/>
                <w:b/>
                <w:bCs/>
                <w:color w:val="000000" w:themeColor="text1"/>
                <w:sz w:val="21"/>
                <w:highlight w:val="none"/>
                <w14:textFill>
                  <w14:solidFill>
                    <w14:schemeClr w14:val="tx1"/>
                  </w14:solidFill>
                </w14:textFill>
              </w:rPr>
              <w:t>年1月至今任意</w:t>
            </w:r>
            <w:r>
              <w:rPr>
                <w:rFonts w:hint="eastAsia" w:ascii="Times New Roman" w:hAnsi="Times New Roman" w:eastAsia="宋体"/>
                <w:b/>
                <w:bCs/>
                <w:color w:val="000000" w:themeColor="text1"/>
                <w:sz w:val="21"/>
                <w:highlight w:val="none"/>
                <w:lang w:val="en-US" w:eastAsia="zh-CN"/>
                <w14:textFill>
                  <w14:solidFill>
                    <w14:schemeClr w14:val="tx1"/>
                  </w14:solidFill>
                </w14:textFill>
              </w:rPr>
              <w:t>1</w:t>
            </w:r>
            <w:r>
              <w:rPr>
                <w:rFonts w:hint="eastAsia" w:ascii="Times New Roman" w:hAnsi="Times New Roman" w:eastAsia="宋体"/>
                <w:b/>
                <w:bCs/>
                <w:color w:val="000000" w:themeColor="text1"/>
                <w:sz w:val="21"/>
                <w:highlight w:val="none"/>
                <w14:textFill>
                  <w14:solidFill>
                    <w14:schemeClr w14:val="tx1"/>
                  </w14:solidFill>
                </w14:textFill>
              </w:rPr>
              <w:t>个月的本单位社保缴纳证明。</w:t>
            </w:r>
          </w:p>
        </w:tc>
      </w:tr>
    </w:tbl>
    <w:p>
      <w:pPr>
        <w:widowControl/>
        <w:spacing w:line="440" w:lineRule="exact"/>
        <w:ind w:firstLine="422" w:firstLineChars="200"/>
        <w:jc w:val="left"/>
        <w:rPr>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 xml:space="preserve">四、报价要求 </w:t>
      </w:r>
    </w:p>
    <w:p>
      <w:pPr>
        <w:widowControl/>
        <w:spacing w:line="440" w:lineRule="exact"/>
        <w:ind w:firstLine="422" w:firstLineChars="200"/>
        <w:jc w:val="left"/>
        <w:rPr>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 xml:space="preserve">1、本项目报总价，报价包含满足本次采购需求的所有费用（包括但不限于：人工费、材料费、交通费、培训费、印刷费、管理费、保险、税金等）。报价由供应商依据现场实际情况，结合供应商自身技术和管理水平、经营状况、机械配备以及制定的监理大纲和比选文件的有关要求自行报价。 </w:t>
      </w:r>
    </w:p>
    <w:p>
      <w:pPr>
        <w:widowControl/>
        <w:spacing w:line="440" w:lineRule="exact"/>
        <w:ind w:firstLine="420" w:firstLineChars="200"/>
        <w:jc w:val="left"/>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2.供应商须对目前市场因素、现场环境因素、社会因素等不确定因素对保证实现预定工期目标造成的风险费用做出估计，并包含在报价中，成交后不得以估计不足为由而提出任何增加监理服务价款或索赔要求。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B4B56"/>
    <w:multiLevelType w:val="singleLevel"/>
    <w:tmpl w:val="872B4B56"/>
    <w:lvl w:ilvl="0" w:tentative="0">
      <w:start w:val="2"/>
      <w:numFmt w:val="chineseCounting"/>
      <w:suff w:val="nothing"/>
      <w:lvlText w:val="%1、"/>
      <w:lvlJc w:val="left"/>
      <w:rPr>
        <w:rFonts w:hint="eastAsia"/>
      </w:rPr>
    </w:lvl>
  </w:abstractNum>
  <w:abstractNum w:abstractNumId="1">
    <w:nsid w:val="15A0F6E5"/>
    <w:multiLevelType w:val="singleLevel"/>
    <w:tmpl w:val="15A0F6E5"/>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3ZGU5YzFmMjAyNTFlYzY2YTkwYmU3ZGU5YzU4YjEifQ=="/>
  </w:docVars>
  <w:rsids>
    <w:rsidRoot w:val="051D7961"/>
    <w:rsid w:val="051D7961"/>
    <w:rsid w:val="7AFE5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楷体_GB2312" w:hAnsi="Arial" w:eastAsia="楷体_GB2312"/>
      <w:sz w:val="20"/>
    </w:rPr>
  </w:style>
  <w:style w:type="paragraph" w:styleId="4">
    <w:name w:val="Body Text Indent"/>
    <w:basedOn w:val="1"/>
    <w:next w:val="5"/>
    <w:qFormat/>
    <w:uiPriority w:val="0"/>
    <w:pPr>
      <w:ind w:firstLine="645"/>
    </w:pPr>
    <w:rPr>
      <w:sz w:val="20"/>
    </w:rPr>
  </w:style>
  <w:style w:type="paragraph" w:styleId="5">
    <w:name w:val="envelope return"/>
    <w:basedOn w:val="1"/>
    <w:next w:val="6"/>
    <w:unhideWhenUsed/>
    <w:qFormat/>
    <w:uiPriority w:val="99"/>
    <w:pPr>
      <w:snapToGrid w:val="0"/>
    </w:pPr>
    <w:rPr>
      <w:rFonts w:hint="eastAsia" w:ascii="Arial" w:hAnsi="Arial"/>
    </w:rPr>
  </w:style>
  <w:style w:type="paragraph" w:styleId="6">
    <w:name w:val="Title"/>
    <w:basedOn w:val="1"/>
    <w:next w:val="1"/>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customStyle="1" w:styleId="9">
    <w:name w:val="模板普通正文"/>
    <w:basedOn w:val="4"/>
    <w:qFormat/>
    <w:uiPriority w:val="0"/>
    <w:pPr>
      <w:spacing w:beforeLines="50" w:after="10"/>
      <w:ind w:firstLine="490" w:firstLineChars="175"/>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2261</Words>
  <Characters>2306</Characters>
  <Lines>0</Lines>
  <Paragraphs>0</Paragraphs>
  <TotalTime>0</TotalTime>
  <ScaleCrop>false</ScaleCrop>
  <LinksUpToDate>false</LinksUpToDate>
  <CharactersWithSpaces>2448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2024-06-24T07:39:00Z</dcterms:created>
  <dc:creator>媛媛__</dc:creator>
  <cp:lastModifiedBy>为我撩人°</cp:lastModifiedBy>
  <dcterms:modified xsi:type="dcterms:W3CDTF">2024-06-25T09:18:41Z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241A6A3F0DF2471BA5C94A07DF44E1C7_13</vt:lpwstr>
  </property>
</Properties>
</file>