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ind w:leftChars="0"/>
        <w:jc w:val="center"/>
        <w:rPr>
          <w:color w:val="auto"/>
          <w:highlight w:val="none"/>
        </w:rPr>
      </w:pPr>
      <w:bookmarkStart w:id="0" w:name="_Toc18076"/>
      <w:bookmarkStart w:id="1" w:name="_Toc4481598"/>
      <w:bookmarkStart w:id="2" w:name="_Toc28617"/>
      <w:r>
        <w:rPr>
          <w:rFonts w:hint="eastAsia"/>
          <w:color w:val="auto"/>
          <w:highlight w:val="none"/>
        </w:rPr>
        <w:t>服务需求及技术要求</w:t>
      </w:r>
      <w:bookmarkEnd w:id="0"/>
      <w:bookmarkEnd w:id="1"/>
      <w:bookmarkEnd w:id="2"/>
    </w:p>
    <w:p>
      <w:pPr>
        <w:rPr>
          <w:rFonts w:hint="eastAsia"/>
          <w:color w:val="auto"/>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p>
    <w:p>
      <w:pPr>
        <w:spacing w:line="360" w:lineRule="auto"/>
        <w:outlineLvl w:val="2"/>
        <w:rPr>
          <w:rFonts w:hint="eastAsia" w:ascii="宋体" w:hAnsi="宋体" w:eastAsia="宋体" w:cs="宋体"/>
          <w:b/>
          <w:color w:val="auto"/>
          <w:sz w:val="21"/>
          <w:szCs w:val="21"/>
          <w:highlight w:val="none"/>
        </w:rPr>
      </w:pPr>
      <w:bookmarkStart w:id="3" w:name="_Toc11169"/>
      <w:r>
        <w:rPr>
          <w:rFonts w:hint="eastAsia" w:ascii="宋体" w:hAnsi="宋体" w:eastAsia="宋体" w:cs="宋体"/>
          <w:b/>
          <w:color w:val="auto"/>
          <w:sz w:val="21"/>
          <w:szCs w:val="21"/>
          <w:highlight w:val="none"/>
        </w:rPr>
        <w:t>一、项目概况</w:t>
      </w:r>
      <w:bookmarkEnd w:id="3"/>
      <w:bookmarkStart w:id="7" w:name="_GoBack"/>
      <w:bookmarkEnd w:id="7"/>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安徽路达公路工程有限责任公司S22天天高速安庆至潜山段（月山至潜山）路基路面工程施工YQB1标项目部需对K3+300~K12+000及K18+733.3~K19+500段施工范围内所涉及的因高速公路永久性工程建设需迁改的通信杆线（电信、移动、联通、广电及国防光缆）迁移、恢复迁改和其他配合工作。</w:t>
      </w:r>
    </w:p>
    <w:p>
      <w:pPr>
        <w:snapToGrid w:val="0"/>
        <w:spacing w:line="360" w:lineRule="auto"/>
        <w:outlineLvl w:val="2"/>
        <w:rPr>
          <w:rFonts w:hint="default" w:ascii="宋体" w:hAnsi="宋体" w:eastAsia="宋体" w:cs="宋体"/>
          <w:b/>
          <w:color w:val="auto"/>
          <w:sz w:val="21"/>
          <w:szCs w:val="21"/>
          <w:highlight w:val="none"/>
          <w:lang w:val="en-US" w:eastAsia="zh-CN"/>
        </w:rPr>
      </w:pPr>
      <w:bookmarkStart w:id="4" w:name="_Toc7086"/>
      <w:r>
        <w:rPr>
          <w:rFonts w:hint="eastAsia" w:ascii="宋体" w:hAnsi="宋体" w:eastAsia="宋体" w:cs="宋体"/>
          <w:b/>
          <w:color w:val="auto"/>
          <w:sz w:val="21"/>
          <w:szCs w:val="21"/>
          <w:highlight w:val="none"/>
        </w:rPr>
        <w:t>二、</w:t>
      </w:r>
      <w:bookmarkEnd w:id="4"/>
      <w:r>
        <w:rPr>
          <w:rFonts w:hint="eastAsia" w:ascii="宋体" w:hAnsi="宋体" w:eastAsia="宋体" w:cs="宋体"/>
          <w:b/>
          <w:color w:val="auto"/>
          <w:sz w:val="21"/>
          <w:szCs w:val="21"/>
          <w:highlight w:val="none"/>
          <w:lang w:val="en-US" w:eastAsia="zh-CN"/>
        </w:rPr>
        <w:t>服务内容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本工程采用总价包干，招标人现场初步调查普通光缆338条、国防光缆17条，投标人应自行现场踏勘，费用包含完成K3+300~K12+000及K18+733.3~K19+500段施工范围内所涉及的因高速公路永久性工程建设需迁改的通信杆线（电信、移动、联通、广电及国防光缆）迁移、恢复迁改和其他配合工作及验收移交等工作的所有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本工程费用含</w:t>
      </w:r>
      <w:r>
        <w:rPr>
          <w:rFonts w:hint="eastAsia" w:ascii="宋体" w:hAnsi="宋体" w:eastAsia="宋体" w:cs="宋体"/>
          <w:bCs/>
          <w:color w:val="auto"/>
          <w:kern w:val="0"/>
          <w:sz w:val="21"/>
          <w:szCs w:val="21"/>
          <w:highlight w:val="none"/>
          <w:lang w:val="en-US" w:eastAsia="zh-CN"/>
        </w:rPr>
        <w:t>且不限于</w:t>
      </w:r>
      <w:r>
        <w:rPr>
          <w:rFonts w:hint="eastAsia" w:ascii="宋体" w:hAnsi="宋体" w:eastAsia="宋体" w:cs="宋体"/>
          <w:bCs/>
          <w:color w:val="auto"/>
          <w:kern w:val="0"/>
          <w:sz w:val="21"/>
          <w:szCs w:val="21"/>
          <w:highlight w:val="none"/>
        </w:rPr>
        <w:t>杆线迁改的一切人工、材料（主材、辅材购置、倒运、看护、检验）、原线路拆除、施工定位、电杆组立、弱电通信电缆、导线架设、弱电通信电缆保护管、管沟开挖、电缆地井、接地、设备、安全文明施工、临时占地等地方协调、设计、自检、考察、调试、验收、协调、管理、拆除等一切施工产生的材料、劳务、机械费用，以及与安庆市相关弱电通信部门对接、完善验收等相关手续、确保验收合格等一切工作；乙方已充分考虑到杆线迁移施工现场实际情况，因完成该工程需投入的任何设施乙方自行考虑含在综合报价范围内，承诺</w:t>
      </w:r>
      <w:r>
        <w:rPr>
          <w:rFonts w:hint="eastAsia" w:ascii="宋体" w:hAnsi="宋体" w:eastAsia="宋体" w:cs="宋体"/>
          <w:bCs/>
          <w:color w:val="auto"/>
          <w:kern w:val="0"/>
          <w:sz w:val="21"/>
          <w:szCs w:val="21"/>
          <w:highlight w:val="none"/>
          <w:lang w:val="en-US" w:eastAsia="zh-CN"/>
        </w:rPr>
        <w:t>总价</w:t>
      </w:r>
      <w:r>
        <w:rPr>
          <w:rFonts w:hint="eastAsia" w:ascii="宋体" w:hAnsi="宋体" w:eastAsia="宋体" w:cs="宋体"/>
          <w:bCs/>
          <w:color w:val="auto"/>
          <w:kern w:val="0"/>
          <w:sz w:val="21"/>
          <w:szCs w:val="21"/>
          <w:highlight w:val="none"/>
        </w:rPr>
        <w:t>一次性包死，实施期间不论发生工、料、机的工程增减、桩号变化或价格浮动或政策性变化以及其他因素，</w:t>
      </w:r>
      <w:r>
        <w:rPr>
          <w:rFonts w:hint="eastAsia" w:ascii="宋体" w:hAnsi="宋体" w:eastAsia="宋体" w:cs="宋体"/>
          <w:bCs/>
          <w:color w:val="auto"/>
          <w:kern w:val="0"/>
          <w:sz w:val="21"/>
          <w:szCs w:val="21"/>
          <w:highlight w:val="none"/>
          <w:lang w:val="en-US" w:eastAsia="zh-CN"/>
        </w:rPr>
        <w:t>总价</w:t>
      </w:r>
      <w:r>
        <w:rPr>
          <w:rFonts w:hint="eastAsia" w:ascii="宋体" w:hAnsi="宋体" w:eastAsia="宋体" w:cs="宋体"/>
          <w:bCs/>
          <w:color w:val="auto"/>
          <w:kern w:val="0"/>
          <w:sz w:val="21"/>
          <w:szCs w:val="21"/>
          <w:highlight w:val="none"/>
        </w:rPr>
        <w:t>均不作调整。电杆占地费，青苗费等相关民事</w:t>
      </w:r>
      <w:r>
        <w:rPr>
          <w:rFonts w:hint="eastAsia" w:ascii="宋体" w:hAnsi="宋体" w:eastAsia="宋体" w:cs="宋体"/>
          <w:bCs/>
          <w:color w:val="auto"/>
          <w:kern w:val="0"/>
          <w:sz w:val="21"/>
          <w:szCs w:val="21"/>
          <w:highlight w:val="none"/>
          <w:lang w:val="en-US" w:eastAsia="zh-CN"/>
        </w:rPr>
        <w:t>由乙方自行负责</w:t>
      </w:r>
      <w:r>
        <w:rPr>
          <w:rFonts w:hint="eastAsia" w:ascii="宋体" w:hAnsi="宋体" w:eastAsia="宋体" w:cs="宋体"/>
          <w:bCs/>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default" w:ascii="宋体" w:hAnsi="宋体" w:eastAsia="宋体" w:cs="宋体"/>
          <w:b/>
          <w:bCs w:val="0"/>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投标人中标后合同签订前应编制《价格清单》，《价格清单》经招标人审核后，仅作为进行中期结算与支付的依据，《价格清单》不作为最终结清的依据，也不免除完成《价格清单》未包含，但K3+300~K12+000及K18+733.3~K19+500段施工范围内所涉及的因高速公路永久性工程建设需迁改的通信杆线（电信、移动、联通、广电及国防光缆）迁移、恢复迁改和其他配合工作及验收移交等所有工作内容的义务。最终结清需完成K3+300~K12+000及K18+733.3~K19+500段施工范围内所涉及的因高速公路永久性工程建设需迁改的通信杆线（电信、移动、联通、广电及国防光缆）迁移、恢复迁改和其他配合工作及验收移交等所有工作内容，最终结算不得以任何理由调整合同总价。</w:t>
      </w:r>
    </w:p>
    <w:p>
      <w:pPr>
        <w:snapToGrid w:val="0"/>
        <w:spacing w:line="360" w:lineRule="auto"/>
        <w:outlineLvl w:val="2"/>
        <w:rPr>
          <w:rFonts w:hint="default" w:ascii="宋体" w:hAnsi="宋体" w:eastAsia="宋体" w:cs="宋体"/>
          <w:b/>
          <w:color w:val="auto"/>
          <w:sz w:val="21"/>
          <w:szCs w:val="21"/>
          <w:highlight w:val="none"/>
          <w:lang w:val="en-US" w:eastAsia="zh-CN"/>
        </w:rPr>
      </w:pPr>
      <w:bookmarkStart w:id="5" w:name="_Toc2897"/>
      <w:r>
        <w:rPr>
          <w:rFonts w:hint="eastAsia" w:ascii="宋体" w:hAnsi="宋体" w:eastAsia="宋体" w:cs="宋体"/>
          <w:b/>
          <w:color w:val="auto"/>
          <w:sz w:val="21"/>
          <w:szCs w:val="21"/>
          <w:highlight w:val="none"/>
        </w:rPr>
        <w:t>三、</w:t>
      </w:r>
      <w:bookmarkEnd w:id="5"/>
      <w:r>
        <w:rPr>
          <w:rFonts w:hint="eastAsia" w:ascii="宋体" w:hAnsi="宋体" w:eastAsia="宋体" w:cs="宋体"/>
          <w:b/>
          <w:color w:val="auto"/>
          <w:sz w:val="21"/>
          <w:szCs w:val="21"/>
          <w:highlight w:val="none"/>
          <w:lang w:val="en-US" w:eastAsia="zh-CN"/>
        </w:rPr>
        <w:t>安全及质量验收要求</w:t>
      </w: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hint="default" w:ascii="宋体" w:hAnsi="宋体" w:eastAsia="宋体" w:cs="宋体"/>
          <w:b/>
          <w:bCs/>
          <w:color w:val="auto"/>
          <w:sz w:val="21"/>
          <w:szCs w:val="21"/>
          <w:highlight w:val="none"/>
          <w:u w:val="none"/>
          <w:lang w:val="en-US" w:eastAsia="zh-CN"/>
        </w:rPr>
      </w:pPr>
      <w:bookmarkStart w:id="6" w:name="_Toc31546"/>
      <w:r>
        <w:rPr>
          <w:rFonts w:hint="eastAsia" w:ascii="宋体" w:hAnsi="宋体" w:eastAsia="宋体" w:cs="宋体"/>
          <w:b/>
          <w:bCs/>
          <w:color w:val="auto"/>
          <w:sz w:val="21"/>
          <w:szCs w:val="21"/>
          <w:highlight w:val="none"/>
          <w:u w:val="none"/>
          <w:lang w:val="en-US" w:eastAsia="zh-CN"/>
        </w:rPr>
        <w:t>1.工作内容包含但不限于招标人提供设计施工图纸《拆迁电力、通信设施表》S2-12-1的迁改工程量，图纸数量与现场数量有误差，招标人初步勘查现场数量比图纸数量多，中标后根据现场量为准，报价时投标人自行考虑此风险，中标后不得以工程量的变化调整合同总价，一切费用包含在总价费用内。</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2.按照文明施工的有关要求组织施工，保证施工现场文明、整洁，乙方负责施工方案的编制、工程资料收集、整理、编号存档、移交工作和办理工程验收、产权移交等相关手续。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3.乙方与地方签订的机械、材料、劳务等一切相关协议项目部将不进行任何担保，给项目部造成的任何损失项目将追究相关责任。</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安全约定：严格执行相关安全施工管理的有关规定，乙方承担施工过程中出现的各种安全因素所产生的费用，服从甲方和后期接收产权单位现场统一管理，满足甲方的进度要求，并自行配戴安全帽、安全绳等，保障生产过程中的人员安全，如造成人员伤亡或财产损失的，由乙方负责承担。乙方材料运输过程中的安全由乙方自行负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5.合同范围中的路基到位后下穿路基土方开槽、回填、电杆坑土开挖、回填及立杆需用机械由乙方负责。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6.所有材料由乙方提供，其规格型号、质量必须满足图纸、规范要求；乙方按照甲方提供相关技术交底施工，若乙方施工的工程竣工验收不合格的，乙方负责修复至合格并自行承担相应费用。</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7.迁改方式严格按照按审定的施工方案要求执行，乙方不得擅自变动，因此产生费用由投标人自行承担；乙方施工中如不符合工程质量，甲方有权令其返工，其返工所发生的一切费用由乙方负责。</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8.乙方在项目实施前、中、后必须及时做好与甲方及后期接收产权单位的沟通协调工作，工程完工后，乙方应提前三天通知产权单位和甲方组织验收，经验收合格后及时办理验收签证。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9.乙方须充分考虑工期风险、设备人员闲置风险和费用。乙方杆线迁改施工严格按照甲方要求的工期节点进行，如乙方不能在甲方工期计划内完成相应部位的迁改、验收、移交等工作，甲方有权对乙方作出处罚，或直接终止合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10.报价采用含税报价（税率9%），投标人结算付款时提供等额税票，否则不予支付结算款。所有农民工工资均由项目部在结算工程款中扣除，并按照业主及有关法律、法规要求代为发放，个人所得税及其他税费均由乙方承担。</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11.乙方按国家施工规范施工，按审定的施工方案保质保量完成工程任务，编制施工组织设计、施工措施计划，并对承建范围内的现场作业和施工方法的完备和可靠负全部责任，负责及时办理各种隐蔽工程记录和签证，做好分部分项工程检查验收采取必要的措施，集中人力、物力、财力以确保合同工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12.包含搭载电力杆路所有光缆，以及勘测未发现部分。同一个位置，同一路由.无论光缆数量，均视为一处。施工工艺同时满足甲方，产权单位，周边村户要求。包含高速公路建设阶段新增部分(除军缆）。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13.其余未尽事宜，双方参照本项目招标文件、合同文件及业主下发的相关制度及管理办法执行。 </w:t>
      </w:r>
    </w:p>
    <w:bookmarkEnd w:id="6"/>
    <w:p>
      <w:pPr>
        <w:pStyle w:val="5"/>
        <w:ind w:left="0" w:leftChars="0" w:firstLine="0" w:firstLineChars="0"/>
        <w:rPr>
          <w:rFonts w:hint="default" w:eastAsia="宋体"/>
          <w:color w:val="auto"/>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ZGU5YzFmMjAyNTFlYzY2YTkwYmU3ZGU5YzU4YjEifQ=="/>
  </w:docVars>
  <w:rsids>
    <w:rsidRoot w:val="081531E4"/>
    <w:rsid w:val="0815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2024-06-20T00:34:00Z</dcterms:created>
  <dc:creator>媛媛__</dc:creator>
  <cp:lastModifiedBy>媛媛__</cp:lastModifiedBy>
  <dcterms:modified xsi:type="dcterms:W3CDTF">2024-06-20T00:35:19Z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6F4C83FE54234766BBD7ABC02ADB123C_11</vt:lpwstr>
  </property>
</Properties>
</file>