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宋体"/>
          <w:color w:val="000000" w:themeColor="text1"/>
          <w:sz w:val="44"/>
          <w:szCs w:val="44"/>
          <w14:textFill>
            <w14:solidFill>
              <w14:schemeClr w14:val="tx1"/>
            </w14:solidFill>
          </w14:textFill>
        </w:rPr>
      </w:pPr>
    </w:p>
    <w:p>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安庆市安能捷能源有限公司</w:t>
      </w:r>
    </w:p>
    <w:p>
      <w:pPr>
        <w:pStyle w:val="82"/>
        <w:ind w:left="0" w:leftChars="0" w:firstLine="0" w:firstLineChars="0"/>
        <w:jc w:val="center"/>
        <w:rPr>
          <w:rFonts w:hint="default"/>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7KW交流单桩采购服务</w:t>
      </w:r>
      <w:r>
        <w:rPr>
          <w:rFonts w:hint="eastAsia" w:ascii="仿宋_GB2312" w:hAnsi="宋体" w:eastAsia="仿宋_GB2312"/>
          <w:b/>
          <w:color w:val="000000" w:themeColor="text1"/>
          <w:sz w:val="48"/>
          <w:szCs w:val="48"/>
          <w:highlight w:val="none"/>
          <w:lang w:val="en-US" w:eastAsia="zh-CN"/>
          <w14:textFill>
            <w14:solidFill>
              <w14:schemeClr w14:val="tx1"/>
            </w14:solidFill>
          </w14:textFill>
        </w:rPr>
        <w:t>项目</w:t>
      </w:r>
    </w:p>
    <w:p>
      <w:pPr>
        <w:pStyle w:val="82"/>
        <w:ind w:left="0" w:leftChars="0" w:firstLine="0" w:firstLineChars="0"/>
      </w:pPr>
    </w:p>
    <w:p>
      <w:pPr>
        <w:pStyle w:val="82"/>
      </w:pPr>
    </w:p>
    <w:p>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spacing w:line="480" w:lineRule="exact"/>
        <w:jc w:val="center"/>
        <w:rPr>
          <w:rFonts w:ascii="宋体" w:cs="宋体"/>
          <w:b/>
          <w:bCs/>
          <w:color w:val="000000" w:themeColor="text1"/>
          <w:sz w:val="48"/>
          <w:szCs w:val="48"/>
          <w14:textFill>
            <w14:solidFill>
              <w14:schemeClr w14:val="tx1"/>
            </w14:solidFill>
          </w14:textFill>
        </w:rPr>
      </w:pPr>
    </w:p>
    <w:p>
      <w:pPr>
        <w:pStyle w:val="82"/>
      </w:pPr>
    </w:p>
    <w:p>
      <w:pPr>
        <w:spacing w:line="480" w:lineRule="exact"/>
        <w:jc w:val="center"/>
        <w:rPr>
          <w:rFonts w:hint="eastAsia" w:ascii="宋体" w:hAnsi="宋体" w:eastAsia="宋体" w:cs="宋体"/>
          <w:b/>
          <w:bCs/>
          <w:color w:val="auto"/>
          <w:sz w:val="28"/>
          <w:szCs w:val="28"/>
          <w:lang w:val="en-US" w:eastAsia="zh-CN"/>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auto"/>
          <w:sz w:val="28"/>
          <w:szCs w:val="28"/>
          <w:lang w:eastAsia="zh-CN"/>
        </w:rPr>
        <w:t>AQJK-CG-2024-046</w:t>
      </w:r>
    </w:p>
    <w:p>
      <w:pPr>
        <w:spacing w:line="480" w:lineRule="exact"/>
        <w:rPr>
          <w:rFonts w:ascii="宋体" w:hAnsi="宋体" w:cs="仿宋_GB2312"/>
          <w:color w:val="000000" w:themeColor="text1"/>
          <w:szCs w:val="2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spacing w:line="360" w:lineRule="auto"/>
        <w:jc w:val="center"/>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安庆市安能捷能源有限公司      </w:t>
      </w:r>
    </w:p>
    <w:p>
      <w:pPr>
        <w:spacing w:line="360" w:lineRule="auto"/>
        <w:rPr>
          <w:rFonts w:ascii="宋体" w:hAnsi="宋体" w:cs="仿宋_GB2312"/>
          <w:b/>
          <w:color w:val="000000" w:themeColor="text1"/>
          <w:sz w:val="24"/>
          <w14:textFill>
            <w14:solidFill>
              <w14:schemeClr w14:val="tx1"/>
            </w14:solidFill>
          </w14:textFill>
        </w:rPr>
      </w:pPr>
    </w:p>
    <w:p>
      <w:pPr>
        <w:spacing w:line="360" w:lineRule="auto"/>
        <w:rPr>
          <w:rFonts w:ascii="宋体" w:hAnsi="宋体" w:cs="仿宋_GB2312"/>
          <w:b/>
          <w:color w:val="000000" w:themeColor="text1"/>
          <w:sz w:val="24"/>
          <w14:textFill>
            <w14:solidFill>
              <w14:schemeClr w14:val="tx1"/>
            </w14:solidFill>
          </w14:textFill>
        </w:rPr>
      </w:pPr>
    </w:p>
    <w:p>
      <w:pPr>
        <w:pStyle w:val="82"/>
      </w:pPr>
    </w:p>
    <w:p>
      <w:pPr>
        <w:pStyle w:val="82"/>
      </w:pPr>
    </w:p>
    <w:p>
      <w:pPr>
        <w:spacing w:line="360" w:lineRule="auto"/>
        <w:rPr>
          <w:rFonts w:ascii="宋体" w:hAnsi="宋体" w:cs="仿宋_GB2312"/>
          <w:b/>
          <w:color w:val="000000" w:themeColor="text1"/>
          <w:sz w:val="24"/>
          <w14:textFill>
            <w14:solidFill>
              <w14:schemeClr w14:val="tx1"/>
            </w14:solidFill>
          </w14:textFill>
        </w:rPr>
      </w:pPr>
    </w:p>
    <w:p>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pStyle w:val="82"/>
        <w:ind w:left="0" w:leftChars="0" w:firstLine="0" w:firstLineChars="0"/>
        <w:rPr>
          <w:rFonts w:ascii="宋体" w:hAnsi="宋体" w:cs="仿宋_GB2312"/>
          <w:color w:val="000000" w:themeColor="text1"/>
          <w:szCs w:val="21"/>
          <w14:textFill>
            <w14:solidFill>
              <w14:schemeClr w14:val="tx1"/>
            </w14:solidFill>
          </w14:textFill>
        </w:rPr>
      </w:pPr>
    </w:p>
    <w:p>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六</w:t>
      </w:r>
      <w:r>
        <w:rPr>
          <w:rFonts w:hint="eastAsia" w:ascii="宋体" w:hAnsi="宋体" w:cs="仿宋_GB2312"/>
          <w:color w:val="000000" w:themeColor="text1"/>
          <w:sz w:val="32"/>
          <w:szCs w:val="32"/>
          <w14:textFill>
            <w14:solidFill>
              <w14:schemeClr w14:val="tx1"/>
            </w14:solidFill>
          </w14:textFill>
        </w:rPr>
        <w:t>月</w:t>
      </w:r>
    </w:p>
    <w:p>
      <w:pPr>
        <w:widowControl/>
        <w:jc w:val="left"/>
        <w:rPr>
          <w:rFonts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pPr>
        <w:pStyle w:val="41"/>
        <w:tabs>
          <w:tab w:val="right" w:leader="dot" w:pos="9070"/>
        </w:tabs>
        <w:spacing w:line="480" w:lineRule="auto"/>
        <w:rPr>
          <w:color w:val="000000" w:themeColor="text1"/>
          <w:sz w:val="28"/>
          <w:szCs w:val="28"/>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pPr>
        <w:pStyle w:val="41"/>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41"/>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第三章 服务及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pPr>
        <w:pStyle w:val="41"/>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9</w:t>
      </w:r>
    </w:p>
    <w:p>
      <w:pPr>
        <w:pStyle w:val="41"/>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w:t>
      </w:r>
    </w:p>
    <w:p>
      <w:pPr>
        <w:pStyle w:val="30"/>
        <w:tabs>
          <w:tab w:val="right" w:leader="dot" w:pos="9060"/>
        </w:tabs>
        <w:spacing w:line="48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安庆市安能捷能源有限公司</w:t>
      </w:r>
      <w:r>
        <w:rPr>
          <w:rFonts w:hint="eastAsia" w:ascii="Arial" w:hAnsi="Arial" w:eastAsia="黑体"/>
          <w:b/>
          <w:i w:val="0"/>
          <w:color w:val="000000" w:themeColor="text1"/>
          <w:sz w:val="30"/>
          <w:szCs w:val="30"/>
          <w:highlight w:val="none"/>
          <w:lang w:val="en-US" w:eastAsia="zh-CN"/>
          <w14:textFill>
            <w14:solidFill>
              <w14:schemeClr w14:val="tx1"/>
            </w14:solidFill>
          </w14:textFill>
        </w:rPr>
        <w:t>7KW交流单桩</w:t>
      </w:r>
      <w:r>
        <w:rPr>
          <w:rFonts w:hint="eastAsia" w:ascii="Arial" w:hAnsi="Arial" w:eastAsia="黑体"/>
          <w:b/>
          <w:i w:val="0"/>
          <w:color w:val="000000" w:themeColor="text1"/>
          <w:sz w:val="30"/>
          <w:szCs w:val="30"/>
          <w:highlight w:val="none"/>
          <w:lang w:eastAsia="zh-CN"/>
          <w14:textFill>
            <w14:solidFill>
              <w14:schemeClr w14:val="tx1"/>
            </w14:solidFill>
          </w14:textFill>
        </w:rPr>
        <w:t>采购服务项目</w:t>
      </w:r>
    </w:p>
    <w:p>
      <w:pPr>
        <w:pStyle w:val="30"/>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629"/>
      <w:bookmarkStart w:id="5" w:name="_Toc35393798"/>
      <w:bookmarkStart w:id="6" w:name="_Toc28359089"/>
      <w:bookmarkStart w:id="7" w:name="_Toc28359012"/>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安庆市安能捷能源有限公司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安庆市安能捷能源有限公司7KW交流单桩采购服务项目</w:t>
      </w: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AQJK-CG-2024-046</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安庆市安能捷能源有限公司7KW交流单桩采购服务</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7KW交流单桩</w:t>
      </w:r>
      <w:r>
        <w:rPr>
          <w:rFonts w:hint="eastAsia" w:ascii="仿宋" w:hAnsi="仿宋" w:eastAsia="仿宋"/>
          <w:color w:val="000000" w:themeColor="text1"/>
          <w:sz w:val="28"/>
          <w:szCs w:val="28"/>
          <w:highlight w:val="none"/>
          <w:lang w:eastAsia="zh-CN"/>
          <w14:textFill>
            <w14:solidFill>
              <w14:schemeClr w14:val="tx1"/>
            </w14:solidFill>
          </w14:textFill>
        </w:rPr>
        <w:t>采购服务，</w:t>
      </w:r>
      <w:r>
        <w:rPr>
          <w:rFonts w:hint="eastAsia" w:ascii="仿宋" w:hAnsi="仿宋" w:eastAsia="仿宋"/>
          <w:color w:val="000000" w:themeColor="text1"/>
          <w:sz w:val="28"/>
          <w:szCs w:val="28"/>
          <w:highlight w:val="none"/>
          <w:lang w:val="en-US" w:eastAsia="zh-CN"/>
          <w14:textFill>
            <w14:solidFill>
              <w14:schemeClr w14:val="tx1"/>
            </w14:solidFill>
          </w14:textFill>
        </w:rPr>
        <w:t>详见采购需求。</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auto"/>
          <w:sz w:val="28"/>
          <w:szCs w:val="28"/>
          <w:highlight w:val="none"/>
          <w:lang w:val="en-US" w:eastAsia="zh-CN"/>
        </w:rPr>
        <w:t>14000.00</w:t>
      </w:r>
      <w:r>
        <w:rPr>
          <w:rFonts w:hint="eastAsia" w:ascii="仿宋" w:hAnsi="仿宋" w:eastAsia="仿宋"/>
          <w:color w:val="auto"/>
          <w:sz w:val="28"/>
          <w:szCs w:val="28"/>
          <w:highlight w:val="none"/>
          <w:lang w:eastAsia="zh-CN"/>
        </w:rPr>
        <w:t>元</w:t>
      </w:r>
      <w:r>
        <w:rPr>
          <w:rFonts w:hint="eastAsia" w:ascii="仿宋" w:hAnsi="仿宋" w:eastAsia="仿宋"/>
          <w:color w:val="000000" w:themeColor="text1"/>
          <w:sz w:val="28"/>
          <w:szCs w:val="28"/>
          <w:highlight w:val="none"/>
          <w:lang w:eastAsia="zh-CN"/>
          <w14:textFill>
            <w14:solidFill>
              <w14:schemeClr w14:val="tx1"/>
            </w14:solidFill>
          </w14:textFill>
        </w:rPr>
        <w:t>（含税）</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w:t>
      </w:r>
      <w:r>
        <w:rPr>
          <w:rFonts w:hint="eastAsia" w:ascii="仿宋" w:hAnsi="仿宋" w:eastAsia="仿宋" w:cs="仿宋"/>
          <w:color w:val="000000" w:themeColor="text1"/>
          <w:sz w:val="30"/>
          <w:szCs w:val="30"/>
          <w:highlight w:val="none"/>
          <w:lang w:val="en-US" w:eastAsia="zh-CN"/>
          <w14:textFill>
            <w14:solidFill>
              <w14:schemeClr w14:val="tx1"/>
            </w14:solidFill>
          </w14:textFill>
        </w:rPr>
        <w:t>安装验收合格后，提供增值税专用发票30天内支付货款。</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供货周期：20个自然日内完成</w:t>
      </w:r>
    </w:p>
    <w:p>
      <w:pPr>
        <w:spacing w:line="56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供货地点：</w:t>
      </w:r>
      <w:r>
        <w:rPr>
          <w:rFonts w:hint="eastAsia" w:ascii="仿宋" w:hAnsi="仿宋" w:eastAsia="仿宋" w:cs="仿宋"/>
          <w:color w:val="000000" w:themeColor="text1"/>
          <w:sz w:val="30"/>
          <w:szCs w:val="30"/>
          <w:highlight w:val="none"/>
          <w:lang w:val="en-US" w:eastAsia="zh-CN"/>
          <w14:textFill>
            <w14:solidFill>
              <w14:schemeClr w14:val="tx1"/>
            </w14:solidFill>
          </w14:textFill>
        </w:rPr>
        <w:t>安庆市大观区宜园路16号安庆市交通控股集团有限公司</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13</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6</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13</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0分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35393636"/>
      <w:bookmarkStart w:id="10" w:name="_Toc28359018"/>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637"/>
      <w:bookmarkStart w:id="13" w:name="_Toc28359096"/>
      <w:bookmarkStart w:id="14" w:name="_Toc35393806"/>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称：安庆市安能捷能源有限公司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人：张绍峰</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联系方式：0556-5578823</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安庆市安能捷能源有限公司7KW交流单桩采购服务项目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2606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4"/>
        <w:rPr>
          <w:rFonts w:hint="eastAsia" w:cs="Tahoma"/>
          <w:bCs/>
          <w:color w:val="000000" w:themeColor="text1"/>
          <w:kern w:val="0"/>
          <w:sz w:val="32"/>
          <w:szCs w:val="32"/>
          <w:highlight w:val="none"/>
          <w14:textFill>
            <w14:solidFill>
              <w14:schemeClr w14:val="tx1"/>
            </w14:solidFill>
          </w14:textFill>
        </w:rPr>
      </w:pPr>
      <w:bookmarkStart w:id="20" w:name="_Toc54941330"/>
      <w:bookmarkStart w:id="21" w:name="_Toc439316871"/>
      <w:bookmarkStart w:id="22" w:name="_Toc17862"/>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pPr>
        <w:pStyle w:val="5"/>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安庆市安能捷能源有限公司7KW交流单桩采购服务项目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auto"/>
                <w:kern w:val="2"/>
                <w:sz w:val="21"/>
                <w:highlight w:val="none"/>
                <w:lang w:val="en-US" w:eastAsia="zh-CN" w:bidi="ar-SA"/>
              </w:rPr>
              <w:t>安庆市安能捷能源有限公司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14000元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供货</w:t>
            </w:r>
            <w:r>
              <w:rPr>
                <w:rFonts w:hint="eastAsia" w:eastAsia="宋体"/>
                <w:color w:val="000000" w:themeColor="text1"/>
                <w:szCs w:val="21"/>
                <w:highlight w:val="none"/>
                <w:lang w:eastAsia="zh-CN"/>
                <w14:textFill>
                  <w14:solidFill>
                    <w14:schemeClr w14:val="tx1"/>
                  </w14:solidFill>
                </w14:textFill>
              </w:rPr>
              <w:t>周期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20</w:t>
            </w:r>
            <w:r>
              <w:rPr>
                <w:rFonts w:hint="default" w:eastAsia="宋体"/>
                <w:color w:val="000000" w:themeColor="text1"/>
                <w:szCs w:val="21"/>
                <w:highlight w:val="none"/>
                <w:lang w:val="en-US" w:eastAsia="zh-CN"/>
                <w14:textFill>
                  <w14:solidFill>
                    <w14:schemeClr w14:val="tx1"/>
                  </w14:solidFill>
                </w14:textFill>
              </w:rPr>
              <w:t>个自然日内完成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安装验收合格后，提供增值税专用发票</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天内支付货款</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Times New Roman" w:hAnsi="Times New Roman" w:eastAsia="宋体" w:cs="Times New Roman"/>
                <w:color w:val="auto"/>
                <w:kern w:val="2"/>
                <w:sz w:val="21"/>
                <w:highlight w:val="none"/>
                <w:lang w:val="en-US" w:eastAsia="zh-CN" w:bidi="ar-SA"/>
              </w:rPr>
              <w:t>安庆市安能捷能源有限公司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4" w:name="_Toc4481592"/>
      <w:bookmarkStart w:id="25" w:name="_Toc28310"/>
      <w:r>
        <w:rPr>
          <w:rFonts w:hint="eastAsia" w:ascii="Arial" w:hAnsi="Arial" w:eastAsia="宋体" w:cs="Times New Roman"/>
          <w:b/>
          <w:color w:val="000000"/>
          <w:kern w:val="0"/>
          <w:sz w:val="32"/>
          <w:szCs w:val="20"/>
          <w:highlight w:val="none"/>
          <w:lang w:val="en-US" w:eastAsia="zh-CN" w:bidi="ar-SA"/>
        </w:rPr>
        <w:t>（二）总则</w:t>
      </w:r>
      <w:bookmarkEnd w:id="24"/>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szCs w:val="24"/>
          <w:highlight w:val="none"/>
          <w:lang w:eastAsia="zh-CN"/>
        </w:rPr>
        <w:t>比选</w:t>
      </w:r>
      <w:r>
        <w:rPr>
          <w:rFonts w:hint="eastAsia" w:ascii="Times New Roman" w:hAnsi="Times New Roman" w:eastAsia="宋体" w:cs="Times New Roman"/>
          <w:b/>
          <w:color w:val="000000"/>
          <w:szCs w:val="24"/>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r>
        <w:rPr>
          <w:rFonts w:hint="eastAsia" w:ascii="宋体" w:hAnsi="宋体" w:eastAsia="宋体" w:cs="Times New Roman"/>
          <w:b/>
          <w:bCs/>
          <w:color w:val="000000"/>
          <w:szCs w:val="21"/>
          <w:highlight w:val="none"/>
          <w:lang w:eastAsia="zh-CN"/>
        </w:rPr>
        <w:t>。</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6" w:name="_Toc8536"/>
      <w:bookmarkStart w:id="27" w:name="_Toc479622044"/>
      <w:bookmarkStart w:id="28" w:name="_Toc4481593"/>
      <w:r>
        <w:rPr>
          <w:rFonts w:hint="eastAsia" w:ascii="Arial" w:hAnsi="Arial" w:eastAsia="宋体" w:cs="Times New Roman"/>
          <w:b/>
          <w:color w:val="000000"/>
          <w:kern w:val="0"/>
          <w:sz w:val="32"/>
          <w:szCs w:val="20"/>
          <w:highlight w:val="none"/>
          <w:lang w:val="en-US" w:eastAsia="zh-CN" w:bidi="ar-SA"/>
        </w:rPr>
        <w:t>（三）</w:t>
      </w:r>
      <w:bookmarkEnd w:id="26"/>
      <w:bookmarkEnd w:id="27"/>
      <w:bookmarkEnd w:id="28"/>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29"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9"/>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w:t>
      </w:r>
      <w:r>
        <w:rPr>
          <w:rFonts w:hint="eastAsia" w:ascii="宋体" w:hAnsi="宋体" w:eastAsia="宋体" w:cs="Times New Roman"/>
          <w:color w:val="000000"/>
          <w:szCs w:val="21"/>
          <w:highlight w:val="none"/>
          <w:lang w:val="en-US" w:eastAsia="zh-CN"/>
        </w:rPr>
        <w:t>投标限价</w:t>
      </w:r>
      <w:r>
        <w:rPr>
          <w:rFonts w:hint="eastAsia" w:ascii="宋体" w:hAnsi="宋体" w:eastAsia="宋体" w:cs="Times New Roman"/>
          <w:color w:val="000000"/>
          <w:szCs w:val="21"/>
          <w:highlight w:val="none"/>
        </w:rPr>
        <w:t>为投标无效。</w:t>
      </w:r>
    </w:p>
    <w:p>
      <w:pPr>
        <w:spacing w:line="360" w:lineRule="auto"/>
        <w:ind w:firstLine="420" w:firstLineChars="200"/>
        <w:rPr>
          <w:rFonts w:ascii="宋体" w:hAnsi="宋体" w:eastAsia="宋体" w:cs="Times New Roman"/>
          <w:color w:val="000000"/>
          <w:szCs w:val="21"/>
          <w:highlight w:val="none"/>
          <w:u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.5.</w:t>
      </w:r>
      <w:r>
        <w:rPr>
          <w:rFonts w:hint="eastAsia" w:ascii="宋体" w:hAnsi="宋体" w:eastAsia="宋体" w:cs="Times New Roman"/>
          <w:color w:val="000000"/>
          <w:szCs w:val="21"/>
          <w:highlight w:val="none"/>
          <w:u w:val="none"/>
        </w:rPr>
        <w:t>若</w:t>
      </w:r>
      <w:r>
        <w:rPr>
          <w:rFonts w:hint="eastAsia" w:ascii="Times New Roman" w:hAnsi="Times New Roman" w:eastAsia="宋体" w:cs="Times New Roman"/>
          <w:color w:val="000000"/>
          <w:szCs w:val="24"/>
          <w:highlight w:val="none"/>
          <w:u w:val="none"/>
          <w:lang w:eastAsia="zh-CN"/>
        </w:rPr>
        <w:t>投标函</w:t>
      </w:r>
      <w:r>
        <w:rPr>
          <w:rFonts w:hint="eastAsia" w:ascii="Times New Roman" w:hAnsi="Times New Roman" w:eastAsia="宋体" w:cs="Times New Roman"/>
          <w:color w:val="000000"/>
          <w:szCs w:val="24"/>
          <w:highlight w:val="none"/>
          <w:u w:val="none"/>
          <w:lang w:val="en-US" w:eastAsia="zh-CN"/>
        </w:rPr>
        <w:t>中</w:t>
      </w:r>
      <w:r>
        <w:rPr>
          <w:rFonts w:hint="eastAsia" w:ascii="Times New Roman" w:hAnsi="Times New Roman" w:eastAsia="宋体" w:cs="Times New Roman"/>
          <w:color w:val="000000"/>
          <w:szCs w:val="24"/>
          <w:highlight w:val="none"/>
          <w:u w:val="none"/>
        </w:rPr>
        <w:t>报价的大写金额和小写金额不一致的</w:t>
      </w:r>
      <w:r>
        <w:rPr>
          <w:rFonts w:hint="eastAsia" w:ascii="宋体" w:hAnsi="宋体" w:eastAsia="宋体" w:cs="Times New Roman"/>
          <w:color w:val="000000"/>
          <w:szCs w:val="21"/>
          <w:highlight w:val="none"/>
          <w:u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.6.若货物报价表单价汇总金额、总价</w:t>
      </w:r>
      <w:r>
        <w:rPr>
          <w:rFonts w:hint="eastAsia" w:ascii="宋体" w:hAnsi="宋体" w:eastAsia="宋体" w:cs="Times New Roman"/>
          <w:color w:val="000000"/>
          <w:szCs w:val="21"/>
          <w:highlight w:val="none"/>
          <w:lang w:val="en-US" w:eastAsia="zh-CN"/>
        </w:rPr>
        <w:t>金额</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投标函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pPr>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11.7投标函中报价与参选文件中相应内容不一致的，以投标函中报价为准。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4481594"/>
      <w:bookmarkStart w:id="31" w:name="_Toc12503"/>
      <w:bookmarkStart w:id="32" w:name="_Toc25319"/>
      <w:bookmarkStart w:id="33" w:name="_Toc479622046"/>
      <w:r>
        <w:rPr>
          <w:rFonts w:hint="eastAsia" w:ascii="Arial" w:hAnsi="Arial" w:eastAsia="宋体" w:cs="Times New Roman"/>
          <w:b/>
          <w:color w:val="000000"/>
          <w:kern w:val="0"/>
          <w:sz w:val="32"/>
          <w:szCs w:val="20"/>
          <w:highlight w:val="none"/>
          <w:lang w:val="en-US" w:eastAsia="zh-CN" w:bidi="ar-SA"/>
        </w:rPr>
        <w:t>（四）参选文件的提交</w:t>
      </w:r>
      <w:bookmarkEnd w:id="30"/>
      <w:bookmarkEnd w:id="31"/>
      <w:bookmarkEnd w:id="32"/>
      <w:bookmarkEnd w:id="33"/>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供应商名称、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34" w:name="_Toc479622047"/>
      <w:bookmarkStart w:id="35"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6" w:name="_Toc4481595"/>
      <w:r>
        <w:rPr>
          <w:rFonts w:hint="eastAsia" w:ascii="Arial" w:hAnsi="Arial" w:eastAsia="宋体" w:cs="Times New Roman"/>
          <w:b/>
          <w:color w:val="000000"/>
          <w:kern w:val="0"/>
          <w:sz w:val="32"/>
          <w:szCs w:val="20"/>
          <w:highlight w:val="none"/>
          <w:lang w:val="en-US" w:eastAsia="zh-CN" w:bidi="ar-SA"/>
        </w:rPr>
        <w:t>（五）开标</w:t>
      </w:r>
      <w:bookmarkEnd w:id="34"/>
      <w:bookmarkEnd w:id="35"/>
      <w:bookmarkEnd w:id="36"/>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投标函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21.2.1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37" w:name="_Toc4481596"/>
      <w:r>
        <w:rPr>
          <w:rFonts w:hint="eastAsia" w:ascii="Arial" w:hAnsi="Arial" w:eastAsia="宋体" w:cs="Times New Roman"/>
          <w:b/>
          <w:color w:val="000000"/>
          <w:kern w:val="0"/>
          <w:sz w:val="32"/>
          <w:szCs w:val="20"/>
          <w:highlight w:val="none"/>
          <w:lang w:val="en-US" w:eastAsia="zh-CN" w:bidi="ar-SA"/>
        </w:rPr>
        <w:t>（六）评标</w:t>
      </w:r>
      <w:bookmarkEnd w:id="25"/>
      <w:bookmarkEnd w:id="37"/>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25.2.2</w:t>
      </w:r>
      <w:r>
        <w:rPr>
          <w:rFonts w:hint="eastAsia" w:ascii="宋体" w:hAnsi="宋体" w:eastAsia="宋体" w:cs="Times New Roman"/>
          <w:b/>
          <w:bCs/>
          <w:color w:val="000000"/>
          <w:kern w:val="2"/>
          <w:sz w:val="21"/>
          <w:szCs w:val="21"/>
          <w:highlight w:val="none"/>
          <w:lang w:val="en-US" w:eastAsia="zh-CN" w:bidi="ar-SA"/>
        </w:rPr>
        <w:t>异常低价评审</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评标委员会对投标报价进行异常低价评审，具体评审要求如下：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①评审要求：投标人投标报价低于异常低价规定指标（低于控制价的85%且低于有效评标价平均值的90%，计算结果保留到小数点后两位，第三位进一位）的，评标委员会将进行异常低价评审。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②证明材料要求：投标人须在询标函规定的回复时间内作出澄清或者说明，并提供降低工程造价及成本的相关证明资料（不限于在人工、材料、机械消耗量、价格、施工措施、方案及其他方面）；同时提供关于合同履行能力及工程质量安全控制的承诺。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③以下情形不得作为异常低价投标说明的依据：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a.机械、材料自有或闲置；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b.自有弃土场土源或与临近项目签订的土方倒运协议；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c.人员闲置；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d.亏本让利；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e.企业市场拓展或品牌宣传；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f.降低或改变原设计方案、技术工艺、施工标准的；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g.类似项目业绩； </w:t>
      </w:r>
    </w:p>
    <w:p>
      <w:pPr>
        <w:widowControl/>
        <w:spacing w:line="500" w:lineRule="exact"/>
        <w:ind w:firstLine="405"/>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h.评标委员会认为不得作为降低投标报价依据的情形。 </w:t>
      </w:r>
    </w:p>
    <w:p>
      <w:pPr>
        <w:widowControl/>
        <w:spacing w:line="500" w:lineRule="exact"/>
        <w:ind w:firstLine="405"/>
        <w:jc w:val="left"/>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④评审标准：对投标人投标总报价低于异常低价规定指标的，评标委员会进行异常低价评审。评标委员会对投标人合同履行能力及工程质量安全等风险进行全面评估，并作为评标结果的附件提交给招标人。投标人在询标函规定的回复时间内不能作出有效澄清、说明或评标委员会认定（按少数服从多数的原则）其存在履约及质量安全风险的，评标委员会应否决其投标。</w:t>
      </w:r>
    </w:p>
    <w:p>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最高投标限价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pPr>
        <w:widowControl/>
        <w:spacing w:line="500" w:lineRule="exact"/>
        <w:ind w:firstLine="420"/>
        <w:jc w:val="left"/>
        <w:rPr>
          <w:rStyle w:val="74"/>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参选文件通过上述评审的参选人，根据评审价由低至高的顺序排列。评审价最低的为第一成交候选人，次低的为第二成交候选人，第三低的为第三成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最高投标费率</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38" w:name="_Toc15032"/>
      <w:bookmarkStart w:id="39" w:name="_Toc417655921"/>
      <w:bookmarkStart w:id="40" w:name="_Toc418517858"/>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38"/>
      <w:bookmarkEnd w:id="39"/>
      <w:bookmarkEnd w:id="40"/>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bookmarkStart w:id="41" w:name="_Toc31095"/>
      <w:bookmarkStart w:id="42" w:name="_Toc10586"/>
      <w:bookmarkStart w:id="43" w:name="_Toc433721697"/>
      <w:bookmarkStart w:id="44" w:name="_Toc457998294"/>
      <w:bookmarkStart w:id="45" w:name="_Toc478821422"/>
      <w:bookmarkStart w:id="46" w:name="_Toc19876"/>
      <w:bookmarkStart w:id="47" w:name="_Toc10987"/>
      <w:bookmarkStart w:id="48" w:name="_Toc456882340"/>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41"/>
      <w:bookmarkEnd w:id="42"/>
      <w:bookmarkEnd w:id="43"/>
      <w:bookmarkEnd w:id="44"/>
      <w:bookmarkEnd w:id="45"/>
      <w:bookmarkEnd w:id="46"/>
      <w:bookmarkEnd w:id="47"/>
      <w:bookmarkEnd w:id="48"/>
    </w:p>
    <w:p>
      <w:pPr>
        <w:keepNext/>
        <w:keepLines/>
        <w:widowControl w:val="0"/>
        <w:autoSpaceDE w:val="0"/>
        <w:autoSpaceDN w:val="0"/>
        <w:adjustRightInd w:val="0"/>
        <w:spacing w:before="120" w:line="360" w:lineRule="auto"/>
        <w:jc w:val="center"/>
        <w:outlineLvl w:val="1"/>
        <w:rPr>
          <w:rFonts w:hint="eastAsia" w:ascii="宋体" w:hAnsi="宋体" w:eastAsia="宋体" w:cs="Times New Roman"/>
          <w:b/>
          <w:color w:val="000000"/>
          <w:kern w:val="0"/>
          <w:sz w:val="32"/>
          <w:szCs w:val="21"/>
          <w:highlight w:val="none"/>
          <w:lang w:val="en-US" w:eastAsia="zh-CN" w:bidi="ar-SA"/>
        </w:rPr>
      </w:pPr>
      <w:bookmarkStart w:id="49" w:name="_Toc4481597"/>
      <w:r>
        <w:rPr>
          <w:rFonts w:hint="eastAsia" w:ascii="宋体" w:hAnsi="宋体" w:eastAsia="宋体" w:cs="Times New Roman"/>
          <w:b w:val="0"/>
          <w:bCs/>
          <w:color w:val="000000"/>
          <w:kern w:val="0"/>
          <w:sz w:val="32"/>
          <w:szCs w:val="21"/>
          <w:highlight w:val="none"/>
          <w:lang w:val="en-US" w:eastAsia="zh-CN" w:bidi="ar-SA"/>
        </w:rPr>
        <w:t>（七）</w:t>
      </w:r>
      <w:r>
        <w:rPr>
          <w:rFonts w:hint="eastAsia" w:ascii="宋体" w:hAnsi="宋体" w:eastAsia="宋体" w:cs="Times New Roman"/>
          <w:b/>
          <w:bCs/>
          <w:color w:val="000000"/>
          <w:kern w:val="0"/>
          <w:sz w:val="32"/>
          <w:szCs w:val="21"/>
          <w:highlight w:val="none"/>
          <w:lang w:val="en-US" w:eastAsia="zh-CN" w:bidi="ar-SA"/>
        </w:rPr>
        <w:t>合同授予</w:t>
      </w:r>
      <w:bookmarkEnd w:id="49"/>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w:t>
      </w:r>
      <w:bookmarkStart w:id="50" w:name="_Toc418517860"/>
      <w:bookmarkStart w:id="51" w:name="_Toc21358"/>
      <w:bookmarkStart w:id="52" w:name="_Toc417655923"/>
      <w:r>
        <w:rPr>
          <w:rFonts w:hint="eastAsia" w:ascii="宋体" w:hAnsi="宋体" w:eastAsia="宋体" w:cs="Times New Roman"/>
          <w:color w:val="000000"/>
          <w:szCs w:val="21"/>
          <w:highlight w:val="none"/>
        </w:rPr>
        <w:t>签订合同</w:t>
      </w:r>
      <w:bookmarkEnd w:id="50"/>
      <w:bookmarkEnd w:id="51"/>
      <w:bookmarkEnd w:id="52"/>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28.1.1、中标人的中标价即为合同价款。</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 xml:space="preserve">可以按照评标委员会提出的中标候选人名单排序依次确定其他中标候选人为中标人，或重新组织采购。  </w:t>
      </w:r>
    </w:p>
    <w:p>
      <w:pPr>
        <w:widowControl/>
        <w:spacing w:line="500" w:lineRule="exact"/>
        <w:ind w:firstLine="420" w:firstLineChars="200"/>
        <w:jc w:val="left"/>
        <w:rPr>
          <w:rFonts w:ascii="宋体" w:hAnsi="宋体" w:eastAsia="宋体" w:cs="Times New Roman"/>
          <w:b/>
          <w:bCs/>
          <w:color w:val="000000"/>
          <w:szCs w:val="21"/>
          <w:highlight w:val="none"/>
        </w:rPr>
      </w:pPr>
      <w:r>
        <w:rPr>
          <w:rFonts w:hint="eastAsia" w:ascii="宋体" w:hAnsi="宋体" w:eastAsia="宋体" w:cs="Times New Roman"/>
          <w:b w:val="0"/>
          <w:bCs w:val="0"/>
          <w:color w:val="000000"/>
          <w:szCs w:val="21"/>
          <w:highlight w:val="none"/>
          <w:lang w:val="en-US" w:eastAsia="zh-CN"/>
        </w:rPr>
        <w:t>29</w:t>
      </w:r>
      <w:r>
        <w:rPr>
          <w:rFonts w:hint="eastAsia" w:ascii="宋体" w:hAnsi="宋体" w:eastAsia="宋体" w:cs="Times New Roman"/>
          <w:b w:val="0"/>
          <w:bCs w:val="0"/>
          <w:color w:val="000000"/>
          <w:szCs w:val="21"/>
          <w:highlight w:val="none"/>
        </w:rPr>
        <w:t>、未尽事宜</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trike w:val="0"/>
          <w:dstrike w:val="0"/>
          <w:color w:val="auto"/>
          <w:szCs w:val="21"/>
          <w:highlight w:val="none"/>
          <w:lang w:val="en-US" w:eastAsia="zh-CN"/>
        </w:rPr>
        <w:t>参照</w:t>
      </w:r>
      <w:r>
        <w:rPr>
          <w:rFonts w:hint="eastAsia" w:ascii="宋体" w:hAnsi="宋体" w:eastAsia="宋体" w:cs="Times New Roman"/>
          <w:color w:val="000000"/>
          <w:szCs w:val="21"/>
          <w:highlight w:val="none"/>
        </w:rPr>
        <w:t>《中华人民共和国招标投标法》、《中华人民共和国招标投标法实施条例》及其他有关法律法规规定执行。</w:t>
      </w:r>
    </w:p>
    <w:p>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pPr>
        <w:pStyle w:val="3"/>
        <w:numPr>
          <w:ilvl w:val="0"/>
          <w:numId w:val="7"/>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53" w:name="_Toc10569"/>
      <w:bookmarkStart w:id="54" w:name="_Toc11149"/>
      <w:bookmarkStart w:id="55" w:name="_Toc54941340"/>
      <w:r>
        <w:rPr>
          <w:rFonts w:hint="eastAsia" w:ascii="Arial" w:hAnsi="Arial"/>
          <w:color w:val="000000" w:themeColor="text1"/>
          <w:kern w:val="2"/>
          <w:sz w:val="32"/>
          <w:szCs w:val="32"/>
          <w:highlight w:val="none"/>
          <w14:textFill>
            <w14:solidFill>
              <w14:schemeClr w14:val="tx1"/>
            </w14:solidFill>
          </w14:textFill>
        </w:rPr>
        <w:t xml:space="preserve"> 服务及</w:t>
      </w:r>
      <w:r>
        <w:rPr>
          <w:rFonts w:hint="eastAsia" w:ascii="Arial" w:hAnsi="Arial"/>
          <w:color w:val="000000" w:themeColor="text1"/>
          <w:kern w:val="2"/>
          <w:sz w:val="32"/>
          <w:szCs w:val="32"/>
          <w:highlight w:val="none"/>
          <w:lang w:val="zh-CN"/>
          <w14:textFill>
            <w14:solidFill>
              <w14:schemeClr w14:val="tx1"/>
            </w14:solidFill>
          </w14:textFill>
        </w:rPr>
        <w:t>技术要求</w:t>
      </w:r>
    </w:p>
    <w:p>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一、采购需求</w:t>
      </w:r>
    </w:p>
    <w:tbl>
      <w:tblPr>
        <w:tblStyle w:val="62"/>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538"/>
        <w:gridCol w:w="3113"/>
        <w:gridCol w:w="1530"/>
        <w:gridCol w:w="1059"/>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7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序号</w:t>
            </w:r>
          </w:p>
        </w:tc>
        <w:tc>
          <w:tcPr>
            <w:tcW w:w="15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物品名称</w:t>
            </w:r>
          </w:p>
        </w:tc>
        <w:tc>
          <w:tcPr>
            <w:tcW w:w="3113"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设备参数</w:t>
            </w:r>
          </w:p>
        </w:tc>
        <w:tc>
          <w:tcPr>
            <w:tcW w:w="1530"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安装方式</w:t>
            </w:r>
          </w:p>
        </w:tc>
        <w:tc>
          <w:tcPr>
            <w:tcW w:w="1059"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数量</w:t>
            </w:r>
          </w:p>
        </w:tc>
        <w:tc>
          <w:tcPr>
            <w:tcW w:w="1221"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5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交流单桩</w:t>
            </w:r>
          </w:p>
        </w:tc>
        <w:tc>
          <w:tcPr>
            <w:tcW w:w="3113" w:type="dxa"/>
            <w:vAlign w:val="center"/>
          </w:tcPr>
          <w:p>
            <w:pPr>
              <w:pStyle w:val="423"/>
              <w:spacing w:line="360" w:lineRule="auto"/>
              <w:ind w:left="0" w:leftChars="0" w:firstLine="0" w:firstLineChars="0"/>
              <w:rPr>
                <w:rFonts w:hint="default" w:ascii="仿宋" w:hAnsi="仿宋" w:eastAsia="仿宋" w:cs="仿宋"/>
                <w:kern w:val="2"/>
                <w:sz w:val="24"/>
                <w:szCs w:val="24"/>
                <w:highlight w:val="none"/>
                <w:vertAlign w:val="baseline"/>
                <w:lang w:val="en-US" w:eastAsia="zh-CN" w:bidi="ar-SA"/>
              </w:rPr>
            </w:pPr>
            <w:r>
              <w:rPr>
                <w:rFonts w:hint="default" w:ascii="仿宋" w:hAnsi="仿宋" w:eastAsia="仿宋" w:cs="仿宋"/>
                <w:kern w:val="2"/>
                <w:sz w:val="24"/>
                <w:szCs w:val="24"/>
                <w:highlight w:val="none"/>
                <w:vertAlign w:val="baseline"/>
                <w:lang w:val="en-US" w:eastAsia="zh-CN" w:bidi="ar-SA"/>
              </w:rPr>
              <w:t>输出功率：</w:t>
            </w:r>
            <w:r>
              <w:rPr>
                <w:rFonts w:hint="eastAsia" w:ascii="仿宋" w:hAnsi="仿宋" w:eastAsia="仿宋" w:cs="仿宋"/>
                <w:kern w:val="2"/>
                <w:sz w:val="24"/>
                <w:szCs w:val="24"/>
                <w:highlight w:val="none"/>
                <w:vertAlign w:val="baseline"/>
                <w:lang w:val="en-US" w:eastAsia="zh-CN" w:bidi="ar-SA"/>
              </w:rPr>
              <w:t>7</w:t>
            </w:r>
            <w:r>
              <w:rPr>
                <w:rFonts w:hint="default" w:ascii="仿宋" w:hAnsi="仿宋" w:eastAsia="仿宋" w:cs="仿宋"/>
                <w:kern w:val="2"/>
                <w:sz w:val="24"/>
                <w:szCs w:val="24"/>
                <w:highlight w:val="none"/>
                <w:vertAlign w:val="baseline"/>
                <w:lang w:val="en-US" w:eastAsia="zh-CN" w:bidi="ar-SA"/>
              </w:rPr>
              <w:t>KW；输入电压：</w:t>
            </w:r>
            <w:r>
              <w:rPr>
                <w:rFonts w:hint="eastAsia" w:ascii="仿宋" w:hAnsi="仿宋" w:eastAsia="仿宋" w:cs="仿宋"/>
                <w:kern w:val="2"/>
                <w:sz w:val="24"/>
                <w:szCs w:val="24"/>
                <w:highlight w:val="none"/>
                <w:vertAlign w:val="baseline"/>
                <w:lang w:val="en-US" w:eastAsia="zh-CN" w:bidi="ar-SA"/>
              </w:rPr>
              <w:t xml:space="preserve"> </w:t>
            </w:r>
            <w:r>
              <w:rPr>
                <w:rFonts w:hint="default" w:ascii="仿宋" w:hAnsi="仿宋" w:eastAsia="仿宋" w:cs="仿宋"/>
                <w:kern w:val="2"/>
                <w:sz w:val="24"/>
                <w:szCs w:val="24"/>
                <w:highlight w:val="none"/>
                <w:vertAlign w:val="baseline"/>
                <w:lang w:val="en-US" w:eastAsia="zh-CN" w:bidi="ar-SA"/>
              </w:rPr>
              <w:t>220Vac； 输出电流：</w:t>
            </w:r>
            <w:r>
              <w:rPr>
                <w:rFonts w:hint="eastAsia" w:ascii="仿宋" w:hAnsi="仿宋" w:eastAsia="仿宋" w:cs="仿宋"/>
                <w:kern w:val="2"/>
                <w:sz w:val="24"/>
                <w:szCs w:val="24"/>
                <w:highlight w:val="none"/>
                <w:vertAlign w:val="baseline"/>
                <w:lang w:val="en-US" w:eastAsia="zh-CN" w:bidi="ar-SA"/>
              </w:rPr>
              <w:t xml:space="preserve"> </w:t>
            </w:r>
            <w:r>
              <w:rPr>
                <w:rFonts w:hint="default" w:ascii="仿宋" w:hAnsi="仿宋" w:eastAsia="仿宋" w:cs="仿宋"/>
                <w:kern w:val="2"/>
                <w:sz w:val="24"/>
                <w:szCs w:val="24"/>
                <w:highlight w:val="none"/>
                <w:vertAlign w:val="baseline"/>
                <w:lang w:val="en-US" w:eastAsia="zh-CN" w:bidi="ar-SA"/>
              </w:rPr>
              <w:t>32A；</w:t>
            </w:r>
          </w:p>
          <w:p>
            <w:pPr>
              <w:pStyle w:val="423"/>
              <w:spacing w:line="360" w:lineRule="auto"/>
              <w:ind w:left="0" w:leftChars="0" w:firstLine="0" w:firstLineChars="0"/>
              <w:rPr>
                <w:rFonts w:hint="default" w:ascii="仿宋" w:hAnsi="仿宋" w:eastAsia="仿宋" w:cs="仿宋"/>
                <w:sz w:val="24"/>
                <w:szCs w:val="24"/>
                <w:highlight w:val="none"/>
                <w:vertAlign w:val="baseline"/>
                <w:lang w:val="en-US" w:eastAsia="zh-CN"/>
              </w:rPr>
            </w:pPr>
            <w:r>
              <w:rPr>
                <w:rFonts w:hint="default" w:ascii="仿宋" w:hAnsi="仿宋" w:eastAsia="仿宋" w:cs="仿宋"/>
                <w:kern w:val="2"/>
                <w:sz w:val="24"/>
                <w:szCs w:val="24"/>
                <w:highlight w:val="none"/>
                <w:vertAlign w:val="baseline"/>
                <w:lang w:val="en-US" w:eastAsia="zh-CN" w:bidi="ar-SA"/>
              </w:rPr>
              <w:t>线缆长度：</w:t>
            </w:r>
            <w:r>
              <w:rPr>
                <w:rFonts w:hint="eastAsia" w:ascii="仿宋" w:hAnsi="仿宋" w:eastAsia="仿宋" w:cs="仿宋"/>
                <w:kern w:val="2"/>
                <w:sz w:val="24"/>
                <w:szCs w:val="24"/>
                <w:highlight w:val="none"/>
                <w:vertAlign w:val="baseline"/>
                <w:lang w:val="en-US" w:eastAsia="zh-CN" w:bidi="ar-SA"/>
              </w:rPr>
              <w:t xml:space="preserve"> </w:t>
            </w:r>
            <w:r>
              <w:rPr>
                <w:rFonts w:hint="default" w:ascii="仿宋" w:hAnsi="仿宋" w:eastAsia="仿宋" w:cs="仿宋"/>
                <w:kern w:val="2"/>
                <w:sz w:val="24"/>
                <w:szCs w:val="24"/>
                <w:highlight w:val="none"/>
                <w:vertAlign w:val="baseline"/>
                <w:lang w:val="en-US" w:eastAsia="zh-CN" w:bidi="ar-SA"/>
              </w:rPr>
              <w:t>5m；充电枪数量：</w:t>
            </w:r>
            <w:r>
              <w:rPr>
                <w:rFonts w:hint="eastAsia" w:ascii="仿宋" w:hAnsi="仿宋" w:eastAsia="仿宋" w:cs="仿宋"/>
                <w:kern w:val="2"/>
                <w:sz w:val="24"/>
                <w:szCs w:val="24"/>
                <w:highlight w:val="none"/>
                <w:vertAlign w:val="baseline"/>
                <w:lang w:val="en-US" w:eastAsia="zh-CN" w:bidi="ar-SA"/>
              </w:rPr>
              <w:t xml:space="preserve"> 单枪；</w:t>
            </w:r>
            <w:r>
              <w:rPr>
                <w:rFonts w:hint="default" w:ascii="仿宋" w:hAnsi="仿宋" w:eastAsia="仿宋" w:cs="仿宋"/>
                <w:kern w:val="2"/>
                <w:sz w:val="24"/>
                <w:szCs w:val="24"/>
                <w:highlight w:val="none"/>
                <w:vertAlign w:val="baseline"/>
                <w:lang w:val="en-US" w:eastAsia="zh-CN" w:bidi="ar-SA"/>
              </w:rPr>
              <w:t>显示屏幕：</w:t>
            </w:r>
            <w:r>
              <w:rPr>
                <w:rFonts w:hint="eastAsia" w:ascii="仿宋" w:hAnsi="仿宋" w:eastAsia="仿宋" w:cs="仿宋"/>
                <w:kern w:val="2"/>
                <w:sz w:val="24"/>
                <w:szCs w:val="24"/>
                <w:highlight w:val="none"/>
                <w:vertAlign w:val="baseline"/>
                <w:lang w:val="en-US" w:eastAsia="zh-CN" w:bidi="ar-SA"/>
              </w:rPr>
              <w:t>4</w:t>
            </w:r>
            <w:r>
              <w:rPr>
                <w:rFonts w:hint="default" w:ascii="仿宋" w:hAnsi="仿宋" w:eastAsia="仿宋" w:cs="仿宋"/>
                <w:kern w:val="2"/>
                <w:sz w:val="24"/>
                <w:szCs w:val="24"/>
                <w:highlight w:val="none"/>
                <w:vertAlign w:val="baseline"/>
                <w:lang w:val="en-US" w:eastAsia="zh-CN" w:bidi="ar-SA"/>
              </w:rPr>
              <w:t>.3寸彩色液晶屏；联网方式：</w:t>
            </w:r>
            <w:r>
              <w:rPr>
                <w:rFonts w:hint="eastAsia" w:ascii="仿宋" w:hAnsi="仿宋" w:eastAsia="仿宋" w:cs="仿宋"/>
                <w:kern w:val="2"/>
                <w:sz w:val="24"/>
                <w:szCs w:val="24"/>
                <w:highlight w:val="none"/>
                <w:vertAlign w:val="baseline"/>
                <w:lang w:val="en-US" w:eastAsia="zh-CN" w:bidi="ar-SA"/>
              </w:rPr>
              <w:t>以太网或</w:t>
            </w:r>
            <w:r>
              <w:rPr>
                <w:rFonts w:hint="default" w:ascii="仿宋" w:hAnsi="仿宋" w:eastAsia="仿宋" w:cs="仿宋"/>
                <w:kern w:val="2"/>
                <w:sz w:val="24"/>
                <w:szCs w:val="24"/>
                <w:highlight w:val="none"/>
                <w:vertAlign w:val="baseline"/>
                <w:lang w:val="en-US" w:eastAsia="zh-CN" w:bidi="ar-SA"/>
              </w:rPr>
              <w:t>4G；安装方式：立柱式；防护等级：IP54；</w:t>
            </w:r>
          </w:p>
        </w:tc>
        <w:tc>
          <w:tcPr>
            <w:tcW w:w="1530" w:type="dxa"/>
            <w:vAlign w:val="center"/>
          </w:tcPr>
          <w:p>
            <w:pPr>
              <w:pStyle w:val="82"/>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ind w:left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落地安装</w:t>
            </w:r>
          </w:p>
        </w:tc>
        <w:tc>
          <w:tcPr>
            <w:tcW w:w="1059"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7套</w:t>
            </w:r>
          </w:p>
        </w:tc>
        <w:tc>
          <w:tcPr>
            <w:tcW w:w="1221"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含落地支架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5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运营服务</w:t>
            </w:r>
          </w:p>
        </w:tc>
        <w:tc>
          <w:tcPr>
            <w:tcW w:w="3113"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能够</w:t>
            </w:r>
            <w:r>
              <w:rPr>
                <w:rFonts w:hint="default" w:ascii="仿宋" w:hAnsi="仿宋" w:eastAsia="仿宋" w:cs="仿宋"/>
                <w:sz w:val="24"/>
                <w:szCs w:val="24"/>
                <w:highlight w:val="none"/>
                <w:vertAlign w:val="baseline"/>
                <w:lang w:val="en-US" w:eastAsia="zh-CN"/>
              </w:rPr>
              <w:t>接入甲方指定政府监管平台</w:t>
            </w:r>
            <w:r>
              <w:rPr>
                <w:rFonts w:hint="eastAsia" w:ascii="仿宋" w:hAnsi="仿宋" w:eastAsia="仿宋" w:cs="仿宋"/>
                <w:sz w:val="24"/>
                <w:szCs w:val="24"/>
                <w:highlight w:val="none"/>
                <w:vertAlign w:val="baseline"/>
                <w:lang w:val="en-US" w:eastAsia="zh-CN"/>
              </w:rPr>
              <w:t>；具备平台运营能力</w:t>
            </w:r>
          </w:p>
        </w:tc>
        <w:tc>
          <w:tcPr>
            <w:tcW w:w="1530" w:type="dxa"/>
            <w:vAlign w:val="center"/>
          </w:tcPr>
          <w:p>
            <w:pPr>
              <w:pStyle w:val="82"/>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ind w:left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p>
        </w:tc>
        <w:tc>
          <w:tcPr>
            <w:tcW w:w="1059"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w:t>
            </w:r>
          </w:p>
        </w:tc>
        <w:tc>
          <w:tcPr>
            <w:tcW w:w="1221"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szCs w:val="24"/>
                <w:highlight w:val="none"/>
                <w:vertAlign w:val="baseline"/>
                <w:lang w:val="en-US" w:eastAsia="zh-CN"/>
              </w:rPr>
            </w:pPr>
          </w:p>
        </w:tc>
      </w:tr>
    </w:tbl>
    <w:p>
      <w:pPr>
        <w:numPr>
          <w:ilvl w:val="0"/>
          <w:numId w:val="0"/>
        </w:numPr>
        <w:tabs>
          <w:tab w:val="left" w:pos="3640"/>
        </w:tabs>
        <w:autoSpaceDE w:val="0"/>
        <w:autoSpaceDN w:val="0"/>
        <w:spacing w:line="360" w:lineRule="auto"/>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二</w:t>
      </w:r>
      <w:r>
        <w:rPr>
          <w:rFonts w:hint="eastAsia" w:ascii="宋体" w:hAnsi="宋体" w:eastAsia="宋体" w:cs="宋体"/>
          <w:color w:val="000000" w:themeColor="text1"/>
          <w:kern w:val="2"/>
          <w:sz w:val="28"/>
          <w:szCs w:val="28"/>
          <w:lang w:val="en-US" w:eastAsia="zh-CN" w:bidi="ar-SA"/>
          <w14:textFill>
            <w14:solidFill>
              <w14:schemeClr w14:val="tx1"/>
            </w14:solidFill>
          </w14:textFill>
        </w:rPr>
        <w:t>、</w:t>
      </w:r>
      <w:r>
        <w:rPr>
          <w:rFonts w:hint="eastAsia" w:ascii="宋体" w:hAnsi="宋体" w:cs="宋体"/>
          <w:color w:val="000000" w:themeColor="text1"/>
          <w:kern w:val="2"/>
          <w:sz w:val="28"/>
          <w:szCs w:val="28"/>
          <w:lang w:val="en-US" w:eastAsia="zh-CN" w:bidi="ar-SA"/>
          <w14:textFill>
            <w14:solidFill>
              <w14:schemeClr w14:val="tx1"/>
            </w14:solidFill>
          </w14:textFill>
        </w:rPr>
        <w:t>设备功能</w:t>
      </w:r>
      <w:r>
        <w:rPr>
          <w:rFonts w:hint="eastAsia" w:ascii="宋体" w:hAnsi="宋体" w:eastAsia="宋体" w:cs="宋体"/>
          <w:color w:val="000000" w:themeColor="text1"/>
          <w:kern w:val="2"/>
          <w:sz w:val="28"/>
          <w:szCs w:val="28"/>
          <w:lang w:val="en-US" w:eastAsia="zh-CN" w:bidi="ar-SA"/>
          <w14:textFill>
            <w14:solidFill>
              <w14:schemeClr w14:val="tx1"/>
            </w14:solidFill>
          </w14:textFill>
        </w:rPr>
        <w:t>要求</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1、输入电压：2</w:t>
      </w:r>
      <w:r>
        <w:rPr>
          <w:rFonts w:hint="eastAsia" w:ascii="仿宋" w:hAnsi="仿宋" w:eastAsia="仿宋" w:cs="仿宋"/>
          <w:kern w:val="2"/>
          <w:sz w:val="24"/>
          <w:szCs w:val="24"/>
          <w:highlight w:val="none"/>
          <w:vertAlign w:val="baseline"/>
          <w:lang w:val="en-US" w:eastAsia="zh-CN" w:bidi="ar-SA"/>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0Vac±20%；</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2、额定电流：32A；</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3、输出功率：7kW；</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4、计量精度：优于1级；</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5、启动方式：刷卡、扫码</w:t>
      </w:r>
      <w:r>
        <w:rPr>
          <w:rFonts w:hint="eastAsia" w:ascii="宋体" w:hAnsi="宋体" w:cs="宋体"/>
          <w:color w:val="000000" w:themeColor="text1"/>
          <w:sz w:val="24"/>
          <w:szCs w:val="24"/>
          <w:highlight w:val="none"/>
          <w:lang w:val="en-US" w:eastAsia="zh-CN"/>
          <w14:textFill>
            <w14:solidFill>
              <w14:schemeClr w14:val="tx1"/>
            </w14:solidFill>
          </w14:textFill>
        </w:rPr>
        <w:t>；</w:t>
      </w:r>
    </w:p>
    <w:p>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6、工作温度：-30℃～60℃；</w:t>
      </w:r>
    </w:p>
    <w:p>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7、防护等级：IP54；</w:t>
      </w:r>
    </w:p>
    <w:p>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8、具有相应的安全防护功能及告警保护功能。</w:t>
      </w:r>
    </w:p>
    <w:p>
      <w:pPr>
        <w:tabs>
          <w:tab w:val="left" w:pos="3640"/>
        </w:tabs>
        <w:autoSpaceDE w:val="0"/>
        <w:autoSpaceDN w:val="0"/>
        <w:spacing w:line="360" w:lineRule="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w:t>
      </w:r>
      <w:r>
        <w:rPr>
          <w:rFonts w:hint="eastAsia" w:ascii="宋体" w:hAnsi="宋体" w:cs="宋体"/>
          <w:color w:val="000000" w:themeColor="text1"/>
          <w:kern w:val="2"/>
          <w:sz w:val="28"/>
          <w:szCs w:val="28"/>
          <w:lang w:val="en-US" w:eastAsia="zh-CN" w:bidi="ar-SA"/>
          <w14:textFill>
            <w14:solidFill>
              <w14:schemeClr w14:val="tx1"/>
            </w14:solidFill>
          </w14:textFill>
        </w:rPr>
        <w:t>运营平台</w:t>
      </w:r>
      <w:r>
        <w:rPr>
          <w:rFonts w:hint="eastAsia" w:ascii="宋体" w:hAnsi="宋体" w:eastAsia="宋体" w:cs="宋体"/>
          <w:color w:val="000000" w:themeColor="text1"/>
          <w:kern w:val="2"/>
          <w:sz w:val="28"/>
          <w:szCs w:val="28"/>
          <w:lang w:val="en-US" w:eastAsia="zh-CN" w:bidi="ar-SA"/>
          <w14:textFill>
            <w14:solidFill>
              <w14:schemeClr w14:val="tx1"/>
            </w14:solidFill>
          </w14:textFill>
        </w:rPr>
        <w:t>要求</w:t>
      </w:r>
    </w:p>
    <w:p>
      <w:pPr>
        <w:tabs>
          <w:tab w:val="left" w:pos="3640"/>
        </w:tabs>
        <w:autoSpaceDE w:val="0"/>
        <w:autoSpaceDN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1、具备平台运营能力：</w:t>
      </w:r>
      <w:bookmarkStart w:id="83" w:name="_GoBack"/>
      <w:bookmarkEnd w:id="83"/>
    </w:p>
    <w:p>
      <w:pPr>
        <w:tabs>
          <w:tab w:val="left" w:pos="3640"/>
        </w:tabs>
        <w:autoSpaceDE w:val="0"/>
        <w:autoSpaceDN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运营平台端是本系统最基础、最核心的功能呈现，实现充电桩、站资源管理，充电桩计费规则，运营活动管理等运营管理，充电桩设备实时监控监管（实现充电站、桩实时监控），充电桩运维管理以及财务管理等功能，本平台也是车主用户端的管理后台。</w:t>
      </w:r>
    </w:p>
    <w:p>
      <w:pPr>
        <w:tabs>
          <w:tab w:val="left" w:pos="3640"/>
        </w:tabs>
        <w:autoSpaceDE w:val="0"/>
        <w:autoSpaceDN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6" w:name="_Toc481998764"/>
      <w:bookmarkStart w:id="57" w:name="_Toc90480355"/>
      <w:bookmarkStart w:id="58" w:name="_Toc53664668"/>
      <w:bookmarkStart w:id="59" w:name="_Toc90403025"/>
      <w:bookmarkStart w:id="60" w:name="_Toc109049678"/>
      <w:r>
        <w:rPr>
          <w:rFonts w:hint="eastAsia" w:ascii="宋体" w:hAnsi="宋体" w:eastAsia="宋体" w:cs="宋体"/>
          <w:color w:val="000000" w:themeColor="text1"/>
          <w:sz w:val="24"/>
          <w:szCs w:val="24"/>
          <w:highlight w:val="none"/>
          <w:lang w:val="en-US" w:eastAsia="zh-CN"/>
          <w14:textFill>
            <w14:solidFill>
              <w14:schemeClr w14:val="tx1"/>
            </w14:solidFill>
          </w14:textFill>
        </w:rPr>
        <w:t>2、技术性能需求</w:t>
      </w:r>
      <w:bookmarkEnd w:id="56"/>
      <w:bookmarkEnd w:id="57"/>
      <w:bookmarkEnd w:id="58"/>
      <w:bookmarkEnd w:id="59"/>
      <w:bookmarkEnd w:id="60"/>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为了保证系统能够长期、安全、稳定、可靠、高效的运行，需满足以下性能需求：</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1）操作简单：普通操作人员经简单培训就可操作，或者参考简明手册就可方便操作。</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功能完善：系统能够完成设计要求的所有分类统计、模糊查询、分析等功能操作，同时具有良好的运行速度和稳定性，有较高的数据承载能力，在网络稳定的环境下，单一界面操作的系统操作响应时间应小于5秒。</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易于管理：系统查询、分析、统计流程可后台定制化，统计报表可通过流程设计界面自定义、无需重新编程，维护方便，能够方便快速的利用已有基础数据。系统必须是构件化、面向对象的，以及可实现未来自定义业务管理功能、统计分析管理辅助功能的升级、扩展，对一些后续性的功能，能够方便进行扩充或者二次开发。</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4）信息量要求：本期项目的主要数据来源为电站上报的充电基础设施运行数据，数据内容主要为关系型数据、GIS数据等信息。要求系统能满足负荷2000个充电基础设施的能力。</w:t>
      </w:r>
    </w:p>
    <w:p>
      <w:pPr>
        <w:tabs>
          <w:tab w:val="left" w:pos="3640"/>
        </w:tabs>
        <w:autoSpaceDE w:val="0"/>
        <w:autoSpaceDN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bookmarkStart w:id="61" w:name="_Toc53664669"/>
      <w:bookmarkStart w:id="62" w:name="_Toc481998765"/>
      <w:bookmarkStart w:id="63" w:name="_Toc90403026"/>
      <w:bookmarkStart w:id="64" w:name="_Toc90480356"/>
      <w:bookmarkStart w:id="65" w:name="_Toc109049679"/>
      <w:r>
        <w:rPr>
          <w:rFonts w:hint="eastAsia" w:ascii="宋体" w:hAnsi="宋体" w:eastAsia="宋体" w:cs="宋体"/>
          <w:color w:val="000000" w:themeColor="text1"/>
          <w:sz w:val="24"/>
          <w:szCs w:val="24"/>
          <w:highlight w:val="none"/>
          <w:lang w:val="en-US" w:eastAsia="zh-CN"/>
          <w14:textFill>
            <w14:solidFill>
              <w14:schemeClr w14:val="tx1"/>
            </w14:solidFill>
          </w14:textFill>
        </w:rPr>
        <w:t>管理需求</w:t>
      </w:r>
      <w:bookmarkEnd w:id="61"/>
      <w:bookmarkEnd w:id="62"/>
      <w:bookmarkEnd w:id="63"/>
      <w:bookmarkEnd w:id="64"/>
      <w:bookmarkEnd w:id="65"/>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需要实现的系统管理需求如下：</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1）拥有完善的用户权限管理功能，对数据调阅、原始数据下载提供权限设置；</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2）实现强大的权限设定功能；</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3）实现用户权限及用户访问范围的设定；</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4）实现日常管理维护及功能使用的详细操作日志管理；</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5）实现下载操作人员的使用内容、时间、数据容量等基础信息统计；</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6）经办人员的具体使用记录其上级主管可实现监控及管理；</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7）实现自定义统计分析模块的定期更新和系统功能平滑在线升级（不停机状态）；</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8）实现以所有操作日志的自动定期离线数据下载备份管理和下载后定时清空；</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9）系统升级后对系统管理、后台维护和业务部门进行分类使用培训。</w:t>
      </w:r>
    </w:p>
    <w:p>
      <w:pPr>
        <w:tabs>
          <w:tab w:val="left" w:pos="3640"/>
        </w:tabs>
        <w:autoSpaceDE w:val="0"/>
        <w:autoSpaceDN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bookmarkStart w:id="66" w:name="_Toc53664670"/>
      <w:bookmarkStart w:id="67" w:name="_Toc90403027"/>
      <w:bookmarkStart w:id="68" w:name="_Toc481998766"/>
      <w:bookmarkStart w:id="69" w:name="_Toc109049680"/>
      <w:bookmarkStart w:id="70" w:name="_Toc90480357"/>
      <w:r>
        <w:rPr>
          <w:rFonts w:hint="eastAsia" w:ascii="宋体" w:hAnsi="宋体" w:eastAsia="宋体" w:cs="宋体"/>
          <w:color w:val="000000" w:themeColor="text1"/>
          <w:sz w:val="24"/>
          <w:szCs w:val="24"/>
          <w:highlight w:val="none"/>
          <w:lang w:val="en-US" w:eastAsia="zh-CN"/>
          <w14:textFill>
            <w14:solidFill>
              <w14:schemeClr w14:val="tx1"/>
            </w14:solidFill>
          </w14:textFill>
        </w:rPr>
        <w:t>安全需求</w:t>
      </w:r>
      <w:bookmarkEnd w:id="66"/>
      <w:bookmarkEnd w:id="67"/>
      <w:bookmarkEnd w:id="68"/>
      <w:bookmarkEnd w:id="69"/>
      <w:bookmarkEnd w:id="70"/>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系统可用性：平台提供7天×24 小时的连续运行保障，系统具有操作授权及权限控制，并提供操作日志管理功能。</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功能完善：系统应具备完善全面的充电服务相关功能，以及数据分析、模糊查询等操作。</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更新能力：系统应具备根据不断发展的实际业务场景进行更新的能力，保证平台活性，满足不同的业务需求。</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易用性：功能页面操作、查询，报表查询、导出等常用操作，响应迅速，方便业务人员操作。可扩展性：应具有先进的数据库设计，以应对可能因业务增长带来的扩容需求。</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稳定性：应具备分布式部署能力，确保平台稳定性。</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数据承诺：该平台所有数据包括客户数据产权归招标方所有。</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数据共享：平台应具备用于对接其他系统的API接口，支持接入到政府新能源监管平台等其他系统。所配备、开发的接口应满足《T/CEC 102.1-2016 电动汽车充换电服务信息交换 第1部分:总则》、《T/CEC 102.2-2016 电动汽车充换电服务信息交换 第2部分: 公共信息交换规范》、《T/CEC 102.3-2016 电动汽车充换电服务信息交换 第3部分: 业务信息交换规范》和《T/CEC 102.4-2016 电动汽车充换电服务信息交换 第4部分: 数据传输及安全》。通过接口可对接的数据包括但不限于：充电站的动、静态数据；充电设备的动、静态数据；订单数据等，且可通过接口实现控制充电设备的启动和停止。</w:t>
      </w:r>
    </w:p>
    <w:p>
      <w:pPr>
        <w:tabs>
          <w:tab w:val="left" w:pos="3640"/>
        </w:tabs>
        <w:autoSpaceDE w:val="0"/>
        <w:autoSpaceDN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服务方在开发过程中应及时整理和制定各类技术文档资料、编写培训教材，并提供技术培训，包括但不限于系统操作使用培训。</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服务方需提供合理高效的系统实施方案。方案应包括项目进度管理、项目风险管理、技术措施和实施办法等。</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投标人充电设备及平台未出现过重大安全事故、不存在违规收集、使用个人信息，未被国家相关部门通报过，提供承诺书。</w:t>
      </w:r>
    </w:p>
    <w:p>
      <w:pPr>
        <w:tabs>
          <w:tab w:val="left" w:pos="3640"/>
        </w:tabs>
        <w:autoSpaceDE w:val="0"/>
        <w:autoSpaceDN w:val="0"/>
        <w:spacing w:line="360" w:lineRule="auto"/>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其他要求</w:t>
      </w:r>
      <w:r>
        <w:rPr>
          <w:rFonts w:hint="eastAsia" w:ascii="宋体" w:hAnsi="宋体" w:cs="宋体"/>
          <w:color w:val="000000" w:themeColor="text1"/>
          <w:sz w:val="24"/>
          <w:szCs w:val="24"/>
          <w:highlight w:val="none"/>
          <w:lang w:val="en-US" w:eastAsia="zh-CN"/>
          <w14:textFill>
            <w14:solidFill>
              <w14:schemeClr w14:val="tx1"/>
            </w14:solidFill>
          </w14:textFill>
        </w:rPr>
        <w:t>;</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可以接入甲方指定政府监管平台；</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运营平台服务费最高限价</w:t>
      </w:r>
      <w:r>
        <w:rPr>
          <w:rFonts w:hint="eastAsia" w:ascii="宋体" w:hAnsi="宋体" w:cs="宋体"/>
          <w:color w:val="000000" w:themeColor="text1"/>
          <w:sz w:val="24"/>
          <w:szCs w:val="24"/>
          <w:highlight w:val="none"/>
          <w:lang w:val="en-US" w:eastAsia="zh-CN"/>
          <w14:textFill>
            <w14:solidFill>
              <w14:schemeClr w14:val="tx1"/>
            </w14:solidFill>
          </w14:textFill>
        </w:rPr>
        <w:t>为充电服务费的10%且不得高于</w:t>
      </w:r>
      <w:r>
        <w:rPr>
          <w:rFonts w:hint="eastAsia" w:ascii="宋体" w:hAnsi="宋体" w:eastAsia="宋体" w:cs="宋体"/>
          <w:color w:val="000000" w:themeColor="text1"/>
          <w:sz w:val="24"/>
          <w:szCs w:val="24"/>
          <w:highlight w:val="none"/>
          <w:lang w:val="en-US" w:eastAsia="zh-CN"/>
          <w14:textFill>
            <w14:solidFill>
              <w14:schemeClr w14:val="tx1"/>
            </w14:solidFill>
          </w14:textFill>
        </w:rPr>
        <w:t>0.05元/度；</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资金结算方式为T+1。</w:t>
      </w:r>
    </w:p>
    <w:p>
      <w:pPr>
        <w:rPr>
          <w:rFonts w:hint="eastAsia" w:ascii="宋体" w:hAnsi="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71" w:name="_Toc476584431"/>
      <w:bookmarkStart w:id="72"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3"/>
      <w:bookmarkEnd w:id="54"/>
      <w:bookmarkEnd w:id="55"/>
      <w:bookmarkEnd w:id="71"/>
      <w:bookmarkEnd w:id="72"/>
    </w:p>
    <w:p>
      <w:pPr>
        <w:rPr>
          <w:rFonts w:hint="eastAsia"/>
          <w:lang w:eastAsia="zh-CN"/>
        </w:rPr>
      </w:pPr>
    </w:p>
    <w:p>
      <w:pPr>
        <w:tabs>
          <w:tab w:val="left" w:pos="3640"/>
        </w:tabs>
        <w:autoSpaceDE w:val="0"/>
        <w:autoSpaceDN w:val="0"/>
        <w:spacing w:line="360" w:lineRule="auto"/>
        <w:rPr>
          <w:rFonts w:ascii="宋体" w:hAnsi="Times New Roman" w:eastAsia="宋体" w:cs="宋体"/>
          <w:color w:val="36363D"/>
          <w:szCs w:val="21"/>
          <w:highlight w:val="none"/>
          <w:u w:val="single"/>
        </w:rPr>
      </w:pPr>
      <w:bookmarkStart w:id="73" w:name="_Toc8981"/>
      <w:bookmarkStart w:id="74" w:name="_Toc25399"/>
      <w:bookmarkStart w:id="75" w:name="_Toc439316880"/>
      <w:bookmarkStart w:id="76" w:name="_Toc54941341"/>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73"/>
      <w:bookmarkEnd w:id="74"/>
      <w:bookmarkEnd w:id="75"/>
      <w:bookmarkEnd w:id="76"/>
      <w:bookmarkStart w:id="77" w:name="_Toc26873"/>
      <w:bookmarkStart w:id="78"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77"/>
      <w:bookmarkEnd w:id="78"/>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四、相关证明文件</w:t>
      </w: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keepNext/>
        <w:keepLines/>
        <w:widowControl w:val="0"/>
        <w:shd w:val="clear" w:color="auto" w:fill="FFFFFF"/>
        <w:wordWrap w:val="0"/>
        <w:spacing w:line="360" w:lineRule="exact"/>
        <w:jc w:val="center"/>
        <w:outlineLvl w:val="2"/>
        <w:rPr>
          <w:rFonts w:hint="eastAsia" w:ascii="宋体" w:hAnsi="宋体" w:eastAsia="宋体" w:cs="宋体"/>
          <w:b/>
          <w:color w:val="auto"/>
          <w:kern w:val="2"/>
          <w:sz w:val="30"/>
          <w:szCs w:val="30"/>
          <w:highlight w:val="none"/>
          <w:shd w:val="clear" w:color="auto" w:fill="FFFFFF"/>
          <w:lang w:val="en-US" w:eastAsia="zh-CN" w:bidi="ar-SA"/>
        </w:rPr>
      </w:pPr>
      <w:bookmarkStart w:id="79" w:name="_Toc54941342"/>
      <w:bookmarkStart w:id="80" w:name="_Toc476584433"/>
      <w:r>
        <w:rPr>
          <w:rFonts w:hint="eastAsia" w:ascii="宋体" w:hAnsi="宋体" w:eastAsia="宋体" w:cs="宋体"/>
          <w:b/>
          <w:color w:val="auto"/>
          <w:kern w:val="2"/>
          <w:sz w:val="30"/>
          <w:szCs w:val="30"/>
          <w:highlight w:val="none"/>
          <w:shd w:val="clear" w:color="auto" w:fill="FFFFFF"/>
          <w:lang w:val="en-US" w:eastAsia="zh-CN" w:bidi="ar-SA"/>
        </w:rPr>
        <w:t>一、</w:t>
      </w:r>
      <w:bookmarkEnd w:id="79"/>
      <w:bookmarkEnd w:id="80"/>
      <w:r>
        <w:rPr>
          <w:rFonts w:hint="eastAsia" w:ascii="宋体" w:hAnsi="宋体" w:eastAsia="宋体" w:cs="宋体"/>
          <w:b/>
          <w:color w:val="auto"/>
          <w:kern w:val="2"/>
          <w:sz w:val="30"/>
          <w:szCs w:val="30"/>
          <w:highlight w:val="none"/>
          <w:shd w:val="clear" w:color="auto" w:fill="FFFFFF"/>
          <w:lang w:val="en-US" w:eastAsia="zh-CN" w:bidi="ar-SA"/>
        </w:rPr>
        <w:t>投标函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安庆市安能捷能源有限公司</w:t>
      </w:r>
    </w:p>
    <w:p>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安庆市安能捷能源有限公司7KW交流单桩采购服务项目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3、一旦我方成交，我方将严格履行合同规定的责任和义务，保证该项目的</w:t>
      </w:r>
      <w:r>
        <w:rPr>
          <w:rFonts w:hint="eastAsia" w:ascii="宋体" w:hAnsi="宋体" w:cs="Courier New"/>
          <w:color w:val="auto"/>
          <w:kern w:val="2"/>
          <w:sz w:val="21"/>
          <w:szCs w:val="21"/>
          <w:highlight w:val="none"/>
          <w:lang w:val="en-US" w:eastAsia="zh-CN" w:bidi="ar-SA"/>
        </w:rPr>
        <w:t>搬运周期</w:t>
      </w:r>
      <w:r>
        <w:rPr>
          <w:rFonts w:hint="eastAsia" w:ascii="宋体" w:hAnsi="宋体" w:eastAsia="宋体" w:cs="Courier New"/>
          <w:color w:val="auto"/>
          <w:kern w:val="2"/>
          <w:sz w:val="21"/>
          <w:szCs w:val="21"/>
          <w:highlight w:val="none"/>
          <w:lang w:val="en-US" w:eastAsia="zh-CN" w:bidi="ar-SA"/>
        </w:rPr>
        <w:t>为</w:t>
      </w:r>
      <w:r>
        <w:rPr>
          <w:rFonts w:hint="eastAsia" w:ascii="宋体" w:hAnsi="Courier New" w:cs="Courier New"/>
          <w:color w:val="auto"/>
          <w:kern w:val="2"/>
          <w:sz w:val="21"/>
          <w:szCs w:val="21"/>
          <w:highlight w:val="none"/>
          <w:u w:val="single"/>
          <w:lang w:val="en-US" w:eastAsia="zh-CN" w:bidi="ar-SA"/>
        </w:rPr>
        <w:t>自合同签订之日起20个自然日内完成。</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1"/>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
        <w:rPr>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bookmarkStart w:id="81" w:name="_Toc476584438"/>
      <w:bookmarkStart w:id="82" w:name="_Toc54941350"/>
      <w:r>
        <w:rPr>
          <w:rFonts w:hint="eastAsia" w:cs="宋体"/>
          <w:color w:val="000000" w:themeColor="text1"/>
          <w:highlight w:val="none"/>
          <w14:textFill>
            <w14:solidFill>
              <w14:schemeClr w14:val="tx1"/>
            </w14:solidFill>
          </w14:textFill>
        </w:rPr>
        <w:br w:type="page"/>
      </w:r>
    </w:p>
    <w:p>
      <w:pPr>
        <w:keepNext/>
        <w:keepLines/>
        <w:widowControl w:val="0"/>
        <w:shd w:val="clear" w:color="auto" w:fill="FFFFFF"/>
        <w:wordWrap w:val="0"/>
        <w:spacing w:line="360" w:lineRule="exact"/>
        <w:jc w:val="center"/>
        <w:outlineLvl w:val="2"/>
        <w:rPr>
          <w:rFonts w:hint="eastAsia" w:ascii="宋体" w:hAnsi="宋体" w:eastAsia="宋体" w:cs="宋体"/>
          <w:b/>
          <w:color w:val="auto"/>
          <w:kern w:val="2"/>
          <w:sz w:val="30"/>
          <w:szCs w:val="30"/>
          <w:highlight w:val="none"/>
          <w:shd w:val="clear" w:color="auto" w:fill="FFFFFF"/>
          <w:lang w:val="en-US" w:eastAsia="zh-CN" w:bidi="ar-SA"/>
        </w:rPr>
      </w:pPr>
      <w:r>
        <w:rPr>
          <w:rFonts w:hint="eastAsia" w:ascii="宋体" w:hAnsi="宋体" w:eastAsia="宋体" w:cs="宋体"/>
          <w:b/>
          <w:color w:val="auto"/>
          <w:kern w:val="2"/>
          <w:sz w:val="30"/>
          <w:szCs w:val="30"/>
          <w:highlight w:val="none"/>
          <w:shd w:val="clear" w:color="auto" w:fill="FFFFFF"/>
          <w:lang w:val="en-US" w:eastAsia="zh-CN" w:bidi="ar-SA"/>
        </w:rPr>
        <w:t>二、报价表</w:t>
      </w:r>
    </w:p>
    <w:p>
      <w:pPr>
        <w:spacing w:line="360" w:lineRule="auto"/>
        <w:ind w:firstLine="420" w:firstLineChars="200"/>
        <w:rPr>
          <w:rFonts w:ascii="仿宋" w:hAnsi="仿宋" w:eastAsia="仿宋" w:cs="Times New Roman"/>
          <w:color w:val="auto"/>
          <w:szCs w:val="21"/>
          <w:highlight w:val="none"/>
        </w:rPr>
      </w:pPr>
    </w:p>
    <w:p>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2"/>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953"/>
        <w:gridCol w:w="1038"/>
        <w:gridCol w:w="2987"/>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952"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序号</w:t>
            </w:r>
          </w:p>
        </w:tc>
        <w:tc>
          <w:tcPr>
            <w:tcW w:w="2953"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物品名称</w:t>
            </w:r>
          </w:p>
        </w:tc>
        <w:tc>
          <w:tcPr>
            <w:tcW w:w="10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sz w:val="30"/>
                <w:szCs w:val="30"/>
                <w:highlight w:val="none"/>
                <w:vertAlign w:val="baseline"/>
                <w:lang w:val="en-US" w:eastAsia="zh-CN"/>
              </w:rPr>
              <w:t>数量</w:t>
            </w:r>
          </w:p>
        </w:tc>
        <w:tc>
          <w:tcPr>
            <w:tcW w:w="2987"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报价（元）</w:t>
            </w:r>
          </w:p>
        </w:tc>
        <w:tc>
          <w:tcPr>
            <w:tcW w:w="1249"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2"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2953"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交流单桩</w:t>
            </w:r>
          </w:p>
        </w:tc>
        <w:tc>
          <w:tcPr>
            <w:tcW w:w="1038"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7套</w:t>
            </w:r>
          </w:p>
        </w:tc>
        <w:tc>
          <w:tcPr>
            <w:tcW w:w="2987"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8"/>
                <w:szCs w:val="28"/>
                <w:highlight w:val="none"/>
                <w:vertAlign w:val="baseline"/>
                <w:lang w:val="en-US" w:eastAsia="zh-CN"/>
              </w:rPr>
            </w:pPr>
          </w:p>
        </w:tc>
        <w:tc>
          <w:tcPr>
            <w:tcW w:w="1249"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含落地支架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52" w:type="dxa"/>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3991" w:type="dxa"/>
            <w:gridSpan w:val="2"/>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平台运营服务费</w:t>
            </w:r>
          </w:p>
        </w:tc>
        <w:tc>
          <w:tcPr>
            <w:tcW w:w="4236" w:type="dxa"/>
            <w:gridSpan w:val="2"/>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服务费的  %，且不高于 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43" w:type="dxa"/>
            <w:gridSpan w:val="3"/>
            <w:vMerge w:val="restart"/>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报价合计（不含平台运营服务费）</w:t>
            </w:r>
          </w:p>
        </w:tc>
        <w:tc>
          <w:tcPr>
            <w:tcW w:w="4236" w:type="dxa"/>
            <w:gridSpan w:val="2"/>
            <w:vAlign w:val="center"/>
          </w:tcPr>
          <w:p>
            <w:pPr>
              <w:pStyle w:val="82"/>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943" w:type="dxa"/>
            <w:gridSpan w:val="3"/>
            <w:vMerge w:val="continue"/>
            <w:vAlign w:val="center"/>
          </w:tcPr>
          <w:p>
            <w:pPr>
              <w:pStyle w:val="82"/>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4236" w:type="dxa"/>
            <w:gridSpan w:val="2"/>
            <w:vAlign w:val="center"/>
          </w:tcPr>
          <w:p>
            <w:pPr>
              <w:pStyle w:val="82"/>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179" w:type="dxa"/>
            <w:gridSpan w:val="5"/>
            <w:vAlign w:val="center"/>
          </w:tcPr>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pPr>
              <w:pStyle w:val="82"/>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宋体" w:eastAsia="宋体" w:cs="Times New Roman"/>
                <w:color w:val="auto"/>
                <w:sz w:val="24"/>
                <w:szCs w:val="24"/>
                <w:highlight w:val="none"/>
                <w:lang w:val="en-US" w:eastAsia="zh-CN"/>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hAnsi="宋体" w:cs="Times New Roman"/>
                <w:color w:val="auto"/>
                <w:sz w:val="24"/>
                <w:szCs w:val="24"/>
                <w:highlight w:val="none"/>
                <w:lang w:val="en-US" w:eastAsia="zh-CN"/>
              </w:rPr>
              <w:t>本项目按照总价最低原则进行采购，单项报价作为签订合同的固定价。</w:t>
            </w:r>
          </w:p>
          <w:p>
            <w:pPr>
              <w:pStyle w:val="82"/>
              <w:keepNext w:val="0"/>
              <w:keepLines w:val="0"/>
              <w:pageBreakBefore w:val="0"/>
              <w:widowControl w:val="0"/>
              <w:kinsoku/>
              <w:wordWrap/>
              <w:overflowPunct/>
              <w:topLinePunct w:val="0"/>
              <w:autoSpaceDE/>
              <w:autoSpaceDN/>
              <w:bidi w:val="0"/>
              <w:adjustRightInd w:val="0"/>
              <w:snapToGrid w:val="0"/>
              <w:jc w:val="both"/>
              <w:textAlignment w:val="auto"/>
              <w:rPr>
                <w:rFonts w:hint="default" w:ascii="仿宋" w:hAnsi="仿宋" w:eastAsia="仿宋" w:cs="仿宋"/>
                <w:sz w:val="24"/>
                <w:szCs w:val="24"/>
                <w:highlight w:val="none"/>
                <w:vertAlign w:val="baseline"/>
                <w:lang w:val="en-US" w:eastAsia="zh-CN"/>
              </w:rPr>
            </w:pPr>
            <w:r>
              <w:rPr>
                <w:rFonts w:hint="eastAsia" w:hAnsi="宋体" w:cs="Times New Roman"/>
                <w:color w:val="auto"/>
                <w:sz w:val="24"/>
                <w:szCs w:val="24"/>
                <w:highlight w:val="none"/>
                <w:lang w:val="en-US" w:eastAsia="zh-CN"/>
              </w:rPr>
              <w:t>2、</w:t>
            </w:r>
            <w:r>
              <w:rPr>
                <w:rFonts w:hint="eastAsia" w:ascii="Times New Roman" w:hAnsi="宋体" w:eastAsia="宋体" w:cs="Times New Roman"/>
                <w:color w:val="auto"/>
                <w:sz w:val="24"/>
                <w:szCs w:val="24"/>
                <w:highlight w:val="none"/>
                <w:lang w:val="en-US" w:eastAsia="zh-CN"/>
              </w:rPr>
              <w:t>参选人报价不得高于比选最高投标限价。</w:t>
            </w:r>
          </w:p>
        </w:tc>
      </w:tr>
    </w:tbl>
    <w:p>
      <w:pPr>
        <w:spacing w:line="360" w:lineRule="auto"/>
        <w:rPr>
          <w:rFonts w:ascii="宋体" w:hAnsi="宋体" w:eastAsia="宋体" w:cs="Times New Roman"/>
          <w:color w:val="auto"/>
          <w:szCs w:val="21"/>
          <w:highlight w:val="none"/>
          <w:lang w:val="zh-CN"/>
        </w:rPr>
      </w:pP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p>
    <w:p>
      <w:pPr>
        <w:pStyle w:val="2"/>
        <w:rPr>
          <w:rFonts w:hint="eastAsia"/>
        </w:rPr>
      </w:pP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0"/>
          <w:szCs w:val="30"/>
          <w:highlight w:val="none"/>
          <w:lang w:val="en-US" w:eastAsia="zh-CN" w:bidi="ar-SA"/>
        </w:rPr>
      </w:pPr>
      <w:r>
        <w:rPr>
          <w:rFonts w:hint="eastAsia" w:ascii="Arial" w:hAnsi="Arial" w:eastAsia="宋体" w:cs="Times New Roman"/>
          <w:b/>
          <w:color w:val="000000"/>
          <w:kern w:val="0"/>
          <w:sz w:val="30"/>
          <w:szCs w:val="30"/>
          <w:highlight w:val="none"/>
          <w:lang w:val="en-US" w:eastAsia="zh-CN" w:bidi="ar-SA"/>
        </w:rPr>
        <w:t>三、诚信投标承诺书</w:t>
      </w:r>
    </w:p>
    <w:p>
      <w:pPr>
        <w:rPr>
          <w:rFonts w:ascii="仿宋" w:hAnsi="仿宋" w:eastAsia="仿宋" w:cs="仿宋"/>
          <w:b/>
          <w:bCs/>
          <w:color w:val="000000"/>
          <w:sz w:val="24"/>
          <w:szCs w:val="24"/>
          <w:highlight w:val="none"/>
        </w:rPr>
      </w:pP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pPr>
        <w:jc w:val="right"/>
        <w:rPr>
          <w:rFonts w:ascii="仿宋" w:hAnsi="仿宋" w:eastAsia="仿宋" w:cs="仿宋"/>
          <w:b/>
          <w:bCs/>
          <w:color w:val="000000"/>
          <w:sz w:val="24"/>
          <w:szCs w:val="24"/>
          <w:highlight w:val="none"/>
        </w:rPr>
      </w:pPr>
    </w:p>
    <w:p>
      <w:pPr>
        <w:jc w:val="right"/>
        <w:rPr>
          <w:rFonts w:ascii="仿宋" w:hAnsi="仿宋" w:eastAsia="仿宋" w:cs="仿宋"/>
          <w:b/>
          <w:bCs/>
          <w:color w:val="000000"/>
          <w:sz w:val="24"/>
          <w:szCs w:val="24"/>
          <w:highlight w:val="none"/>
        </w:rPr>
      </w:pPr>
    </w:p>
    <w:p>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p>
      <w:pPr>
        <w:pStyle w:val="2"/>
        <w:rPr>
          <w:rFonts w:hint="eastAsia"/>
        </w:rPr>
      </w:pPr>
    </w:p>
    <w:bookmarkEnd w:id="81"/>
    <w:bookmarkEnd w:id="82"/>
    <w:p>
      <w:pPr>
        <w:keepNext/>
        <w:keepLines/>
        <w:widowControl w:val="0"/>
        <w:shd w:val="clear" w:color="auto" w:fill="FFFFFF"/>
        <w:wordWrap w:val="0"/>
        <w:spacing w:line="360" w:lineRule="exact"/>
        <w:jc w:val="center"/>
        <w:outlineLvl w:val="2"/>
        <w:rPr>
          <w:rFonts w:ascii="宋体" w:hAnsi="宋体" w:eastAsia="宋体" w:cs="宋体"/>
          <w:b/>
          <w:color w:val="auto"/>
          <w:kern w:val="2"/>
          <w:sz w:val="30"/>
          <w:szCs w:val="30"/>
          <w:highlight w:val="none"/>
          <w:bdr w:val="single" w:color="auto" w:sz="4" w:space="0"/>
          <w:shd w:val="clear" w:color="auto" w:fill="FFFFFF"/>
          <w:lang w:val="en-US" w:eastAsia="zh-CN" w:bidi="ar-SA"/>
        </w:rPr>
      </w:pPr>
      <w:r>
        <w:rPr>
          <w:rFonts w:hint="eastAsia" w:ascii="宋体" w:hAnsi="宋体" w:cs="宋体"/>
          <w:b/>
          <w:color w:val="auto"/>
          <w:kern w:val="2"/>
          <w:sz w:val="30"/>
          <w:szCs w:val="30"/>
          <w:highlight w:val="none"/>
          <w:shd w:val="clear" w:color="auto" w:fill="FFFFFF"/>
          <w:lang w:val="en-US" w:eastAsia="zh-CN" w:bidi="ar-SA"/>
        </w:rPr>
        <w:t>四</w:t>
      </w:r>
      <w:r>
        <w:rPr>
          <w:rFonts w:hint="eastAsia" w:ascii="宋体" w:hAnsi="宋体" w:eastAsia="宋体" w:cs="宋体"/>
          <w:b/>
          <w:color w:val="auto"/>
          <w:kern w:val="2"/>
          <w:sz w:val="30"/>
          <w:szCs w:val="30"/>
          <w:highlight w:val="none"/>
          <w:shd w:val="clear" w:color="auto" w:fill="FFFFFF"/>
          <w:lang w:val="en-US" w:eastAsia="zh-CN" w:bidi="ar-SA"/>
        </w:rPr>
        <w:t>、相关证明文件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r>
        <w:rPr>
          <w:rFonts w:ascii="宋体" w:hAnsi="宋体" w:cs="宋体"/>
          <w:b/>
          <w:color w:val="000000" w:themeColor="text1"/>
          <w:spacing w:val="-4"/>
          <w:kern w:val="0"/>
          <w:szCs w:val="21"/>
          <w:highlight w:val="none"/>
          <w14:textFill>
            <w14:solidFill>
              <w14:schemeClr w14:val="tx1"/>
            </w14:solidFill>
          </w14:textFill>
        </w:rPr>
        <w:br w:type="page"/>
      </w: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pPr>
    <w:r>
      <w:rPr>
        <w:rFonts w:hint="eastAsia"/>
        <w:sz w:val="16"/>
        <w:szCs w:val="16"/>
        <w:lang w:eastAsia="zh-CN"/>
      </w:rPr>
      <w:t>安庆市安能捷能源有限公司7KW交流单桩采购服务</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sz w:val="16"/>
        <w:szCs w:val="16"/>
      </w:rPr>
    </w:pPr>
    <w:r>
      <w:rPr>
        <w:rFonts w:hint="eastAsia"/>
        <w:sz w:val="16"/>
        <w:szCs w:val="16"/>
        <w:lang w:eastAsia="zh-CN"/>
      </w:rPr>
      <w:t>安庆市安能捷能源有限公司7KW交流单桩采购服务</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59D0A1BC"/>
    <w:multiLevelType w:val="singleLevel"/>
    <w:tmpl w:val="59D0A1BC"/>
    <w:lvl w:ilvl="0" w:tentative="0">
      <w:start w:val="4"/>
      <w:numFmt w:val="decimal"/>
      <w:suff w:val="nothing"/>
      <w:lvlText w:val="(%1)"/>
      <w:lvlJc w:val="left"/>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91681C"/>
    <w:rsid w:val="019E06E3"/>
    <w:rsid w:val="01FD0DAF"/>
    <w:rsid w:val="02060261"/>
    <w:rsid w:val="022E6257"/>
    <w:rsid w:val="02555ED9"/>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197674"/>
    <w:rsid w:val="041E3B9F"/>
    <w:rsid w:val="044D094D"/>
    <w:rsid w:val="046441B2"/>
    <w:rsid w:val="04753845"/>
    <w:rsid w:val="047A5783"/>
    <w:rsid w:val="04843FA4"/>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C41839"/>
    <w:rsid w:val="1CED005C"/>
    <w:rsid w:val="1D3A5FA0"/>
    <w:rsid w:val="1D6F5C49"/>
    <w:rsid w:val="1D772D50"/>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273ECC"/>
    <w:rsid w:val="637C5F97"/>
    <w:rsid w:val="638A11D4"/>
    <w:rsid w:val="63AD6B5B"/>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453492"/>
    <w:rsid w:val="67A02C6C"/>
    <w:rsid w:val="67E71B6D"/>
    <w:rsid w:val="67FF20E2"/>
    <w:rsid w:val="68306BC4"/>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A9040D6"/>
    <w:rsid w:val="6AC50223"/>
    <w:rsid w:val="6AD26CD2"/>
    <w:rsid w:val="6B016D82"/>
    <w:rsid w:val="6B2D6EEB"/>
    <w:rsid w:val="6B5243A0"/>
    <w:rsid w:val="6B5F5D4D"/>
    <w:rsid w:val="6B685053"/>
    <w:rsid w:val="6BAF4A30"/>
    <w:rsid w:val="6BB93969"/>
    <w:rsid w:val="6BC06C3D"/>
    <w:rsid w:val="6C0D4AD4"/>
    <w:rsid w:val="6C3D5F2F"/>
    <w:rsid w:val="6C575222"/>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320A1"/>
    <w:rsid w:val="7BCE0366"/>
    <w:rsid w:val="7BDA3403"/>
    <w:rsid w:val="7BEB0B45"/>
    <w:rsid w:val="7BF02C26"/>
    <w:rsid w:val="7C030BAC"/>
    <w:rsid w:val="7C487A58"/>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12415</Words>
  <Characters>13196</Characters>
  <Lines>69</Lines>
  <Paragraphs>19</Paragraphs>
  <TotalTime>34</TotalTime>
  <ScaleCrop>false</ScaleCrop>
  <LinksUpToDate>false</LinksUpToDate>
  <CharactersWithSpaces>14689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2024-06-06T03:15:07Z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A0D70FF2F71245279D1C86FABE673F8D_13</vt:lpwstr>
  </property>
</Properties>
</file>