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color w:val="000000" w:themeColor="text1"/>
          <w:sz w:val="44"/>
          <w:szCs w:val="44"/>
          <w14:textFill>
            <w14:solidFill>
              <w14:schemeClr w14:val="tx1"/>
            </w14:solidFill>
          </w14:textFill>
        </w:rPr>
      </w:pPr>
    </w:p>
    <w:p>
      <w:pPr>
        <w:pStyle w:val="82"/>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安庆通汇交通工程有限责任公司广告标识牌制作采购</w:t>
      </w:r>
    </w:p>
    <w:p>
      <w:pPr>
        <w:pStyle w:val="82"/>
        <w:ind w:left="0" w:leftChars="0" w:firstLine="0" w:firstLineChars="0"/>
        <w:rPr>
          <w:highlight w:val="none"/>
        </w:rPr>
      </w:pPr>
    </w:p>
    <w:p>
      <w:pPr>
        <w:pStyle w:val="82"/>
        <w:ind w:left="0" w:leftChars="0" w:firstLine="0" w:firstLineChars="0"/>
        <w:rPr>
          <w:highlight w:val="none"/>
        </w:rPr>
      </w:pPr>
    </w:p>
    <w:p>
      <w:pPr>
        <w:pStyle w:val="82"/>
        <w:rPr>
          <w:highlight w:val="none"/>
        </w:rPr>
      </w:pPr>
    </w:p>
    <w:p>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pPr>
        <w:pStyle w:val="82"/>
        <w:spacing w:before="120"/>
        <w:ind w:firstLine="350"/>
        <w:rPr>
          <w:color w:val="000000" w:themeColor="text1"/>
          <w:highlight w:val="none"/>
          <w14:textFill>
            <w14:solidFill>
              <w14:schemeClr w14:val="tx1"/>
            </w14:solidFill>
          </w14:textFill>
        </w:rPr>
      </w:pPr>
    </w:p>
    <w:p>
      <w:pPr>
        <w:pStyle w:val="82"/>
        <w:spacing w:before="120"/>
        <w:ind w:firstLine="350"/>
        <w:rPr>
          <w:color w:val="000000" w:themeColor="text1"/>
          <w:highlight w:val="none"/>
          <w14:textFill>
            <w14:solidFill>
              <w14:schemeClr w14:val="tx1"/>
            </w14:solidFill>
          </w14:textFill>
        </w:rPr>
      </w:pPr>
    </w:p>
    <w:p>
      <w:pPr>
        <w:spacing w:line="480" w:lineRule="exact"/>
        <w:jc w:val="center"/>
        <w:rPr>
          <w:rFonts w:ascii="宋体" w:cs="宋体"/>
          <w:b/>
          <w:bCs/>
          <w:color w:val="000000" w:themeColor="text1"/>
          <w:sz w:val="48"/>
          <w:szCs w:val="48"/>
          <w:highlight w:val="none"/>
          <w14:textFill>
            <w14:solidFill>
              <w14:schemeClr w14:val="tx1"/>
            </w14:solidFill>
          </w14:textFill>
        </w:rPr>
      </w:pPr>
    </w:p>
    <w:p>
      <w:pPr>
        <w:pStyle w:val="82"/>
        <w:rPr>
          <w:highlight w:val="none"/>
        </w:rPr>
      </w:pPr>
    </w:p>
    <w:p>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AQJK-CG-2024-040</w:t>
      </w:r>
    </w:p>
    <w:p>
      <w:pPr>
        <w:spacing w:line="480" w:lineRule="exact"/>
        <w:rPr>
          <w:rFonts w:ascii="宋体" w:hAnsi="宋体" w:cs="仿宋_GB2312"/>
          <w:color w:val="000000" w:themeColor="text1"/>
          <w:szCs w:val="21"/>
          <w:highlight w:val="none"/>
          <w14:textFill>
            <w14:solidFill>
              <w14:schemeClr w14:val="tx1"/>
            </w14:solidFill>
          </w14:textFill>
        </w:rPr>
      </w:pPr>
    </w:p>
    <w:p>
      <w:pPr>
        <w:pStyle w:val="82"/>
        <w:spacing w:before="120"/>
        <w:ind w:firstLine="350"/>
        <w:rPr>
          <w:color w:val="000000" w:themeColor="text1"/>
          <w:highlight w:val="none"/>
          <w14:textFill>
            <w14:solidFill>
              <w14:schemeClr w14:val="tx1"/>
            </w14:solidFill>
          </w14:textFill>
        </w:rPr>
      </w:pPr>
    </w:p>
    <w:p>
      <w:pPr>
        <w:pStyle w:val="82"/>
        <w:spacing w:before="120"/>
        <w:ind w:firstLine="350"/>
        <w:rPr>
          <w:color w:val="000000" w:themeColor="text1"/>
          <w:highlight w:val="none"/>
          <w14:textFill>
            <w14:solidFill>
              <w14:schemeClr w14:val="tx1"/>
            </w14:solidFill>
          </w14:textFill>
        </w:rPr>
      </w:pPr>
    </w:p>
    <w:p>
      <w:pPr>
        <w:pStyle w:val="82"/>
        <w:spacing w:before="120"/>
        <w:rPr>
          <w:color w:val="000000" w:themeColor="text1"/>
          <w:highlight w:val="none"/>
          <w14:textFill>
            <w14:solidFill>
              <w14:schemeClr w14:val="tx1"/>
            </w14:solidFill>
          </w14:textFill>
        </w:rPr>
      </w:pPr>
    </w:p>
    <w:p>
      <w:pPr>
        <w:pStyle w:val="82"/>
        <w:spacing w:before="120"/>
        <w:ind w:left="0" w:leftChars="0" w:firstLine="0" w:firstLineChars="0"/>
        <w:rPr>
          <w:color w:val="000000" w:themeColor="text1"/>
          <w:highlight w:val="none"/>
          <w14:textFill>
            <w14:solidFill>
              <w14:schemeClr w14:val="tx1"/>
            </w14:solidFill>
          </w14:textFill>
        </w:rPr>
      </w:pPr>
    </w:p>
    <w:p>
      <w:pPr>
        <w:pStyle w:val="82"/>
        <w:spacing w:before="120"/>
        <w:ind w:left="0" w:leftChars="0" w:firstLine="0" w:firstLineChars="0"/>
        <w:rPr>
          <w:color w:val="000000" w:themeColor="text1"/>
          <w:highlight w:val="none"/>
          <w14:textFill>
            <w14:solidFill>
              <w14:schemeClr w14:val="tx1"/>
            </w14:solidFill>
          </w14:textFill>
        </w:rPr>
      </w:pPr>
    </w:p>
    <w:p>
      <w:pPr>
        <w:pStyle w:val="82"/>
        <w:spacing w:before="120"/>
        <w:ind w:left="0" w:leftChars="0" w:firstLine="0" w:firstLineChars="0"/>
        <w:rPr>
          <w:color w:val="000000" w:themeColor="text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安庆通汇交通工程有限责任公司       </w:t>
      </w: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rPr>
          <w:rFonts w:ascii="宋体" w:hAnsi="宋体" w:cs="仿宋_GB2312"/>
          <w:b/>
          <w:color w:val="000000" w:themeColor="text1"/>
          <w:sz w:val="24"/>
          <w:highlight w:val="none"/>
          <w14:textFill>
            <w14:solidFill>
              <w14:schemeClr w14:val="tx1"/>
            </w14:solidFill>
          </w14:textFill>
        </w:rPr>
      </w:pPr>
    </w:p>
    <w:p>
      <w:pPr>
        <w:pStyle w:val="82"/>
        <w:rPr>
          <w:highlight w:val="none"/>
        </w:rPr>
      </w:pPr>
    </w:p>
    <w:p>
      <w:pPr>
        <w:pStyle w:val="82"/>
        <w:rPr>
          <w:highlight w:val="none"/>
        </w:rPr>
      </w:pP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六</w:t>
      </w:r>
      <w:r>
        <w:rPr>
          <w:rFonts w:hint="eastAsia" w:ascii="宋体" w:hAnsi="宋体" w:cs="仿宋_GB2312"/>
          <w:color w:val="000000" w:themeColor="text1"/>
          <w:sz w:val="32"/>
          <w:szCs w:val="32"/>
          <w:highlight w:val="none"/>
          <w14:textFill>
            <w14:solidFill>
              <w14:schemeClr w14:val="tx1"/>
            </w14:solidFill>
          </w14:textFill>
        </w:rPr>
        <w:t>月</w:t>
      </w:r>
    </w:p>
    <w:p>
      <w:pPr>
        <w:widowControl/>
        <w:jc w:val="left"/>
        <w:rPr>
          <w:rFonts w:ascii="宋体" w:hAnsi="宋体" w:cs="宋体"/>
          <w:b/>
          <w:color w:val="000000" w:themeColor="text1"/>
          <w:sz w:val="36"/>
          <w:szCs w:val="36"/>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1464"/>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第三章 服务及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w:t>
      </w:r>
    </w:p>
    <w:p>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4</w:t>
      </w:r>
    </w:p>
    <w:p>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19</w:t>
      </w:r>
    </w:p>
    <w:p>
      <w:pPr>
        <w:pStyle w:val="30"/>
        <w:tabs>
          <w:tab w:val="right" w:leader="dot" w:pos="9060"/>
        </w:tabs>
        <w:spacing w:line="480" w:lineRule="auto"/>
        <w:ind w:left="0"/>
        <w:jc w:val="center"/>
        <w:rPr>
          <w:rFonts w:hint="eastAsia" w:ascii="Arial" w:hAnsi="Arial" w:eastAsia="黑体"/>
          <w:b/>
          <w:i w:val="0"/>
          <w:color w:val="000000" w:themeColor="text1"/>
          <w:sz w:val="30"/>
          <w:szCs w:val="30"/>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0"/>
          <w:szCs w:val="30"/>
          <w:highlight w:val="none"/>
          <w:lang w:eastAsia="zh-CN"/>
          <w14:textFill>
            <w14:solidFill>
              <w14:schemeClr w14:val="tx1"/>
            </w14:solidFill>
          </w14:textFill>
        </w:rPr>
        <w:t>安庆通汇交通工程有限责任公司广告标识牌制作采购</w:t>
      </w:r>
    </w:p>
    <w:p>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28359012"/>
      <w:bookmarkStart w:id="6" w:name="_Toc35393629"/>
      <w:bookmarkStart w:id="7" w:name="_Toc35393798"/>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安庆通汇交通工程有限责任公司广告标识牌制作采购</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AQJK-CG-2024-040</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安庆通汇交通工程有限责任公司广告标识牌制作采购</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安庆通汇交通工程有限责任公司广告标识牌制作采购</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详见采购清单</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最高投标费率：100%</w:t>
      </w:r>
    </w:p>
    <w:p>
      <w:pPr>
        <w:spacing w:line="480" w:lineRule="atLeast"/>
        <w:ind w:firstLine="560" w:firstLineChars="200"/>
        <w:rPr>
          <w:rFonts w:hint="default" w:eastAsia="仿宋"/>
          <w:highlight w:val="none"/>
          <w:lang w:val="en-US" w:eastAsia="zh-CN"/>
        </w:rPr>
      </w:pPr>
      <w:r>
        <w:rPr>
          <w:rFonts w:hint="eastAsia" w:ascii="仿宋" w:hAnsi="仿宋" w:eastAsia="仿宋"/>
          <w:color w:val="000000" w:themeColor="text1"/>
          <w:sz w:val="28"/>
          <w:szCs w:val="28"/>
          <w:highlight w:val="none"/>
          <w14:textFill>
            <w14:solidFill>
              <w14:schemeClr w14:val="tx1"/>
            </w14:solidFill>
          </w14:textFill>
        </w:rPr>
        <w:t>交货地点:</w:t>
      </w:r>
      <w:r>
        <w:rPr>
          <w:rFonts w:hint="eastAsia" w:ascii="仿宋" w:hAnsi="仿宋" w:eastAsia="仿宋"/>
          <w:color w:val="000000" w:themeColor="text1"/>
          <w:sz w:val="28"/>
          <w:szCs w:val="28"/>
          <w:highlight w:val="none"/>
          <w:lang w:val="en-US" w:eastAsia="zh-CN"/>
          <w14:textFill>
            <w14:solidFill>
              <w14:schemeClr w14:val="tx1"/>
            </w14:solidFill>
          </w14:textFill>
        </w:rPr>
        <w:t>安庆市</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计划工期：2024年12月31日</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交货期限：接采购方通知后三天内交货</w:t>
      </w:r>
    </w:p>
    <w:p>
      <w:pPr>
        <w:spacing w:line="480" w:lineRule="atLeast"/>
        <w:ind w:firstLine="560" w:firstLineChars="200"/>
        <w:rPr>
          <w:rFonts w:hint="default"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付款方式：以年度为一个结算周期，经双方书面确认本年度供货数量及金额，对清账目后，成交人提供1%增值税专用发票，采购人应于合同到期后七个工作日内将货款足额完成支付。</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具备独立法人资格</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一般纳税人资格或小规模纳税人</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持有合法有效的营业执照，营业执照经营范围需满足采购需求。</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本次招标不接受联合体投标</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参选人有以下情形不得参与本次投标活动</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2.参选文件及相关资料工本费：不收取。</w:t>
      </w:r>
    </w:p>
    <w:p>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3.报名方式：</w:t>
      </w:r>
      <w:r>
        <w:rPr>
          <w:rFonts w:hint="eastAsia" w:ascii="仿宋" w:hAnsi="仿宋" w:eastAsia="仿宋"/>
          <w:color w:val="000000" w:themeColor="text1"/>
          <w:sz w:val="28"/>
          <w:szCs w:val="28"/>
          <w:highlight w:val="none"/>
          <w:u w:val="none"/>
          <w14:textFill>
            <w14:solidFill>
              <w14:schemeClr w14:val="tx1"/>
            </w14:solidFill>
          </w14:textFill>
        </w:rPr>
        <w:fldChar w:fldCharType="begin"/>
      </w:r>
      <w:r>
        <w:rPr>
          <w:rFonts w:hint="eastAsia" w:ascii="仿宋" w:hAnsi="仿宋" w:eastAsia="仿宋"/>
          <w:color w:val="000000" w:themeColor="text1"/>
          <w:sz w:val="28"/>
          <w:szCs w:val="28"/>
          <w:highlight w:val="none"/>
          <w:u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olor w:val="000000" w:themeColor="text1"/>
          <w:sz w:val="28"/>
          <w:szCs w:val="28"/>
          <w:highlight w:val="none"/>
          <w:u w:val="none"/>
          <w14:textFill>
            <w14:solidFill>
              <w14:schemeClr w14:val="tx1"/>
            </w14:solidFill>
          </w14:textFill>
        </w:rPr>
        <w:fldChar w:fldCharType="separate"/>
      </w:r>
      <w:r>
        <w:rPr>
          <w:rStyle w:val="74"/>
          <w:rFonts w:hint="eastAsia" w:ascii="仿宋" w:hAnsi="仿宋" w:eastAsia="仿宋"/>
          <w:color w:val="000000" w:themeColor="text1"/>
          <w:sz w:val="28"/>
          <w:szCs w:val="28"/>
          <w:highlight w:val="none"/>
          <w:u w:val="none"/>
          <w14:textFill>
            <w14:solidFill>
              <w14:schemeClr w14:val="tx1"/>
            </w14:solidFill>
          </w14:textFill>
        </w:rPr>
        <w:t>将“确定参与比选的函”盖供应商公章在2024年</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6</w:t>
      </w:r>
      <w:r>
        <w:rPr>
          <w:rStyle w:val="74"/>
          <w:rFonts w:hint="eastAsia" w:ascii="仿宋" w:hAnsi="仿宋" w:eastAsia="仿宋"/>
          <w:color w:val="000000" w:themeColor="text1"/>
          <w:sz w:val="28"/>
          <w:szCs w:val="28"/>
          <w:highlight w:val="none"/>
          <w:u w:val="none"/>
          <w14:textFill>
            <w14:solidFill>
              <w14:schemeClr w14:val="tx1"/>
            </w14:solidFill>
          </w14:textFill>
        </w:rPr>
        <w:t>月</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6</w:t>
      </w:r>
      <w:r>
        <w:rPr>
          <w:rStyle w:val="74"/>
          <w:rFonts w:hint="eastAsia" w:ascii="仿宋" w:hAnsi="仿宋" w:eastAsia="仿宋"/>
          <w:color w:val="000000" w:themeColor="text1"/>
          <w:sz w:val="28"/>
          <w:szCs w:val="28"/>
          <w:highlight w:val="none"/>
          <w:u w:val="none"/>
          <w14:textFill>
            <w14:solidFill>
              <w14:schemeClr w14:val="tx1"/>
            </w14:solidFill>
          </w14:textFill>
        </w:rPr>
        <w:t>日17点30分前发邮箱</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838714476</w:t>
      </w:r>
      <w:r>
        <w:rPr>
          <w:rStyle w:val="74"/>
          <w:rFonts w:hint="eastAsia" w:ascii="仿宋" w:hAnsi="仿宋" w:eastAsia="仿宋"/>
          <w:color w:val="000000" w:themeColor="text1"/>
          <w:sz w:val="28"/>
          <w:szCs w:val="28"/>
          <w:highlight w:val="none"/>
          <w:u w:val="none"/>
          <w14:textFill>
            <w14:solidFill>
              <w14:schemeClr w14:val="tx1"/>
            </w14:solidFill>
          </w14:textFill>
        </w:rPr>
        <w:t>@qq.com（报名截止后发送，报名无效。）</w:t>
      </w:r>
      <w:r>
        <w:rPr>
          <w:rFonts w:hint="eastAsia" w:ascii="仿宋" w:hAnsi="仿宋" w:eastAsia="仿宋"/>
          <w:color w:val="000000" w:themeColor="text1"/>
          <w:sz w:val="28"/>
          <w:szCs w:val="28"/>
          <w:highlight w:val="none"/>
          <w:u w:val="none"/>
          <w14:textFill>
            <w14:solidFill>
              <w14:schemeClr w14:val="tx1"/>
            </w14:solidFill>
          </w14:textFill>
        </w:rPr>
        <w:fldChar w:fldCharType="end"/>
      </w:r>
    </w:p>
    <w:p>
      <w:pPr>
        <w:spacing w:line="480" w:lineRule="atLeast"/>
        <w:ind w:left="279" w:leftChars="133" w:firstLine="280" w:firstLineChars="1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@qq.com发送放弃参与函（格式自拟）。否则招标管理人将予拉入集团黑名单处理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日09时30分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28359018"/>
      <w:bookmarkStart w:id="10" w:name="_Toc35393805"/>
      <w:bookmarkStart w:id="11" w:name="_Toc35393636"/>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28359096"/>
      <w:bookmarkStart w:id="14" w:name="_Toc28359019"/>
      <w:bookmarkStart w:id="15" w:name="_Toc35393637"/>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称：安庆通汇交通工程有限责任公司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人：詹跃鹏</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联系方式：13966995136</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2.采购管理机构信息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联系人：谭女士</w:t>
      </w:r>
    </w:p>
    <w:p>
      <w:pPr>
        <w:ind w:firstLine="560" w:firstLineChars="20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pPr>
        <w:ind w:firstLine="562" w:firstLineChars="200"/>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安庆通汇交通工程有限责任公司广告标识牌制作采购项目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5494132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4"/>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安庆通汇交通工程有限责任公司广告标识牌制作采购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安庆通汇交通工程有限责任公司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eastAsia="宋体" w:cs="宋体"/>
                <w:color w:val="auto"/>
                <w:szCs w:val="21"/>
                <w:highlight w:val="none"/>
              </w:rPr>
              <w:t>机构</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最高投标费率</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计划工期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交货期限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both"/>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接采购方通知后三天内交货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1.具备独立法人资格、一般纳税人资格或小规模纳税人</w:t>
            </w:r>
          </w:p>
          <w:p>
            <w:pPr>
              <w:keepNext w:val="0"/>
              <w:keepLines w:val="0"/>
              <w:pageBreakBefore w:val="0"/>
              <w:kinsoku/>
              <w:wordWrap/>
              <w:overflowPunct/>
              <w:topLinePunct w:val="0"/>
              <w:bidi w:val="0"/>
              <w:spacing w:line="420" w:lineRule="exact"/>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2.持有合法有效的营业执照，营业执照经营范围需满足采购需求。</w:t>
            </w:r>
          </w:p>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w:t>
            </w:r>
            <w:r>
              <w:rPr>
                <w:rFonts w:hint="eastAsia" w:ascii="宋体" w:hAnsi="宋体" w:cs="宋体"/>
                <w:color w:val="000000" w:themeColor="text1"/>
                <w:sz w:val="21"/>
                <w:szCs w:val="21"/>
                <w:highlight w:val="none"/>
                <w:lang w:val="en-US" w:eastAsia="zh-CN"/>
                <w14:textFill>
                  <w14:solidFill>
                    <w14:schemeClr w14:val="tx1"/>
                  </w14:solidFill>
                </w14:textFill>
              </w:rPr>
              <w:t>大观区宜园</w:t>
            </w:r>
            <w:r>
              <w:rPr>
                <w:rFonts w:hint="eastAsia" w:ascii="宋体" w:hAnsi="宋体" w:eastAsia="宋体" w:cs="宋体"/>
                <w:color w:val="000000" w:themeColor="text1"/>
                <w:sz w:val="21"/>
                <w:szCs w:val="21"/>
                <w:highlight w:val="none"/>
                <w:lang w:val="en-US" w:eastAsia="zh-CN"/>
                <w14:textFill>
                  <w14:solidFill>
                    <w14:schemeClr w14:val="tx1"/>
                  </w14:solidFill>
                </w14:textFill>
              </w:rPr>
              <w:t>路</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工程结算及付款方式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以年度为一个结算周期，经双方书面确认本年度供货数量及金额，对清账目后，</w:t>
            </w:r>
            <w:r>
              <w:rPr>
                <w:rFonts w:hint="eastAsia" w:ascii="宋体" w:hAnsi="宋体" w:cs="宋体"/>
                <w:color w:val="000000" w:themeColor="text1"/>
                <w:sz w:val="21"/>
                <w:szCs w:val="21"/>
                <w:highlight w:val="none"/>
                <w:lang w:val="en-US" w:eastAsia="zh-CN"/>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提供1%增值税专用发票，</w:t>
            </w:r>
            <w:r>
              <w:rPr>
                <w:rFonts w:hint="eastAsia" w:ascii="宋体" w:hAnsi="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应于合同到期后七个工作日内将货款足额完成支付。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3、开具1%增值税专用发票</w:t>
            </w:r>
            <w:bookmarkStart w:id="69" w:name="_GoBack"/>
            <w:bookmarkEnd w:id="69"/>
            <w:r>
              <w:rPr>
                <w:rFonts w:hint="eastAsia" w:ascii="宋体" w:hAnsi="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安庆通汇交通工程有限责任公司，特此说明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6271"/>
      <w:bookmarkStart w:id="25" w:name="_Toc12394"/>
      <w:bookmarkStart w:id="26" w:name="_Toc54941331"/>
      <w:bookmarkStart w:id="27" w:name="_Toc252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30" w:name="_Toc22834"/>
      <w:bookmarkStart w:id="31" w:name="_Toc54941332"/>
      <w:bookmarkStart w:id="32" w:name="_Toc9558"/>
      <w:r>
        <w:rPr>
          <w:rFonts w:hint="eastAsia" w:ascii="宋体" w:hAnsi="宋体" w:eastAsia="宋体" w:cs="宋体"/>
          <w:b/>
          <w:bCs/>
          <w:color w:val="000000" w:themeColor="text1"/>
          <w:szCs w:val="21"/>
          <w:highlight w:val="none"/>
          <w:lang w:val="zh-CN"/>
          <w14:textFill>
            <w14:solidFill>
              <w14:schemeClr w14:val="tx1"/>
            </w14:solidFill>
          </w14:textFill>
        </w:rPr>
        <w:t>一、总    则</w:t>
      </w:r>
      <w:bookmarkEnd w:id="30"/>
      <w:bookmarkEnd w:id="31"/>
      <w:bookmarkEnd w:id="32"/>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bookmarkStart w:id="33" w:name="_Toc27113"/>
      <w:bookmarkStart w:id="34" w:name="_Toc24643"/>
      <w:bookmarkStart w:id="35" w:name="_Toc10933"/>
      <w:bookmarkStart w:id="36" w:name="_Toc1704"/>
      <w:bookmarkStart w:id="37" w:name="_Toc439316874"/>
      <w:bookmarkStart w:id="38" w:name="_Toc8228"/>
      <w:bookmarkStart w:id="39" w:name="_Toc439316920"/>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、定义</w:t>
      </w:r>
      <w:bookmarkEnd w:id="33"/>
      <w:bookmarkEnd w:id="34"/>
      <w:bookmarkEnd w:id="35"/>
      <w:bookmarkEnd w:id="36"/>
      <w:bookmarkEnd w:id="37"/>
      <w:bookmarkEnd w:id="38"/>
      <w:bookmarkEnd w:id="39"/>
    </w:p>
    <w:p>
      <w:pPr>
        <w:pageBreakBefore w:val="0"/>
        <w:kinsoku/>
        <w:overflowPunct/>
        <w:topLinePunct w:val="0"/>
        <w:bidi w:val="0"/>
        <w:spacing w:line="440" w:lineRule="exact"/>
        <w:ind w:firstLine="420" w:firstLineChars="20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单位是指</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lang w:val="en-US" w:eastAsia="zh-CN"/>
          <w14:textFill>
            <w14:solidFill>
              <w14:schemeClr w14:val="tx1"/>
            </w14:solidFill>
          </w14:textFill>
        </w:rPr>
        <w:t>及采购管理机构。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是指对“</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须知前附表”序号2所指的项目表现出兴趣，按照约定的程序，从</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单位获取了</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文件，并实际参与了该项目</w:t>
      </w:r>
      <w:r>
        <w:rPr>
          <w:rFonts w:hint="eastAsia" w:ascii="宋体" w:hAnsi="宋体" w:eastAsia="宋体" w:cs="宋体"/>
          <w:color w:val="000000" w:themeColor="text1"/>
          <w:szCs w:val="21"/>
          <w:highlight w:val="none"/>
          <w:lang w:val="en-US" w:eastAsia="zh-CN"/>
          <w14:textFill>
            <w14:solidFill>
              <w14:schemeClr w14:val="tx1"/>
            </w14:solidFill>
          </w14:textFill>
        </w:rPr>
        <w:t>招投标</w:t>
      </w:r>
      <w:r>
        <w:rPr>
          <w:rFonts w:hint="eastAsia" w:ascii="宋体" w:hAnsi="宋体" w:eastAsia="宋体" w:cs="宋体"/>
          <w:color w:val="000000" w:themeColor="text1"/>
          <w:szCs w:val="21"/>
          <w:highlight w:val="none"/>
          <w14:textFill>
            <w14:solidFill>
              <w14:schemeClr w14:val="tx1"/>
            </w14:solidFill>
          </w14:textFill>
        </w:rPr>
        <w:t>活动的</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40" w:name="_Toc54941333"/>
      <w:bookmarkStart w:id="41" w:name="_Toc17451"/>
      <w:bookmarkStart w:id="42" w:name="_Toc384"/>
      <w:r>
        <w:rPr>
          <w:rFonts w:hint="eastAsia" w:ascii="宋体" w:hAnsi="宋体" w:eastAsia="宋体" w:cs="宋体"/>
          <w:b/>
          <w:bCs/>
          <w:color w:val="000000" w:themeColor="text1"/>
          <w:szCs w:val="21"/>
          <w:highlight w:val="none"/>
          <w:lang w:val="zh-CN"/>
          <w14:textFill>
            <w14:solidFill>
              <w14:schemeClr w14:val="tx1"/>
            </w14:solidFill>
          </w14:textFill>
        </w:rPr>
        <w:t>二、</w:t>
      </w:r>
      <w:bookmarkEnd w:id="40"/>
      <w:r>
        <w:rPr>
          <w:rFonts w:hint="eastAsia" w:ascii="宋体" w:hAnsi="宋体" w:eastAsia="宋体" w:cs="宋体"/>
          <w:b/>
          <w:bCs/>
          <w:color w:val="000000" w:themeColor="text1"/>
          <w:szCs w:val="21"/>
          <w:highlight w:val="none"/>
          <w:lang w:val="en-US" w:eastAsia="zh-CN"/>
          <w14:textFill>
            <w14:solidFill>
              <w14:schemeClr w14:val="tx1"/>
            </w14:solidFill>
          </w14:textFill>
        </w:rPr>
        <w:t>参选文件</w:t>
      </w:r>
      <w:bookmarkEnd w:id="41"/>
      <w:bookmarkEnd w:id="42"/>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文件包括：</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（1）第一章  </w:t>
      </w:r>
      <w:r>
        <w:rPr>
          <w:rFonts w:hint="eastAsia" w:ascii="宋体" w:hAnsi="宋体" w:cs="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（2）第二章  </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须知；</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（3）第三章  </w:t>
      </w:r>
      <w:r>
        <w:rPr>
          <w:rFonts w:hint="eastAsia" w:ascii="宋体" w:hAnsi="宋体" w:eastAsia="宋体" w:cs="宋体"/>
          <w:color w:val="000000" w:themeColor="text1"/>
          <w:szCs w:val="21"/>
          <w:highlight w:val="none"/>
          <w:lang w:eastAsia="zh-CN"/>
          <w14:textFill>
            <w14:solidFill>
              <w14:schemeClr w14:val="tx1"/>
            </w14:solidFill>
          </w14:textFill>
        </w:rPr>
        <w:t>服务需求及技术要求</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章</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合同主要条款</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五</w:t>
      </w:r>
      <w:r>
        <w:rPr>
          <w:rFonts w:hint="eastAsia" w:ascii="宋体" w:hAnsi="宋体" w:eastAsia="宋体" w:cs="宋体"/>
          <w:color w:val="000000" w:themeColor="text1"/>
          <w:szCs w:val="21"/>
          <w:highlight w:val="none"/>
          <w14:textFill>
            <w14:solidFill>
              <w14:schemeClr w14:val="tx1"/>
            </w14:solidFill>
          </w14:textFill>
        </w:rPr>
        <w:t xml:space="preserve">章  </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格式</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应认真阅读和充分理解</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文件中所有的内容。如果</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没有满足</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文件的有关要求，其风险由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文件后，应仔细检查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文件的所有内容，如有残缺、文本不清晰、表述不一致等问题应在获得</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日内向</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提出，否则，由此引起的损失由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自己承担。</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同时应认真审阅</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文件中所有的事项、格式、条款和规范要求等，若</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没有按</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eastAsia="宋体" w:cs="宋体"/>
          <w:color w:val="000000" w:themeColor="text1"/>
          <w:szCs w:val="21"/>
          <w:highlight w:val="none"/>
          <w14:textFill>
            <w14:solidFill>
              <w14:schemeClr w14:val="tx1"/>
            </w14:solidFill>
          </w14:textFill>
        </w:rPr>
        <w:t>全部资料及自己理解产生的误差，或</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文件做出实质性响应，其风险由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自行承担，并根据有关条款约定，该响应有可能被拒绝。</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可以要求</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文件中的有关问题进行答疑或澄清。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单位对在约定时间收到的、且需要做出澄清的问题，将以本须知所述方式进行答复，但不说明问题的来源。</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5</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比选</w:t>
      </w:r>
      <w:r>
        <w:rPr>
          <w:rFonts w:hint="eastAsia" w:ascii="宋体" w:hAnsi="宋体" w:eastAsia="宋体" w:cs="宋体"/>
          <w:b/>
          <w:szCs w:val="21"/>
          <w:highlight w:val="none"/>
        </w:rPr>
        <w:t>文件的修改</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.1、采购单位可以对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文件进行修改。</w:t>
      </w:r>
    </w:p>
    <w:p>
      <w:pPr>
        <w:pageBreakBefore w:val="0"/>
        <w:kinsoku/>
        <w:overflowPunct/>
        <w:topLinePunct w:val="0"/>
        <w:bidi w:val="0"/>
        <w:spacing w:line="440" w:lineRule="exact"/>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.2、采购单位对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文件的澄清、修改、补充说明等内容</w:t>
      </w:r>
      <w:r>
        <w:rPr>
          <w:rFonts w:hint="eastAsia" w:ascii="宋体" w:hAnsi="宋体" w:eastAsia="宋体" w:cs="宋体"/>
          <w:b w:val="0"/>
          <w:bCs w:val="0"/>
          <w:szCs w:val="21"/>
          <w:highlight w:val="none"/>
        </w:rPr>
        <w:t>均通过</w:t>
      </w: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b w:val="0"/>
          <w:bCs w:val="0"/>
          <w:szCs w:val="21"/>
          <w:highlight w:val="none"/>
        </w:rPr>
        <w:t>发布，该修改内容作为</w:t>
      </w:r>
      <w:r>
        <w:rPr>
          <w:rFonts w:hint="eastAsia" w:ascii="宋体" w:hAnsi="宋体" w:eastAsia="宋体" w:cs="宋体"/>
          <w:b w:val="0"/>
          <w:bCs w:val="0"/>
          <w:szCs w:val="21"/>
          <w:highlight w:val="none"/>
          <w:lang w:eastAsia="zh-CN"/>
        </w:rPr>
        <w:t>比选</w:t>
      </w:r>
      <w:r>
        <w:rPr>
          <w:rFonts w:hint="eastAsia" w:ascii="宋体" w:hAnsi="宋体" w:eastAsia="宋体" w:cs="宋体"/>
          <w:b w:val="0"/>
          <w:bCs w:val="0"/>
          <w:szCs w:val="21"/>
          <w:highlight w:val="none"/>
        </w:rPr>
        <w:t>文件的组成部分，具有约束作用。</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.3、当</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文件与对</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文件的澄清、修改、补充等在同一内容的表述上不一致时，以最后发出的为准。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bookmarkStart w:id="43" w:name="_Toc21845"/>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.4、为使参选人有充分时间对比选文件的澄清、修改、补充部分进行研究、或是由于其他原因，采购单位可以决定顺延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lang w:eastAsia="zh-CN"/>
        </w:rPr>
        <w:t>时间，具体时间通过</w:t>
      </w: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b w:val="0"/>
          <w:bCs w:val="0"/>
          <w:szCs w:val="21"/>
          <w:highlight w:val="none"/>
        </w:rPr>
        <w:t>发布</w:t>
      </w:r>
      <w:r>
        <w:rPr>
          <w:rFonts w:hint="eastAsia" w:ascii="宋体" w:hAnsi="宋体" w:eastAsia="宋体" w:cs="宋体"/>
          <w:color w:val="auto"/>
          <w:szCs w:val="21"/>
          <w:highlight w:val="none"/>
          <w:lang w:eastAsia="zh-CN"/>
        </w:rPr>
        <w:t>。</w:t>
      </w:r>
      <w:bookmarkEnd w:id="43"/>
    </w:p>
    <w:p>
      <w:pPr>
        <w:pageBreakBefore w:val="0"/>
        <w:kinsoku/>
        <w:overflowPunct/>
        <w:topLinePunct w:val="0"/>
        <w:bidi w:val="0"/>
        <w:spacing w:line="440" w:lineRule="exact"/>
        <w:ind w:firstLine="422" w:firstLineChars="200"/>
        <w:textAlignment w:val="auto"/>
        <w:rPr>
          <w:rFonts w:hint="eastAsia" w:ascii="宋体" w:hAnsi="宋体" w:cs="宋体"/>
          <w:b/>
          <w:color w:val="000000" w:themeColor="text1"/>
          <w:szCs w:val="21"/>
          <w:highlight w:val="none"/>
          <w:lang w:val="en-US" w:eastAsia="zh-CN"/>
          <w14:textFill>
            <w14:solidFill>
              <w14:schemeClr w14:val="tx1"/>
            </w14:solidFill>
          </w14:textFill>
        </w:rPr>
      </w:pPr>
      <w:bookmarkStart w:id="44" w:name="_Toc31936"/>
      <w:bookmarkStart w:id="45" w:name="_Toc54941334"/>
      <w:bookmarkStart w:id="46" w:name="_Toc7326"/>
      <w:r>
        <w:rPr>
          <w:rFonts w:hint="eastAsia" w:ascii="宋体" w:hAnsi="宋体" w:cs="宋体"/>
          <w:b/>
          <w:color w:val="000000" w:themeColor="text1"/>
          <w:szCs w:val="21"/>
          <w:highlight w:val="none"/>
          <w:lang w:val="en-US" w:eastAsia="zh-CN"/>
          <w14:textFill>
            <w14:solidFill>
              <w14:schemeClr w14:val="tx1"/>
            </w14:solidFill>
          </w14:textFill>
        </w:rPr>
        <w:t>三、参选文件编制</w:t>
      </w:r>
      <w:bookmarkEnd w:id="44"/>
      <w:bookmarkEnd w:id="45"/>
      <w:bookmarkEnd w:id="46"/>
    </w:p>
    <w:p>
      <w:pPr>
        <w:pageBreakBefore w:val="0"/>
        <w:numPr>
          <w:ilvl w:val="0"/>
          <w:numId w:val="0"/>
        </w:numPr>
        <w:kinsoku/>
        <w:overflowPunct/>
        <w:topLinePunct w:val="0"/>
        <w:bidi w:val="0"/>
        <w:spacing w:line="440" w:lineRule="exact"/>
        <w:ind w:firstLine="422" w:firstLineChars="200"/>
        <w:textAlignment w:val="auto"/>
        <w:rPr>
          <w:rFonts w:hint="eastAsia" w:ascii="宋体" w:hAnsi="宋体" w:eastAsia="宋体" w:cs="宋体"/>
          <w:b/>
          <w:szCs w:val="21"/>
          <w:highlight w:val="none"/>
        </w:rPr>
      </w:pPr>
      <w:bookmarkStart w:id="47" w:name="_Toc476584424"/>
      <w:bookmarkStart w:id="48" w:name="_Toc54941335"/>
      <w:bookmarkStart w:id="49" w:name="_Toc18140"/>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lang w:eastAsia="zh-CN"/>
        </w:rPr>
        <w:t>参选文件</w:t>
      </w:r>
      <w:r>
        <w:rPr>
          <w:rFonts w:hint="eastAsia" w:ascii="宋体" w:hAnsi="宋体" w:eastAsia="宋体" w:cs="宋体"/>
          <w:b/>
          <w:szCs w:val="21"/>
          <w:highlight w:val="none"/>
        </w:rPr>
        <w:t>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应该按照“</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格式”约定的内容和顺序进行编写。</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必须对其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的真实性与准确性负责。</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将作为合同的重要组成部分。</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提供的服务能满足</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文件约定的实质性要求。否则，其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在评审时有可能被认为是对</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文件未做出实质性的响应，而终止对其作进一步的评审。</w:t>
      </w:r>
    </w:p>
    <w:p>
      <w:pPr>
        <w:pageBreakBefore w:val="0"/>
        <w:kinsoku/>
        <w:overflowPunct/>
        <w:topLinePunct w:val="0"/>
        <w:bidi w:val="0"/>
        <w:spacing w:line="440" w:lineRule="exact"/>
        <w:ind w:firstLine="422" w:firstLineChars="200"/>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7、参选文件的签署</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7.1、参选文件应加盖参选人公章。委托代理人须将“授权书”及其身份证复印件附在参选文件中。</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7.2、参选文件封面、投标函、授权书的签字或盖章不符合比选文件要求的，评选委员会可要求其法定代表人或其委托的委托代理人补齐签字或承诺在签订合同前按照比选文件要求加盖印章。</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投标</w:t>
      </w:r>
      <w:r>
        <w:rPr>
          <w:rFonts w:hint="eastAsia" w:ascii="宋体" w:hAnsi="宋体" w:eastAsia="宋体" w:cs="宋体"/>
          <w:b/>
          <w:szCs w:val="21"/>
          <w:highlight w:val="none"/>
        </w:rPr>
        <w:t>报价</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、参选人的</w:t>
      </w:r>
      <w:r>
        <w:rPr>
          <w:rFonts w:hint="eastAsia" w:ascii="宋体" w:hAnsi="宋体" w:eastAsia="宋体" w:cs="宋体"/>
          <w:szCs w:val="21"/>
          <w:highlight w:val="none"/>
        </w:rPr>
        <w:t>报价</w:t>
      </w:r>
      <w:r>
        <w:rPr>
          <w:rFonts w:hint="eastAsia" w:ascii="宋体" w:hAnsi="宋体" w:eastAsia="宋体" w:cs="宋体"/>
          <w:szCs w:val="21"/>
          <w:highlight w:val="none"/>
          <w:lang w:val="en-US" w:eastAsia="zh-CN"/>
        </w:rPr>
        <w:t>高于比选</w:t>
      </w:r>
      <w:r>
        <w:rPr>
          <w:rFonts w:hint="eastAsia" w:ascii="宋体" w:hAnsi="宋体" w:cs="宋体"/>
          <w:szCs w:val="21"/>
          <w:highlight w:val="none"/>
          <w:lang w:eastAsia="zh-CN"/>
        </w:rPr>
        <w:t>最高投标费率</w:t>
      </w:r>
      <w:r>
        <w:rPr>
          <w:rFonts w:hint="eastAsia" w:ascii="宋体" w:hAnsi="宋体" w:eastAsia="宋体" w:cs="宋体"/>
          <w:szCs w:val="21"/>
          <w:highlight w:val="none"/>
        </w:rPr>
        <w:t>为无效报价。</w:t>
      </w:r>
    </w:p>
    <w:p>
      <w:pPr>
        <w:pageBreakBefore w:val="0"/>
        <w:kinsoku/>
        <w:overflowPunct/>
        <w:topLinePunct w:val="0"/>
        <w:bidi w:val="0"/>
        <w:spacing w:line="44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w:t>
      </w:r>
      <w:r>
        <w:rPr>
          <w:rFonts w:hint="eastAsia" w:ascii="宋体" w:hAnsi="宋体" w:eastAsia="宋体" w:cs="宋体"/>
          <w:b/>
          <w:bCs w:val="0"/>
          <w:szCs w:val="21"/>
          <w:highlight w:val="none"/>
          <w:lang w:val="en-US" w:eastAsia="zh-CN"/>
        </w:rPr>
        <w:t>投标</w:t>
      </w:r>
      <w:r>
        <w:rPr>
          <w:rFonts w:hint="eastAsia" w:ascii="宋体" w:hAnsi="宋体" w:eastAsia="宋体" w:cs="宋体"/>
          <w:b/>
          <w:szCs w:val="21"/>
          <w:highlight w:val="none"/>
        </w:rPr>
        <w:t>货币：</w:t>
      </w:r>
      <w:r>
        <w:rPr>
          <w:rFonts w:hint="eastAsia" w:ascii="宋体" w:hAnsi="宋体" w:eastAsia="宋体" w:cs="宋体"/>
          <w:szCs w:val="21"/>
          <w:highlight w:val="none"/>
        </w:rPr>
        <w:t>人民币。</w:t>
      </w:r>
    </w:p>
    <w:p>
      <w:pPr>
        <w:pageBreakBefore w:val="0"/>
        <w:kinsoku/>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、有以下情形之一的处理：</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在本项目</w:t>
      </w:r>
      <w:r>
        <w:rPr>
          <w:rFonts w:hint="eastAsia" w:ascii="宋体" w:hAnsi="宋体" w:eastAsia="宋体" w:cs="宋体"/>
          <w:b/>
          <w:bCs w:val="0"/>
          <w:color w:val="auto"/>
          <w:szCs w:val="21"/>
          <w:highlight w:val="none"/>
          <w:lang w:val="en-US" w:eastAsia="zh-CN"/>
        </w:rPr>
        <w:t>比选</w:t>
      </w:r>
      <w:r>
        <w:rPr>
          <w:rFonts w:hint="eastAsia" w:ascii="宋体" w:hAnsi="宋体" w:eastAsia="宋体" w:cs="宋体"/>
          <w:b/>
          <w:bCs w:val="0"/>
          <w:color w:val="auto"/>
          <w:szCs w:val="21"/>
          <w:highlight w:val="none"/>
        </w:rPr>
        <w:t>过程中有下列行为之一的，</w:t>
      </w:r>
      <w:r>
        <w:rPr>
          <w:rFonts w:hint="eastAsia" w:ascii="宋体" w:hAnsi="宋体" w:eastAsia="宋体" w:cs="宋体"/>
          <w:b/>
          <w:bCs w:val="0"/>
          <w:color w:val="auto"/>
          <w:szCs w:val="21"/>
          <w:highlight w:val="none"/>
          <w:lang w:val="en-US" w:eastAsia="zh-CN"/>
        </w:rPr>
        <w:t>成交</w:t>
      </w:r>
      <w:r>
        <w:rPr>
          <w:rFonts w:hint="eastAsia" w:ascii="宋体" w:hAnsi="宋体" w:eastAsia="宋体" w:cs="宋体"/>
          <w:b/>
          <w:bCs w:val="0"/>
          <w:color w:val="auto"/>
          <w:szCs w:val="21"/>
          <w:highlight w:val="none"/>
        </w:rPr>
        <w:t>无效，给</w:t>
      </w:r>
      <w:r>
        <w:rPr>
          <w:rFonts w:hint="eastAsia" w:ascii="宋体" w:hAnsi="宋体" w:eastAsia="宋体" w:cs="宋体"/>
          <w:b/>
          <w:bCs w:val="0"/>
          <w:color w:val="auto"/>
          <w:szCs w:val="21"/>
          <w:highlight w:val="none"/>
          <w:lang w:eastAsia="zh-CN"/>
        </w:rPr>
        <w:t>采购人</w:t>
      </w:r>
      <w:r>
        <w:rPr>
          <w:rFonts w:hint="eastAsia" w:ascii="宋体" w:hAnsi="宋体" w:eastAsia="宋体" w:cs="宋体"/>
          <w:b/>
          <w:bCs w:val="0"/>
          <w:color w:val="auto"/>
          <w:szCs w:val="21"/>
          <w:highlight w:val="none"/>
        </w:rPr>
        <w:t>造成的损失，</w:t>
      </w: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还应予以赔偿。构成犯罪的，依法追究刑事责任</w:t>
      </w:r>
      <w:r>
        <w:rPr>
          <w:rFonts w:hint="eastAsia" w:ascii="宋体" w:hAnsi="宋体" w:eastAsia="宋体" w:cs="宋体"/>
          <w:b/>
          <w:color w:val="auto"/>
          <w:szCs w:val="21"/>
          <w:highlight w:val="none"/>
        </w:rPr>
        <w:t>。</w:t>
      </w:r>
    </w:p>
    <w:p>
      <w:pPr>
        <w:pageBreakBefore w:val="0"/>
        <w:widowControl/>
        <w:kinsoku/>
        <w:overflowPunct/>
        <w:topLinePunct w:val="0"/>
        <w:bidi w:val="0"/>
        <w:spacing w:line="440" w:lineRule="exact"/>
        <w:ind w:firstLine="420" w:firstLine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（1）成交后无正当理由不与</w:t>
      </w:r>
      <w:r>
        <w:rPr>
          <w:rFonts w:hint="eastAsia" w:ascii="宋体" w:hAnsi="宋体" w:eastAsia="宋体" w:cs="宋体"/>
          <w:color w:val="auto"/>
          <w:szCs w:val="20"/>
          <w:highlight w:val="none"/>
          <w:lang w:eastAsia="zh-CN"/>
        </w:rPr>
        <w:t>采购单位</w:t>
      </w:r>
      <w:r>
        <w:rPr>
          <w:rFonts w:hint="eastAsia" w:ascii="宋体" w:hAnsi="宋体" w:eastAsia="宋体" w:cs="宋体"/>
          <w:color w:val="auto"/>
          <w:szCs w:val="20"/>
          <w:highlight w:val="none"/>
        </w:rPr>
        <w:t>签订合同的；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提出附加条件，</w:t>
      </w:r>
      <w:r>
        <w:rPr>
          <w:rFonts w:hint="eastAsia" w:ascii="宋体" w:hAnsi="宋体" w:eastAsia="宋体" w:cs="宋体"/>
          <w:color w:val="000000"/>
          <w:szCs w:val="21"/>
          <w:highlight w:val="none"/>
        </w:rPr>
        <w:t>或者不按照</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文件要求</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履约保证金的；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（3）将成交项目转让给他人，或在</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中未说明，将成交项目分包给他人的；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相互串通或者与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串通的；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成员行贿的手段谋取成交的；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以他人名义</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或者以其他方式弄虚作假，骗取成交的；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（7）违法与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价格、服务方案等实质性内容进行</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，影响成交结果的；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（8）法律、法规规定及</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文件约定的其他情形。</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cs="宋体"/>
          <w:b/>
          <w:bCs/>
          <w:color w:val="000000" w:themeColor="text1"/>
          <w:szCs w:val="21"/>
          <w:highlight w:val="none"/>
          <w:lang w:val="en-US" w:eastAsia="zh-CN"/>
          <w14:textFill>
            <w14:solidFill>
              <w14:schemeClr w14:val="tx1"/>
            </w14:solidFill>
          </w14:textFill>
        </w:rPr>
      </w:pPr>
      <w:bookmarkStart w:id="50" w:name="_Toc5512"/>
      <w:r>
        <w:rPr>
          <w:rFonts w:hint="eastAsia" w:ascii="宋体" w:hAnsi="宋体" w:cs="宋体"/>
          <w:b/>
          <w:bCs/>
          <w:color w:val="000000" w:themeColor="text1"/>
          <w:szCs w:val="21"/>
          <w:highlight w:val="none"/>
          <w:lang w:val="en-US" w:eastAsia="zh-CN"/>
          <w14:textFill>
            <w14:solidFill>
              <w14:schemeClr w14:val="tx1"/>
            </w14:solidFill>
          </w14:textFill>
        </w:rPr>
        <w:t>四、参选文件的</w:t>
      </w:r>
      <w:bookmarkEnd w:id="47"/>
      <w:bookmarkEnd w:id="48"/>
      <w:r>
        <w:rPr>
          <w:rFonts w:hint="eastAsia" w:ascii="宋体" w:hAnsi="宋体" w:cs="宋体"/>
          <w:b/>
          <w:bCs/>
          <w:color w:val="000000" w:themeColor="text1"/>
          <w:szCs w:val="21"/>
          <w:highlight w:val="none"/>
          <w:lang w:val="en-US" w:eastAsia="zh-CN"/>
          <w14:textFill>
            <w14:solidFill>
              <w14:schemeClr w14:val="tx1"/>
            </w14:solidFill>
          </w14:textFill>
        </w:rPr>
        <w:t>递交</w:t>
      </w:r>
      <w:bookmarkEnd w:id="50"/>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bookmarkStart w:id="51" w:name="_Toc54941336"/>
      <w:bookmarkStart w:id="52" w:name="_Toc476584425"/>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递交</w:t>
      </w:r>
      <w:r>
        <w:rPr>
          <w:rFonts w:hint="eastAsia" w:ascii="宋体" w:hAnsi="宋体" w:eastAsia="宋体" w:cs="宋体"/>
          <w:b/>
          <w:color w:val="auto"/>
          <w:szCs w:val="21"/>
          <w:highlight w:val="none"/>
        </w:rPr>
        <w:t>说明</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应按照参选人须知前附表的第13条的装订要求进行递交</w:t>
      </w:r>
      <w:r>
        <w:rPr>
          <w:rFonts w:hint="eastAsia" w:ascii="宋体" w:hAnsi="宋体" w:eastAsia="宋体" w:cs="宋体"/>
          <w:color w:val="auto"/>
          <w:szCs w:val="21"/>
          <w:highlight w:val="none"/>
        </w:rPr>
        <w:t>。</w:t>
      </w:r>
    </w:p>
    <w:p>
      <w:pPr>
        <w:spacing w:line="44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12、参选截止时间</w:t>
      </w:r>
    </w:p>
    <w:p>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12.1参选人应在参选人须知前附表中约定的递交参选文件截止时间前将参选文件递交至比选地点。逾期递交的参选文件，采购单位不予受理。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12.2采购人有权按本须知的约定，通过修改比选文件相关条款以延长递交参选文件截止时间。在此情况下，采购人和参选人受递交参选文件截止时间制约的所有权利和义务均应延长至新的递交参选文件截止时间。</w:t>
      </w:r>
    </w:p>
    <w:p>
      <w:pPr>
        <w:spacing w:line="44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13、参选文件的递交</w:t>
      </w:r>
    </w:p>
    <w:p>
      <w:pPr>
        <w:widowControl/>
        <w:spacing w:line="500" w:lineRule="exact"/>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13</w:t>
      </w: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参选人</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文件以后，</w:t>
      </w:r>
      <w:r>
        <w:rPr>
          <w:rFonts w:hint="eastAsia" w:ascii="宋体" w:hAnsi="宋体" w:eastAsia="宋体" w:cs="宋体"/>
          <w:color w:val="000000"/>
          <w:szCs w:val="21"/>
          <w:highlight w:val="none"/>
          <w:lang w:val="en-US" w:eastAsia="zh-CN"/>
        </w:rPr>
        <w:t>不得</w:t>
      </w:r>
      <w:r>
        <w:rPr>
          <w:rFonts w:hint="eastAsia" w:ascii="宋体" w:hAnsi="宋体" w:eastAsia="宋体" w:cs="宋体"/>
          <w:color w:val="000000"/>
          <w:szCs w:val="21"/>
          <w:highlight w:val="none"/>
        </w:rPr>
        <w:t>撤回已</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pPr>
        <w:spacing w:line="360" w:lineRule="auto"/>
        <w:ind w:firstLine="420" w:firstLineChars="200"/>
        <w:rPr>
          <w:rFonts w:ascii="宋体" w:hAnsi="Times New Roman" w:eastAsia="宋体" w:cs="宋体"/>
          <w:szCs w:val="21"/>
          <w:highlight w:val="none"/>
        </w:rPr>
      </w:pPr>
      <w:r>
        <w:rPr>
          <w:rFonts w:hint="eastAsia" w:ascii="宋体" w:hAnsi="宋体" w:eastAsia="宋体" w:cs="宋体"/>
          <w:szCs w:val="21"/>
          <w:highlight w:val="none"/>
          <w:lang w:val="en-US" w:eastAsia="zh-CN"/>
        </w:rPr>
        <w:t>13</w:t>
      </w:r>
      <w:r>
        <w:rPr>
          <w:rFonts w:ascii="宋体" w:hAnsi="宋体" w:eastAsia="宋体" w:cs="宋体"/>
          <w:szCs w:val="21"/>
          <w:highlight w:val="none"/>
        </w:rPr>
        <w:t>.</w:t>
      </w:r>
      <w:r>
        <w:rPr>
          <w:rFonts w:hint="eastAsia" w:ascii="宋体" w:hAnsi="宋体" w:eastAsia="宋体" w:cs="宋体"/>
          <w:szCs w:val="21"/>
          <w:highlight w:val="none"/>
        </w:rPr>
        <w:t>2、在</w:t>
      </w:r>
      <w:r>
        <w:rPr>
          <w:rFonts w:hint="eastAsia" w:ascii="宋体" w:hAnsi="宋体" w:eastAsia="宋体" w:cs="宋体"/>
          <w:szCs w:val="21"/>
          <w:highlight w:val="none"/>
          <w:lang w:val="en-US" w:eastAsia="zh-CN"/>
        </w:rPr>
        <w:t>参选截止</w:t>
      </w:r>
      <w:r>
        <w:rPr>
          <w:rFonts w:hint="eastAsia" w:ascii="宋体" w:hAnsi="宋体" w:eastAsia="宋体" w:cs="宋体"/>
          <w:szCs w:val="21"/>
          <w:highlight w:val="none"/>
        </w:rPr>
        <w:t>时间之后，</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不得对其</w:t>
      </w:r>
      <w:r>
        <w:rPr>
          <w:rFonts w:hint="eastAsia" w:ascii="宋体" w:hAnsi="宋体" w:eastAsia="宋体" w:cs="宋体"/>
          <w:szCs w:val="21"/>
          <w:highlight w:val="none"/>
          <w:lang w:val="en-US" w:eastAsia="zh-CN"/>
        </w:rPr>
        <w:t>参选</w:t>
      </w:r>
      <w:r>
        <w:rPr>
          <w:rFonts w:hint="eastAsia" w:ascii="宋体" w:hAnsi="宋体" w:eastAsia="宋体" w:cs="宋体"/>
          <w:szCs w:val="21"/>
          <w:highlight w:val="none"/>
        </w:rPr>
        <w:t>文件做任何修改。</w:t>
      </w:r>
    </w:p>
    <w:p>
      <w:pPr>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五、开启</w:t>
      </w:r>
    </w:p>
    <w:p>
      <w:pPr>
        <w:widowControl/>
        <w:spacing w:line="500" w:lineRule="exact"/>
        <w:ind w:firstLine="422" w:firstLineChars="200"/>
        <w:jc w:val="left"/>
        <w:rPr>
          <w:rFonts w:ascii="宋体" w:cs="宋体"/>
          <w:color w:val="000000" w:themeColor="text1"/>
          <w:szCs w:val="21"/>
          <w:highlight w:val="none"/>
          <w14:textFill>
            <w14:solidFill>
              <w14:schemeClr w14:val="tx1"/>
            </w14:solidFill>
          </w14:textFill>
        </w:rPr>
      </w:pPr>
      <w:r>
        <w:rPr>
          <w:rFonts w:hint="eastAsia" w:ascii="宋体" w:hAnsi="宋体" w:eastAsia="宋体" w:cs="宋体"/>
          <w:b/>
          <w:bCs/>
          <w:color w:val="000000"/>
          <w:kern w:val="2"/>
          <w:sz w:val="21"/>
          <w:szCs w:val="21"/>
          <w:highlight w:val="none"/>
          <w:lang w:val="en-US" w:eastAsia="zh-CN" w:bidi="ar-SA"/>
        </w:rPr>
        <w:t>14</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b/>
          <w:bCs/>
          <w:color w:val="000000"/>
          <w:spacing w:val="-6"/>
          <w:sz w:val="21"/>
          <w:szCs w:val="21"/>
          <w:highlight w:val="none"/>
        </w:rPr>
        <w:t>本项目要求</w:t>
      </w:r>
      <w:r>
        <w:rPr>
          <w:rFonts w:hint="eastAsia" w:ascii="宋体" w:hAnsi="宋体" w:eastAsia="宋体" w:cs="宋体"/>
          <w:b/>
          <w:bCs/>
          <w:color w:val="000000"/>
          <w:spacing w:val="-6"/>
          <w:sz w:val="21"/>
          <w:szCs w:val="21"/>
          <w:highlight w:val="none"/>
          <w:lang w:val="en-US" w:eastAsia="zh-CN"/>
        </w:rPr>
        <w:t>参选人</w:t>
      </w:r>
      <w:r>
        <w:rPr>
          <w:rFonts w:hint="eastAsia" w:ascii="宋体" w:hAnsi="宋体" w:eastAsia="宋体" w:cs="宋体"/>
          <w:b/>
          <w:bCs/>
          <w:color w:val="000000"/>
          <w:spacing w:val="-6"/>
          <w:sz w:val="21"/>
          <w:szCs w:val="21"/>
          <w:highlight w:val="none"/>
        </w:rPr>
        <w:t>对</w:t>
      </w:r>
      <w:r>
        <w:rPr>
          <w:rFonts w:hint="eastAsia" w:ascii="宋体" w:hAnsi="宋体" w:eastAsia="宋体" w:cs="宋体"/>
          <w:b/>
          <w:bCs/>
          <w:color w:val="000000"/>
          <w:spacing w:val="-6"/>
          <w:sz w:val="21"/>
          <w:szCs w:val="21"/>
          <w:highlight w:val="none"/>
          <w:lang w:val="en-US" w:eastAsia="zh-CN"/>
        </w:rPr>
        <w:t>参选</w:t>
      </w:r>
      <w:r>
        <w:rPr>
          <w:rFonts w:hint="eastAsia" w:ascii="宋体" w:hAnsi="宋体" w:eastAsia="宋体" w:cs="宋体"/>
          <w:b/>
          <w:bCs/>
          <w:color w:val="000000"/>
          <w:spacing w:val="-6"/>
          <w:sz w:val="21"/>
          <w:szCs w:val="21"/>
          <w:highlight w:val="none"/>
        </w:rPr>
        <w:t>文件实施</w:t>
      </w:r>
      <w:r>
        <w:rPr>
          <w:rFonts w:hint="eastAsia" w:ascii="宋体" w:hAnsi="宋体" w:eastAsia="宋体" w:cs="宋体"/>
          <w:b/>
          <w:bCs/>
          <w:color w:val="000000"/>
          <w:spacing w:val="-6"/>
          <w:sz w:val="21"/>
          <w:szCs w:val="21"/>
          <w:highlight w:val="none"/>
          <w:lang w:val="en-US" w:eastAsia="zh-CN"/>
        </w:rPr>
        <w:t>现场比选</w:t>
      </w:r>
      <w:r>
        <w:rPr>
          <w:rFonts w:hint="eastAsia" w:ascii="宋体" w:hAnsi="宋体" w:eastAsia="宋体" w:cs="宋体"/>
          <w:b/>
          <w:bCs/>
          <w:color w:val="000000"/>
          <w:spacing w:val="-6"/>
          <w:sz w:val="21"/>
          <w:szCs w:val="21"/>
          <w:highlight w:val="none"/>
        </w:rPr>
        <w:t>，</w:t>
      </w:r>
      <w:r>
        <w:rPr>
          <w:rFonts w:hint="eastAsia" w:ascii="宋体" w:hAnsi="宋体" w:eastAsia="宋体" w:cs="宋体"/>
          <w:b/>
          <w:bCs/>
          <w:color w:val="000000"/>
          <w:spacing w:val="-6"/>
          <w:sz w:val="21"/>
          <w:szCs w:val="21"/>
          <w:highlight w:val="none"/>
          <w:lang w:val="en-US" w:eastAsia="zh-CN"/>
        </w:rPr>
        <w:t>参选人必须</w:t>
      </w:r>
      <w:r>
        <w:rPr>
          <w:rFonts w:hint="eastAsia" w:ascii="宋体" w:hAnsi="宋体" w:eastAsia="宋体" w:cs="宋体"/>
          <w:b/>
          <w:bCs/>
          <w:color w:val="000000"/>
          <w:spacing w:val="-6"/>
          <w:sz w:val="21"/>
          <w:szCs w:val="21"/>
          <w:highlight w:val="none"/>
        </w:rPr>
        <w:t>到现场参加</w:t>
      </w:r>
      <w:r>
        <w:rPr>
          <w:rFonts w:hint="eastAsia" w:ascii="宋体" w:hAnsi="宋体" w:eastAsia="宋体" w:cs="宋体"/>
          <w:b/>
          <w:bCs/>
          <w:color w:val="000000"/>
          <w:spacing w:val="-6"/>
          <w:sz w:val="21"/>
          <w:szCs w:val="21"/>
          <w:highlight w:val="none"/>
          <w:lang w:eastAsia="zh-CN"/>
        </w:rPr>
        <w:t>比选</w:t>
      </w:r>
      <w:r>
        <w:rPr>
          <w:rFonts w:hint="eastAsia" w:ascii="宋体" w:hAnsi="宋体" w:eastAsia="宋体" w:cs="宋体"/>
          <w:b/>
          <w:bCs/>
          <w:color w:val="000000"/>
          <w:spacing w:val="-6"/>
          <w:sz w:val="21"/>
          <w:szCs w:val="21"/>
          <w:highlight w:val="none"/>
        </w:rPr>
        <w:t>活动。</w:t>
      </w:r>
    </w:p>
    <w:bookmarkEnd w:id="49"/>
    <w:bookmarkEnd w:id="51"/>
    <w:bookmarkEnd w:id="52"/>
    <w:p>
      <w:pPr>
        <w:pStyle w:val="6"/>
        <w:spacing w:line="440" w:lineRule="exact"/>
        <w:ind w:firstLine="413" w:firstLineChars="196"/>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六、</w:t>
      </w:r>
      <w:bookmarkEnd w:id="28"/>
      <w:bookmarkEnd w:id="29"/>
      <w:r>
        <w:rPr>
          <w:rFonts w:hint="eastAsia" w:cs="宋体"/>
          <w:color w:val="000000" w:themeColor="text1"/>
          <w:highlight w:val="none"/>
          <w14:textFill>
            <w14:solidFill>
              <w14:schemeClr w14:val="tx1"/>
            </w14:solidFill>
          </w14:textFill>
        </w:rPr>
        <w:t>评选</w:t>
      </w:r>
    </w:p>
    <w:p>
      <w:pPr>
        <w:spacing w:line="440" w:lineRule="exact"/>
        <w:ind w:firstLine="422"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15、评选委员会</w:t>
      </w:r>
      <w:r>
        <w:rPr>
          <w:rFonts w:hint="eastAsia" w:ascii="宋体" w:hAnsi="宋体" w:cs="宋体"/>
          <w:bCs/>
          <w:color w:val="000000" w:themeColor="text1"/>
          <w:szCs w:val="21"/>
          <w:highlight w:val="none"/>
          <w14:textFill>
            <w14:solidFill>
              <w14:schemeClr w14:val="tx1"/>
            </w14:solidFill>
          </w14:textFill>
        </w:rPr>
        <w:t>（以下简称“评委会”）：评委会由采购人代表及评标专家依法组建。采购人代表不得担任评委会组长。评选由评委会进行，评委应坚持公正、公平、诚实守信、实事求是、独立评选的原则。</w:t>
      </w:r>
    </w:p>
    <w:p>
      <w:pPr>
        <w:spacing w:line="44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16、评选方法：</w:t>
      </w:r>
      <w:r>
        <w:rPr>
          <w:rFonts w:hint="eastAsia" w:ascii="宋体" w:hAnsi="宋体" w:cs="宋体"/>
          <w:color w:val="000000" w:themeColor="text1"/>
          <w:szCs w:val="21"/>
          <w:highlight w:val="none"/>
          <w14:textFill>
            <w14:solidFill>
              <w14:schemeClr w14:val="tx1"/>
            </w14:solidFill>
          </w14:textFill>
        </w:rPr>
        <w:t>最低</w:t>
      </w:r>
      <w:r>
        <w:rPr>
          <w:rFonts w:hint="eastAsia" w:ascii="宋体" w:hAnsi="宋体" w:cs="宋体"/>
          <w:color w:val="000000" w:themeColor="text1"/>
          <w:szCs w:val="21"/>
          <w:highlight w:val="none"/>
          <w:lang w:val="en-US" w:eastAsia="zh-CN"/>
          <w14:textFill>
            <w14:solidFill>
              <w14:schemeClr w14:val="tx1"/>
            </w14:solidFill>
          </w14:textFill>
        </w:rPr>
        <w:t>投</w:t>
      </w:r>
      <w:r>
        <w:rPr>
          <w:rFonts w:hint="eastAsia" w:ascii="宋体" w:hAnsi="宋体" w:cs="宋体"/>
          <w:color w:val="000000" w:themeColor="text1"/>
          <w:szCs w:val="21"/>
          <w:highlight w:val="none"/>
          <w14:textFill>
            <w14:solidFill>
              <w14:schemeClr w14:val="tx1"/>
            </w14:solidFill>
          </w14:textFill>
        </w:rPr>
        <w:t>标价法。</w:t>
      </w:r>
    </w:p>
    <w:p>
      <w:pPr>
        <w:spacing w:line="44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17、评选程序：</w:t>
      </w:r>
    </w:p>
    <w:p>
      <w:pPr>
        <w:widowControl/>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17.1、参选文件符合性审查，包括但不限于以下内容：</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（1）参选人资格是否符合比选文件要求；</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（2）参选文件是否按比选文件的要求进行编制；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（3）比选文件要求提交的各种资格证明文件是否真实、完整、合法、有效；</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（4）参选文件对法律、法规和比选文件其他明确要求的符合性；</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（5）参选文件是否附有采购人不能接受的条件；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（6）参选文件是否存在比选文件中规定的无效参选文件的其他情形；</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（7）参选文件是否符合比选文件的要求。</w:t>
      </w:r>
    </w:p>
    <w:p>
      <w:pPr>
        <w:widowControl/>
        <w:spacing w:line="440" w:lineRule="exact"/>
        <w:ind w:firstLine="405"/>
        <w:jc w:val="left"/>
        <w:rPr>
          <w:rFonts w:ascii="宋体" w:hAnsi="宋体" w:cs="宋体"/>
          <w:b/>
          <w:bCs/>
          <w:color w:val="000000" w:themeColor="text1"/>
          <w:szCs w:val="21"/>
          <w:highlight w:val="none"/>
          <w14:textFill>
            <w14:solidFill>
              <w14:schemeClr w14:val="tx1"/>
            </w14:solidFill>
          </w14:textFill>
        </w:rPr>
      </w:pPr>
      <w:bookmarkStart w:id="53" w:name="_Toc23618"/>
      <w:r>
        <w:rPr>
          <w:rFonts w:hint="eastAsia" w:ascii="宋体" w:hAnsi="宋体" w:cs="宋体"/>
          <w:b/>
          <w:bCs/>
          <w:color w:val="000000" w:themeColor="text1"/>
          <w:szCs w:val="21"/>
          <w:highlight w:val="none"/>
          <w14:textFill>
            <w14:solidFill>
              <w14:schemeClr w14:val="tx1"/>
            </w14:solidFill>
          </w14:textFill>
        </w:rPr>
        <w:t>17.2、比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w:t>
      </w:r>
      <w:r>
        <w:rPr>
          <w:rFonts w:hint="eastAsia" w:ascii="宋体" w:hAnsi="宋体" w:cs="宋体"/>
          <w:b/>
          <w:bCs/>
          <w:color w:val="000000" w:themeColor="text1"/>
          <w:szCs w:val="21"/>
          <w:highlight w:val="none"/>
          <w:lang w:val="en-US" w:eastAsia="zh-CN"/>
          <w14:textFill>
            <w14:solidFill>
              <w14:schemeClr w14:val="tx1"/>
            </w14:solidFill>
          </w14:textFill>
        </w:rPr>
        <w:t>书面</w:t>
      </w:r>
      <w:r>
        <w:rPr>
          <w:rFonts w:hint="eastAsia" w:ascii="宋体" w:hAnsi="宋体" w:cs="宋体"/>
          <w:b/>
          <w:bCs/>
          <w:color w:val="000000" w:themeColor="text1"/>
          <w:szCs w:val="21"/>
          <w:highlight w:val="none"/>
          <w14:textFill>
            <w14:solidFill>
              <w14:schemeClr w14:val="tx1"/>
            </w14:solidFill>
          </w14:textFill>
        </w:rPr>
        <w:t>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440" w:lineRule="exact"/>
        <w:ind w:firstLine="40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17.3、参选人报价不得高于比选</w:t>
      </w:r>
      <w:r>
        <w:rPr>
          <w:rFonts w:hint="eastAsia" w:ascii="宋体" w:hAnsi="宋体" w:cs="宋体"/>
          <w:color w:val="000000" w:themeColor="text1"/>
          <w:szCs w:val="21"/>
          <w:highlight w:val="none"/>
          <w:lang w:eastAsia="zh-CN"/>
          <w14:textFill>
            <w14:solidFill>
              <w14:schemeClr w14:val="tx1"/>
            </w14:solidFill>
          </w14:textFill>
        </w:rPr>
        <w:t>最高投标费率</w:t>
      </w:r>
      <w:r>
        <w:rPr>
          <w:rFonts w:hint="eastAsia" w:ascii="宋体" w:hAnsi="宋体" w:cs="宋体"/>
          <w:color w:val="000000" w:themeColor="text1"/>
          <w:szCs w:val="21"/>
          <w:highlight w:val="none"/>
          <w14:textFill>
            <w14:solidFill>
              <w14:schemeClr w14:val="tx1"/>
            </w14:solidFill>
          </w14:textFill>
        </w:rPr>
        <w:t>，否则报价评审不通过，按无效标处理。</w:t>
      </w:r>
    </w:p>
    <w:p>
      <w:pPr>
        <w:widowControl/>
        <w:spacing w:line="440" w:lineRule="exact"/>
        <w:ind w:firstLine="40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评选委员会认为参选人报价明显缺乏竞争性的，评选委员会可以否决所有投标。</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确定成交候选人排序：评委会对参选文件通过上述评审的参选人，根据评审价由低至高的顺序排列。评审价最低的为第一成交候选人，次低的为第二成交候选人，第三低的为第三成交候选人。若出现两家或两家以上评审价最低且相等时，则由采购人采取现场随机抽取的方式确定成交候选人排序。</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18</w:t>
      </w:r>
      <w:r>
        <w:rPr>
          <w:rFonts w:hint="eastAsia" w:ascii="宋体" w:hAnsi="宋体" w:cs="宋体"/>
          <w:b/>
          <w:bCs/>
          <w:color w:val="000000" w:themeColor="text1"/>
          <w:szCs w:val="21"/>
          <w:highlight w:val="none"/>
          <w14:textFill>
            <w14:solidFill>
              <w14:schemeClr w14:val="tx1"/>
            </w14:solidFill>
          </w14:textFill>
        </w:rPr>
        <w:t>、开标评标异常情况处理</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1、在</w:t>
      </w:r>
      <w:r>
        <w:rPr>
          <w:rFonts w:hint="eastAsia" w:ascii="宋体" w:hAnsi="宋体" w:cs="宋体"/>
          <w:color w:val="000000" w:themeColor="text1"/>
          <w:szCs w:val="21"/>
          <w:highlight w:val="none"/>
          <w:lang w:val="en-US" w:eastAsia="zh-CN"/>
          <w14:textFill>
            <w14:solidFill>
              <w14:schemeClr w14:val="tx1"/>
            </w14:solidFill>
          </w14:textFill>
        </w:rPr>
        <w:t>本次招标</w:t>
      </w:r>
      <w:r>
        <w:rPr>
          <w:rFonts w:hint="eastAsia" w:ascii="宋体" w:hAnsi="宋体" w:cs="宋体"/>
          <w:color w:val="000000" w:themeColor="text1"/>
          <w:szCs w:val="21"/>
          <w:highlight w:val="none"/>
          <w14:textFill>
            <w14:solidFill>
              <w14:schemeClr w14:val="tx1"/>
            </w14:solidFill>
          </w14:textFill>
        </w:rPr>
        <w:t>采购中，出现下列情况之一的，应予废标，采购单位重新组织采购：</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 提交参选文件的参选人不足2家的；</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出现影响采购公正的违法、违规行为的；</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参选人的报价</w:t>
      </w:r>
      <w:r>
        <w:rPr>
          <w:rFonts w:hint="eastAsia" w:ascii="宋体" w:hAnsi="宋体" w:cs="宋体"/>
          <w:color w:val="000000" w:themeColor="text1"/>
          <w:szCs w:val="21"/>
          <w:highlight w:val="none"/>
          <w:lang w:val="en-US" w:eastAsia="zh-CN"/>
          <w14:textFill>
            <w14:solidFill>
              <w14:schemeClr w14:val="tx1"/>
            </w14:solidFill>
          </w14:textFill>
        </w:rPr>
        <w:t>均</w:t>
      </w:r>
      <w:r>
        <w:rPr>
          <w:rFonts w:hint="eastAsia" w:ascii="宋体" w:hAnsi="宋体" w:cs="宋体"/>
          <w:color w:val="000000" w:themeColor="text1"/>
          <w:szCs w:val="21"/>
          <w:highlight w:val="none"/>
          <w14:textFill>
            <w14:solidFill>
              <w14:schemeClr w14:val="tx1"/>
            </w14:solidFill>
          </w14:textFill>
        </w:rPr>
        <w:t>高于最高投标限价的；</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因重大变故，采购任务取消的。</w:t>
      </w:r>
    </w:p>
    <w:bookmarkEnd w:id="53"/>
    <w:p>
      <w:pPr>
        <w:widowControl/>
        <w:spacing w:line="440" w:lineRule="exact"/>
        <w:ind w:firstLine="420"/>
        <w:jc w:val="left"/>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19、成交通知书</w:t>
      </w:r>
    </w:p>
    <w:p>
      <w:pPr>
        <w:widowControl/>
        <w:spacing w:line="440" w:lineRule="exact"/>
        <w:ind w:firstLine="42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人在评审报告推荐的参选候选人中按顺序确定成交人。采购人将向成交人发出成交通知书，并在安庆交控集团集采平台（http://jc.zh0556.com/）公告比选结果。参选人如有质疑、投诉，应在成交结果公告期限届满之日起两个工作日内以书面形式向采购人提出。无异议后，采购人与成交人签订合同。</w:t>
      </w:r>
    </w:p>
    <w:p>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pPr>
        <w:pStyle w:val="3"/>
        <w:numPr>
          <w:ilvl w:val="0"/>
          <w:numId w:val="6"/>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4" w:name="_Toc54941340"/>
      <w:bookmarkStart w:id="55" w:name="_Toc10569"/>
      <w:bookmarkStart w:id="56" w:name="_Toc11149"/>
      <w:r>
        <w:rPr>
          <w:rFonts w:hint="eastAsia" w:ascii="Arial" w:hAnsi="Arial"/>
          <w:color w:val="000000" w:themeColor="text1"/>
          <w:kern w:val="2"/>
          <w:sz w:val="32"/>
          <w:szCs w:val="32"/>
          <w:highlight w:val="none"/>
          <w14:textFill>
            <w14:solidFill>
              <w14:schemeClr w14:val="tx1"/>
            </w14:solidFill>
          </w14:textFill>
        </w:rPr>
        <w:t xml:space="preserve"> 服务及</w:t>
      </w:r>
      <w:r>
        <w:rPr>
          <w:rFonts w:hint="eastAsia" w:ascii="Arial" w:hAnsi="Arial"/>
          <w:color w:val="000000" w:themeColor="text1"/>
          <w:kern w:val="2"/>
          <w:sz w:val="32"/>
          <w:szCs w:val="32"/>
          <w:highlight w:val="none"/>
          <w:lang w:val="zh-CN"/>
          <w14:textFill>
            <w14:solidFill>
              <w14:schemeClr w14:val="tx1"/>
            </w14:solidFill>
          </w14:textFill>
        </w:rPr>
        <w:t>技术要求</w:t>
      </w:r>
    </w:p>
    <w:p>
      <w:p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一、项目概况</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3837"/>
        <w:gridCol w:w="800"/>
        <w:gridCol w:w="800"/>
        <w:gridCol w:w="1904"/>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项目名称：安庆通汇交通工程有限责任公司广告标识牌制作采购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FFFFFF"/>
            <w:noWrap/>
            <w:vAlign w:val="center"/>
          </w:tcPr>
          <w:p>
            <w:pPr>
              <w:pStyle w:val="2"/>
              <w:jc w:val="center"/>
              <w:rPr>
                <w:rFonts w:hint="eastAsia"/>
                <w:sz w:val="24"/>
                <w:szCs w:val="24"/>
                <w:highlight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广告标识牌制作采购控制价清单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项目内容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控制价（元）</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写真印刷（带背胶）</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16.06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写真印刷覆3mmPVC板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34.26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写真印刷覆5mmPVC板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44.97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写真印刷覆8mmPVC板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50.32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写真印刷覆铁皮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42.82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写真印刷覆铝塑板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51.39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户外车贴（带背胶）</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21.41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户外车贴覆3mmPVC板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40.68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户外车贴覆5mmPVC板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49.25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户外车贴覆8mmPVC板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53.53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户外车贴覆铁皮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48.18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户外车贴覆铝塑板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56.74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晶彩格（带背胶）</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32.12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晶彩格覆3mmPVC板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48.18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晶彩格覆5mmPVC板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55.67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晶彩格覆8mmPVC板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61.02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晶彩格覆铁皮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53.53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晶彩格覆铝塑板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64.24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喷绘1#布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10.71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喷绘2#布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6.42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喷绘黑布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12.85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铁皮字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123.12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8mmPVC字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74.94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10mmPVC字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80.30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12mmPVC字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91.00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15mmPVC字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107.06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镀金字（单个字1㎡以上）</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214.12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镀金字（单个字含1㎡以下）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192.71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3cm木边框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19.27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2.5cm铝合金边框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17.13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3.5cm铝合金边框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19.27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1.5mm塑料边条</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2.68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2.5mm塑料边条</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3.75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胸牌（工作牌）</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2.68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横幅（普通布）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6.42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横幅（艺术布）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20.34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横幅（旗布）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16.06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横幅（布旗布）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16.06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道旗（1100×700）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4.77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道旗单色印刷（1100×700）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6.96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道旗彩色印刷（1100×700）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8.56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道旗（600×900）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3.71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道旗单色印刷（600×900）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5.89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道旗彩色印刷（600×900）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7.49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2米竹杆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1.61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bl>
    <w:p>
      <w:pPr>
        <w:tabs>
          <w:tab w:val="left" w:pos="3640"/>
        </w:tabs>
        <w:autoSpaceDE w:val="0"/>
        <w:autoSpaceDN w:val="0"/>
        <w:spacing w:line="360" w:lineRule="auto"/>
        <w:rPr>
          <w:rFonts w:hint="eastAsia" w:ascii="宋体" w:hAnsi="宋体" w:cs="宋体"/>
          <w:b/>
          <w:bCs/>
          <w:color w:val="000000" w:themeColor="text1"/>
          <w:sz w:val="24"/>
          <w:szCs w:val="24"/>
          <w:highlight w:val="none"/>
          <w14:textFill>
            <w14:solidFill>
              <w14:schemeClr w14:val="tx1"/>
            </w14:solidFill>
          </w14:textFill>
        </w:rPr>
      </w:pPr>
    </w:p>
    <w:p>
      <w:pPr>
        <w:tabs>
          <w:tab w:val="left" w:pos="3640"/>
        </w:tabs>
        <w:autoSpaceDE w:val="0"/>
        <w:autoSpaceDN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说明：</w:t>
      </w:r>
    </w:p>
    <w:p>
      <w:pPr>
        <w:keepNext w:val="0"/>
        <w:keepLines w:val="0"/>
        <w:pageBreakBefore w:val="0"/>
        <w:widowControl w:val="0"/>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1、本次项目按投标费率进行报价，最高投标费率为100%。参选人最终报价费率不得高于最高投标费率。</w:t>
      </w:r>
    </w:p>
    <w:p>
      <w:pPr>
        <w:keepNext w:val="0"/>
        <w:keepLines w:val="0"/>
        <w:pageBreakBefore w:val="0"/>
        <w:widowControl w:val="0"/>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2、中标人最终结算方式如下：单价限价×中标费率=结算价格（单价）。</w:t>
      </w:r>
    </w:p>
    <w:p>
      <w:pPr>
        <w:pStyle w:val="81"/>
        <w:keepNext w:val="0"/>
        <w:keepLines w:val="0"/>
        <w:pageBreakBefore w:val="0"/>
        <w:widowControl w:val="0"/>
        <w:kinsoku/>
        <w:wordWrap/>
        <w:overflowPunct/>
        <w:topLinePunct w:val="0"/>
        <w:autoSpaceDE w:val="0"/>
        <w:autoSpaceDN w:val="0"/>
        <w:bidi w:val="0"/>
        <w:snapToGrid/>
        <w:textAlignment w:val="auto"/>
        <w:rPr>
          <w:rFonts w:hint="eastAsia"/>
          <w:highlight w:val="none"/>
        </w:rPr>
      </w:pPr>
    </w:p>
    <w:p>
      <w:pPr>
        <w:numPr>
          <w:ilvl w:val="0"/>
          <w:numId w:val="0"/>
        </w:numPr>
        <w:tabs>
          <w:tab w:val="left" w:pos="3640"/>
        </w:tabs>
        <w:autoSpaceDE w:val="0"/>
        <w:autoSpaceDN w:val="0"/>
        <w:spacing w:line="360" w:lineRule="auto"/>
        <w:ind w:firstLine="562" w:firstLineChars="20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技术标准及项目要求</w:t>
      </w:r>
    </w:p>
    <w:p>
      <w:pPr>
        <w:numPr>
          <w:ilvl w:val="0"/>
          <w:numId w:val="0"/>
        </w:num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1、材料应符合采购文件、技术规范及相关国家和行业标准要求。</w:t>
      </w:r>
    </w:p>
    <w:p>
      <w:pPr>
        <w:numPr>
          <w:ilvl w:val="0"/>
          <w:numId w:val="0"/>
        </w:num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2、中标人按采购人每次订单（或通知）规定的质量、数量要求制作，制作完成后通知采购人现场进行确认验收；如验收不合格，采购人一律拒绝签收，中标人必须无条件重新制作，造成采购人损失的承担合同约定的违约责任；验收合格后采购人确认签字，作为结算依据。</w:t>
      </w:r>
    </w:p>
    <w:p>
      <w:pPr>
        <w:numPr>
          <w:ilvl w:val="0"/>
          <w:numId w:val="0"/>
        </w:num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3、本项目采用固定单价,单价包含制作费、税费等其他产品制作的一切相关费用，服务期内价格不调整。</w:t>
      </w:r>
    </w:p>
    <w:p>
      <w:pPr>
        <w:numPr>
          <w:ilvl w:val="0"/>
          <w:numId w:val="0"/>
        </w:num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4、详细技术标准及要求见报价单及采购人订单。</w:t>
      </w:r>
    </w:p>
    <w:p>
      <w:pPr>
        <w:numPr>
          <w:ilvl w:val="0"/>
          <w:numId w:val="0"/>
        </w:numPr>
        <w:tabs>
          <w:tab w:val="left" w:pos="3640"/>
        </w:tabs>
        <w:autoSpaceDE w:val="0"/>
        <w:autoSpaceDN w:val="0"/>
        <w:spacing w:line="360" w:lineRule="auto"/>
        <w:ind w:firstLine="562" w:firstLineChars="200"/>
        <w:rPr>
          <w:rFonts w:hint="default"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三、工程结算及付款方式</w:t>
      </w:r>
    </w:p>
    <w:p>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以年度为一个结算周期，经双方书面确认本年度供货数量及金额，对清账目后，成交人提供1%增值税专用发票，采购人应于合同到期后七个工作日内将货款足额完成支付。</w:t>
      </w:r>
    </w:p>
    <w:p>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p>
    <w:p>
      <w:pPr>
        <w:pStyle w:val="3"/>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7" w:name="_Toc476584431"/>
      <w:bookmarkStart w:id="58"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4"/>
      <w:bookmarkEnd w:id="55"/>
      <w:bookmarkEnd w:id="56"/>
      <w:bookmarkEnd w:id="57"/>
      <w:bookmarkEnd w:id="58"/>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bookmarkStart w:id="59" w:name="_Toc439316880"/>
      <w:bookmarkStart w:id="60" w:name="_Toc8981"/>
      <w:bookmarkStart w:id="61" w:name="_Toc25399"/>
      <w:bookmarkStart w:id="62" w:name="_Toc54941341"/>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比选文件，甲、</w:t>
      </w:r>
      <w:r>
        <w:rPr>
          <w:rFonts w:hint="eastAsia" w:ascii="宋体" w:hAnsi="宋体" w:eastAsia="宋体" w:cs="宋体"/>
          <w:color w:val="auto"/>
          <w:spacing w:val="-1"/>
          <w:sz w:val="21"/>
          <w:szCs w:val="21"/>
          <w:highlight w:val="none"/>
        </w:rPr>
        <w:t>乙</w:t>
      </w:r>
      <w:r>
        <w:rPr>
          <w:rFonts w:hint="eastAsia" w:ascii="宋体" w:hAnsi="宋体" w:eastAsia="宋体" w:cs="宋体"/>
          <w:color w:val="auto"/>
          <w:sz w:val="21"/>
          <w:szCs w:val="21"/>
          <w:highlight w:val="none"/>
        </w:rPr>
        <w:t>双方经协商一致，签订如下合同条款，并共同遵守。</w:t>
      </w:r>
    </w:p>
    <w:p>
      <w:pPr>
        <w:numPr>
          <w:ilvl w:val="0"/>
          <w:numId w:val="7"/>
        </w:numPr>
        <w:tabs>
          <w:tab w:val="left" w:pos="3640"/>
        </w:tabs>
        <w:autoSpaceDE w:val="0"/>
        <w:autoSpaceDN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材料名称</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p>
        </w:tc>
        <w:tc>
          <w:tcPr>
            <w:tcW w:w="16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164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pPr>
              <w:spacing w:line="500" w:lineRule="exact"/>
              <w:ind w:right="-2" w:rightChars="-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合计：（大写）</w:t>
            </w: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pPr>
              <w:spacing w:line="500" w:lineRule="exact"/>
              <w:ind w:right="-2" w:rightChars="-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u w:val="single"/>
              </w:rPr>
              <w:t>（约定数量验收方式）</w:t>
            </w:r>
          </w:p>
        </w:tc>
      </w:tr>
    </w:tbl>
    <w:p>
      <w:pPr>
        <w:pStyle w:val="83"/>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本合同单价为到货价（货运至甲方指定地点卸载），且是综合单价，包括但不限于乙方支出的</w:t>
      </w:r>
      <w:r>
        <w:rPr>
          <w:rFonts w:hint="eastAsia" w:ascii="宋体" w:hAnsi="宋体" w:eastAsia="宋体" w:cs="宋体"/>
          <w:color w:val="auto"/>
          <w:sz w:val="21"/>
          <w:szCs w:val="21"/>
          <w:highlight w:val="none"/>
          <w:lang w:val="en-US" w:eastAsia="zh-CN"/>
        </w:rPr>
        <w:t>材料费、</w:t>
      </w:r>
      <w:r>
        <w:rPr>
          <w:rFonts w:hint="eastAsia" w:ascii="宋体" w:hAnsi="宋体" w:eastAsia="宋体" w:cs="宋体"/>
          <w:color w:val="auto"/>
          <w:sz w:val="21"/>
          <w:szCs w:val="21"/>
          <w:highlight w:val="none"/>
        </w:rPr>
        <w:t>运费、装卸费、保险费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利润</w:t>
      </w:r>
      <w:r>
        <w:rPr>
          <w:rFonts w:hint="eastAsia" w:ascii="宋体" w:hAnsi="宋体" w:eastAsia="宋体" w:cs="宋体"/>
          <w:color w:val="auto"/>
          <w:sz w:val="21"/>
          <w:szCs w:val="21"/>
          <w:highlight w:val="none"/>
        </w:rPr>
        <w:t>、税费等费用，甲方无需支付任何其他费用给乙方</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二、质量要求和技术标准</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1、乙方供应的产品必须符合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工程施工相关技术规范</w:t>
      </w:r>
      <w:r>
        <w:rPr>
          <w:rFonts w:hint="eastAsia" w:ascii="宋体" w:hAnsi="宋体" w:eastAsia="宋体" w:cs="宋体"/>
          <w:color w:val="auto"/>
          <w:sz w:val="21"/>
          <w:szCs w:val="21"/>
          <w:highlight w:val="none"/>
          <w:lang w:val="en-US" w:eastAsia="zh-Hans"/>
        </w:rPr>
        <w:t>及国家强制性规范</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Hans"/>
        </w:rPr>
        <w:t>行业标准</w:t>
      </w:r>
      <w:r>
        <w:rPr>
          <w:rFonts w:hint="eastAsia" w:ascii="宋体" w:hAnsi="宋体" w:eastAsia="宋体" w:cs="宋体"/>
          <w:color w:val="auto"/>
          <w:sz w:val="21"/>
          <w:szCs w:val="21"/>
          <w:highlight w:val="none"/>
          <w:lang w:val="en-US" w:eastAsia="zh-CN"/>
        </w:rPr>
        <w:t>、招标文件、图纸设计要求</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rPr>
        <w:t>。</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2、符合甲方、工程监理、总监办、中心试验室、项目办、质检等上级部门相关技术要求。</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3、材料供应过程中无论何种原因需要变更材料厂家的，需向甲方及上级相关部门提前报备</w:t>
      </w:r>
      <w:r>
        <w:rPr>
          <w:rFonts w:hint="eastAsia" w:ascii="宋体" w:hAnsi="宋体" w:eastAsia="宋体" w:cs="宋体"/>
          <w:color w:val="auto"/>
          <w:sz w:val="21"/>
          <w:szCs w:val="21"/>
          <w:highlight w:val="none"/>
          <w:lang w:val="en-US" w:eastAsia="zh-Hans"/>
        </w:rPr>
        <w:t>以征得甲方及上级相关部门的书面同意</w:t>
      </w:r>
      <w:r>
        <w:rPr>
          <w:rFonts w:hint="eastAsia" w:ascii="宋体" w:hAnsi="宋体" w:eastAsia="宋体" w:cs="宋体"/>
          <w:color w:val="auto"/>
          <w:sz w:val="21"/>
          <w:szCs w:val="21"/>
          <w:highlight w:val="none"/>
        </w:rPr>
        <w:t>，并在材料供应前做好相应的试验检测工作。</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4、因乙方供应的材料质量原因引起的质量或安全事故，造成的经济损失及有关责任均由乙方承担。</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三、交货方式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1、交货时间以甲方通知为准，如无特殊情况，甲方应提前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日通知乙方送货。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2、乙方依据甲方通知，在要求的时间内，将</w:t>
      </w:r>
      <w:r>
        <w:rPr>
          <w:rFonts w:hint="eastAsia" w:ascii="宋体" w:hAnsi="宋体" w:eastAsia="宋体" w:cs="宋体"/>
          <w:color w:val="auto"/>
          <w:sz w:val="21"/>
          <w:szCs w:val="21"/>
          <w:highlight w:val="none"/>
          <w:lang w:val="en-US" w:eastAsia="zh-Hans"/>
        </w:rPr>
        <w:t>甲方要求的</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Hans"/>
        </w:rPr>
        <w:t>类型及相应数量</w:t>
      </w:r>
      <w:r>
        <w:rPr>
          <w:rFonts w:hint="eastAsia" w:ascii="宋体" w:hAnsi="宋体" w:eastAsia="宋体" w:cs="宋体"/>
          <w:color w:val="auto"/>
          <w:sz w:val="21"/>
          <w:szCs w:val="21"/>
          <w:highlight w:val="none"/>
        </w:rPr>
        <w:t>运抵甲方指定地点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，并根据甲方现场人员要求，在指定位置落地。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3、材料运至甲方指定的地点落地前发生的所有费用、货物毁损灭失的风险及安全责任由乙方承担，落地后在甲方施工场地内发生的所有费用货物毁损灭失的风险及安全责任由甲方承担。</w:t>
      </w:r>
    </w:p>
    <w:p>
      <w:pPr>
        <w:spacing w:line="500" w:lineRule="exact"/>
        <w:ind w:firstLine="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计量</w:t>
      </w:r>
      <w:r>
        <w:rPr>
          <w:rFonts w:hint="eastAsia" w:ascii="宋体" w:hAnsi="宋体" w:eastAsia="宋体" w:cs="宋体"/>
          <w:b/>
          <w:color w:val="auto"/>
          <w:sz w:val="21"/>
          <w:szCs w:val="21"/>
          <w:highlight w:val="none"/>
        </w:rPr>
        <w:t>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lang w:val="zh-CN"/>
        </w:rPr>
        <w:t>计量方法：</w:t>
      </w:r>
      <w:r>
        <w:rPr>
          <w:rFonts w:hint="eastAsia" w:ascii="宋体" w:hAnsi="宋体" w:eastAsia="宋体" w:cs="宋体"/>
          <w:color w:val="auto"/>
          <w:sz w:val="21"/>
          <w:szCs w:val="21"/>
          <w:highlight w:val="none"/>
          <w:lang w:val="en-US" w:eastAsia="zh-CN"/>
        </w:rPr>
        <w:t>检尺理论计量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3、甲方现场材料员验收合格后，由</w:t>
      </w:r>
      <w:r>
        <w:rPr>
          <w:rFonts w:hint="eastAsia" w:ascii="宋体" w:hAnsi="宋体" w:eastAsia="宋体" w:cs="宋体"/>
          <w:color w:val="auto"/>
          <w:sz w:val="21"/>
          <w:szCs w:val="21"/>
          <w:highlight w:val="none"/>
          <w:lang w:val="en-US" w:eastAsia="zh-CN"/>
        </w:rPr>
        <w:t>两名材料员</w:t>
      </w:r>
      <w:r>
        <w:rPr>
          <w:rFonts w:hint="eastAsia" w:ascii="宋体" w:hAnsi="宋体" w:eastAsia="宋体" w:cs="宋体"/>
          <w:color w:val="auto"/>
          <w:sz w:val="21"/>
          <w:szCs w:val="21"/>
          <w:highlight w:val="none"/>
        </w:rPr>
        <w:t>出具材料单并签收，交</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授权委托</w:t>
      </w:r>
      <w:r>
        <w:rPr>
          <w:rFonts w:hint="eastAsia" w:ascii="宋体" w:hAnsi="宋体" w:eastAsia="宋体" w:cs="宋体"/>
          <w:color w:val="auto"/>
          <w:sz w:val="21"/>
          <w:szCs w:val="21"/>
          <w:highlight w:val="none"/>
        </w:rPr>
        <w:t>人员。签收后的材料单</w:t>
      </w:r>
      <w:r>
        <w:rPr>
          <w:rFonts w:hint="eastAsia" w:ascii="宋体" w:hAnsi="宋体" w:eastAsia="宋体" w:cs="宋体"/>
          <w:color w:val="auto"/>
          <w:sz w:val="21"/>
          <w:szCs w:val="21"/>
          <w:highlight w:val="none"/>
          <w:lang w:val="en-US" w:eastAsia="zh-CN"/>
        </w:rPr>
        <w:t>经甲方</w:t>
      </w:r>
      <w:r>
        <w:rPr>
          <w:rFonts w:hint="eastAsia" w:ascii="宋体" w:hAnsi="宋体" w:eastAsia="宋体" w:cs="宋体"/>
          <w:color w:val="auto"/>
          <w:sz w:val="21"/>
          <w:szCs w:val="21"/>
          <w:highlight w:val="none"/>
          <w:lang w:val="en-US" w:eastAsia="zh-Hans"/>
        </w:rPr>
        <w:t>盖章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公章或项目部章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认可后</w:t>
      </w:r>
      <w:r>
        <w:rPr>
          <w:rFonts w:hint="eastAsia" w:ascii="宋体" w:hAnsi="宋体" w:eastAsia="宋体" w:cs="宋体"/>
          <w:color w:val="auto"/>
          <w:sz w:val="21"/>
          <w:szCs w:val="21"/>
          <w:highlight w:val="none"/>
        </w:rPr>
        <w:t>作为双方的结算付款依据，</w:t>
      </w:r>
      <w:r>
        <w:rPr>
          <w:rFonts w:hint="eastAsia" w:ascii="宋体" w:hAnsi="宋体" w:eastAsia="宋体" w:cs="宋体"/>
          <w:color w:val="auto"/>
          <w:sz w:val="21"/>
          <w:szCs w:val="21"/>
          <w:highlight w:val="none"/>
          <w:lang w:val="en-US" w:eastAsia="zh-CN"/>
        </w:rPr>
        <w:t>否则</w:t>
      </w:r>
      <w:r>
        <w:rPr>
          <w:rFonts w:hint="eastAsia" w:ascii="宋体" w:hAnsi="宋体" w:eastAsia="宋体" w:cs="宋体"/>
          <w:color w:val="auto"/>
          <w:sz w:val="21"/>
          <w:szCs w:val="21"/>
          <w:highlight w:val="none"/>
        </w:rPr>
        <w:t>视为无效材料单。除此之外乙方持有的任何证明、收条、欠条、信函等文件资料，都不得作为结算与支付依据。</w:t>
      </w:r>
      <w:r>
        <w:rPr>
          <w:rFonts w:hint="eastAsia" w:ascii="宋体" w:hAnsi="宋体" w:eastAsia="宋体" w:cs="宋体"/>
          <w:color w:val="auto"/>
          <w:sz w:val="21"/>
          <w:szCs w:val="21"/>
          <w:highlight w:val="none"/>
          <w:lang w:val="en-US" w:eastAsia="zh-Hans"/>
        </w:rPr>
        <w:t>未经</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Hans"/>
        </w:rPr>
        <w:t>盖章确认</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甲方任何人员</w:t>
      </w:r>
      <w:r>
        <w:rPr>
          <w:rFonts w:hint="eastAsia" w:ascii="宋体" w:hAnsi="宋体" w:eastAsia="宋体" w:cs="宋体"/>
          <w:color w:val="auto"/>
          <w:sz w:val="21"/>
          <w:szCs w:val="21"/>
          <w:highlight w:val="none"/>
        </w:rPr>
        <w:t>的任何签字、签认都不具有</w:t>
      </w:r>
      <w:r>
        <w:rPr>
          <w:rFonts w:hint="eastAsia" w:ascii="宋体" w:hAnsi="宋体" w:eastAsia="宋体" w:cs="宋体"/>
          <w:color w:val="auto"/>
          <w:sz w:val="21"/>
          <w:szCs w:val="21"/>
          <w:highlight w:val="none"/>
          <w:lang w:val="en-US" w:eastAsia="zh-Hans"/>
        </w:rPr>
        <w:t>结算</w:t>
      </w:r>
      <w:r>
        <w:rPr>
          <w:rFonts w:hint="eastAsia" w:ascii="宋体" w:hAnsi="宋体" w:eastAsia="宋体" w:cs="宋体"/>
          <w:color w:val="auto"/>
          <w:sz w:val="21"/>
          <w:szCs w:val="21"/>
          <w:highlight w:val="none"/>
        </w:rPr>
        <w:t>的确认效力。</w:t>
      </w:r>
    </w:p>
    <w:p>
      <w:pPr>
        <w:spacing w:line="5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五、结算</w:t>
      </w:r>
      <w:r>
        <w:rPr>
          <w:rFonts w:hint="eastAsia" w:ascii="宋体" w:hAnsi="宋体" w:eastAsia="宋体" w:cs="宋体"/>
          <w:b/>
          <w:color w:val="auto"/>
          <w:sz w:val="21"/>
          <w:szCs w:val="21"/>
          <w:highlight w:val="none"/>
          <w:lang w:val="en-US" w:eastAsia="zh-CN"/>
        </w:rPr>
        <w:t>与支付</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1、货到现场验收合格，乙方根据结算金额开具13%的增值税专用发票，甲方于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个工作日结清全款。</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其它约定：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六、甲、乙双方的责任和义务</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1、因业主或监理部门的要求，甲方对材料的质量规格需要变更，要求乙方调整设备、工艺或变更厂家；乙方如因供货地点、原料、设备、工艺等发生变化，需作出调整时，双方均应提前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天通知对方，以便有充足的时间完成相关试验和报批手续。因业主或监理部门的要求对材料进行变更的，乙方应无条件接受。因乙方要求对材料进行变更的，甲方有权拒绝变更。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2、甲方施工用料量达到饱和时，应提前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日通知乙方停止供货。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3、甲方应</w:t>
      </w:r>
      <w:r>
        <w:rPr>
          <w:rFonts w:hint="eastAsia" w:ascii="宋体" w:hAnsi="宋体" w:eastAsia="宋体" w:cs="宋体"/>
          <w:color w:val="auto"/>
          <w:sz w:val="21"/>
          <w:szCs w:val="21"/>
          <w:highlight w:val="none"/>
          <w:lang w:val="en-US" w:eastAsia="zh-CN"/>
        </w:rPr>
        <w:t>安</w:t>
      </w:r>
      <w:r>
        <w:rPr>
          <w:rFonts w:hint="eastAsia" w:ascii="宋体" w:hAnsi="宋体" w:eastAsia="宋体" w:cs="宋体"/>
          <w:color w:val="auto"/>
          <w:sz w:val="21"/>
          <w:szCs w:val="21"/>
          <w:highlight w:val="none"/>
        </w:rPr>
        <w:t>排好自己场内运输通道和卸货场地。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4、乙方应向甲方提供营业执照、法定代表人身份证明书、从业资质证书（如法律、法规有要求）、产品合格证等相关证件的复印件并加盖乙方印章，作为本合同附件。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5、乙方因自身原因，单方面延缓或停止供货，影响甲方施工速度，甲方有权以书面通知乙方的方式终止本合同，并没收乙方的履约保证金，剩余货款</w:t>
      </w:r>
      <w:r>
        <w:rPr>
          <w:rFonts w:hint="eastAsia" w:ascii="宋体" w:hAnsi="宋体" w:eastAsia="宋体" w:cs="宋体"/>
          <w:color w:val="auto"/>
          <w:sz w:val="21"/>
          <w:szCs w:val="21"/>
          <w:highlight w:val="none"/>
          <w:lang w:val="en-US" w:eastAsia="zh-CN"/>
        </w:rPr>
        <w:t>暂</w:t>
      </w:r>
      <w:r>
        <w:rPr>
          <w:rFonts w:hint="eastAsia" w:ascii="宋体" w:hAnsi="宋体" w:eastAsia="宋体" w:cs="宋体"/>
          <w:color w:val="auto"/>
          <w:sz w:val="21"/>
          <w:szCs w:val="21"/>
          <w:highlight w:val="none"/>
        </w:rPr>
        <w:t>不予支付，且给甲方造成的经济损失和法律责任应由乙方承担。</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6、乙方应按甲方</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交货。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7、承担运输的车辆应</w:t>
      </w:r>
      <w:r>
        <w:rPr>
          <w:rFonts w:hint="eastAsia" w:ascii="宋体" w:hAnsi="宋体" w:eastAsia="宋体" w:cs="宋体"/>
          <w:color w:val="auto"/>
          <w:sz w:val="21"/>
          <w:szCs w:val="21"/>
          <w:highlight w:val="none"/>
          <w:lang w:val="en-US" w:eastAsia="zh-CN"/>
        </w:rPr>
        <w:t>证照齐全、合法合规，并</w:t>
      </w:r>
      <w:r>
        <w:rPr>
          <w:rFonts w:hint="eastAsia" w:ascii="宋体" w:hAnsi="宋体" w:eastAsia="宋体" w:cs="宋体"/>
          <w:color w:val="auto"/>
          <w:sz w:val="21"/>
          <w:szCs w:val="21"/>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8、</w:t>
      </w:r>
      <w:r>
        <w:rPr>
          <w:rFonts w:hint="eastAsia" w:ascii="宋体" w:hAnsi="宋体" w:eastAsia="宋体" w:cs="宋体"/>
          <w:color w:val="auto"/>
          <w:sz w:val="21"/>
          <w:szCs w:val="21"/>
          <w:highlight w:val="none"/>
          <w:lang w:val="en-US" w:eastAsia="zh-CN"/>
        </w:rPr>
        <w:t>材料单价确定方式按照第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条约定解决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①乙方自行承担因市场等原因造成价格上涨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涨</w:t>
      </w:r>
      <w:r>
        <w:rPr>
          <w:rFonts w:hint="eastAsia" w:ascii="宋体" w:hAnsi="宋体" w:eastAsia="宋体" w:cs="宋体"/>
          <w:color w:val="auto"/>
          <w:sz w:val="21"/>
          <w:szCs w:val="21"/>
          <w:highlight w:val="none"/>
          <w:lang w:val="en-US" w:eastAsia="zh-CN"/>
        </w:rPr>
        <w:t>跌</w:t>
      </w:r>
      <w:r>
        <w:rPr>
          <w:rFonts w:hint="eastAsia" w:ascii="宋体" w:hAnsi="宋体" w:eastAsia="宋体" w:cs="宋体"/>
          <w:color w:val="auto"/>
          <w:sz w:val="21"/>
          <w:szCs w:val="21"/>
          <w:highlight w:val="none"/>
        </w:rPr>
        <w:t>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%）以下风险由乙方自己承担，涨幅在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%（不含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%）以上的由</w:t>
      </w:r>
      <w:r>
        <w:rPr>
          <w:rFonts w:hint="eastAsia" w:ascii="宋体" w:hAnsi="宋体" w:eastAsia="宋体" w:cs="宋体"/>
          <w:color w:val="auto"/>
          <w:sz w:val="21"/>
          <w:szCs w:val="21"/>
          <w:highlight w:val="none"/>
          <w:lang w:val="en-US" w:eastAsia="zh-CN"/>
        </w:rPr>
        <w:t>甲方承担；</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3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其它约定：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rPr>
        <w:t>价格发生重大变化，双方协商解决，</w:t>
      </w:r>
      <w:r>
        <w:rPr>
          <w:rFonts w:hint="eastAsia" w:ascii="宋体" w:hAnsi="宋体" w:eastAsia="宋体" w:cs="宋体"/>
          <w:b/>
          <w:color w:val="auto"/>
          <w:sz w:val="21"/>
          <w:szCs w:val="21"/>
          <w:highlight w:val="none"/>
          <w:u w:val="single"/>
          <w:lang w:val="en-US" w:eastAsia="zh-CN"/>
        </w:rPr>
        <w:t>协商一致，签订价格调整补充协议；</w:t>
      </w:r>
      <w:r>
        <w:rPr>
          <w:rFonts w:hint="eastAsia" w:ascii="宋体" w:hAnsi="宋体" w:eastAsia="宋体" w:cs="宋体"/>
          <w:b/>
          <w:color w:val="auto"/>
          <w:sz w:val="21"/>
          <w:szCs w:val="21"/>
          <w:highlight w:val="none"/>
          <w:u w:val="single"/>
        </w:rPr>
        <w:t xml:space="preserve">协商不成，合同自动终止 </w:t>
      </w:r>
      <w:r>
        <w:rPr>
          <w:rFonts w:hint="eastAsia" w:ascii="宋体" w:hAnsi="宋体" w:eastAsia="宋体" w:cs="宋体"/>
          <w:b/>
          <w:color w:val="auto"/>
          <w:sz w:val="21"/>
          <w:szCs w:val="21"/>
          <w:highlight w:val="none"/>
        </w:rPr>
        <w:t>。</w:t>
      </w:r>
    </w:p>
    <w:p>
      <w:pPr>
        <w:spacing w:line="500" w:lineRule="exact"/>
        <w:ind w:right="-2" w:rightChars="-1" w:firstLine="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七、其它</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b/>
          <w:bCs/>
          <w:color w:val="auto"/>
          <w:sz w:val="21"/>
          <w:szCs w:val="21"/>
          <w:highlight w:val="none"/>
        </w:rPr>
        <w:t>每批次进货前甲方需提前</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天通知乙方，如甲方因需求发生重大变化可无条件终止合同。</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rPr>
        <w:t>、乙方不得转让合同，乙方指定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为本合同发生费用的唯一结算人。</w:t>
      </w:r>
    </w:p>
    <w:p>
      <w:pPr>
        <w:spacing w:line="500" w:lineRule="exact"/>
        <w:ind w:left="1" w:right="-2" w:rightChars="-1"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、甲方按合同</w:t>
      </w:r>
      <w:r>
        <w:rPr>
          <w:rFonts w:hint="eastAsia" w:ascii="宋体" w:hAnsi="宋体" w:eastAsia="宋体" w:cs="宋体"/>
          <w:color w:val="auto"/>
          <w:sz w:val="21"/>
          <w:szCs w:val="21"/>
          <w:highlight w:val="none"/>
          <w:lang w:val="en-US" w:eastAsia="zh-Hans"/>
        </w:rPr>
        <w:t>约定</w:t>
      </w:r>
      <w:r>
        <w:rPr>
          <w:rFonts w:hint="eastAsia" w:ascii="宋体" w:hAnsi="宋体" w:eastAsia="宋体" w:cs="宋体"/>
          <w:color w:val="auto"/>
          <w:sz w:val="21"/>
          <w:szCs w:val="21"/>
          <w:highlight w:val="none"/>
        </w:rPr>
        <w:t>要求乙方上缴的款项均有权在乙方的材料款当期支付中扣除，不足部分乙方另行筹措资金补齐。</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、如果乙方不能按上述条款履约，甲方有权单方面终止合同，扣除履约保证金、扣除余下货款并有权另行选择其他供货商。</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5</w:t>
      </w:r>
      <w:r>
        <w:rPr>
          <w:rFonts w:hint="eastAsia" w:ascii="宋体" w:hAnsi="宋体" w:eastAsia="宋体" w:cs="宋体"/>
          <w:color w:val="auto"/>
          <w:sz w:val="21"/>
          <w:szCs w:val="21"/>
          <w:highlight w:val="none"/>
        </w:rPr>
        <w:t>、未尽事宜由双方协商解决，如甲、乙双方发生纠纷协商未果，按照第</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rPr>
        <w:t>条约定解决，①安庆仲裁委员会仲裁；②向甲方住所地法院诉讼。</w:t>
      </w:r>
    </w:p>
    <w:p>
      <w:pPr>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6</w:t>
      </w:r>
      <w:r>
        <w:rPr>
          <w:rFonts w:hint="eastAsia" w:ascii="宋体" w:hAnsi="宋体" w:eastAsia="宋体" w:cs="宋体"/>
          <w:color w:val="auto"/>
          <w:sz w:val="21"/>
          <w:szCs w:val="21"/>
          <w:highlight w:val="none"/>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电邮地址：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其他联系方式：</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若上述信息发生变化的，乙方必须书面通知甲方，并经甲方书面确认。</w:t>
      </w:r>
    </w:p>
    <w:p>
      <w:pPr>
        <w:pStyle w:val="83"/>
        <w:widowControl w:val="0"/>
        <w:numPr>
          <w:ilvl w:val="0"/>
          <w:numId w:val="0"/>
        </w:numPr>
        <w:spacing w:before="100" w:beforeAutospacing="1" w:after="100" w:afterAutospacing="1" w:line="440" w:lineRule="exact"/>
        <w:ind w:left="120" w:leftChars="0" w:hanging="357"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7、本合同一式    份，甲方执     份，乙方执     份，自双方签字和盖章之日起生效，双方款项付清后合同自动失效。</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甲方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盖合同专用</w:t>
            </w:r>
            <w:r>
              <w:rPr>
                <w:rFonts w:hint="eastAsia" w:ascii="宋体" w:hAnsi="宋体" w:eastAsia="宋体" w:cs="宋体"/>
                <w:b w:val="0"/>
                <w:bCs/>
                <w:color w:val="auto"/>
                <w:sz w:val="21"/>
                <w:szCs w:val="21"/>
                <w:highlight w:val="none"/>
              </w:rPr>
              <w:t>公章）</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乙方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w:t>
            </w:r>
            <w:r>
              <w:rPr>
                <w:rFonts w:hint="eastAsia" w:ascii="宋体" w:hAnsi="宋体" w:eastAsia="宋体" w:cs="宋体"/>
                <w:b w:val="0"/>
                <w:bCs/>
                <w:color w:val="auto"/>
                <w:sz w:val="21"/>
                <w:szCs w:val="21"/>
                <w:highlight w:val="none"/>
              </w:rPr>
              <w:t>公章）</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纳税人识别号：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纳税人识别号：</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开户银行：</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账号：</w:t>
            </w:r>
            <w:r>
              <w:rPr>
                <w:rFonts w:hint="eastAsia" w:ascii="宋体" w:hAnsi="宋体" w:eastAsia="宋体" w:cs="宋体"/>
                <w:b w:val="0"/>
                <w:bCs/>
                <w:color w:val="auto"/>
                <w:sz w:val="21"/>
                <w:szCs w:val="21"/>
                <w:highlight w:val="none"/>
                <w:lang w:val="en-US" w:eastAsia="zh-CN"/>
              </w:rPr>
              <w:t xml:space="preserve">    </w:t>
            </w:r>
          </w:p>
        </w:tc>
      </w:tr>
    </w:tbl>
    <w:p>
      <w:pPr>
        <w:spacing w:line="54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widowControl w:val="0"/>
        <w:spacing w:line="500" w:lineRule="exact"/>
        <w:ind w:right="105" w:rightChars="50" w:firstLine="0"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安全生产合同</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经双方协商，就车辆运输安全管理方面的问题，达成如下协议：</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乙方责任及义务：</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1、必须遵守国家安全生产方面的法律，法规和其他要求。</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2、进入施工现场的车辆证件、手续、保险和驾驶员的驾驶证、身体条件符合道路交通法的相关规定，驾驶证要与所驾驶车辆所需的驾驶证件相符。</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3、保证车辆的完好率，禁止带病行驶、超速行驶、超载行驶、超负行驶；运输车辆要安装倒车喇叭。</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4、在运输全过程中，保持安全时速。特别是转弯、路过道口、材料装卸时，要注意来往车辆及行人，确保安全无事故，做到一停二看三通过。</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5、服从工地及料场人员的管理，不乱装料，乱停车，倒车时先鸣笛确保无人后方可倒车，卸车时要服从现场人员的指挥。</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6、严禁在无人指挥的情况下自行卸车，做到文明施工，文明驾驶。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7、行车时注意安全，注意来往车辆及行人礼让三先遵章驾驶，严禁酒后、服用药物后驾驶。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8、车辆在施工现场、特殊路段、雨、雪、雾天等行驶运输中，时速不准超过现场交通实际情况限制的时速，严禁在施工现场抢道超车，出现后果，责任自负。</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9、乙方负责对本车队的员工进行班前安全教育，提供必要的劳动保护用品。</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甲方：                         乙方：</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代表人（签字）：               代表人（签字）：</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签订日期：                     签订日期：</w:t>
      </w:r>
    </w:p>
    <w:p>
      <w:pPr>
        <w:tabs>
          <w:tab w:val="left" w:pos="3640"/>
        </w:tabs>
        <w:autoSpaceDE w:val="0"/>
        <w:autoSpaceDN w:val="0"/>
        <w:spacing w:line="480" w:lineRule="auto"/>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highlight w:val="none"/>
        </w:rPr>
      </w:pPr>
      <w:r>
        <w:rPr>
          <w:rFonts w:hint="eastAsia" w:ascii="宋体" w:hAnsi="宋体" w:cs="宋体"/>
          <w:b/>
          <w:bCs/>
          <w:color w:val="000000" w:themeColor="text1"/>
          <w:szCs w:val="21"/>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9"/>
      <w:bookmarkEnd w:id="60"/>
      <w:bookmarkEnd w:id="61"/>
      <w:bookmarkEnd w:id="62"/>
      <w:bookmarkStart w:id="63" w:name="_Toc26873"/>
      <w:bookmarkStart w:id="64"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3"/>
      <w:bookmarkEnd w:id="64"/>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一、投标函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投标费率</w:t>
      </w:r>
      <w:r>
        <w:rPr>
          <w:rFonts w:hint="eastAsia" w:ascii="宋体" w:hAnsi="宋体"/>
          <w:color w:val="000000" w:themeColor="text1"/>
          <w:sz w:val="24"/>
          <w:highlight w:val="none"/>
          <w14:textFill>
            <w14:solidFill>
              <w14:schemeClr w14:val="tx1"/>
            </w14:solidFill>
          </w14:textFill>
        </w:rPr>
        <w:t>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三、货物响应表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四、相关证明文件</w:t>
      </w:r>
    </w:p>
    <w:p>
      <w:pPr>
        <w:pStyle w:val="82"/>
        <w:rPr>
          <w:rFonts w:hint="eastAsia" w:ascii="宋体" w:hAnsi="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pStyle w:val="6"/>
        <w:jc w:val="center"/>
        <w:rPr>
          <w:color w:val="000000" w:themeColor="text1"/>
          <w:szCs w:val="21"/>
          <w:highlight w:val="none"/>
          <w14:textFill>
            <w14:solidFill>
              <w14:schemeClr w14:val="tx1"/>
            </w14:solidFill>
          </w14:textFill>
        </w:rPr>
      </w:pPr>
      <w:bookmarkStart w:id="65" w:name="_Toc476584433"/>
      <w:bookmarkStart w:id="66" w:name="_Toc54941342"/>
      <w:r>
        <w:rPr>
          <w:rFonts w:hint="eastAsia" w:cs="宋体"/>
          <w:color w:val="000000" w:themeColor="text1"/>
          <w:sz w:val="28"/>
          <w:szCs w:val="28"/>
          <w:highlight w:val="none"/>
          <w14:textFill>
            <w14:solidFill>
              <w14:schemeClr w14:val="tx1"/>
            </w14:solidFill>
          </w14:textFill>
        </w:rPr>
        <w:t>一、</w:t>
      </w:r>
      <w:bookmarkEnd w:id="65"/>
      <w:bookmarkEnd w:id="66"/>
      <w:r>
        <w:rPr>
          <w:rFonts w:hint="eastAsia"/>
          <w:color w:val="000000" w:themeColor="text1"/>
          <w:highlight w:val="none"/>
          <w14:textFill>
            <w14:solidFill>
              <w14:schemeClr w14:val="tx1"/>
            </w14:solidFill>
          </w14:textFill>
        </w:rPr>
        <w:t>投标函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安庆通汇交通工程有限责任公司</w:t>
      </w:r>
    </w:p>
    <w:p>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安庆通汇交通工程有限责任公司广告标识牌制作采购项目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numPr>
          <w:ilvl w:val="0"/>
          <w:numId w:val="0"/>
        </w:numPr>
        <w:tabs>
          <w:tab w:val="left" w:pos="5580"/>
        </w:tabs>
        <w:spacing w:line="360" w:lineRule="auto"/>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 。</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3、一旦我方成交，我方将严格履行合同规定的责任和义务，保证该项目的</w:t>
      </w:r>
      <w:r>
        <w:rPr>
          <w:rFonts w:hint="eastAsia" w:ascii="宋体" w:hAnsi="宋体" w:cs="Courier New"/>
          <w:color w:val="auto"/>
          <w:kern w:val="2"/>
          <w:sz w:val="21"/>
          <w:szCs w:val="21"/>
          <w:highlight w:val="none"/>
          <w:lang w:val="en-US" w:eastAsia="zh-CN" w:bidi="ar-SA"/>
        </w:rPr>
        <w:t>供</w:t>
      </w:r>
      <w:r>
        <w:rPr>
          <w:rFonts w:hint="eastAsia" w:ascii="宋体" w:hAnsi="宋体" w:eastAsia="宋体" w:cs="Courier New"/>
          <w:color w:val="auto"/>
          <w:kern w:val="2"/>
          <w:sz w:val="21"/>
          <w:szCs w:val="21"/>
          <w:highlight w:val="none"/>
          <w:lang w:val="en-US" w:eastAsia="zh-CN" w:bidi="ar-SA"/>
        </w:rPr>
        <w:t>货</w:t>
      </w:r>
      <w:r>
        <w:rPr>
          <w:rFonts w:hint="eastAsia" w:ascii="宋体" w:hAnsi="宋体" w:cs="Courier New"/>
          <w:color w:val="auto"/>
          <w:kern w:val="2"/>
          <w:sz w:val="21"/>
          <w:szCs w:val="21"/>
          <w:highlight w:val="none"/>
          <w:lang w:val="en-US" w:eastAsia="zh-CN" w:bidi="ar-SA"/>
        </w:rPr>
        <w:t>期限</w:t>
      </w:r>
      <w:r>
        <w:rPr>
          <w:rFonts w:hint="eastAsia" w:ascii="宋体" w:hAnsi="宋体" w:eastAsia="宋体" w:cs="Courier New"/>
          <w:color w:val="auto"/>
          <w:kern w:val="2"/>
          <w:sz w:val="21"/>
          <w:szCs w:val="21"/>
          <w:highlight w:val="none"/>
          <w:lang w:val="en-US" w:eastAsia="zh-CN" w:bidi="ar-SA"/>
        </w:rPr>
        <w:t>为</w:t>
      </w:r>
      <w:r>
        <w:rPr>
          <w:rFonts w:hint="eastAsia" w:ascii="宋体" w:hAnsi="Courier New" w:eastAsia="宋体" w:cs="Courier New"/>
          <w:color w:val="auto"/>
          <w:kern w:val="2"/>
          <w:sz w:val="21"/>
          <w:szCs w:val="21"/>
          <w:highlight w:val="none"/>
          <w:u w:val="single"/>
          <w:lang w:val="en-US" w:eastAsia="zh-CN" w:bidi="ar-SA"/>
        </w:rPr>
        <w:t>接到采购方通知后三日内交货</w:t>
      </w:r>
      <w:r>
        <w:rPr>
          <w:rFonts w:hint="eastAsia" w:ascii="宋体" w:hAnsi="Courier New" w:cs="Courier New"/>
          <w:color w:val="auto"/>
          <w:kern w:val="2"/>
          <w:sz w:val="21"/>
          <w:szCs w:val="21"/>
          <w:highlight w:val="none"/>
          <w:u w:val="singl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1"/>
        <w:tabs>
          <w:tab w:val="left" w:pos="5580"/>
        </w:tabs>
        <w:spacing w:line="480" w:lineRule="auto"/>
        <w:ind w:firstLine="3570" w:firstLineChars="1700"/>
        <w:jc w:val="center"/>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67" w:name="_Toc476584438"/>
      <w:bookmarkStart w:id="68" w:name="_Toc54941350"/>
      <w:r>
        <w:rPr>
          <w:rFonts w:hint="eastAsia" w:cs="宋体"/>
          <w:color w:val="000000" w:themeColor="text1"/>
          <w:highlight w:val="none"/>
          <w14:textFill>
            <w14:solidFill>
              <w14:schemeClr w14:val="tx1"/>
            </w14:solidFill>
          </w14:textFill>
        </w:rPr>
        <w:br w:type="page"/>
      </w:r>
    </w:p>
    <w:p>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cs="宋体"/>
          <w:b/>
          <w:color w:val="auto"/>
          <w:kern w:val="2"/>
          <w:sz w:val="21"/>
          <w:highlight w:val="none"/>
          <w:shd w:val="clear" w:color="auto" w:fill="FFFFFF"/>
          <w:lang w:val="en-US" w:eastAsia="zh-CN" w:bidi="ar-SA"/>
        </w:rPr>
        <w:t>投标费率</w:t>
      </w:r>
      <w:r>
        <w:rPr>
          <w:rFonts w:hint="eastAsia" w:ascii="宋体" w:hAnsi="宋体" w:eastAsia="宋体" w:cs="Times New Roman"/>
          <w:b/>
          <w:color w:val="auto"/>
          <w:kern w:val="2"/>
          <w:sz w:val="21"/>
          <w:highlight w:val="none"/>
          <w:shd w:val="clear" w:color="auto" w:fill="FFFFFF"/>
          <w:lang w:val="en-US" w:eastAsia="zh-CN" w:bidi="ar-SA"/>
        </w:rPr>
        <w:t>表</w:t>
      </w:r>
    </w:p>
    <w:p>
      <w:pPr>
        <w:spacing w:line="360" w:lineRule="auto"/>
        <w:ind w:firstLine="420" w:firstLineChars="200"/>
        <w:rPr>
          <w:rFonts w:ascii="仿宋" w:hAnsi="仿宋" w:eastAsia="仿宋" w:cs="Times New Roman"/>
          <w:color w:val="auto"/>
          <w:szCs w:val="21"/>
          <w:highlight w:val="none"/>
        </w:rPr>
      </w:pPr>
    </w:p>
    <w:p>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restart"/>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4240" w:type="pct"/>
            <w:vAlign w:val="center"/>
          </w:tcPr>
          <w:p>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4240" w:type="pct"/>
            <w:vAlign w:val="center"/>
          </w:tcPr>
          <w:p>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000" w:type="pct"/>
            <w:gridSpan w:val="2"/>
            <w:vAlign w:val="center"/>
          </w:tcPr>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p>
    <w:p>
      <w:pPr>
        <w:pStyle w:val="2"/>
        <w:rPr>
          <w:rFonts w:hint="eastAsia" w:cs="宋体"/>
          <w:color w:val="000000" w:themeColor="text1"/>
          <w:highlight w:val="none"/>
          <w14:textFill>
            <w14:solidFill>
              <w14:schemeClr w14:val="tx1"/>
            </w14:solidFill>
          </w14:textFill>
        </w:rPr>
      </w:pPr>
    </w:p>
    <w:p>
      <w:pPr>
        <w:pStyle w:val="2"/>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ascii="Times New Roman" w:hAnsi="Times New Roman" w:eastAsia="宋体" w:cs="Times New Roman"/>
          <w:highlight w:val="none"/>
        </w:rPr>
      </w:pPr>
    </w:p>
    <w:p>
      <w:pPr>
        <w:pStyle w:val="81"/>
        <w:rPr>
          <w:rFonts w:hint="eastAsia"/>
          <w:highlight w:val="none"/>
        </w:rPr>
      </w:pPr>
    </w:p>
    <w:p>
      <w:pPr>
        <w:spacing w:line="360" w:lineRule="auto"/>
        <w:jc w:val="center"/>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三、货物</w:t>
      </w:r>
      <w:r>
        <w:rPr>
          <w:rFonts w:hint="eastAsia" w:ascii="宋体" w:hAnsi="宋体" w:eastAsia="宋体" w:cs="宋体"/>
          <w:b/>
          <w:bCs/>
          <w:color w:val="auto"/>
          <w:sz w:val="21"/>
          <w:szCs w:val="21"/>
          <w:highlight w:val="none"/>
          <w:lang w:eastAsia="zh-CN"/>
        </w:rPr>
        <w:t>响应表</w:t>
      </w:r>
    </w:p>
    <w:p>
      <w:pPr>
        <w:spacing w:line="360" w:lineRule="auto"/>
        <w:rPr>
          <w:rFonts w:ascii="宋体" w:hAnsi="宋体" w:eastAsia="宋体" w:cs="宋体"/>
          <w:b/>
          <w:color w:val="000000"/>
          <w:szCs w:val="21"/>
          <w:highlight w:val="none"/>
        </w:rPr>
      </w:pPr>
      <w:r>
        <w:rPr>
          <w:rFonts w:hint="eastAsia" w:ascii="宋体" w:hAnsi="宋体" w:eastAsia="宋体" w:cs="宋体"/>
          <w:color w:val="000000"/>
          <w:szCs w:val="21"/>
          <w:highlight w:val="none"/>
        </w:rPr>
        <w:t>项目名称：</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554"/>
        <w:gridCol w:w="1861"/>
        <w:gridCol w:w="1856"/>
        <w:gridCol w:w="179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104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生产厂家</w:t>
            </w: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响应技术参数</w:t>
            </w: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响应情况</w:t>
            </w: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040" w:type="pct"/>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040" w:type="pct"/>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040" w:type="pct"/>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040" w:type="pct"/>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040" w:type="pct"/>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86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040" w:type="pct"/>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3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100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c>
          <w:tcPr>
            <w:tcW w:w="67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highlight w:val="none"/>
              </w:rPr>
            </w:pPr>
          </w:p>
        </w:tc>
      </w:tr>
    </w:tbl>
    <w:p>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1、供应商必须将自己所投货物真实、准确地填入以上表格中。</w:t>
      </w:r>
    </w:p>
    <w:p>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2、供应商必须根据自己所投货物与“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w:t>
      </w:r>
      <w:r>
        <w:rPr>
          <w:rFonts w:hint="eastAsia" w:ascii="宋体" w:hAnsi="宋体" w:eastAsia="宋体" w:cs="宋体"/>
          <w:b/>
          <w:bCs/>
          <w:szCs w:val="21"/>
          <w:highlight w:val="none"/>
        </w:rPr>
        <w:t>优于、满足、不满足</w:t>
      </w:r>
      <w:r>
        <w:rPr>
          <w:rFonts w:hint="eastAsia" w:ascii="宋体" w:hAnsi="宋体" w:eastAsia="宋体" w:cs="宋体"/>
          <w:szCs w:val="21"/>
          <w:highlight w:val="none"/>
        </w:rPr>
        <w:t>） 。</w:t>
      </w:r>
    </w:p>
    <w:p>
      <w:pPr>
        <w:spacing w:line="360" w:lineRule="auto"/>
        <w:ind w:firstLine="3570" w:firstLineChars="1700"/>
        <w:rPr>
          <w:rFonts w:ascii="宋体" w:hAnsi="Times New Roman" w:eastAsia="宋体" w:cs="宋体"/>
          <w:color w:val="auto"/>
          <w:szCs w:val="21"/>
          <w:highlight w:val="none"/>
        </w:rPr>
      </w:pPr>
    </w:p>
    <w:p>
      <w:pPr>
        <w:spacing w:line="360" w:lineRule="auto"/>
        <w:ind w:firstLine="3561" w:firstLineChars="1696"/>
        <w:jc w:val="right"/>
        <w:rPr>
          <w:rFonts w:ascii="宋体" w:hAnsi="Times New Roman" w:eastAsia="宋体" w:cs="宋体"/>
          <w:color w:val="auto"/>
          <w:szCs w:val="21"/>
          <w:highlight w:val="none"/>
        </w:rPr>
      </w:pPr>
      <w:r>
        <w:rPr>
          <w:rFonts w:hint="eastAsia" w:ascii="宋体" w:hAnsi="宋体" w:eastAsia="宋体" w:cs="宋体"/>
          <w:color w:val="auto"/>
          <w:szCs w:val="21"/>
          <w:highlight w:val="none"/>
        </w:rPr>
        <w:t>供应商：</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ind w:firstLine="3561" w:firstLineChars="1696"/>
        <w:jc w:val="right"/>
        <w:rPr>
          <w:rFonts w:ascii="宋体" w:hAnsi="Times New Roman" w:eastAsia="宋体" w:cs="宋体"/>
          <w:color w:val="auto"/>
          <w:szCs w:val="21"/>
          <w:highlight w:val="none"/>
        </w:rPr>
      </w:pPr>
    </w:p>
    <w:p>
      <w:pPr>
        <w:spacing w:line="360" w:lineRule="auto"/>
        <w:ind w:firstLine="3570" w:firstLineChars="1700"/>
        <w:jc w:val="right"/>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ind w:firstLine="3570" w:firstLineChars="1700"/>
        <w:jc w:val="right"/>
        <w:rPr>
          <w:rFonts w:ascii="宋体" w:hAnsi="Times New Roman" w:eastAsia="宋体" w:cs="宋体"/>
          <w:color w:val="auto"/>
          <w:szCs w:val="21"/>
          <w:highlight w:val="none"/>
        </w:rPr>
      </w:pPr>
    </w:p>
    <w:p>
      <w:pPr>
        <w:spacing w:line="360" w:lineRule="auto"/>
        <w:ind w:firstLine="3570" w:firstLineChars="17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2"/>
        <w:rPr>
          <w:highlight w:val="none"/>
        </w:rPr>
      </w:pPr>
    </w:p>
    <w:p>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bookmarkEnd w:id="67"/>
    <w:bookmarkEnd w:id="68"/>
    <w:p>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四、相关证明文件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安庆通汇交通工程有限责任公司广告标识牌制作采购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安庆通汇交通工程有限责任公司广告标识牌制作采购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1"/>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527EDF"/>
    <w:rsid w:val="01535EB9"/>
    <w:rsid w:val="0191681C"/>
    <w:rsid w:val="019E06E3"/>
    <w:rsid w:val="01BD548E"/>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BE65359"/>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0C90438"/>
    <w:rsid w:val="11316F3E"/>
    <w:rsid w:val="114D7560"/>
    <w:rsid w:val="1161187F"/>
    <w:rsid w:val="11717F0E"/>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61244B"/>
    <w:rsid w:val="1B8A679C"/>
    <w:rsid w:val="1B9708D8"/>
    <w:rsid w:val="1BA93D87"/>
    <w:rsid w:val="1BBB0703"/>
    <w:rsid w:val="1BC3580A"/>
    <w:rsid w:val="1BC80A07"/>
    <w:rsid w:val="1BEF4851"/>
    <w:rsid w:val="1C1B6D10"/>
    <w:rsid w:val="1C6325C6"/>
    <w:rsid w:val="1CC41839"/>
    <w:rsid w:val="1CED005C"/>
    <w:rsid w:val="1D3A5FA0"/>
    <w:rsid w:val="1D6F5C49"/>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4A62EC"/>
    <w:rsid w:val="255B6AB3"/>
    <w:rsid w:val="25B53949"/>
    <w:rsid w:val="2609783F"/>
    <w:rsid w:val="26103D41"/>
    <w:rsid w:val="2623548B"/>
    <w:rsid w:val="262461E3"/>
    <w:rsid w:val="26513FE9"/>
    <w:rsid w:val="267A330E"/>
    <w:rsid w:val="269D7ECD"/>
    <w:rsid w:val="26CB1A16"/>
    <w:rsid w:val="26CF7759"/>
    <w:rsid w:val="26FA0C40"/>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C649F5"/>
    <w:rsid w:val="2CF33FC6"/>
    <w:rsid w:val="2CFD4778"/>
    <w:rsid w:val="2D0B6185"/>
    <w:rsid w:val="2D216834"/>
    <w:rsid w:val="2D4F1E09"/>
    <w:rsid w:val="2D6D14C1"/>
    <w:rsid w:val="2D7D4451"/>
    <w:rsid w:val="2DC42A84"/>
    <w:rsid w:val="2DE60E0D"/>
    <w:rsid w:val="2DF751F3"/>
    <w:rsid w:val="2E891740"/>
    <w:rsid w:val="2EA953B6"/>
    <w:rsid w:val="2EB07040"/>
    <w:rsid w:val="2ED75A9F"/>
    <w:rsid w:val="2EFC4E63"/>
    <w:rsid w:val="2F4D56BE"/>
    <w:rsid w:val="2F5842D0"/>
    <w:rsid w:val="2F7F5907"/>
    <w:rsid w:val="2FA13062"/>
    <w:rsid w:val="30055F99"/>
    <w:rsid w:val="303D02A2"/>
    <w:rsid w:val="30820724"/>
    <w:rsid w:val="30882C93"/>
    <w:rsid w:val="30984E99"/>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4193CA8"/>
    <w:rsid w:val="34196205"/>
    <w:rsid w:val="34425A0E"/>
    <w:rsid w:val="344F2ED9"/>
    <w:rsid w:val="34733E19"/>
    <w:rsid w:val="34A93377"/>
    <w:rsid w:val="34FC56F2"/>
    <w:rsid w:val="35026F4B"/>
    <w:rsid w:val="35102324"/>
    <w:rsid w:val="352345F5"/>
    <w:rsid w:val="355C665B"/>
    <w:rsid w:val="356E638F"/>
    <w:rsid w:val="358C2142"/>
    <w:rsid w:val="35A65B28"/>
    <w:rsid w:val="35BD418B"/>
    <w:rsid w:val="35D2375F"/>
    <w:rsid w:val="35E52AF5"/>
    <w:rsid w:val="35F8221C"/>
    <w:rsid w:val="3600792F"/>
    <w:rsid w:val="36056D16"/>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6246C"/>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A0977B8"/>
    <w:rsid w:val="4A1D0657"/>
    <w:rsid w:val="4A317C5F"/>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635240"/>
    <w:rsid w:val="551D56FC"/>
    <w:rsid w:val="554671C6"/>
    <w:rsid w:val="556D1D67"/>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015C98"/>
    <w:rsid w:val="581F559B"/>
    <w:rsid w:val="58236478"/>
    <w:rsid w:val="58482882"/>
    <w:rsid w:val="588E54CA"/>
    <w:rsid w:val="58922210"/>
    <w:rsid w:val="58A9755A"/>
    <w:rsid w:val="58AE5938"/>
    <w:rsid w:val="58ED3545"/>
    <w:rsid w:val="590C3FF5"/>
    <w:rsid w:val="59407F54"/>
    <w:rsid w:val="597E1677"/>
    <w:rsid w:val="59823E17"/>
    <w:rsid w:val="59851D75"/>
    <w:rsid w:val="59937919"/>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138EB"/>
    <w:rsid w:val="5D9D79EF"/>
    <w:rsid w:val="5DA707E9"/>
    <w:rsid w:val="5DB70229"/>
    <w:rsid w:val="5DD13A35"/>
    <w:rsid w:val="5DE11544"/>
    <w:rsid w:val="5DEE3CCB"/>
    <w:rsid w:val="5DF21B98"/>
    <w:rsid w:val="5E1216FE"/>
    <w:rsid w:val="5E575A76"/>
    <w:rsid w:val="5E60690D"/>
    <w:rsid w:val="5E68756F"/>
    <w:rsid w:val="5E7F77FB"/>
    <w:rsid w:val="5EB804F7"/>
    <w:rsid w:val="5F2B6984"/>
    <w:rsid w:val="5F6150CD"/>
    <w:rsid w:val="5F6D7533"/>
    <w:rsid w:val="5F8C440B"/>
    <w:rsid w:val="5F987E63"/>
    <w:rsid w:val="5FCB28E4"/>
    <w:rsid w:val="5FCF7853"/>
    <w:rsid w:val="5FD52766"/>
    <w:rsid w:val="5FE5531C"/>
    <w:rsid w:val="60384AA2"/>
    <w:rsid w:val="60BA6EBD"/>
    <w:rsid w:val="610417D1"/>
    <w:rsid w:val="614F7E1C"/>
    <w:rsid w:val="61706E67"/>
    <w:rsid w:val="617B022B"/>
    <w:rsid w:val="619553BC"/>
    <w:rsid w:val="61B42238"/>
    <w:rsid w:val="62233ED9"/>
    <w:rsid w:val="62247EF5"/>
    <w:rsid w:val="62CF4061"/>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453492"/>
    <w:rsid w:val="67E71B6D"/>
    <w:rsid w:val="67FF20E2"/>
    <w:rsid w:val="68306BC4"/>
    <w:rsid w:val="688073EB"/>
    <w:rsid w:val="68842FD3"/>
    <w:rsid w:val="689C2C37"/>
    <w:rsid w:val="68A2014F"/>
    <w:rsid w:val="68B224CB"/>
    <w:rsid w:val="68BF6DF6"/>
    <w:rsid w:val="68C43E52"/>
    <w:rsid w:val="68F55EA4"/>
    <w:rsid w:val="690B1A91"/>
    <w:rsid w:val="69201173"/>
    <w:rsid w:val="692B215E"/>
    <w:rsid w:val="698C3515"/>
    <w:rsid w:val="698E432E"/>
    <w:rsid w:val="69D41F5D"/>
    <w:rsid w:val="6A9040D6"/>
    <w:rsid w:val="6AA12E45"/>
    <w:rsid w:val="6AC50223"/>
    <w:rsid w:val="6AD26CD2"/>
    <w:rsid w:val="6B016D82"/>
    <w:rsid w:val="6B2D6EEB"/>
    <w:rsid w:val="6B5F5D4D"/>
    <w:rsid w:val="6B685053"/>
    <w:rsid w:val="6BAF4A30"/>
    <w:rsid w:val="6BB93969"/>
    <w:rsid w:val="6BC06C3D"/>
    <w:rsid w:val="6C0D4AD4"/>
    <w:rsid w:val="6C3D5F2F"/>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CE4767"/>
    <w:rsid w:val="72D20B62"/>
    <w:rsid w:val="731E506B"/>
    <w:rsid w:val="73372E32"/>
    <w:rsid w:val="73400CFB"/>
    <w:rsid w:val="734A2124"/>
    <w:rsid w:val="73A017A5"/>
    <w:rsid w:val="73CE48E4"/>
    <w:rsid w:val="73E55A30"/>
    <w:rsid w:val="73E86D31"/>
    <w:rsid w:val="745771EB"/>
    <w:rsid w:val="74675EA7"/>
    <w:rsid w:val="7474601E"/>
    <w:rsid w:val="747D01F0"/>
    <w:rsid w:val="74866243"/>
    <w:rsid w:val="74934EEE"/>
    <w:rsid w:val="74A34E73"/>
    <w:rsid w:val="74B97E59"/>
    <w:rsid w:val="74C40EAA"/>
    <w:rsid w:val="755778E6"/>
    <w:rsid w:val="75A153E9"/>
    <w:rsid w:val="75A44ED9"/>
    <w:rsid w:val="75C16B30"/>
    <w:rsid w:val="75DC08C0"/>
    <w:rsid w:val="75F565F2"/>
    <w:rsid w:val="75FA6B3E"/>
    <w:rsid w:val="764F12E9"/>
    <w:rsid w:val="76530DD9"/>
    <w:rsid w:val="7672338B"/>
    <w:rsid w:val="767D7F65"/>
    <w:rsid w:val="76856640"/>
    <w:rsid w:val="76A809F9"/>
    <w:rsid w:val="76C31579"/>
    <w:rsid w:val="774150D6"/>
    <w:rsid w:val="77494B12"/>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816847"/>
    <w:rsid w:val="7CB579CC"/>
    <w:rsid w:val="7D1868D9"/>
    <w:rsid w:val="7D24527D"/>
    <w:rsid w:val="7D27773C"/>
    <w:rsid w:val="7D3356C7"/>
    <w:rsid w:val="7D422172"/>
    <w:rsid w:val="7D4713B5"/>
    <w:rsid w:val="7D5976B6"/>
    <w:rsid w:val="7DA07E94"/>
    <w:rsid w:val="7DA16F04"/>
    <w:rsid w:val="7DB36601"/>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10036</Words>
  <Characters>10763</Characters>
  <Lines>69</Lines>
  <Paragraphs>19</Paragraphs>
  <TotalTime>23</TotalTime>
  <ScaleCrop>false</ScaleCrop>
  <LinksUpToDate>false</LinksUpToDate>
  <CharactersWithSpaces>12196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2024-04-09T02:01:00Z</cp:lastPrinted>
  <dcterms:modified xsi:type="dcterms:W3CDTF">2024-06-03T02:52:33Z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D2898780E2B544A0B1D232EB67DD02D3_13</vt:lpwstr>
  </property>
</Properties>
</file>