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/>
          <w:color w:val="000000" w:themeColor="text1"/>
          <w:kern w:val="2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  <w:bookmarkStart w:id="4" w:name="_GoBack"/>
      <w:bookmarkEnd w:id="4"/>
      <w:r>
        <w:rPr>
          <w:rFonts w:hint="eastAsia" w:ascii="Arial" w:hAnsi="Arial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采购需求</w:t>
      </w:r>
      <w:r>
        <w:rPr>
          <w:rFonts w:hint="eastAsia" w:ascii="Arial" w:hAnsi="Arial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Arial" w:hAnsi="Arial"/>
          <w:color w:val="000000" w:themeColor="text1"/>
          <w:kern w:val="2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技术要求</w:t>
      </w:r>
    </w:p>
    <w:p>
      <w:pP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/>
        <w:keepLines/>
        <w:shd w:val="clear" w:color="auto" w:fill="FFFFFF"/>
        <w:wordWrap w:val="0"/>
        <w:autoSpaceDE w:val="0"/>
        <w:autoSpaceDN w:val="0"/>
        <w:adjustRightInd w:val="0"/>
        <w:spacing w:line="440" w:lineRule="exact"/>
        <w:jc w:val="left"/>
        <w:outlineLvl w:val="2"/>
        <w:rPr>
          <w:rFonts w:ascii="宋体" w:hAnsi="宋体" w:eastAsia="宋体" w:cs="宋体"/>
          <w:b/>
          <w:color w:val="000000" w:themeColor="text1"/>
          <w:kern w:val="0"/>
          <w:sz w:val="24"/>
          <w:szCs w:val="2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一、货物需求一览表</w:t>
      </w:r>
    </w:p>
    <w:tbl>
      <w:tblPr>
        <w:tblStyle w:val="3"/>
        <w:tblpPr w:leftFromText="180" w:rightFromText="180" w:vertAnchor="text" w:horzAnchor="page" w:tblpXSpec="center" w:tblpY="309"/>
        <w:tblOverlap w:val="never"/>
        <w:tblW w:w="475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584"/>
        <w:gridCol w:w="1086"/>
        <w:gridCol w:w="1086"/>
        <w:gridCol w:w="1623"/>
        <w:gridCol w:w="1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Toc4579"/>
            <w:bookmarkStart w:id="1" w:name="_Toc8852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暂定数量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单价（元/t）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外加剂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1296000</w:t>
            </w:r>
          </w:p>
        </w:tc>
      </w:tr>
      <w:bookmarkEnd w:id="0"/>
      <w:bookmarkEnd w:id="1"/>
    </w:tbl>
    <w:p>
      <w:pPr>
        <w:pStyle w:val="2"/>
        <w:numPr>
          <w:ilvl w:val="0"/>
          <w:numId w:val="1"/>
        </w:numPr>
        <w:tabs>
          <w:tab w:val="left" w:pos="567"/>
        </w:tabs>
        <w:spacing w:line="360" w:lineRule="auto"/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0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0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技术标准及供货要求：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51"/>
        <w:gridCol w:w="951"/>
        <w:gridCol w:w="1253"/>
        <w:gridCol w:w="951"/>
        <w:gridCol w:w="1251"/>
        <w:gridCol w:w="1260"/>
        <w:gridCol w:w="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标的名称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混凝土规格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混凝土方量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胶凝物数量（千克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方）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掺量（%）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外加剂量（吨）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外加剂</w:t>
            </w:r>
          </w:p>
        </w:tc>
        <w:tc>
          <w:tcPr>
            <w:tcW w:w="5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C15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2327.33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0.8%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5.46 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具体结算数量以现场实际发生为准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C20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1200.00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0.8%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2.97 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C25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18994.76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1.0%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66.29 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C30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20830.36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1.0%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78.32 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C30水下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26324.00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1.0%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103.45 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C35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11108.39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1.0%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46.43 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C40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14052.22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1.2%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75.71 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C50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27395.37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1.2%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157.47 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536.10 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after="240" w:line="240" w:lineRule="auto"/>
        <w:ind w:firstLine="480"/>
        <w:jc w:val="left"/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1、产品具有明显的减水分散效果，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外加剂参量符合项目要求，详见上表，</w:t>
      </w:r>
      <w:r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外加剂减水率在25%以上；</w:t>
      </w:r>
    </w:p>
    <w:p>
      <w:pPr>
        <w:widowControl/>
        <w:spacing w:after="240" w:line="240" w:lineRule="auto"/>
        <w:ind w:firstLine="480"/>
        <w:jc w:val="left"/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2、强度：增强效果要明显，混凝土7d抗压强度要提高50%～100%，28d抗压强度要提高40%～80%；</w:t>
      </w:r>
    </w:p>
    <w:p>
      <w:pPr>
        <w:widowControl/>
        <w:spacing w:after="240" w:line="240" w:lineRule="auto"/>
        <w:ind w:firstLine="480"/>
        <w:jc w:val="left"/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3、早期缓凝：常温下砼凝结时间可延长2～3小时，可根据工程需要、气候原因进行调整；</w:t>
      </w:r>
    </w:p>
    <w:p>
      <w:pPr>
        <w:widowControl/>
        <w:spacing w:after="240" w:line="240" w:lineRule="auto"/>
        <w:ind w:firstLine="480"/>
        <w:jc w:val="left"/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4、延缓温峰：掺用产品可使砼的内部温升有一定降低，并延缓温峰的出现，提高大体积砼的抗裂性能；</w:t>
      </w:r>
    </w:p>
    <w:p>
      <w:pPr>
        <w:widowControl/>
        <w:spacing w:after="240" w:line="240" w:lineRule="auto"/>
        <w:ind w:firstLine="480"/>
        <w:jc w:val="left"/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5、保坍性能良好；良好的坍落度和扩展性能，2h坍损≤10%；</w:t>
      </w:r>
    </w:p>
    <w:p>
      <w:pPr>
        <w:widowControl/>
        <w:spacing w:after="240" w:line="240" w:lineRule="auto"/>
        <w:ind w:firstLine="480"/>
        <w:jc w:val="left"/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6、工作度和易性要大幅改善混凝土的流动性、可泵性；混凝土表面无泌水线，外观质量良好；</w:t>
      </w:r>
    </w:p>
    <w:p>
      <w:pPr>
        <w:widowControl/>
        <w:spacing w:after="240" w:line="240" w:lineRule="auto"/>
        <w:ind w:firstLine="480"/>
        <w:jc w:val="left"/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7、其它砼性能的提高：掺加外加剂后，混凝土的抗冻融、抗渗、自防水、徐变、弹性模量、抗压、抗剪等物理性能均能显著提高，同时使混凝土在工作性、匀质性、稳定性、耐久性、可变性等方面明显改善，混凝土中无有害气泡，使混凝土外观平整美观；</w:t>
      </w:r>
    </w:p>
    <w:p>
      <w:pPr>
        <w:widowControl/>
        <w:spacing w:after="240" w:line="240" w:lineRule="auto"/>
        <w:ind w:firstLine="480"/>
        <w:jc w:val="left"/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8、适应性：产品适应性强，适用于土建工程各类掺合材料；适用于各种规格、型号的水泥；</w:t>
      </w:r>
    </w:p>
    <w:p>
      <w:pPr>
        <w:widowControl/>
        <w:spacing w:after="240" w:line="240" w:lineRule="auto"/>
        <w:ind w:firstLine="480"/>
        <w:jc w:val="left"/>
        <w:rPr>
          <w:rFonts w:hint="eastAsia" w:ascii="宋体" w:hAnsi="宋体" w:eastAsia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9、产品对钢筋无锈蚀危害作用</w:t>
      </w:r>
    </w:p>
    <w:p>
      <w:pPr>
        <w:widowControl/>
        <w:spacing w:after="240" w:line="240" w:lineRule="auto"/>
        <w:ind w:firstLine="480"/>
        <w:jc w:val="left"/>
        <w:rPr>
          <w:rFonts w:hint="eastAsia" w:ascii="宋体" w:hAnsi="宋体" w:eastAsia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、参选人中标后，需进行试配，并试验室配合比试验合格的掺量不得高于上表配合比掺量，今后实际施工中配合比掺量一致，保持质量稳定，如因送货过程中外加剂质量变化，导致掺量增加，增加部分则由供方承担。</w:t>
      </w:r>
    </w:p>
    <w:p>
      <w:pPr>
        <w:widowControl/>
        <w:spacing w:after="240" w:line="240" w:lineRule="auto"/>
        <w:ind w:firstLine="480"/>
        <w:jc w:val="left"/>
        <w:rPr>
          <w:rFonts w:hint="default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11、随机的必备的存放工具：卖方免费提供可以盛放外加剂的相应容器（提供10吨以上容器二套）。</w:t>
      </w:r>
    </w:p>
    <w:p>
      <w:pPr>
        <w:widowControl/>
        <w:spacing w:after="240" w:line="240" w:lineRule="auto"/>
        <w:ind w:firstLine="480"/>
        <w:jc w:val="left"/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12、满足业主、监理、项目部的质量要求。</w:t>
      </w:r>
    </w:p>
    <w:p>
      <w:pPr>
        <w:widowControl/>
        <w:spacing w:after="240" w:line="240" w:lineRule="auto"/>
        <w:ind w:firstLine="480"/>
        <w:jc w:val="left"/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13、报价包含但不限于到场所需的一切费用，包括：产品的加工、材料费用；产品的装车、运输、运输过程中的安全等费用、税金（增值税13%）。单价为固定单价，在合同有效期内不做调整。 </w:t>
      </w:r>
    </w:p>
    <w:p>
      <w:pPr>
        <w:widowControl/>
        <w:spacing w:after="240" w:line="240" w:lineRule="auto"/>
        <w:ind w:firstLine="480"/>
        <w:jc w:val="left"/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14、产品价格变动风险承担：参选人承担。</w:t>
      </w:r>
    </w:p>
    <w:p>
      <w:pPr>
        <w:widowControl/>
        <w:spacing w:after="240" w:line="240" w:lineRule="auto"/>
        <w:ind w:firstLine="480"/>
        <w:jc w:val="left"/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15、采购清单数量为估算数量，以实际订货数量为准。</w:t>
      </w:r>
    </w:p>
    <w:p>
      <w:pPr>
        <w:widowControl/>
        <w:spacing w:after="240" w:line="240" w:lineRule="auto"/>
        <w:ind w:firstLine="480"/>
        <w:jc w:val="left"/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16、其它要求：参选人中标后应根据采购人要求提供所需的检测报告及合格证明。</w:t>
      </w:r>
    </w:p>
    <w:p>
      <w:pPr>
        <w:pStyle w:val="2"/>
        <w:tabs>
          <w:tab w:val="left" w:pos="567"/>
        </w:tabs>
        <w:spacing w:line="360" w:lineRule="auto"/>
        <w:jc w:val="lef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0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三、到货地点：</w:t>
      </w: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安庆市怀宁县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</w:t>
      </w:r>
    </w:p>
    <w:p>
      <w:pPr>
        <w:pStyle w:val="2"/>
        <w:tabs>
          <w:tab w:val="left" w:pos="567"/>
        </w:tabs>
        <w:spacing w:line="360" w:lineRule="auto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0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2" w:name="_Toc23093"/>
      <w:bookmarkStart w:id="3" w:name="_Toc466"/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0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四、验收</w:t>
      </w:r>
      <w:bookmarkEnd w:id="2"/>
      <w:bookmarkEnd w:id="3"/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0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after="240" w:line="360" w:lineRule="auto"/>
        <w:ind w:firstLine="480"/>
        <w:jc w:val="left"/>
        <w:rPr>
          <w:rFonts w:hint="eastAsia" w:ascii="宋体" w:hAnsi="宋体" w:eastAsia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交货验收：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中标人按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规定的质量、数量要求供货，货到现场后由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项目材料员、质检员共同进行验收；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随机取样抽检，如检验不合格，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一律拒绝验收，中标人必须无条件拉走并承担合同约定的违约责任；验收合格后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开具收料单，作为结算依据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after="240" w:line="360" w:lineRule="auto"/>
        <w:ind w:firstLine="420" w:firstLineChars="200"/>
        <w:jc w:val="left"/>
        <w:rPr>
          <w:rFonts w:hint="default" w:eastAsia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质量验收：货到现场后，买方试验人员按照规定的材料批次和频率进行抽检并留样，若买方试验室抽检材料不符合要求，买方电话通知卖方，卖方自接到通知后24小时内自费清除不合格材料出场；买方的验证并不能免除卖方对所供应原材料在质量方面的责任，当因材料质量原因造成买方工程停工或返工时，卖方应负全部责任并承担相应的费用损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B1D9F"/>
    <w:multiLevelType w:val="singleLevel"/>
    <w:tmpl w:val="A65B1D9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ZGU5YzFmMjAyNTFlYzY2YTkwYmU3ZGU5YzU4YjEifQ=="/>
  </w:docVars>
  <w:rsids>
    <w:rsidRoot w:val="68EB3A28"/>
    <w:rsid w:val="33A3035A"/>
    <w:rsid w:val="68EB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hAnsi="Arial" w:eastAsia="楷体_GB2312"/>
      <w:sz w:val="20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1191</Words>
  <Characters>1378</Characters>
  <Lines>0</Lines>
  <Paragraphs>0</Paragraphs>
  <TotalTime>0</TotalTime>
  <ScaleCrop>false</ScaleCrop>
  <LinksUpToDate>false</LinksUpToDate>
  <CharactersWithSpaces>1545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2024-05-30T01:20:00Z</dcterms:created>
  <dc:creator>媛媛__</dc:creator>
  <cp:lastModifiedBy>为我撩人°</cp:lastModifiedBy>
  <dcterms:modified xsi:type="dcterms:W3CDTF">2024-05-30T02:18:10Z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5C04B94AB03D4318BBEB45F59AD5A5AA_13</vt:lpwstr>
  </property>
</Properties>
</file>