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color w:val="000000" w:themeColor="text1"/>
          <w:sz w:val="44"/>
          <w:szCs w:val="44"/>
          <w14:textFill>
            <w14:solidFill>
              <w14:schemeClr w14:val="tx1"/>
            </w14:solidFill>
          </w14:textFill>
        </w:rPr>
      </w:pPr>
    </w:p>
    <w:p>
      <w:pPr>
        <w:pStyle w:val="82"/>
        <w:spacing w:before="120"/>
        <w:ind w:left="0" w:leftChars="0" w:firstLine="0" w:firstLineChars="0"/>
        <w:jc w:val="center"/>
        <w:rPr>
          <w:rFonts w:hint="default" w:ascii="仿宋_GB2312" w:hAnsi="宋体" w:eastAsia="仿宋_GB2312"/>
          <w:b/>
          <w:color w:val="000000" w:themeColor="text1"/>
          <w:sz w:val="48"/>
          <w:szCs w:val="48"/>
          <w:highlight w:val="none"/>
          <w:lang w:val="en-US"/>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安庆通汇交通工程有限责任公司波形梁钢护栏配件采购</w:t>
      </w:r>
    </w:p>
    <w:p>
      <w:pPr>
        <w:pStyle w:val="82"/>
        <w:ind w:left="0" w:leftChars="0" w:firstLine="0" w:firstLineChars="0"/>
      </w:pPr>
    </w:p>
    <w:p>
      <w:pPr>
        <w:pStyle w:val="82"/>
        <w:ind w:left="0" w:leftChars="0" w:firstLine="0" w:firstLineChars="0"/>
      </w:pPr>
    </w:p>
    <w:p>
      <w:pPr>
        <w:spacing w:line="480" w:lineRule="exact"/>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比 选 文 件</w:t>
      </w:r>
    </w:p>
    <w:p>
      <w:pPr>
        <w:pStyle w:val="82"/>
        <w:spacing w:before="120"/>
        <w:ind w:firstLine="350"/>
        <w:rPr>
          <w:color w:val="000000" w:themeColor="text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pStyle w:val="82"/>
        <w:ind w:left="0" w:leftChars="0" w:firstLine="0" w:firstLineChars="0"/>
      </w:pPr>
    </w:p>
    <w:p>
      <w:pPr>
        <w:spacing w:line="480" w:lineRule="exact"/>
        <w:jc w:val="center"/>
        <w:rPr>
          <w:rFonts w:hint="eastAsia" w:ascii="宋体" w:hAnsi="宋体" w:eastAsia="宋体" w:cs="仿宋_GB2312"/>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项目编号：</w:t>
      </w:r>
      <w:r>
        <w:rPr>
          <w:rFonts w:hint="eastAsia" w:ascii="宋体" w:hAnsi="宋体" w:cs="宋体"/>
          <w:b/>
          <w:bCs/>
          <w:color w:val="000000" w:themeColor="text1"/>
          <w:sz w:val="28"/>
          <w:szCs w:val="28"/>
          <w:lang w:eastAsia="zh-CN"/>
          <w14:textFill>
            <w14:solidFill>
              <w14:schemeClr w14:val="tx1"/>
            </w14:solidFill>
          </w14:textFill>
        </w:rPr>
        <w:t>AQJK-CG-2024-041</w:t>
      </w:r>
    </w:p>
    <w:p>
      <w:pPr>
        <w:spacing w:line="480" w:lineRule="exact"/>
        <w:rPr>
          <w:rFonts w:ascii="宋体" w:hAnsi="宋体" w:cs="仿宋_GB2312"/>
          <w:color w:val="000000" w:themeColor="text1"/>
          <w:szCs w:val="2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pStyle w:val="82"/>
        <w:spacing w:before="12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spacing w:line="480" w:lineRule="exact"/>
        <w:rPr>
          <w:rFonts w:ascii="宋体" w:hAnsi="宋体" w:cs="仿宋_GB2312"/>
          <w:color w:val="000000" w:themeColor="text1"/>
          <w:szCs w:val="21"/>
          <w14:textFill>
            <w14:solidFill>
              <w14:schemeClr w14:val="tx1"/>
            </w14:solidFill>
          </w14:textFill>
        </w:rPr>
      </w:pPr>
    </w:p>
    <w:p>
      <w:pPr>
        <w:spacing w:line="360" w:lineRule="auto"/>
        <w:ind w:firstLine="596" w:firstLineChars="198"/>
        <w:rPr>
          <w:rFonts w:ascii="宋体" w:hAnsi="宋体" w:cs="仿宋_GB2312"/>
          <w:b/>
          <w:color w:val="000000" w:themeColor="text1"/>
          <w:szCs w:val="21"/>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采购人：</w:t>
      </w:r>
      <w:r>
        <w:rPr>
          <w:rFonts w:hint="eastAsia" w:ascii="宋体" w:hAnsi="宋体" w:cs="仿宋_GB2312"/>
          <w:b/>
          <w:color w:val="000000" w:themeColor="text1"/>
          <w:sz w:val="30"/>
          <w:szCs w:val="30"/>
          <w:u w:val="single"/>
          <w14:textFill>
            <w14:solidFill>
              <w14:schemeClr w14:val="tx1"/>
            </w14:solidFill>
          </w14:textFill>
        </w:rPr>
        <w:t xml:space="preserve">    </w:t>
      </w:r>
      <w:r>
        <w:rPr>
          <w:rFonts w:hint="eastAsia" w:ascii="宋体" w:hAnsi="宋体" w:cs="仿宋_GB2312"/>
          <w:b/>
          <w:color w:val="000000" w:themeColor="text1"/>
          <w:sz w:val="30"/>
          <w:szCs w:val="30"/>
          <w:u w:val="single"/>
          <w:lang w:val="en-US" w:eastAsia="zh-CN"/>
          <w14:textFill>
            <w14:solidFill>
              <w14:schemeClr w14:val="tx1"/>
            </w14:solidFill>
          </w14:textFill>
        </w:rPr>
        <w:t xml:space="preserve">   安庆通汇交通工程有限责任公司            </w:t>
      </w:r>
      <w:r>
        <w:rPr>
          <w:rFonts w:hint="eastAsia" w:ascii="宋体" w:hAnsi="宋体" w:cs="仿宋_GB2312"/>
          <w:b/>
          <w:color w:val="000000" w:themeColor="text1"/>
          <w:sz w:val="30"/>
          <w:szCs w:val="30"/>
          <w:u w:val="single"/>
          <w14:textFill>
            <w14:solidFill>
              <w14:schemeClr w14:val="tx1"/>
            </w14:solidFill>
          </w14:textFill>
        </w:rPr>
        <w:t xml:space="preserve">  </w:t>
      </w:r>
    </w:p>
    <w:p>
      <w:pPr>
        <w:spacing w:line="360" w:lineRule="auto"/>
        <w:rPr>
          <w:rFonts w:ascii="宋体" w:hAnsi="宋体" w:cs="仿宋_GB2312"/>
          <w:b/>
          <w:color w:val="000000" w:themeColor="text1"/>
          <w:sz w:val="24"/>
          <w14:textFill>
            <w14:solidFill>
              <w14:schemeClr w14:val="tx1"/>
            </w14:solidFill>
          </w14:textFill>
        </w:rPr>
      </w:pPr>
    </w:p>
    <w:p>
      <w:pPr>
        <w:spacing w:line="360" w:lineRule="auto"/>
        <w:rPr>
          <w:rFonts w:ascii="宋体" w:hAnsi="宋体" w:cs="仿宋_GB2312"/>
          <w:b/>
          <w:color w:val="000000" w:themeColor="text1"/>
          <w:sz w:val="24"/>
          <w14:textFill>
            <w14:solidFill>
              <w14:schemeClr w14:val="tx1"/>
            </w14:solidFill>
          </w14:textFill>
        </w:rPr>
      </w:pPr>
    </w:p>
    <w:p>
      <w:pPr>
        <w:pStyle w:val="82"/>
        <w:tabs>
          <w:tab w:val="left" w:pos="6917"/>
        </w:tabs>
        <w:ind w:left="0" w:leftChars="0" w:firstLine="0" w:firstLineChars="0"/>
      </w:pPr>
    </w:p>
    <w:p>
      <w:pPr>
        <w:pStyle w:val="82"/>
        <w:ind w:left="0" w:leftChars="0" w:firstLine="0" w:firstLineChars="0"/>
      </w:pPr>
    </w:p>
    <w:p>
      <w:pPr>
        <w:spacing w:line="360" w:lineRule="auto"/>
        <w:rPr>
          <w:rFonts w:hint="eastAsia" w:ascii="宋体" w:hAnsi="宋体" w:eastAsia="宋体" w:cs="仿宋_GB2312"/>
          <w:b/>
          <w:color w:val="000000" w:themeColor="text1"/>
          <w:sz w:val="24"/>
          <w:lang w:eastAsia="zh-CN"/>
          <w14:textFill>
            <w14:solidFill>
              <w14:schemeClr w14:val="tx1"/>
            </w14:solidFill>
          </w14:textFill>
        </w:rPr>
      </w:pPr>
    </w:p>
    <w:p>
      <w:pPr>
        <w:pStyle w:val="2"/>
        <w:rPr>
          <w:rFonts w:hint="eastAsia" w:ascii="宋体" w:hAnsi="宋体" w:eastAsia="宋体" w:cs="仿宋_GB2312"/>
          <w:b/>
          <w:color w:val="000000" w:themeColor="text1"/>
          <w:sz w:val="24"/>
          <w:lang w:eastAsia="zh-CN"/>
          <w14:textFill>
            <w14:solidFill>
              <w14:schemeClr w14:val="tx1"/>
            </w14:solidFill>
          </w14:textFill>
        </w:rPr>
      </w:pPr>
    </w:p>
    <w:p>
      <w:pPr>
        <w:rPr>
          <w:rFonts w:hint="eastAsia" w:ascii="宋体" w:hAnsi="宋体" w:eastAsia="宋体" w:cs="仿宋_GB2312"/>
          <w:b/>
          <w:color w:val="000000" w:themeColor="text1"/>
          <w:sz w:val="24"/>
          <w:lang w:eastAsia="zh-CN"/>
          <w14:textFill>
            <w14:solidFill>
              <w14:schemeClr w14:val="tx1"/>
            </w14:solidFill>
          </w14:textFill>
        </w:rPr>
      </w:pPr>
    </w:p>
    <w:p>
      <w:pPr>
        <w:pStyle w:val="2"/>
        <w:rPr>
          <w:rFonts w:hint="eastAsia"/>
          <w:lang w:eastAsia="zh-CN"/>
        </w:rPr>
      </w:pPr>
      <w:bookmarkStart w:id="56" w:name="_GoBack"/>
      <w:bookmarkEnd w:id="56"/>
    </w:p>
    <w:p>
      <w:pPr>
        <w:spacing w:line="360" w:lineRule="auto"/>
        <w:jc w:val="center"/>
        <w:rPr>
          <w:rFonts w:ascii="宋体" w:hAnsi="宋体" w:cs="仿宋_GB2312"/>
          <w:b/>
          <w:color w:val="000000" w:themeColor="text1"/>
          <w:sz w:val="24"/>
          <w:u w:val="single"/>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安庆市交通控股集团有限公司集采中心</w:t>
      </w:r>
    </w:p>
    <w:p>
      <w:pPr>
        <w:spacing w:line="480" w:lineRule="exact"/>
        <w:rPr>
          <w:rFonts w:ascii="宋体" w:hAnsi="宋体" w:cs="仿宋_GB2312"/>
          <w:color w:val="000000" w:themeColor="text1"/>
          <w:szCs w:val="21"/>
          <w14:textFill>
            <w14:solidFill>
              <w14:schemeClr w14:val="tx1"/>
            </w14:solidFill>
          </w14:textFill>
        </w:rPr>
      </w:pPr>
    </w:p>
    <w:p>
      <w:pPr>
        <w:spacing w:line="480" w:lineRule="exact"/>
        <w:rPr>
          <w:rFonts w:ascii="宋体" w:hAnsi="宋体" w:cs="仿宋_GB2312"/>
          <w:color w:val="000000" w:themeColor="text1"/>
          <w:szCs w:val="21"/>
          <w14:textFill>
            <w14:solidFill>
              <w14:schemeClr w14:val="tx1"/>
            </w14:solidFill>
          </w14:textFill>
        </w:rPr>
      </w:pPr>
    </w:p>
    <w:p>
      <w:pPr>
        <w:pStyle w:val="82"/>
        <w:ind w:left="0" w:leftChars="0" w:firstLine="0" w:firstLineChars="0"/>
        <w:rPr>
          <w:rFonts w:ascii="宋体" w:hAnsi="宋体" w:cs="仿宋_GB2312"/>
          <w:color w:val="000000" w:themeColor="text1"/>
          <w:szCs w:val="21"/>
          <w14:textFill>
            <w14:solidFill>
              <w14:schemeClr w14:val="tx1"/>
            </w14:solidFill>
          </w14:textFill>
        </w:rPr>
      </w:pPr>
    </w:p>
    <w:p>
      <w:pPr>
        <w:spacing w:line="480" w:lineRule="exact"/>
        <w:jc w:val="center"/>
        <w:rPr>
          <w:rFonts w:ascii="宋体" w:hAnsi="宋体" w:cs="仿宋_GB2312"/>
          <w:color w:val="000000" w:themeColor="text1"/>
          <w:sz w:val="32"/>
          <w:szCs w:val="32"/>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14:textFill>
            <w14:solidFill>
              <w14:schemeClr w14:val="tx1"/>
            </w14:solidFill>
          </w14:textFill>
        </w:rPr>
        <w:t>日期：二〇二</w:t>
      </w:r>
      <w:r>
        <w:rPr>
          <w:rFonts w:hint="eastAsia" w:ascii="宋体" w:hAnsi="宋体" w:cs="仿宋_GB2312"/>
          <w:color w:val="000000" w:themeColor="text1"/>
          <w:sz w:val="32"/>
          <w:szCs w:val="32"/>
          <w:lang w:val="en-US" w:eastAsia="zh-CN"/>
          <w14:textFill>
            <w14:solidFill>
              <w14:schemeClr w14:val="tx1"/>
            </w14:solidFill>
          </w14:textFill>
        </w:rPr>
        <w:t>四</w:t>
      </w:r>
      <w:r>
        <w:rPr>
          <w:rFonts w:hint="eastAsia" w:ascii="宋体" w:hAnsi="宋体" w:cs="仿宋_GB2312"/>
          <w:color w:val="000000" w:themeColor="text1"/>
          <w:sz w:val="32"/>
          <w:szCs w:val="32"/>
          <w14:textFill>
            <w14:solidFill>
              <w14:schemeClr w14:val="tx1"/>
            </w14:solidFill>
          </w14:textFill>
        </w:rPr>
        <w:t>年</w:t>
      </w:r>
      <w:r>
        <w:rPr>
          <w:rFonts w:hint="eastAsia" w:ascii="宋体" w:hAnsi="宋体" w:cs="仿宋_GB2312"/>
          <w:color w:val="000000" w:themeColor="text1"/>
          <w:sz w:val="32"/>
          <w:szCs w:val="32"/>
          <w:lang w:val="en-US" w:eastAsia="zh-CN"/>
          <w14:textFill>
            <w14:solidFill>
              <w14:schemeClr w14:val="tx1"/>
            </w14:solidFill>
          </w14:textFill>
        </w:rPr>
        <w:t>六</w:t>
      </w:r>
      <w:r>
        <w:rPr>
          <w:rFonts w:hint="eastAsia" w:ascii="宋体" w:hAnsi="宋体" w:cs="仿宋_GB2312"/>
          <w:color w:val="000000" w:themeColor="text1"/>
          <w:sz w:val="32"/>
          <w:szCs w:val="32"/>
          <w14:textFill>
            <w14:solidFill>
              <w14:schemeClr w14:val="tx1"/>
            </w14:solidFill>
          </w14:textFill>
        </w:rPr>
        <w:t>月</w:t>
      </w:r>
    </w:p>
    <w:p>
      <w:pPr>
        <w:spacing w:line="480" w:lineRule="exact"/>
        <w:rPr>
          <w:rFonts w:ascii="宋体" w:hAnsi="宋体" w:cs="仿宋_GB2312"/>
          <w:color w:val="000000" w:themeColor="text1"/>
          <w:sz w:val="32"/>
          <w:szCs w:val="32"/>
          <w14:textFill>
            <w14:solidFill>
              <w14:schemeClr w14:val="tx1"/>
            </w14:solidFill>
          </w14:textFill>
        </w:rPr>
      </w:pPr>
    </w:p>
    <w:p>
      <w:pPr>
        <w:widowControl/>
        <w:jc w:val="left"/>
        <w:rPr>
          <w:rFonts w:ascii="宋体" w:hAnsi="宋体" w:cs="宋体"/>
          <w:b/>
          <w:color w:val="000000" w:themeColor="text1"/>
          <w:sz w:val="36"/>
          <w:szCs w:val="36"/>
          <w14:textFill>
            <w14:solidFill>
              <w14:schemeClr w14:val="tx1"/>
            </w14:solidFill>
          </w14:textFill>
        </w:rPr>
      </w:pPr>
    </w:p>
    <w:p>
      <w:pPr>
        <w:spacing w:line="480" w:lineRule="auto"/>
        <w:jc w:val="center"/>
        <w:rPr>
          <w:rFonts w:ascii="宋体" w:hAnsi="宋体" w:cs="宋体"/>
          <w:b/>
          <w:color w:val="000000" w:themeColor="text1"/>
          <w:sz w:val="36"/>
          <w:szCs w:val="36"/>
          <w:lang w:val="zh-CN"/>
          <w14:textFill>
            <w14:solidFill>
              <w14:schemeClr w14:val="tx1"/>
            </w14:solidFill>
          </w14:textFill>
        </w:rPr>
      </w:pPr>
      <w:r>
        <w:rPr>
          <w:rFonts w:hint="eastAsia" w:ascii="宋体" w:hAnsi="宋体" w:cs="宋体"/>
          <w:b/>
          <w:color w:val="000000" w:themeColor="text1"/>
          <w:sz w:val="36"/>
          <w:szCs w:val="36"/>
          <w:lang w:val="zh-CN"/>
          <w14:textFill>
            <w14:solidFill>
              <w14:schemeClr w14:val="tx1"/>
            </w14:solidFill>
          </w14:textFill>
        </w:rPr>
        <w:t>目录</w:t>
      </w:r>
    </w:p>
    <w:p>
      <w:pPr>
        <w:pStyle w:val="41"/>
        <w:tabs>
          <w:tab w:val="right" w:leader="dot" w:pos="9070"/>
        </w:tabs>
        <w:spacing w:line="480" w:lineRule="auto"/>
        <w:rPr>
          <w:color w:val="000000" w:themeColor="text1"/>
          <w:sz w:val="28"/>
          <w:szCs w:val="28"/>
          <w14:textFill>
            <w14:solidFill>
              <w14:schemeClr w14:val="tx1"/>
            </w14:solidFill>
          </w14:textFill>
        </w:rPr>
      </w:pPr>
      <w:bookmarkStart w:id="0" w:name="_Toc54941328"/>
      <w:bookmarkStart w:id="1" w:name="_Toc23467"/>
      <w:bookmarkStart w:id="2" w:name="_Toc21464"/>
      <w:bookmarkStart w:id="3" w:name="_Toc439316870"/>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"1-1" \h \u </w:instrText>
      </w:r>
      <w:r>
        <w:rPr>
          <w:color w:val="000000" w:themeColor="text1"/>
          <w:sz w:val="28"/>
          <w:szCs w:val="28"/>
          <w14:textFill>
            <w14:solidFill>
              <w14:schemeClr w14:val="tx1"/>
            </w14:solidFill>
          </w14:textFill>
        </w:rPr>
        <w:fldChar w:fldCharType="separate"/>
      </w:r>
      <w:r>
        <w:fldChar w:fldCharType="begin"/>
      </w:r>
      <w:r>
        <w:instrText xml:space="preserve"> HYPERLINK \l "_Toc170" </w:instrText>
      </w:r>
      <w:r>
        <w:fldChar w:fldCharType="separate"/>
      </w:r>
      <w:r>
        <w:rPr>
          <w:rFonts w:hint="eastAsia"/>
          <w:bCs/>
          <w:iCs/>
          <w:color w:val="000000" w:themeColor="text1"/>
          <w:sz w:val="28"/>
          <w:szCs w:val="28"/>
          <w14:textFill>
            <w14:solidFill>
              <w14:schemeClr w14:val="tx1"/>
            </w14:solidFill>
          </w14:textFill>
        </w:rPr>
        <w:t>第一章 比选公告</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1</w:t>
      </w:r>
    </w:p>
    <w:p>
      <w:pPr>
        <w:pStyle w:val="41"/>
        <w:tabs>
          <w:tab w:val="right" w:leader="dot" w:pos="9070"/>
        </w:tabs>
        <w:spacing w:line="480" w:lineRule="auto"/>
        <w:rPr>
          <w:color w:val="000000" w:themeColor="text1"/>
          <w:sz w:val="28"/>
          <w:szCs w:val="28"/>
          <w14:textFill>
            <w14:solidFill>
              <w14:schemeClr w14:val="tx1"/>
            </w14:solidFill>
          </w14:textFill>
        </w:rPr>
      </w:pPr>
      <w:r>
        <w:fldChar w:fldCharType="begin"/>
      </w:r>
      <w:r>
        <w:instrText xml:space="preserve"> HYPERLINK \l "_Toc11223" </w:instrText>
      </w:r>
      <w:r>
        <w:fldChar w:fldCharType="separate"/>
      </w:r>
      <w:r>
        <w:rPr>
          <w:rFonts w:hint="eastAsia" w:ascii="Arial" w:hAnsi="Arial"/>
          <w:color w:val="000000" w:themeColor="text1"/>
          <w:sz w:val="28"/>
          <w:szCs w:val="28"/>
          <w14:textFill>
            <w14:solidFill>
              <w14:schemeClr w14:val="tx1"/>
            </w14:solidFill>
          </w14:textFill>
        </w:rPr>
        <w:t>第二章 比选须知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_Toc11223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41"/>
        <w:tabs>
          <w:tab w:val="right" w:leader="dot" w:pos="9070"/>
        </w:tabs>
        <w:spacing w:line="480" w:lineRule="auto"/>
        <w:rPr>
          <w:rFonts w:hint="eastAsia" w:eastAsia="宋体"/>
          <w:color w:val="000000" w:themeColor="text1"/>
          <w:sz w:val="28"/>
          <w:szCs w:val="28"/>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第三章 服务及</w:t>
      </w:r>
      <w:r>
        <w:rPr>
          <w:rFonts w:hint="eastAsia" w:ascii="Arial" w:hAnsi="Arial"/>
          <w:color w:val="000000" w:themeColor="text1"/>
          <w:sz w:val="28"/>
          <w:szCs w:val="28"/>
          <w:lang w:val="zh-CN"/>
          <w14:textFill>
            <w14:solidFill>
              <w14:schemeClr w14:val="tx1"/>
            </w14:solidFill>
          </w14:textFill>
        </w:rPr>
        <w:t>技术要求</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7</w:t>
      </w:r>
    </w:p>
    <w:p>
      <w:pPr>
        <w:pStyle w:val="41"/>
        <w:tabs>
          <w:tab w:val="right" w:leader="dot" w:pos="9070"/>
        </w:tabs>
        <w:spacing w:line="480" w:lineRule="auto"/>
        <w:rPr>
          <w:rFonts w:hint="eastAsia" w:eastAsia="宋体"/>
          <w:color w:val="000000" w:themeColor="text1"/>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第四章 合同主要条款</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9</w:t>
      </w:r>
    </w:p>
    <w:p>
      <w:pPr>
        <w:pStyle w:val="41"/>
        <w:tabs>
          <w:tab w:val="right" w:leader="dot" w:pos="9070"/>
        </w:tabs>
        <w:spacing w:line="480" w:lineRule="auto"/>
        <w:rPr>
          <w:rFonts w:hint="eastAsia" w:eastAsia="宋体"/>
          <w:color w:val="000000" w:themeColor="text1"/>
          <w:sz w:val="28"/>
          <w:szCs w:val="28"/>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fldChar w:fldCharType="begin"/>
      </w:r>
      <w:r>
        <w:instrText xml:space="preserve"> HYPERLINK \l "_Toc25399" </w:instrText>
      </w:r>
      <w:r>
        <w:fldChar w:fldCharType="separate"/>
      </w:r>
      <w:r>
        <w:rPr>
          <w:rFonts w:hint="eastAsia" w:ascii="Arial" w:hAnsi="Arial"/>
          <w:color w:val="000000" w:themeColor="text1"/>
          <w:sz w:val="28"/>
          <w:szCs w:val="28"/>
          <w:lang w:val="zh-CN"/>
          <w14:textFill>
            <w14:solidFill>
              <w14:schemeClr w14:val="tx1"/>
            </w14:solidFill>
          </w14:textFill>
        </w:rPr>
        <w:t>第</w:t>
      </w:r>
      <w:r>
        <w:rPr>
          <w:rFonts w:hint="eastAsia" w:ascii="Arial" w:hAnsi="Arial"/>
          <w:color w:val="000000" w:themeColor="text1"/>
          <w:sz w:val="28"/>
          <w:szCs w:val="28"/>
          <w14:textFill>
            <w14:solidFill>
              <w14:schemeClr w14:val="tx1"/>
            </w14:solidFill>
          </w14:textFill>
        </w:rPr>
        <w:t>五</w:t>
      </w:r>
      <w:r>
        <w:rPr>
          <w:rFonts w:hint="eastAsia" w:ascii="Arial" w:hAnsi="Arial"/>
          <w:color w:val="000000" w:themeColor="text1"/>
          <w:sz w:val="28"/>
          <w:szCs w:val="28"/>
          <w:lang w:val="zh-CN"/>
          <w14:textFill>
            <w14:solidFill>
              <w14:schemeClr w14:val="tx1"/>
            </w14:solidFill>
          </w14:textFill>
        </w:rPr>
        <w:t>章</w:t>
      </w:r>
      <w:r>
        <w:rPr>
          <w:rFonts w:hint="eastAsia" w:ascii="Arial" w:hAnsi="Arial"/>
          <w:color w:val="000000" w:themeColor="text1"/>
          <w:sz w:val="28"/>
          <w:szCs w:val="28"/>
          <w14:textFill>
            <w14:solidFill>
              <w14:schemeClr w14:val="tx1"/>
            </w14:solidFill>
          </w14:textFill>
        </w:rPr>
        <w:t xml:space="preserve"> 参选文件格式</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24</w:t>
      </w:r>
      <w:r>
        <w:rPr>
          <w:rFonts w:hint="eastAsia"/>
          <w:color w:val="000000" w:themeColor="text1"/>
          <w:sz w:val="28"/>
          <w:szCs w:val="28"/>
          <w14:textFill>
            <w14:solidFill>
              <w14:schemeClr w14:val="tx1"/>
            </w14:solidFill>
          </w14:textFill>
        </w:rPr>
        <w:fldChar w:fldCharType="end"/>
      </w:r>
    </w:p>
    <w:p>
      <w:pPr>
        <w:pStyle w:val="30"/>
        <w:tabs>
          <w:tab w:val="right" w:leader="dot" w:pos="9060"/>
        </w:tabs>
        <w:spacing w:line="480" w:lineRule="auto"/>
        <w:ind w:left="0"/>
        <w:jc w:val="center"/>
        <w:rPr>
          <w:rFonts w:ascii="Arial" w:hAnsi="Arial" w:eastAsia="黑体"/>
          <w:b/>
          <w:i w:val="0"/>
          <w:color w:val="000000" w:themeColor="text1"/>
          <w:sz w:val="36"/>
          <w:szCs w:val="36"/>
          <w14:textFill>
            <w14:solidFill>
              <w14:schemeClr w14:val="tx1"/>
            </w14:solidFill>
          </w14:textFill>
        </w:rPr>
      </w:pPr>
      <w:r>
        <w:rPr>
          <w:color w:val="000000" w:themeColor="text1"/>
          <w:sz w:val="28"/>
          <w:szCs w:val="28"/>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6"/>
          <w:szCs w:val="36"/>
          <w14:textFill>
            <w14:solidFill>
              <w14:schemeClr w14:val="tx1"/>
            </w14:solidFill>
          </w14:textFill>
        </w:rPr>
        <w:t>第一章</w:t>
      </w:r>
      <w:r>
        <w:rPr>
          <w:rFonts w:hint="eastAsia" w:ascii="Arial" w:hAnsi="Arial" w:eastAsia="黑体"/>
          <w:b/>
          <w:i w:val="0"/>
          <w:color w:val="000000" w:themeColor="text1"/>
          <w:sz w:val="32"/>
          <w:szCs w:val="32"/>
          <w:lang w:val="en-US" w:eastAsia="zh-CN"/>
          <w14:textFill>
            <w14:solidFill>
              <w14:schemeClr w14:val="tx1"/>
            </w14:solidFill>
          </w14:textFill>
        </w:rPr>
        <w:t xml:space="preserve"> </w:t>
      </w:r>
      <w:r>
        <w:rPr>
          <w:rFonts w:hint="eastAsia" w:ascii="Arial" w:hAnsi="Arial" w:eastAsia="黑体"/>
          <w:b/>
          <w:i w:val="0"/>
          <w:color w:val="000000" w:themeColor="text1"/>
          <w:sz w:val="36"/>
          <w:szCs w:val="36"/>
          <w:highlight w:val="none"/>
          <w:lang w:eastAsia="zh-CN"/>
          <w14:textFill>
            <w14:solidFill>
              <w14:schemeClr w14:val="tx1"/>
            </w14:solidFill>
          </w14:textFill>
        </w:rPr>
        <w:t>安庆通汇交通工程有限责任公司波形梁钢护栏配件采购</w:t>
      </w:r>
      <w:r>
        <w:rPr>
          <w:rFonts w:hint="eastAsia" w:ascii="Arial" w:hAnsi="Arial" w:eastAsia="黑体"/>
          <w:b/>
          <w:i w:val="0"/>
          <w:color w:val="000000" w:themeColor="text1"/>
          <w:sz w:val="36"/>
          <w:szCs w:val="36"/>
          <w14:textFill>
            <w14:solidFill>
              <w14:schemeClr w14:val="tx1"/>
            </w14:solidFill>
          </w14:textFill>
        </w:rPr>
        <w:t>比选公告</w:t>
      </w:r>
    </w:p>
    <w:p>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629"/>
      <w:bookmarkStart w:id="5" w:name="_Toc35393798"/>
      <w:bookmarkStart w:id="6" w:name="_Toc28359089"/>
      <w:bookmarkStart w:id="7" w:name="_Toc28359012"/>
      <w:r>
        <w:rPr>
          <w:rFonts w:hint="eastAsia" w:ascii="仿宋" w:hAnsi="仿宋" w:eastAsia="仿宋"/>
          <w:color w:val="000000" w:themeColor="text1"/>
          <w:sz w:val="28"/>
          <w:szCs w:val="28"/>
          <w14:textFill>
            <w14:solidFill>
              <w14:schemeClr w14:val="tx1"/>
            </w14:solidFill>
          </w14:textFill>
        </w:rPr>
        <w:t>安庆市交通控股集团有限公司集采中心受</w:t>
      </w:r>
      <w:r>
        <w:rPr>
          <w:rFonts w:hint="eastAsia" w:ascii="仿宋" w:hAnsi="仿宋" w:eastAsia="仿宋"/>
          <w:color w:val="000000" w:themeColor="text1"/>
          <w:sz w:val="28"/>
          <w:szCs w:val="28"/>
          <w:lang w:eastAsia="zh-CN"/>
          <w14:textFill>
            <w14:solidFill>
              <w14:schemeClr w14:val="tx1"/>
            </w14:solidFill>
          </w14:textFill>
        </w:rPr>
        <w:t>安庆通汇交通工程有限责任公司</w:t>
      </w:r>
      <w:r>
        <w:rPr>
          <w:rFonts w:hint="eastAsia" w:ascii="仿宋" w:hAnsi="仿宋" w:eastAsia="仿宋"/>
          <w:color w:val="000000" w:themeColor="text1"/>
          <w:sz w:val="28"/>
          <w:szCs w:val="28"/>
          <w14:textFill>
            <w14:solidFill>
              <w14:schemeClr w14:val="tx1"/>
            </w14:solidFill>
          </w14:textFill>
        </w:rPr>
        <w:t>委托，现对“</w:t>
      </w:r>
      <w:r>
        <w:rPr>
          <w:rFonts w:hint="eastAsia" w:ascii="仿宋" w:hAnsi="仿宋" w:eastAsia="仿宋"/>
          <w:color w:val="000000" w:themeColor="text1"/>
          <w:sz w:val="28"/>
          <w:szCs w:val="28"/>
          <w:lang w:eastAsia="zh-CN"/>
          <w14:textFill>
            <w14:solidFill>
              <w14:schemeClr w14:val="tx1"/>
            </w14:solidFill>
          </w14:textFill>
        </w:rPr>
        <w:t>安庆通汇交通工程有限责任公司波形梁钢护栏配件采购</w:t>
      </w: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AQJK-CG-2024-041</w:t>
      </w:r>
      <w:r>
        <w:rPr>
          <w:rFonts w:hint="eastAsia" w:ascii="仿宋" w:hAnsi="仿宋" w:eastAsia="仿宋"/>
          <w:color w:val="000000" w:themeColor="text1"/>
          <w:sz w:val="28"/>
          <w:szCs w:val="28"/>
          <w:highlight w:val="none"/>
          <w14:textFill>
            <w14:solidFill>
              <w14:schemeClr w14:val="tx1"/>
            </w14:solidFill>
          </w14:textFill>
        </w:rPr>
        <w:t>）进行比选。</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安庆通汇交通工程有限责任公司波形梁钢护栏配件采购</w:t>
      </w:r>
    </w:p>
    <w:p>
      <w:pPr>
        <w:spacing w:line="480" w:lineRule="atLeast"/>
        <w:ind w:firstLine="560" w:firstLineChars="200"/>
        <w:rPr>
          <w:rFonts w:hint="eastAsia" w:eastAsia="仿宋"/>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项目编号：AQJK-CG-2024-041</w:t>
      </w:r>
    </w:p>
    <w:p>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采购需求：</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安庆通汇交通工程有限责任公司波形梁钢护栏配件采购</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如</w:t>
      </w:r>
      <w:r>
        <w:rPr>
          <w:rFonts w:hint="eastAsia" w:ascii="仿宋" w:hAnsi="仿宋" w:eastAsia="仿宋"/>
          <w:color w:val="000000" w:themeColor="text1"/>
          <w:sz w:val="28"/>
          <w:szCs w:val="28"/>
          <w:highlight w:val="none"/>
          <w14:textFill>
            <w14:solidFill>
              <w14:schemeClr w14:val="tx1"/>
            </w14:solidFill>
          </w14:textFill>
        </w:rPr>
        <w:t>镀锌喷塑立柱、钢立柱、预埋套管、预埋钢管</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详见采购清单</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93570</w:t>
      </w:r>
      <w:r>
        <w:rPr>
          <w:rFonts w:hint="eastAsia" w:ascii="仿宋" w:hAnsi="仿宋" w:eastAsia="仿宋"/>
          <w:color w:val="000000" w:themeColor="text1"/>
          <w:sz w:val="28"/>
          <w:szCs w:val="28"/>
          <w:highlight w:val="none"/>
          <w:lang w:eastAsia="zh-CN"/>
          <w14:textFill>
            <w14:solidFill>
              <w14:schemeClr w14:val="tx1"/>
            </w14:solidFill>
          </w14:textFill>
        </w:rPr>
        <w:t>元</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计划工期：2024年12月31日</w:t>
      </w:r>
    </w:p>
    <w:p>
      <w:pPr>
        <w:spacing w:line="480" w:lineRule="atLeast"/>
        <w:ind w:firstLine="560" w:firstLineChars="200"/>
        <w:rPr>
          <w:rFonts w:hint="default" w:eastAsia="仿宋"/>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交货地址：潜山市</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交货期限：接到采购方通知后七个工作日内交货</w:t>
      </w:r>
    </w:p>
    <w:p>
      <w:pPr>
        <w:spacing w:line="480" w:lineRule="atLeast"/>
        <w:ind w:firstLine="560" w:firstLineChars="200"/>
        <w:rPr>
          <w:rFonts w:hint="default" w:eastAsia="仿宋"/>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工程结算：到货后验收合格，一次性支付全部货款，支付时供应商提供13%增值税发票。</w:t>
      </w:r>
    </w:p>
    <w:p>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1、具备独立法人资格</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一般纳税人资格或小规模纳税人</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持有</w:t>
      </w:r>
      <w:r>
        <w:rPr>
          <w:rFonts w:hint="eastAsia" w:ascii="仿宋" w:hAnsi="仿宋" w:eastAsia="仿宋"/>
          <w:color w:val="000000" w:themeColor="text1"/>
          <w:sz w:val="28"/>
          <w:szCs w:val="28"/>
          <w:highlight w:val="none"/>
          <w:lang w:val="en-US" w:eastAsia="zh-CN"/>
          <w14:textFill>
            <w14:solidFill>
              <w14:schemeClr w14:val="tx1"/>
            </w14:solidFill>
          </w14:textFill>
        </w:rPr>
        <w:t>合法</w:t>
      </w:r>
      <w:r>
        <w:rPr>
          <w:rFonts w:hint="eastAsia" w:ascii="仿宋" w:hAnsi="仿宋" w:eastAsia="仿宋"/>
          <w:color w:val="000000" w:themeColor="text1"/>
          <w:sz w:val="28"/>
          <w:szCs w:val="28"/>
          <w:highlight w:val="none"/>
          <w14:textFill>
            <w14:solidFill>
              <w14:schemeClr w14:val="tx1"/>
            </w14:solidFill>
          </w14:textFill>
        </w:rPr>
        <w:t>有效的营业执照</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营业执照经营范围</w:t>
      </w:r>
      <w:r>
        <w:rPr>
          <w:rFonts w:hint="eastAsia" w:ascii="仿宋" w:hAnsi="仿宋" w:eastAsia="仿宋"/>
          <w:color w:val="000000" w:themeColor="text1"/>
          <w:sz w:val="28"/>
          <w:szCs w:val="28"/>
          <w:highlight w:val="none"/>
          <w:lang w:val="en-US" w:eastAsia="zh-CN"/>
          <w14:textFill>
            <w14:solidFill>
              <w14:schemeClr w14:val="tx1"/>
            </w14:solidFill>
          </w14:textFill>
        </w:rPr>
        <w:t>需</w:t>
      </w:r>
      <w:r>
        <w:rPr>
          <w:rFonts w:hint="eastAsia" w:ascii="仿宋" w:hAnsi="仿宋" w:eastAsia="仿宋"/>
          <w:color w:val="000000" w:themeColor="text1"/>
          <w:sz w:val="28"/>
          <w:szCs w:val="28"/>
          <w:highlight w:val="none"/>
          <w14:textFill>
            <w14:solidFill>
              <w14:schemeClr w14:val="tx1"/>
            </w14:solidFill>
          </w14:textFill>
        </w:rPr>
        <w:t>满足采购需求。</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、本次招标不接受联合体投标。</w:t>
      </w:r>
    </w:p>
    <w:p>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参选人有以下情形不得参与本次投标活动</w:t>
      </w:r>
    </w:p>
    <w:p>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w:t>
      </w:r>
    </w:p>
    <w:p>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3.3前期参与安庆市交通控股集团有限公司组织的招标采购活动获得中标候选人资格而放弃中标资格不签订合同的投标人，在处罚期内的投标人或参选人不得参与本次比选活动。</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1.潜在参选人于2024年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3.报名方式：</w:t>
      </w:r>
      <w:r>
        <w:rPr>
          <w:rFonts w:hint="eastAsia" w:ascii="仿宋" w:hAnsi="仿宋" w:eastAsia="仿宋"/>
          <w:color w:val="000000" w:themeColor="text1"/>
          <w:sz w:val="28"/>
          <w:szCs w:val="28"/>
          <w:highlight w:val="none"/>
          <w14:textFill>
            <w14:solidFill>
              <w14:schemeClr w14:val="tx1"/>
            </w14:solidFill>
          </w14:textFill>
        </w:rPr>
        <w:fldChar w:fldCharType="begin"/>
      </w:r>
      <w:r>
        <w:rPr>
          <w:rFonts w:hint="eastAsia" w:ascii="仿宋" w:hAnsi="仿宋" w:eastAsia="仿宋"/>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olor w:val="000000" w:themeColor="text1"/>
          <w:sz w:val="28"/>
          <w:szCs w:val="28"/>
          <w:highlight w:val="none"/>
          <w14:textFill>
            <w14:solidFill>
              <w14:schemeClr w14:val="tx1"/>
            </w14:solidFill>
          </w14:textFill>
        </w:rPr>
        <w:fldChar w:fldCharType="separate"/>
      </w:r>
      <w:r>
        <w:rPr>
          <w:rFonts w:hint="eastAsia" w:ascii="仿宋" w:hAnsi="仿宋" w:eastAsia="仿宋"/>
          <w:color w:val="000000" w:themeColor="text1"/>
          <w:sz w:val="28"/>
          <w:szCs w:val="28"/>
          <w:highlight w:val="none"/>
          <w14:textFill>
            <w14:solidFill>
              <w14:schemeClr w14:val="tx1"/>
            </w14:solidFill>
          </w14:textFill>
        </w:rPr>
        <w:t>将“确定参与比选的函”盖供应商公章在2024年</w:t>
      </w:r>
      <w:r>
        <w:rPr>
          <w:rFonts w:hint="eastAsia" w:ascii="仿宋" w:hAnsi="仿宋" w:eastAsia="仿宋"/>
          <w:color w:val="000000" w:themeColor="text1"/>
          <w:sz w:val="28"/>
          <w:szCs w:val="28"/>
          <w:highlight w:val="none"/>
          <w:lang w:val="en-US" w:eastAsia="zh-CN"/>
          <w14:textFill>
            <w14:solidFill>
              <w14:schemeClr w14:val="tx1"/>
            </w14:solidFill>
          </w14:textFill>
        </w:rPr>
        <w:t>6月4</w:t>
      </w:r>
      <w:r>
        <w:rPr>
          <w:rFonts w:hint="eastAsia" w:ascii="仿宋" w:hAnsi="仿宋" w:eastAsia="仿宋"/>
          <w:color w:val="000000" w:themeColor="text1"/>
          <w:sz w:val="28"/>
          <w:szCs w:val="28"/>
          <w:highlight w:val="none"/>
          <w14:textFill>
            <w14:solidFill>
              <w14:schemeClr w14:val="tx1"/>
            </w14:solidFill>
          </w14:textFill>
        </w:rPr>
        <w:t>日17点30分前发邮箱</w:t>
      </w:r>
      <w:r>
        <w:rPr>
          <w:rFonts w:hint="eastAsia" w:ascii="仿宋" w:hAnsi="仿宋" w:eastAsia="仿宋"/>
          <w:color w:val="000000" w:themeColor="text1"/>
          <w:sz w:val="28"/>
          <w:szCs w:val="28"/>
          <w:highlight w:val="none"/>
          <w:lang w:val="en-US" w:eastAsia="zh-CN"/>
          <w14:textFill>
            <w14:solidFill>
              <w14:schemeClr w14:val="tx1"/>
            </w14:solidFill>
          </w14:textFill>
        </w:rPr>
        <w:t>1179928670</w:t>
      </w:r>
      <w:r>
        <w:rPr>
          <w:rFonts w:hint="eastAsia" w:ascii="仿宋" w:hAnsi="仿宋" w:eastAsia="仿宋"/>
          <w:color w:val="000000" w:themeColor="text1"/>
          <w:sz w:val="28"/>
          <w:szCs w:val="28"/>
          <w:highlight w:val="none"/>
          <w14:textFill>
            <w14:solidFill>
              <w14:schemeClr w14:val="tx1"/>
            </w14:solidFill>
          </w14:textFill>
        </w:rPr>
        <w:t>@qq.com（报名截止后发送，报名无效。）</w:t>
      </w:r>
      <w:r>
        <w:rPr>
          <w:rFonts w:hint="eastAsia" w:ascii="仿宋" w:hAnsi="仿宋" w:eastAsia="仿宋"/>
          <w:color w:val="000000" w:themeColor="text1"/>
          <w:sz w:val="28"/>
          <w:szCs w:val="28"/>
          <w:highlight w:val="none"/>
          <w14:textFill>
            <w14:solidFill>
              <w14:schemeClr w14:val="tx1"/>
            </w14:solidFill>
          </w14:textFill>
        </w:rPr>
        <w:fldChar w:fldCharType="end"/>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4.已发确认参与函，而放弃参加比选的参选人，须在比选时间截止日前一天以公司名义向1179928670@qq.com发送放弃参与函（格式自拟）。否则采购管理人将予拉入集团黑名单处理。</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时间：2024年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9</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w:t>
      </w:r>
      <w:r>
        <w:rPr>
          <w:rFonts w:hint="eastAsia" w:ascii="仿宋" w:hAnsi="仿宋" w:eastAsia="仿宋"/>
          <w:color w:val="000000" w:themeColor="text1"/>
          <w:sz w:val="28"/>
          <w:szCs w:val="28"/>
          <w:highlight w:val="none"/>
          <w:lang w:val="en-US" w:eastAsia="zh-CN"/>
          <w14:textFill>
            <w14:solidFill>
              <w14:schemeClr w14:val="tx1"/>
            </w14:solidFill>
          </w14:textFill>
        </w:rPr>
        <w:t>层</w:t>
      </w:r>
      <w:r>
        <w:rPr>
          <w:rFonts w:hint="eastAsia" w:ascii="仿宋" w:hAnsi="仿宋" w:eastAsia="仿宋"/>
          <w:color w:val="000000" w:themeColor="text1"/>
          <w:sz w:val="28"/>
          <w:szCs w:val="28"/>
          <w:highlight w:val="none"/>
          <w14:textFill>
            <w14:solidFill>
              <w14:schemeClr w14:val="tx1"/>
            </w14:solidFill>
          </w14:textFill>
        </w:rPr>
        <w:t>开标室</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若项目有业绩要求的，中标人签合同需提供投标时的业绩原件给采购人核查，核查发现存在虚假业绩或不符合比选文件要求，采购人有权取消中标资格，采购人可以按照评标委员会提出的中标候选人名单顺序依次确定其他中标候选人为中标人，或重新比选。）</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28359095"/>
      <w:bookmarkStart w:id="9" w:name="_Toc28359018"/>
      <w:bookmarkStart w:id="10" w:name="_Toc35393805"/>
      <w:bookmarkStart w:id="11" w:name="_Toc35393636"/>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28359096"/>
      <w:bookmarkStart w:id="13" w:name="_Toc35393806"/>
      <w:bookmarkStart w:id="14" w:name="_Toc35393637"/>
      <w:bookmarkStart w:id="15" w:name="_Toc28359019"/>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称：安庆通汇交通工程有限责任公司</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人：詹跃鹏</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联系方式：13966995136</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安庆通汇交通工程有限责任公司波形梁钢护栏配件采购</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pPr>
        <w:ind w:firstLine="640"/>
        <w:jc w:val="both"/>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54941329"/>
      <w:bookmarkStart w:id="18" w:name="_Toc11223"/>
      <w:bookmarkStart w:id="19" w:name="_Toc2606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pPr>
        <w:pStyle w:val="4"/>
        <w:rPr>
          <w:rFonts w:cs="Tahoma"/>
          <w:bCs/>
          <w:color w:val="000000" w:themeColor="text1"/>
          <w:kern w:val="0"/>
          <w:sz w:val="32"/>
          <w:szCs w:val="32"/>
          <w:highlight w:val="none"/>
          <w14:textFill>
            <w14:solidFill>
              <w14:schemeClr w14:val="tx1"/>
            </w14:solidFill>
          </w14:textFill>
        </w:rPr>
      </w:pPr>
      <w:bookmarkStart w:id="20" w:name="_Toc17862"/>
      <w:bookmarkStart w:id="21" w:name="_Toc439316871"/>
      <w:bookmarkStart w:id="22" w:name="_Toc54941330"/>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安庆通汇交通工程有限责任公司波形梁钢护栏配件采购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AQJK-CG-2024-041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安庆通汇交通工程有限责任公司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cs="宋体"/>
                <w:color w:val="auto"/>
                <w:szCs w:val="21"/>
                <w:highlight w:val="none"/>
                <w:lang w:val="en-US" w:eastAsia="zh-CN"/>
              </w:rPr>
              <w:t>采购管理部门</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93570元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计划工期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default" w:eastAsia="宋体"/>
                <w:color w:val="000000" w:themeColor="text1"/>
                <w:szCs w:val="21"/>
                <w:highlight w:val="none"/>
                <w:lang w:val="en-US" w:eastAsia="zh-CN"/>
                <w14:textFill>
                  <w14:solidFill>
                    <w14:schemeClr w14:val="tx1"/>
                  </w14:solidFill>
                </w14:textFill>
              </w:rPr>
              <w:t>2024年12月31日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交货期限</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default" w:eastAsia="宋体"/>
                <w:color w:val="000000" w:themeColor="text1"/>
                <w:szCs w:val="21"/>
                <w:highlight w:val="none"/>
                <w:lang w:val="en-US" w:eastAsia="zh-CN"/>
                <w14:textFill>
                  <w14:solidFill>
                    <w14:schemeClr w14:val="tx1"/>
                  </w14:solidFill>
                </w14:textFill>
              </w:rPr>
              <w:t>接到采购方通知后七个工作日内交货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1、具备独立法人资格、一般纳税人资格或小规模纳税人</w:t>
            </w:r>
            <w:r>
              <w:rPr>
                <w:rFonts w:hint="eastAsia" w:ascii="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持有合法有效的营业执照</w:t>
            </w:r>
            <w:r>
              <w:rPr>
                <w:rFonts w:hint="eastAsia" w:ascii="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营业执照经营范围需满足采购需求。</w:t>
            </w:r>
          </w:p>
          <w:p>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2、本次招标不接受联合体投标。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pPr>
              <w:pStyle w:val="19"/>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时间: </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安庆市大观区宜园路16号安庆交控集团二号楼一层开标室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工程结算及付款方式</w:t>
            </w:r>
          </w:p>
        </w:tc>
        <w:tc>
          <w:tcPr>
            <w:tcW w:w="6356"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到货后验收合格，一次性支付全部货款，支付时供应商提供13%增值税发票。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3、开具13%增值税专票。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安庆通汇交通工程有限责任公司，特此说明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凡有意参加投标的单位，在参与过程中，遇排斥潜在投标人等现象，可在开标截止时间1日前向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pPr>
        <w:pStyle w:val="4"/>
        <w:spacing w:beforeLines="0" w:afterLines="0"/>
        <w:ind w:firstLine="0" w:firstLineChars="0"/>
        <w:jc w:val="center"/>
        <w:outlineLvl w:val="1"/>
        <w:rPr>
          <w:rFonts w:ascii="宋体" w:hAnsi="宋体" w:eastAsia="宋体" w:cs="Tahoma"/>
          <w:bCs/>
          <w:color w:val="000000" w:themeColor="text1"/>
          <w:kern w:val="0"/>
          <w:sz w:val="32"/>
          <w:szCs w:val="32"/>
          <w:highlight w:val="none"/>
          <w:lang w:val="zh-CN"/>
          <w14:textFill>
            <w14:solidFill>
              <w14:schemeClr w14:val="tx1"/>
            </w14:solidFill>
          </w14:textFill>
        </w:rPr>
      </w:pPr>
      <w:bookmarkStart w:id="24" w:name="_Toc2521"/>
      <w:bookmarkStart w:id="25" w:name="_Toc54941331"/>
      <w:bookmarkStart w:id="26" w:name="_Toc12394"/>
      <w:bookmarkStart w:id="27" w:name="_Toc16271"/>
      <w:bookmarkStart w:id="28" w:name="_Toc476584426"/>
      <w:bookmarkStart w:id="29" w:name="_Toc54941337"/>
      <w:r>
        <w:rPr>
          <w:rFonts w:hint="eastAsia" w:ascii="宋体" w:hAnsi="宋体" w:eastAsia="宋体" w:cs="Tahoma"/>
          <w:bCs/>
          <w:color w:val="000000" w:themeColor="text1"/>
          <w:kern w:val="0"/>
          <w:sz w:val="32"/>
          <w:szCs w:val="32"/>
          <w:highlight w:val="none"/>
          <w:lang w:val="zh-CN"/>
          <w14:textFill>
            <w14:solidFill>
              <w14:schemeClr w14:val="tx1"/>
            </w14:solidFill>
          </w14:textFill>
        </w:rPr>
        <w:t>第二节</w:t>
      </w:r>
      <w:r>
        <w:rPr>
          <w:rFonts w:ascii="宋体" w:hAnsi="宋体" w:eastAsia="宋体"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lang w:val="zh-CN"/>
          <w14:textFill>
            <w14:solidFill>
              <w14:schemeClr w14:val="tx1"/>
            </w14:solidFill>
          </w14:textFill>
        </w:rPr>
        <w:t>须知</w:t>
      </w:r>
      <w:bookmarkEnd w:id="24"/>
      <w:bookmarkEnd w:id="25"/>
      <w:bookmarkEnd w:id="26"/>
      <w:bookmarkEnd w:id="27"/>
    </w:p>
    <w:bookmarkEnd w:id="28"/>
    <w:bookmarkEnd w:id="29"/>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0" w:name="_Toc54941340"/>
      <w:bookmarkStart w:id="31" w:name="_Toc11149"/>
      <w:bookmarkStart w:id="32" w:name="_Toc10569"/>
      <w:r>
        <w:rPr>
          <w:rFonts w:hint="eastAsia" w:ascii="Arial" w:hAnsi="Arial" w:eastAsia="宋体" w:cs="Times New Roman"/>
          <w:b/>
          <w:color w:val="000000"/>
          <w:kern w:val="0"/>
          <w:sz w:val="32"/>
          <w:szCs w:val="20"/>
          <w:highlight w:val="none"/>
          <w:lang w:val="en-US" w:eastAsia="zh-CN" w:bidi="ar-SA"/>
        </w:rPr>
        <w:t>（一）总则</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w:t>
      </w:r>
      <w:r>
        <w:rPr>
          <w:rFonts w:hint="eastAsia" w:ascii="宋体" w:hAnsi="宋体" w:cs="Times New Roman"/>
          <w:color w:val="000000"/>
          <w:szCs w:val="21"/>
          <w:highlight w:val="none"/>
          <w:lang w:val="en-US" w:eastAsia="zh-CN"/>
        </w:rPr>
        <w:t>部门</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pPr>
        <w:adjustRightInd w:val="0"/>
        <w:spacing w:line="500" w:lineRule="exact"/>
        <w:ind w:firstLine="413" w:firstLineChars="196"/>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pPr>
        <w:spacing w:line="5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 xml:space="preserve">   本项目不接受联合体</w:t>
      </w:r>
    </w:p>
    <w:p>
      <w:pPr>
        <w:numPr>
          <w:ilvl w:val="0"/>
          <w:numId w:val="0"/>
        </w:numPr>
        <w:spacing w:line="500" w:lineRule="exact"/>
        <w:ind w:left="-2" w:leftChars="0" w:firstLine="422" w:firstLineChars="0"/>
        <w:rPr>
          <w:rFonts w:hint="eastAsia" w:ascii="宋体" w:hAnsi="宋体" w:eastAsia="宋体" w:cs="Times New Roman"/>
          <w:color w:val="000000"/>
          <w:szCs w:val="21"/>
          <w:highlight w:val="none"/>
        </w:rPr>
      </w:pPr>
      <w:r>
        <w:rPr>
          <w:rFonts w:hint="eastAsia" w:ascii="Times New Roman" w:hAnsi="Times New Roman" w:eastAsia="宋体" w:cs="Times New Roman"/>
          <w:b w:val="0"/>
          <w:bCs/>
          <w:color w:val="000000"/>
          <w:szCs w:val="24"/>
          <w:highlight w:val="none"/>
          <w:lang w:val="en-US" w:eastAsia="zh-CN"/>
        </w:rPr>
        <w:t>4、</w:t>
      </w:r>
      <w:r>
        <w:rPr>
          <w:rFonts w:hint="eastAsia" w:ascii="Times New Roman" w:hAnsi="Times New Roman" w:eastAsia="宋体" w:cs="Times New Roman"/>
          <w:b w:val="0"/>
          <w:bCs/>
          <w:color w:val="000000"/>
          <w:szCs w:val="24"/>
          <w:highlight w:val="none"/>
          <w:lang w:eastAsia="zh-CN"/>
        </w:rPr>
        <w:t>比选</w:t>
      </w:r>
      <w:r>
        <w:rPr>
          <w:rFonts w:hint="eastAsia" w:ascii="Times New Roman" w:hAnsi="Times New Roman" w:eastAsia="宋体" w:cs="Times New Roman"/>
          <w:b w:val="0"/>
          <w:bCs/>
          <w:color w:val="000000"/>
          <w:szCs w:val="24"/>
          <w:highlight w:val="none"/>
        </w:rPr>
        <w:t>费用：</w:t>
      </w:r>
      <w:r>
        <w:rPr>
          <w:rFonts w:hint="eastAsia" w:ascii="宋体" w:hAnsi="宋体" w:eastAsia="宋体" w:cs="Times New Roman"/>
          <w:b w:val="0"/>
          <w:bCs/>
          <w:color w:val="000000"/>
          <w:szCs w:val="21"/>
          <w:highlight w:val="none"/>
          <w:lang w:eastAsia="zh-CN"/>
        </w:rPr>
        <w:t>参选人</w:t>
      </w:r>
      <w:r>
        <w:rPr>
          <w:rFonts w:hint="eastAsia" w:ascii="宋体" w:hAnsi="宋体" w:eastAsia="宋体" w:cs="Times New Roman"/>
          <w:b w:val="0"/>
          <w:bCs/>
          <w:color w:val="000000"/>
          <w:szCs w:val="21"/>
          <w:highlight w:val="none"/>
        </w:rPr>
        <w:t>必须自行承担参加</w:t>
      </w:r>
      <w:r>
        <w:rPr>
          <w:rFonts w:hint="eastAsia" w:ascii="宋体" w:hAnsi="宋体" w:eastAsia="宋体" w:cs="Times New Roman"/>
          <w:b w:val="0"/>
          <w:bCs/>
          <w:color w:val="000000"/>
          <w:szCs w:val="21"/>
          <w:highlight w:val="none"/>
          <w:lang w:eastAsia="zh-CN"/>
        </w:rPr>
        <w:t>比选</w:t>
      </w:r>
      <w:r>
        <w:rPr>
          <w:rFonts w:hint="eastAsia" w:ascii="宋体" w:hAnsi="宋体" w:eastAsia="宋体" w:cs="Times New Roman"/>
          <w:b w:val="0"/>
          <w:bCs/>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pPr>
        <w:widowControl/>
        <w:numPr>
          <w:ilvl w:val="0"/>
          <w:numId w:val="0"/>
        </w:numPr>
        <w:spacing w:line="500" w:lineRule="exact"/>
        <w:ind w:left="-2" w:leftChars="0" w:firstLine="422" w:firstLineChars="0"/>
        <w:jc w:val="left"/>
        <w:rPr>
          <w:rFonts w:hint="eastAsia" w:ascii="宋体" w:hAnsi="宋体" w:eastAsia="宋体" w:cs="Times New Roman"/>
          <w:b/>
          <w:bCs/>
          <w:color w:val="000000"/>
          <w:szCs w:val="21"/>
          <w:highlight w:val="none"/>
          <w:lang w:eastAsia="zh-CN"/>
        </w:rPr>
      </w:pPr>
      <w:r>
        <w:rPr>
          <w:rFonts w:hint="eastAsia" w:ascii="宋体" w:hAnsi="宋体" w:eastAsia="宋体" w:cs="Times New Roman"/>
          <w:b/>
          <w:bCs/>
          <w:color w:val="000000"/>
          <w:kern w:val="2"/>
          <w:sz w:val="21"/>
          <w:szCs w:val="21"/>
          <w:highlight w:val="none"/>
          <w:lang w:val="en-US" w:eastAsia="zh-CN" w:bidi="ar-SA"/>
        </w:rPr>
        <w:t>5、</w:t>
      </w:r>
      <w:r>
        <w:rPr>
          <w:rFonts w:hint="eastAsia" w:ascii="宋体" w:hAnsi="宋体" w:eastAsia="宋体" w:cs="Times New Roman"/>
          <w:b/>
          <w:bCs/>
          <w:color w:val="000000"/>
          <w:szCs w:val="21"/>
          <w:highlight w:val="none"/>
          <w:lang w:eastAsia="zh-CN"/>
        </w:rPr>
        <w:t>被列入安庆市交通控股集团有限公司黑名单管理系统或在安庆市交通控股集团有限公司处罚限制期限内的投标人不得参与本次投标活动。</w:t>
      </w:r>
    </w:p>
    <w:p>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pPr>
        <w:rPr>
          <w:rFonts w:hint="eastAsia" w:ascii="Times New Roman" w:hAnsi="Times New Roman" w:eastAsia="宋体" w:cs="Times New Roman"/>
          <w:color w:val="000000"/>
          <w:szCs w:val="24"/>
          <w:highlight w:val="none"/>
        </w:rPr>
      </w:pPr>
      <w:bookmarkStart w:id="33" w:name="_Toc8536"/>
      <w:bookmarkStart w:id="34" w:name="_Toc4481593"/>
      <w:bookmarkStart w:id="35" w:name="_Toc479622044"/>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（二）</w:t>
      </w:r>
      <w:bookmarkEnd w:id="33"/>
      <w:bookmarkEnd w:id="34"/>
      <w:bookmarkEnd w:id="35"/>
      <w:r>
        <w:rPr>
          <w:rFonts w:hint="eastAsia" w:ascii="Arial" w:hAnsi="Arial" w:eastAsia="宋体" w:cs="Times New Roman"/>
          <w:b/>
          <w:color w:val="000000"/>
          <w:kern w:val="0"/>
          <w:sz w:val="32"/>
          <w:szCs w:val="20"/>
          <w:highlight w:val="none"/>
          <w:lang w:val="en-US" w:eastAsia="zh-CN" w:bidi="ar-SA"/>
        </w:rPr>
        <w:t>比选文件</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cs="Times New Roman"/>
          <w:color w:val="000000"/>
          <w:szCs w:val="21"/>
          <w:highlight w:val="none"/>
          <w:lang w:val="en-US" w:eastAsia="zh-CN"/>
        </w:rPr>
        <w:t>采购</w:t>
      </w:r>
      <w:r>
        <w:rPr>
          <w:rFonts w:hint="eastAsia" w:ascii="宋体" w:hAnsi="宋体" w:eastAsia="宋体" w:cs="Times New Roman"/>
          <w:color w:val="000000"/>
          <w:szCs w:val="21"/>
          <w:highlight w:val="none"/>
          <w:lang w:eastAsia="zh-CN"/>
        </w:rPr>
        <w:t>需求</w:t>
      </w:r>
      <w:r>
        <w:rPr>
          <w:rFonts w:hint="eastAsia" w:ascii="宋体" w:hAnsi="宋体" w:eastAsia="宋体" w:cs="Times New Roman"/>
          <w:color w:val="000000"/>
          <w:szCs w:val="21"/>
          <w:highlight w:val="none"/>
        </w:rPr>
        <w:t>及技术要求；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.4、采购单位对在规定时间收到的、且需要做出澄清的问题，将以</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rPr>
        <w:t>.2款所述方式进行答复，但不说明问题的来源。</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采购</w:t>
      </w:r>
      <w:r>
        <w:rPr>
          <w:rFonts w:hint="eastAsia" w:ascii="宋体" w:hAnsi="宋体" w:eastAsia="宋体" w:cs="Times New Roman"/>
          <w:color w:val="000000"/>
          <w:szCs w:val="21"/>
          <w:highlight w:val="none"/>
          <w:lang w:val="en-US" w:eastAsia="zh-CN"/>
        </w:rPr>
        <w:t>单位</w:t>
      </w:r>
      <w:r>
        <w:rPr>
          <w:rFonts w:hint="eastAsia" w:ascii="宋体" w:hAnsi="宋体" w:eastAsia="宋体" w:cs="Times New Roman"/>
          <w:color w:val="000000"/>
          <w:szCs w:val="21"/>
          <w:highlight w:val="none"/>
        </w:rPr>
        <w:t>可以对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进行修改。</w:t>
      </w:r>
    </w:p>
    <w:p>
      <w:pPr>
        <w:spacing w:line="500" w:lineRule="exact"/>
        <w:ind w:firstLine="422" w:firstLineChars="200"/>
        <w:rPr>
          <w:rFonts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lang w:val="en-US" w:eastAsia="zh-CN"/>
        </w:rPr>
        <w:t>8</w:t>
      </w: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eastAsia="zh-CN"/>
        </w:rPr>
        <w:t>采购</w:t>
      </w:r>
      <w:r>
        <w:rPr>
          <w:rFonts w:hint="eastAsia" w:ascii="宋体" w:hAnsi="宋体" w:eastAsia="宋体" w:cs="Times New Roman"/>
          <w:b/>
          <w:bCs/>
          <w:color w:val="000000"/>
          <w:szCs w:val="21"/>
          <w:highlight w:val="none"/>
          <w:lang w:val="en-US" w:eastAsia="zh-CN"/>
        </w:rPr>
        <w:t>单位</w:t>
      </w:r>
      <w:r>
        <w:rPr>
          <w:rFonts w:hint="eastAsia" w:ascii="宋体" w:hAnsi="宋体" w:eastAsia="宋体" w:cs="Times New Roman"/>
          <w:b/>
          <w:bCs/>
          <w:color w:val="000000"/>
          <w:szCs w:val="21"/>
          <w:highlight w:val="none"/>
        </w:rPr>
        <w:t>对</w:t>
      </w:r>
      <w:r>
        <w:rPr>
          <w:rFonts w:hint="eastAsia" w:ascii="宋体" w:hAnsi="宋体" w:eastAsia="宋体" w:cs="Times New Roman"/>
          <w:b/>
          <w:bCs/>
          <w:color w:val="000000"/>
          <w:szCs w:val="21"/>
          <w:highlight w:val="none"/>
          <w:lang w:eastAsia="zh-CN"/>
        </w:rPr>
        <w:t>参选人</w:t>
      </w:r>
      <w:r>
        <w:rPr>
          <w:rFonts w:hint="eastAsia" w:ascii="宋体" w:hAnsi="宋体" w:eastAsia="宋体" w:cs="Times New Roman"/>
          <w:b/>
          <w:bCs/>
          <w:color w:val="000000"/>
          <w:szCs w:val="21"/>
          <w:highlight w:val="none"/>
        </w:rPr>
        <w:t>异议的答复和对</w:t>
      </w:r>
      <w:r>
        <w:rPr>
          <w:rFonts w:hint="eastAsia" w:ascii="宋体" w:hAnsi="宋体" w:eastAsia="宋体" w:cs="Times New Roman"/>
          <w:b/>
          <w:bCs/>
          <w:color w:val="000000"/>
          <w:szCs w:val="21"/>
          <w:highlight w:val="none"/>
          <w:lang w:eastAsia="zh-CN"/>
        </w:rPr>
        <w:t>比选文件</w:t>
      </w:r>
      <w:r>
        <w:rPr>
          <w:rFonts w:hint="eastAsia" w:ascii="宋体" w:hAnsi="宋体" w:eastAsia="宋体" w:cs="Times New Roman"/>
          <w:b/>
          <w:bCs/>
          <w:color w:val="000000"/>
          <w:szCs w:val="21"/>
          <w:highlight w:val="none"/>
        </w:rPr>
        <w:t>的</w:t>
      </w:r>
      <w:r>
        <w:rPr>
          <w:rFonts w:ascii="宋体" w:hAnsi="宋体" w:eastAsia="宋体" w:cs="Times New Roman"/>
          <w:b/>
          <w:bCs/>
          <w:color w:val="000000"/>
          <w:szCs w:val="21"/>
          <w:highlight w:val="none"/>
        </w:rPr>
        <w:t>澄</w:t>
      </w:r>
      <w:r>
        <w:rPr>
          <w:rFonts w:hint="eastAsia" w:ascii="宋体" w:hAnsi="宋体" w:eastAsia="宋体" w:cs="Times New Roman"/>
          <w:b/>
          <w:bCs/>
          <w:color w:val="000000"/>
          <w:szCs w:val="21"/>
          <w:highlight w:val="none"/>
        </w:rPr>
        <w:t>清、修改、补充说明等内容均通过</w:t>
      </w:r>
      <w:r>
        <w:rPr>
          <w:rFonts w:hint="eastAsia" w:ascii="宋体" w:hAnsi="宋体" w:eastAsia="宋体" w:cs="Times New Roman"/>
          <w:b/>
          <w:bCs/>
          <w:color w:val="000000"/>
          <w:szCs w:val="21"/>
          <w:highlight w:val="none"/>
          <w:lang w:eastAsia="zh-CN"/>
        </w:rPr>
        <w:t>安庆市交通控股集团有限公司集采</w:t>
      </w:r>
      <w:r>
        <w:rPr>
          <w:rFonts w:hint="eastAsia" w:ascii="宋体" w:hAnsi="宋体" w:eastAsia="宋体" w:cs="Times New Roman"/>
          <w:b/>
          <w:bCs/>
          <w:color w:val="000000"/>
          <w:szCs w:val="21"/>
          <w:highlight w:val="none"/>
          <w:lang w:val="en-US" w:eastAsia="zh-CN"/>
        </w:rPr>
        <w:t>平台</w:t>
      </w:r>
      <w:r>
        <w:rPr>
          <w:rFonts w:hint="eastAsia" w:ascii="宋体" w:hAnsi="宋体" w:eastAsia="宋体" w:cs="Times New Roman"/>
          <w:b/>
          <w:bCs/>
          <w:color w:val="000000"/>
          <w:szCs w:val="21"/>
          <w:highlight w:val="none"/>
          <w:lang w:eastAsia="zh-CN"/>
        </w:rPr>
        <w:t>（http：//jc.zh0556.com/）</w:t>
      </w:r>
      <w:r>
        <w:rPr>
          <w:rFonts w:hint="eastAsia" w:ascii="宋体" w:hAnsi="宋体" w:eastAsia="宋体" w:cs="Times New Roman"/>
          <w:b/>
          <w:bCs/>
          <w:color w:val="000000"/>
          <w:szCs w:val="21"/>
          <w:highlight w:val="none"/>
        </w:rPr>
        <w:t>招标采购栏目发布，该修改内容作为</w:t>
      </w:r>
      <w:r>
        <w:rPr>
          <w:rFonts w:hint="eastAsia" w:ascii="宋体" w:hAnsi="宋体" w:eastAsia="宋体" w:cs="Times New Roman"/>
          <w:b/>
          <w:bCs/>
          <w:color w:val="000000"/>
          <w:szCs w:val="21"/>
          <w:highlight w:val="none"/>
          <w:lang w:eastAsia="zh-CN"/>
        </w:rPr>
        <w:t>比选</w:t>
      </w:r>
      <w:r>
        <w:rPr>
          <w:rFonts w:hint="eastAsia" w:ascii="宋体" w:hAnsi="宋体" w:eastAsia="宋体" w:cs="Times New Roman"/>
          <w:b/>
          <w:bCs/>
          <w:color w:val="000000"/>
          <w:szCs w:val="21"/>
          <w:highlight w:val="none"/>
        </w:rPr>
        <w:t>文件的组成部分，具有约束作用。</w:t>
      </w:r>
    </w:p>
    <w:p>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.3、</w:t>
      </w:r>
      <w:bookmarkStart w:id="36"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36"/>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9</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、投标报价</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报价表上</w:t>
      </w:r>
      <w:r>
        <w:rPr>
          <w:rFonts w:hint="eastAsia" w:ascii="宋体" w:hAnsi="宋体" w:eastAsia="宋体" w:cs="Times New Roman"/>
          <w:color w:val="auto"/>
          <w:szCs w:val="21"/>
          <w:highlight w:val="none"/>
        </w:rPr>
        <w:t>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的名称、价格等内容。</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.2、除非特别要求，每个项目（或每个包）只允许有一个方案、一个报价。多方案、多报价的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将视为无效</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的报价应包含满足本次招标需求的所有费用（包括但不限于：</w:t>
      </w:r>
      <w:r>
        <w:rPr>
          <w:rFonts w:hint="eastAsia" w:ascii="宋体" w:hAnsi="宋体" w:eastAsia="宋体" w:cs="宋体"/>
          <w:color w:val="000000"/>
          <w:szCs w:val="21"/>
          <w:highlight w:val="none"/>
        </w:rPr>
        <w:t>人工费、材料费、</w:t>
      </w:r>
      <w:r>
        <w:rPr>
          <w:rFonts w:hint="eastAsia" w:ascii="宋体" w:hAnsi="宋体" w:eastAsia="宋体" w:cs="宋体"/>
          <w:color w:val="000000"/>
          <w:szCs w:val="21"/>
          <w:highlight w:val="none"/>
          <w:lang w:val="en-US" w:eastAsia="zh-CN"/>
        </w:rPr>
        <w:t>运输</w:t>
      </w:r>
      <w:r>
        <w:rPr>
          <w:rFonts w:hint="eastAsia" w:ascii="宋体" w:hAnsi="宋体" w:eastAsia="宋体" w:cs="宋体"/>
          <w:color w:val="000000"/>
          <w:szCs w:val="21"/>
          <w:highlight w:val="none"/>
        </w:rPr>
        <w:t>费、保险、税金等）。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.4、投标报价</w:t>
      </w:r>
      <w:r>
        <w:rPr>
          <w:rFonts w:hint="eastAsia" w:ascii="宋体" w:hAnsi="宋体" w:eastAsia="宋体" w:cs="Times New Roman"/>
          <w:color w:val="000000"/>
          <w:szCs w:val="21"/>
          <w:highlight w:val="none"/>
          <w:lang w:val="en-US" w:eastAsia="zh-CN"/>
        </w:rPr>
        <w:t>高</w:t>
      </w:r>
      <w:r>
        <w:rPr>
          <w:rFonts w:hint="eastAsia" w:ascii="宋体" w:hAnsi="宋体" w:eastAsia="宋体" w:cs="Times New Roman"/>
          <w:color w:val="000000"/>
          <w:szCs w:val="21"/>
          <w:highlight w:val="none"/>
        </w:rPr>
        <w:t>于</w:t>
      </w:r>
      <w:r>
        <w:rPr>
          <w:rFonts w:hint="eastAsia" w:ascii="宋体" w:hAnsi="宋体" w:eastAsia="宋体" w:cs="Times New Roman"/>
          <w:color w:val="000000"/>
          <w:szCs w:val="21"/>
          <w:highlight w:val="none"/>
          <w:lang w:eastAsia="zh-CN"/>
        </w:rPr>
        <w:t>最高投标限价</w:t>
      </w:r>
      <w:r>
        <w:rPr>
          <w:rFonts w:hint="eastAsia" w:ascii="宋体" w:hAnsi="宋体" w:eastAsia="宋体" w:cs="Times New Roman"/>
          <w:color w:val="000000"/>
          <w:szCs w:val="21"/>
          <w:highlight w:val="none"/>
        </w:rPr>
        <w:t>为投标无效。</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.5.若</w:t>
      </w:r>
      <w:r>
        <w:rPr>
          <w:rFonts w:hint="eastAsia" w:ascii="Times New Roman" w:hAnsi="Times New Roman" w:eastAsia="宋体" w:cs="Times New Roman"/>
          <w:color w:val="000000"/>
          <w:szCs w:val="24"/>
          <w:highlight w:val="none"/>
          <w:lang w:eastAsia="zh-CN"/>
        </w:rPr>
        <w:t>参选报价函</w:t>
      </w:r>
      <w:r>
        <w:rPr>
          <w:rFonts w:hint="eastAsia" w:ascii="Times New Roman" w:hAnsi="Times New Roman" w:eastAsia="宋体" w:cs="Times New Roman"/>
          <w:color w:val="000000"/>
          <w:szCs w:val="24"/>
          <w:highlight w:val="none"/>
          <w:lang w:val="en-US" w:eastAsia="zh-CN"/>
        </w:rPr>
        <w:t>中</w:t>
      </w:r>
      <w:r>
        <w:rPr>
          <w:rFonts w:hint="eastAsia" w:ascii="Times New Roman" w:hAnsi="Times New Roman" w:eastAsia="宋体" w:cs="Times New Roman"/>
          <w:color w:val="000000"/>
          <w:szCs w:val="24"/>
          <w:highlight w:val="none"/>
        </w:rPr>
        <w:t>报价的大写金额和小写金额不一致的</w:t>
      </w:r>
      <w:r>
        <w:rPr>
          <w:rFonts w:hint="eastAsia" w:ascii="宋体" w:hAnsi="宋体" w:eastAsia="宋体" w:cs="Times New Roman"/>
          <w:color w:val="000000"/>
          <w:szCs w:val="21"/>
          <w:highlight w:val="none"/>
        </w:rPr>
        <w:t>，以大写金额为准；单价金额小数点有明显错位的，应以总价为准，并修正单价。</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.6.若货物报价表单价汇总金额、货物报价表总价、</w:t>
      </w:r>
      <w:r>
        <w:rPr>
          <w:rFonts w:hint="eastAsia" w:ascii="宋体" w:hAnsi="宋体" w:eastAsia="宋体" w:cs="Times New Roman"/>
          <w:color w:val="000000"/>
          <w:szCs w:val="21"/>
          <w:highlight w:val="none"/>
          <w:lang w:eastAsia="zh-CN"/>
        </w:rPr>
        <w:t>参选报价函</w:t>
      </w:r>
      <w:r>
        <w:rPr>
          <w:rFonts w:hint="eastAsia" w:ascii="宋体" w:hAnsi="宋体" w:eastAsia="宋体" w:cs="Times New Roman"/>
          <w:color w:val="000000"/>
          <w:szCs w:val="21"/>
          <w:highlight w:val="none"/>
          <w:lang w:val="en-US" w:eastAsia="zh-CN"/>
        </w:rPr>
        <w:t>中</w:t>
      </w:r>
      <w:r>
        <w:rPr>
          <w:rFonts w:hint="eastAsia" w:ascii="宋体" w:hAnsi="宋体" w:eastAsia="宋体" w:cs="Times New Roman"/>
          <w:color w:val="000000"/>
          <w:szCs w:val="21"/>
          <w:highlight w:val="none"/>
        </w:rPr>
        <w:t>报价三者不一致的，视为无效报价；</w:t>
      </w:r>
    </w:p>
    <w:p>
      <w:pPr>
        <w:spacing w:line="360" w:lineRule="auto"/>
        <w:ind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10.7参选报价函中报价与参选文件中相应内容不一致的，以参选报价函中报价为准。</w:t>
      </w:r>
    </w:p>
    <w:p>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pPr>
        <w:spacing w:line="500" w:lineRule="exact"/>
        <w:ind w:firstLine="422" w:firstLineChars="200"/>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lang w:val="en-US" w:eastAsia="zh-CN"/>
        </w:rPr>
        <w:t>本项目不收取</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、投标有效期</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.3、投标有效期从投标截止之日算起。</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14、参选文件的签署</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pPr>
        <w:rPr>
          <w:rFonts w:hint="eastAsia" w:ascii="Times New Roman" w:hAnsi="Times New Roman" w:eastAsia="宋体" w:cs="Times New Roman"/>
          <w:color w:val="000000"/>
          <w:szCs w:val="24"/>
          <w:highlight w:val="none"/>
        </w:rPr>
      </w:pPr>
      <w:bookmarkStart w:id="37" w:name="_Toc25319"/>
      <w:bookmarkStart w:id="38" w:name="_Toc479622046"/>
      <w:bookmarkStart w:id="39" w:name="_Toc4481594"/>
      <w:bookmarkStart w:id="40" w:name="_Toc12503"/>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（三）参选文件的提交</w:t>
      </w:r>
      <w:bookmarkEnd w:id="37"/>
      <w:bookmarkEnd w:id="38"/>
      <w:bookmarkEnd w:id="39"/>
      <w:bookmarkEnd w:id="40"/>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w:t>
      </w:r>
      <w:r>
        <w:rPr>
          <w:rFonts w:hint="eastAsia" w:ascii="宋体" w:hAnsi="宋体" w:eastAsia="宋体" w:cs="Times New Roman"/>
          <w:b w:val="0"/>
          <w:bCs w:val="0"/>
          <w:szCs w:val="21"/>
          <w:highlight w:val="none"/>
        </w:rPr>
        <w:t>和副本均需胶装成册并标明页码</w:t>
      </w:r>
      <w:r>
        <w:rPr>
          <w:rFonts w:hint="eastAsia" w:ascii="宋体" w:hAnsi="宋体" w:eastAsia="宋体" w:cs="Times New Roman"/>
          <w:szCs w:val="21"/>
          <w:highlight w:val="none"/>
        </w:rPr>
        <w:t>，不得采用活页或容易拆解的装订形式。</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项目名称、</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采购人</w:t>
      </w:r>
      <w:r>
        <w:rPr>
          <w:rFonts w:hint="eastAsia" w:ascii="宋体" w:hAnsi="宋体" w:eastAsia="宋体" w:cs="Times New Roman"/>
          <w:b/>
          <w:bCs/>
          <w:szCs w:val="21"/>
          <w:highlight w:val="none"/>
        </w:rPr>
        <w:t>名称、</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参选人</w:t>
      </w:r>
      <w:r>
        <w:rPr>
          <w:rFonts w:hint="eastAsia" w:ascii="宋体" w:hAnsi="宋体" w:eastAsia="宋体" w:cs="Times New Roman"/>
          <w:b/>
          <w:bCs/>
          <w:szCs w:val="21"/>
          <w:highlight w:val="none"/>
        </w:rPr>
        <w:t>名称（加盖</w:t>
      </w:r>
      <w:r>
        <w:rPr>
          <w:rFonts w:hint="eastAsia" w:ascii="宋体" w:hAnsi="宋体" w:eastAsia="宋体" w:cs="Times New Roman"/>
          <w:b/>
          <w:bCs/>
          <w:szCs w:val="21"/>
          <w:highlight w:val="none"/>
          <w:lang w:eastAsia="zh-CN"/>
        </w:rPr>
        <w:t>参选人</w:t>
      </w:r>
      <w:r>
        <w:rPr>
          <w:rFonts w:hint="eastAsia" w:ascii="宋体" w:hAnsi="宋体" w:eastAsia="宋体" w:cs="Times New Roman"/>
          <w:b/>
          <w:bCs/>
          <w:szCs w:val="21"/>
          <w:highlight w:val="none"/>
        </w:rPr>
        <w:t>公章）。</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，将不被接受。</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、投标截止时间</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pPr>
        <w:widowControl/>
        <w:spacing w:line="500" w:lineRule="exact"/>
        <w:ind w:firstLine="420" w:firstLineChars="200"/>
        <w:jc w:val="left"/>
        <w:rPr>
          <w:rFonts w:hint="eastAsia" w:ascii="宋体" w:hAnsi="宋体" w:eastAsia="宋体" w:cs="Times New Roman"/>
          <w:szCs w:val="21"/>
          <w:highlight w:val="none"/>
        </w:rPr>
      </w:pPr>
      <w:bookmarkStart w:id="41" w:name="_Toc23598"/>
      <w:bookmarkStart w:id="42" w:name="_Toc479622047"/>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的修改或撤回通知应按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须知规定编制、密封、标记和提交，并在</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密封袋上清楚标明“补充、修改”或“撤回”字样。</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pPr>
        <w:rPr>
          <w:rFonts w:hint="eastAsia" w:ascii="Times New Roman" w:hAnsi="Times New Roman" w:eastAsia="宋体" w:cs="Times New Roman"/>
          <w:color w:val="000000"/>
          <w:szCs w:val="24"/>
          <w:highlight w:val="none"/>
        </w:rPr>
      </w:pPr>
      <w:bookmarkStart w:id="43" w:name="_Toc4481595"/>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（四）开标</w:t>
      </w:r>
      <w:bookmarkEnd w:id="41"/>
      <w:bookmarkEnd w:id="42"/>
      <w:bookmarkEnd w:id="43"/>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19</w:t>
      </w:r>
      <w:r>
        <w:rPr>
          <w:rFonts w:hint="eastAsia" w:ascii="宋体" w:hAnsi="宋体" w:eastAsia="宋体" w:cs="Times New Roman"/>
          <w:b/>
          <w:bCs/>
          <w:color w:val="000000"/>
          <w:szCs w:val="21"/>
          <w:highlight w:val="none"/>
        </w:rPr>
        <w:t>、开标时间和地点：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val="en-US" w:eastAsia="zh-CN"/>
        </w:rPr>
        <w:t>0</w:t>
      </w:r>
      <w:r>
        <w:rPr>
          <w:rFonts w:hint="eastAsia" w:ascii="宋体" w:hAnsi="宋体" w:eastAsia="宋体" w:cs="Times New Roman"/>
          <w:b/>
          <w:bCs/>
          <w:color w:val="000000"/>
          <w:szCs w:val="21"/>
          <w:highlight w:val="none"/>
        </w:rPr>
        <w:t>、开标程序</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参选报价函</w:t>
      </w:r>
      <w:r>
        <w:rPr>
          <w:rFonts w:hint="eastAsia" w:ascii="宋体" w:hAnsi="宋体" w:eastAsia="宋体" w:cs="宋体"/>
          <w:szCs w:val="21"/>
          <w:highlight w:val="none"/>
          <w:lang w:bidi="ar"/>
        </w:rPr>
        <w:t>其他内容，并记录在案；</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.1.6</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代表、</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暂时休会，进入评审阶段；</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复会，宣布评审结果。</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查验证件</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.2.1</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lang w:eastAsia="zh-CN"/>
        </w:rPr>
        <w:t>采购人</w:t>
      </w:r>
      <w:r>
        <w:rPr>
          <w:rFonts w:hint="eastAsia" w:ascii="宋体" w:hAnsi="宋体" w:eastAsia="宋体" w:cs="Times New Roman"/>
          <w:b/>
          <w:bCs/>
          <w:color w:val="auto"/>
          <w:szCs w:val="21"/>
          <w:highlight w:val="none"/>
        </w:rPr>
        <w:t>审查</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以下证件，若证件不全或不符合要求，则查验不合格。</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法定代表人或个体工商户经营者应出示有效二代居民身份证、营业执照复印件或</w:t>
      </w:r>
      <w:r>
        <w:rPr>
          <w:rFonts w:hint="eastAsia" w:ascii="宋体" w:hAnsi="宋体" w:eastAsia="宋体" w:cs="Times New Roman"/>
          <w:b/>
          <w:bCs/>
          <w:color w:val="auto"/>
          <w:szCs w:val="21"/>
          <w:highlight w:val="none"/>
          <w:lang w:eastAsia="zh-CN"/>
        </w:rPr>
        <w:t>授权委托人</w:t>
      </w:r>
      <w:r>
        <w:rPr>
          <w:rFonts w:hint="eastAsia" w:ascii="宋体" w:hAnsi="宋体" w:eastAsia="宋体" w:cs="Times New Roman"/>
          <w:b/>
          <w:bCs/>
          <w:color w:val="auto"/>
          <w:szCs w:val="21"/>
          <w:highlight w:val="none"/>
        </w:rPr>
        <w:t>应出示授权书；（授权书格式见附件）。</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szCs w:val="21"/>
          <w:highlight w:val="none"/>
        </w:rPr>
        <w:t>开标过程中发现有下列情况的，由评标委员会评审后，认定为投标无效：</w:t>
      </w:r>
    </w:p>
    <w:p>
      <w:pPr>
        <w:widowControl/>
        <w:spacing w:line="5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(3)财产被接管或冻结可能影响本项目正常实施的；</w:t>
      </w:r>
    </w:p>
    <w:p>
      <w:pPr>
        <w:widowControl/>
        <w:numPr>
          <w:ilvl w:val="0"/>
          <w:numId w:val="6"/>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pPr>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（五）评标</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 xml:space="preserve">    23、评标委员会</w:t>
      </w:r>
      <w:r>
        <w:rPr>
          <w:rFonts w:hint="eastAsia" w:ascii="宋体" w:hAnsi="宋体" w:eastAsia="宋体" w:cs="Times New Roman"/>
          <w:color w:val="000000"/>
          <w:szCs w:val="21"/>
          <w:highlight w:val="none"/>
        </w:rPr>
        <w:t>（以下简称“评委会”）：评委会依法组建。</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代表不得担任评委会组长。评标由评委会进行，评委应坚持公正、公平、诚实守信、实事求是、独立评标的原则。</w:t>
      </w:r>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24、评标方法：</w:t>
      </w:r>
      <w:r>
        <w:rPr>
          <w:rFonts w:hint="eastAsia" w:ascii="宋体" w:hAnsi="宋体" w:eastAsia="宋体" w:cs="宋体"/>
          <w:color w:val="000000"/>
          <w:szCs w:val="21"/>
          <w:highlight w:val="none"/>
        </w:rPr>
        <w:t>采用</w:t>
      </w:r>
      <w:r>
        <w:rPr>
          <w:rFonts w:hint="eastAsia" w:ascii="宋体" w:hAnsi="宋体" w:eastAsia="宋体" w:cs="宋体"/>
          <w:color w:val="000000"/>
          <w:szCs w:val="21"/>
          <w:highlight w:val="none"/>
          <w:lang w:eastAsia="zh-CN"/>
        </w:rPr>
        <w:t>最低投标价法</w:t>
      </w:r>
      <w:r>
        <w:rPr>
          <w:rFonts w:hint="eastAsia" w:ascii="宋体" w:hAnsi="宋体" w:eastAsia="宋体" w:cs="宋体"/>
          <w:color w:val="000000"/>
          <w:szCs w:val="21"/>
          <w:highlight w:val="none"/>
        </w:rPr>
        <w:t>。</w:t>
      </w:r>
    </w:p>
    <w:p>
      <w:pPr>
        <w:spacing w:line="360" w:lineRule="auto"/>
        <w:ind w:firstLine="422" w:firstLineChars="200"/>
        <w:jc w:val="left"/>
        <w:rPr>
          <w:rFonts w:ascii="宋体" w:hAnsi="宋体" w:eastAsia="宋体" w:cs="宋体"/>
          <w:b/>
          <w:color w:val="000000"/>
          <w:szCs w:val="21"/>
          <w:highlight w:val="none"/>
        </w:rPr>
      </w:pPr>
      <w:r>
        <w:rPr>
          <w:rFonts w:hint="eastAsia" w:ascii="宋体" w:hAnsi="宋体" w:eastAsia="宋体" w:cs="Times New Roman"/>
          <w:b/>
          <w:bCs/>
          <w:color w:val="000000"/>
          <w:szCs w:val="21"/>
          <w:highlight w:val="none"/>
        </w:rPr>
        <w:t>25、评标程序</w:t>
      </w:r>
      <w:r>
        <w:rPr>
          <w:rFonts w:hint="eastAsia" w:ascii="宋体" w:hAnsi="宋体" w:eastAsia="宋体" w:cs="Times New Roman"/>
          <w:color w:val="000000"/>
          <w:szCs w:val="21"/>
          <w:highlight w:val="none"/>
        </w:rPr>
        <w:t>：评标包括</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进行符合性审查，只有通过</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才能进入</w:t>
      </w:r>
      <w:r>
        <w:rPr>
          <w:rFonts w:hint="eastAsia" w:ascii="宋体" w:hAnsi="宋体" w:eastAsia="宋体" w:cs="Times New Roman"/>
          <w:color w:val="000000"/>
          <w:szCs w:val="21"/>
          <w:highlight w:val="none"/>
          <w:lang w:eastAsia="zh-CN"/>
        </w:rPr>
        <w:t>比选</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符合性审查，包括但不限于以下内容：</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是否按</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的要求进行编制、盖章和标记；</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要求提交的各种资格证明文件是否真实、完整、合法、有效；</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color w:val="000000" w:themeColor="text1"/>
          <w:szCs w:val="21"/>
          <w:highlight w:val="none"/>
          <w14:textFill>
            <w14:solidFill>
              <w14:schemeClr w14:val="tx1"/>
            </w14:solidFill>
          </w14:textFill>
        </w:rPr>
        <w:t>内容及质量是否完全响应或优于</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对法律、法规和</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其他明确要求的符合性；</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是否附有</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不能接受的条件；</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是否存在</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约定</w:t>
      </w:r>
      <w:r>
        <w:rPr>
          <w:rFonts w:hint="eastAsia" w:ascii="宋体" w:hAnsi="宋体" w:eastAsia="宋体" w:cs="宋体"/>
          <w:color w:val="000000" w:themeColor="text1"/>
          <w:szCs w:val="21"/>
          <w:highlight w:val="none"/>
          <w14:textFill>
            <w14:solidFill>
              <w14:schemeClr w14:val="tx1"/>
            </w14:solidFill>
          </w14:textFill>
        </w:rPr>
        <w:t>的无效</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的其他情形；</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资格要求提供复印件或影印件或扫描件，并加盖</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公章，否则投标无效。</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、报价评审：</w:t>
      </w:r>
      <w:r>
        <w:rPr>
          <w:rFonts w:hint="eastAsia" w:ascii="宋体" w:hAnsi="宋体" w:eastAsia="宋体" w:cs="Times New Roman"/>
          <w:szCs w:val="21"/>
          <w:highlight w:val="none"/>
          <w:lang w:val="en-US" w:eastAsia="zh-CN"/>
        </w:rPr>
        <w:t>参选人</w:t>
      </w:r>
      <w:r>
        <w:rPr>
          <w:rFonts w:hint="eastAsia" w:ascii="宋体" w:hAnsi="宋体" w:eastAsia="宋体" w:cs="Times New Roman"/>
          <w:b/>
          <w:bCs/>
          <w:szCs w:val="21"/>
          <w:highlight w:val="none"/>
          <w:lang w:val="en-US" w:eastAsia="zh-CN"/>
        </w:rPr>
        <w:t>总</w:t>
      </w:r>
      <w:r>
        <w:rPr>
          <w:rFonts w:hint="eastAsia" w:ascii="宋体" w:hAnsi="宋体" w:eastAsia="宋体" w:cs="Times New Roman"/>
          <w:b/>
          <w:bCs/>
          <w:szCs w:val="21"/>
          <w:highlight w:val="none"/>
        </w:rPr>
        <w:t>报价不得</w:t>
      </w:r>
      <w:r>
        <w:rPr>
          <w:rFonts w:hint="eastAsia" w:ascii="宋体" w:hAnsi="宋体" w:eastAsia="宋体" w:cs="Times New Roman"/>
          <w:b/>
          <w:bCs/>
          <w:szCs w:val="21"/>
          <w:highlight w:val="none"/>
          <w:lang w:eastAsia="zh-CN"/>
        </w:rPr>
        <w:t>高于最高投标限价、</w:t>
      </w:r>
      <w:r>
        <w:rPr>
          <w:rFonts w:hint="eastAsia" w:ascii="宋体" w:hAnsi="宋体" w:eastAsia="宋体" w:cs="Times New Roman"/>
          <w:b/>
          <w:bCs/>
          <w:szCs w:val="21"/>
          <w:highlight w:val="none"/>
          <w:lang w:val="en-US" w:eastAsia="zh-CN"/>
        </w:rPr>
        <w:t>单项报价</w:t>
      </w:r>
      <w:r>
        <w:rPr>
          <w:rFonts w:hint="eastAsia" w:ascii="宋体" w:hAnsi="宋体" w:eastAsia="宋体" w:cs="Times New Roman"/>
          <w:b/>
          <w:bCs/>
          <w:szCs w:val="21"/>
          <w:highlight w:val="none"/>
        </w:rPr>
        <w:t>不得</w:t>
      </w:r>
      <w:r>
        <w:rPr>
          <w:rFonts w:hint="eastAsia" w:ascii="宋体" w:hAnsi="宋体" w:eastAsia="宋体" w:cs="Times New Roman"/>
          <w:b/>
          <w:bCs/>
          <w:szCs w:val="21"/>
          <w:highlight w:val="none"/>
          <w:lang w:eastAsia="zh-CN"/>
        </w:rPr>
        <w:t>高于</w:t>
      </w:r>
      <w:r>
        <w:rPr>
          <w:rFonts w:hint="eastAsia" w:ascii="宋体" w:hAnsi="宋体" w:eastAsia="宋体" w:cs="Times New Roman"/>
          <w:b/>
          <w:bCs/>
          <w:szCs w:val="21"/>
          <w:highlight w:val="none"/>
          <w:lang w:val="en-US" w:eastAsia="zh-CN"/>
        </w:rPr>
        <w:t>单价</w:t>
      </w:r>
      <w:r>
        <w:rPr>
          <w:rFonts w:hint="eastAsia" w:ascii="宋体" w:hAnsi="宋体" w:eastAsia="宋体" w:cs="Times New Roman"/>
          <w:b/>
          <w:bCs/>
          <w:szCs w:val="21"/>
          <w:highlight w:val="none"/>
          <w:lang w:eastAsia="zh-CN"/>
        </w:rPr>
        <w:t>限价</w:t>
      </w:r>
      <w:r>
        <w:rPr>
          <w:rFonts w:hint="eastAsia" w:ascii="宋体" w:hAnsi="宋体" w:eastAsia="宋体" w:cs="Times New Roman"/>
          <w:szCs w:val="21"/>
          <w:highlight w:val="none"/>
          <w:lang w:eastAsia="zh-CN"/>
        </w:rPr>
        <w:t>，</w:t>
      </w:r>
      <w:r>
        <w:rPr>
          <w:rFonts w:hint="eastAsia" w:ascii="宋体" w:hAnsi="宋体" w:eastAsia="宋体" w:cs="Times New Roman"/>
          <w:color w:val="000000"/>
          <w:szCs w:val="21"/>
          <w:highlight w:val="none"/>
        </w:rPr>
        <w:t>否则为无效报价，即报价评审不通过。</w:t>
      </w:r>
    </w:p>
    <w:p>
      <w:pPr>
        <w:widowControl/>
        <w:spacing w:line="48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、报价中包含单价与总价的，应审核总价金额与按单价汇总金额是否一致，若货物报价表单价汇总金额、货物报价表总价、</w:t>
      </w:r>
      <w:r>
        <w:rPr>
          <w:rFonts w:hint="eastAsia" w:ascii="宋体" w:hAnsi="宋体" w:eastAsia="宋体" w:cs="Times New Roman"/>
          <w:color w:val="000000"/>
          <w:szCs w:val="21"/>
          <w:highlight w:val="none"/>
          <w:lang w:eastAsia="zh-CN"/>
        </w:rPr>
        <w:t>参选报价函中报价</w:t>
      </w:r>
      <w:r>
        <w:rPr>
          <w:rFonts w:hint="eastAsia" w:ascii="宋体" w:hAnsi="宋体" w:eastAsia="宋体" w:cs="Times New Roman"/>
          <w:color w:val="000000"/>
          <w:szCs w:val="21"/>
          <w:highlight w:val="none"/>
        </w:rPr>
        <w:t>三者不一致的，视为无效报价。</w:t>
      </w:r>
    </w:p>
    <w:p>
      <w:pPr>
        <w:widowControl/>
        <w:spacing w:line="48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w:t>
      </w:r>
      <w:r>
        <w:rPr>
          <w:rFonts w:hint="eastAsia" w:ascii="宋体" w:hAnsi="宋体" w:eastAsia="宋体" w:cs="Times New Roman"/>
          <w:color w:val="000000" w:themeColor="text1"/>
          <w:szCs w:val="21"/>
          <w:highlight w:val="none"/>
          <w14:textFill>
            <w14:solidFill>
              <w14:schemeClr w14:val="tx1"/>
            </w14:solidFill>
          </w14:textFill>
        </w:rPr>
        <w:t>澄清有关问题：</w:t>
      </w:r>
      <w:r>
        <w:rPr>
          <w:rFonts w:hint="eastAsia" w:ascii="宋体" w:hAnsi="宋体" w:eastAsia="宋体" w:cs="Times New Roman"/>
          <w:szCs w:val="21"/>
          <w:highlight w:val="none"/>
        </w:rPr>
        <w:t>在评标期间，评委会有权以书面方式要求</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中含义不明确、对同类问题表述不一致或者有明显文字和计算错误的内容作必要的澄清、说明或补正。</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澄清、说明或补正应在评委会规定的时间内以书面方式进行，并不得超出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范围或者改变</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的实质性内容。澄清文件将作为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内容的一部分</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、失信核查</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评标委员会对推荐为中标候选人的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是否被列入“信用中国、中国政府采购网”政府采购严重违法失信名单进行网上核查（网址：</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"http://www.creditchina.gov.cn/" </w:instrText>
      </w:r>
      <w:r>
        <w:rPr>
          <w:rFonts w:ascii="Times New Roman" w:hAnsi="Times New Roman" w:eastAsia="宋体" w:cs="Times New Roman"/>
          <w:szCs w:val="24"/>
          <w:highlight w:val="none"/>
        </w:rPr>
        <w:fldChar w:fldCharType="separate"/>
      </w:r>
      <w:r>
        <w:rPr>
          <w:rStyle w:val="74"/>
          <w:rFonts w:hint="eastAsia" w:ascii="宋体" w:hAnsi="宋体" w:eastAsia="宋体" w:cs="Times New Roman"/>
          <w:color w:val="000000"/>
          <w:szCs w:val="21"/>
          <w:highlight w:val="none"/>
        </w:rPr>
        <w:t>http://www.creditchina.gov.cn/</w:t>
      </w:r>
      <w:r>
        <w:rPr>
          <w:rStyle w:val="74"/>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szCs w:val="24"/>
          <w:highlight w:val="none"/>
        </w:rPr>
        <w:fldChar w:fldCharType="separate"/>
      </w:r>
      <w:r>
        <w:rPr>
          <w:rStyle w:val="74"/>
          <w:rFonts w:hint="eastAsia" w:ascii="宋体" w:hAnsi="Times New Roman" w:eastAsia="宋体" w:cs="Times New Roman"/>
          <w:color w:val="000000"/>
          <w:szCs w:val="21"/>
          <w:highlight w:val="none"/>
        </w:rPr>
        <w:t>http://www.ccgp.gov.cn/），</w:t>
      </w:r>
      <w:r>
        <w:rPr>
          <w:rStyle w:val="74"/>
          <w:rFonts w:hint="eastAsia" w:ascii="宋体" w:hAnsi="Times New Roman" w:eastAsia="宋体" w:cs="Times New Roman"/>
          <w:color w:val="000000"/>
          <w:szCs w:val="21"/>
          <w:highlight w:val="none"/>
          <w:u w:val="none"/>
        </w:rPr>
        <w:t>若核查存在</w:t>
      </w:r>
      <w:r>
        <w:rPr>
          <w:rStyle w:val="74"/>
          <w:rFonts w:hint="eastAsia" w:ascii="宋体" w:hAnsi="宋体" w:eastAsia="宋体" w:cs="Times New Roman"/>
          <w:color w:val="000000"/>
          <w:szCs w:val="21"/>
          <w:highlight w:val="none"/>
          <w:u w:val="none"/>
        </w:rPr>
        <w:t>政府采购严重违法</w:t>
      </w:r>
      <w:r>
        <w:rPr>
          <w:rStyle w:val="74"/>
          <w:rFonts w:hint="eastAsia" w:ascii="宋体" w:hAnsi="Times New Roman" w:eastAsia="宋体" w:cs="Times New Roman"/>
          <w:color w:val="000000"/>
          <w:szCs w:val="21"/>
          <w:highlight w:val="none"/>
          <w:u w:val="none"/>
        </w:rPr>
        <w:t>失信名单记录的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000000"/>
          <w:szCs w:val="21"/>
          <w:highlight w:val="none"/>
          <w:u w:val="none"/>
        </w:rPr>
        <w:t>不得将其推荐为中标候选人，依序递补，并再次对递补的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进行核查。</w:t>
      </w:r>
      <w:r>
        <w:rPr>
          <w:rStyle w:val="74"/>
          <w:rFonts w:hint="eastAsia" w:ascii="宋体" w:hAnsi="Times New Roman" w:eastAsia="宋体" w:cs="Times New Roman"/>
          <w:color w:val="000000"/>
          <w:szCs w:val="21"/>
          <w:highlight w:val="none"/>
          <w:u w:val="none"/>
        </w:rPr>
        <w:fldChar w:fldCharType="end"/>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w:t>
      </w:r>
      <w:r>
        <w:rPr>
          <w:rFonts w:hint="eastAsia" w:ascii="宋体" w:hAnsi="宋体" w:eastAsia="宋体" w:cs="宋体"/>
          <w:color w:val="000000"/>
          <w:szCs w:val="21"/>
          <w:highlight w:val="none"/>
        </w:rPr>
        <w:t>确定中标候选人排序：评委会对通过</w:t>
      </w:r>
      <w:r>
        <w:rPr>
          <w:rFonts w:hint="eastAsia" w:ascii="宋体" w:hAnsi="宋体" w:eastAsia="宋体" w:cs="宋体"/>
          <w:color w:val="000000"/>
          <w:szCs w:val="21"/>
          <w:highlight w:val="none"/>
          <w:lang w:eastAsia="zh-CN"/>
        </w:rPr>
        <w:t>参选文件</w:t>
      </w:r>
      <w:r>
        <w:rPr>
          <w:rFonts w:hint="eastAsia" w:ascii="宋体" w:hAnsi="宋体" w:eastAsia="宋体" w:cs="宋体"/>
          <w:bCs/>
          <w:color w:val="000000"/>
          <w:szCs w:val="24"/>
          <w:highlight w:val="none"/>
        </w:rPr>
        <w:t>符合性审查</w:t>
      </w:r>
      <w:r>
        <w:rPr>
          <w:rFonts w:hint="eastAsia" w:ascii="宋体" w:hAnsi="宋体" w:eastAsia="宋体" w:cs="宋体"/>
          <w:color w:val="000000"/>
          <w:szCs w:val="21"/>
          <w:highlight w:val="none"/>
        </w:rPr>
        <w:t>、报价评审和失信核查的</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rPr>
        <w:t>，根据</w:t>
      </w:r>
      <w:r>
        <w:rPr>
          <w:rFonts w:hint="eastAsia" w:ascii="宋体" w:hAnsi="宋体" w:eastAsia="宋体" w:cs="宋体"/>
          <w:color w:val="000000"/>
          <w:szCs w:val="21"/>
          <w:highlight w:val="none"/>
          <w:lang w:val="en-US" w:eastAsia="zh-CN"/>
        </w:rPr>
        <w:t>最低价</w:t>
      </w:r>
      <w:r>
        <w:rPr>
          <w:rFonts w:hint="eastAsia" w:ascii="宋体" w:hAnsi="宋体" w:eastAsia="宋体" w:cs="宋体"/>
          <w:color w:val="000000"/>
          <w:szCs w:val="21"/>
          <w:highlight w:val="none"/>
        </w:rPr>
        <w:t>由</w:t>
      </w:r>
      <w:r>
        <w:rPr>
          <w:rFonts w:hint="eastAsia" w:ascii="宋体" w:hAnsi="宋体" w:eastAsia="宋体" w:cs="宋体"/>
          <w:color w:val="000000"/>
          <w:szCs w:val="21"/>
          <w:highlight w:val="none"/>
          <w:lang w:val="en-US" w:eastAsia="zh-CN"/>
        </w:rPr>
        <w:t>低</w:t>
      </w:r>
      <w:r>
        <w:rPr>
          <w:rFonts w:hint="eastAsia" w:ascii="宋体" w:hAnsi="宋体" w:eastAsia="宋体" w:cs="宋体"/>
          <w:color w:val="000000"/>
          <w:szCs w:val="21"/>
          <w:highlight w:val="none"/>
        </w:rPr>
        <w:t>至</w:t>
      </w:r>
      <w:r>
        <w:rPr>
          <w:rFonts w:hint="eastAsia" w:ascii="宋体" w:hAnsi="宋体" w:eastAsia="宋体" w:cs="宋体"/>
          <w:color w:val="000000"/>
          <w:szCs w:val="21"/>
          <w:highlight w:val="none"/>
          <w:lang w:val="en-US" w:eastAsia="zh-CN"/>
        </w:rPr>
        <w:t>高</w:t>
      </w:r>
      <w:r>
        <w:rPr>
          <w:rFonts w:hint="eastAsia" w:ascii="宋体" w:hAnsi="宋体" w:eastAsia="宋体" w:cs="宋体"/>
          <w:color w:val="000000"/>
          <w:szCs w:val="21"/>
          <w:highlight w:val="none"/>
        </w:rPr>
        <w:t>的顺序排列。若出现两家或两家以上</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lang w:val="en-US" w:eastAsia="zh-CN"/>
        </w:rPr>
        <w:t>报价最低</w:t>
      </w:r>
      <w:r>
        <w:rPr>
          <w:rFonts w:hint="eastAsia" w:ascii="宋体" w:hAnsi="宋体" w:eastAsia="宋体" w:cs="宋体"/>
          <w:color w:val="000000"/>
          <w:szCs w:val="21"/>
          <w:highlight w:val="none"/>
        </w:rPr>
        <w:t>且相等，</w:t>
      </w:r>
      <w:r>
        <w:rPr>
          <w:rFonts w:hint="eastAsia" w:ascii="宋体" w:hAnsi="宋体" w:eastAsia="宋体" w:cs="Times New Roman"/>
          <w:color w:val="000000"/>
          <w:szCs w:val="21"/>
          <w:highlight w:val="none"/>
        </w:rPr>
        <w:t>则由</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采取现场随机抽取的方式确定中标候选人排序。</w:t>
      </w:r>
    </w:p>
    <w:p>
      <w:pPr>
        <w:widowControl/>
        <w:spacing w:line="500" w:lineRule="exact"/>
        <w:jc w:val="left"/>
        <w:rPr>
          <w:rFonts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b/>
          <w:bCs/>
          <w:color w:val="000000"/>
          <w:szCs w:val="21"/>
          <w:highlight w:val="none"/>
        </w:rPr>
        <w:t>26、开标评标异常情况处理</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26.1、在招标采购中，出现下列情况之一的，应予废标，采购单位重新组织采购：</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 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出现影响采购公正的违法、违规行为的；</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w:t>
      </w:r>
      <w:r>
        <w:rPr>
          <w:rFonts w:hint="eastAsia" w:ascii="宋体" w:hAnsi="宋体" w:eastAsia="宋体" w:cs="Times New Roman"/>
          <w:color w:val="000000"/>
          <w:szCs w:val="21"/>
          <w:highlight w:val="none"/>
        </w:rPr>
        <w:tab/>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因重大变故，采购任务取消的。</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27、评标过程的保密性</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27.1、开标后，直到授予中标人合同止，凡是与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 xml:space="preserve">被拒绝。   </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p>
    <w:p>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pPr>
        <w:spacing w:line="360" w:lineRule="auto"/>
        <w:ind w:firstLine="420" w:firstLineChars="200"/>
        <w:rPr>
          <w:rFonts w:ascii="Times New Roman" w:hAnsi="宋体" w:eastAsia="宋体" w:cs="宋体"/>
          <w:b/>
          <w:color w:val="000000"/>
          <w:szCs w:val="24"/>
          <w:highlight w:val="none"/>
        </w:rPr>
      </w:pPr>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p>
    <w:p>
      <w:pPr>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br w:type="page"/>
      </w:r>
    </w:p>
    <w:p>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000000"/>
          <w:kern w:val="0"/>
          <w:sz w:val="32"/>
          <w:szCs w:val="21"/>
          <w:highlight w:val="none"/>
          <w:lang w:val="en-US" w:eastAsia="zh-CN" w:bidi="ar-SA"/>
        </w:rPr>
      </w:pPr>
      <w:r>
        <w:rPr>
          <w:rFonts w:hint="eastAsia" w:ascii="宋体" w:hAnsi="宋体" w:eastAsia="宋体" w:cs="Times New Roman"/>
          <w:b/>
          <w:bCs w:val="0"/>
          <w:color w:val="000000"/>
          <w:kern w:val="0"/>
          <w:sz w:val="32"/>
          <w:szCs w:val="21"/>
          <w:highlight w:val="none"/>
          <w:lang w:val="en-US" w:eastAsia="zh-CN" w:bidi="ar-SA"/>
        </w:rPr>
        <w:t>（六）合同</w:t>
      </w:r>
      <w:r>
        <w:rPr>
          <w:rFonts w:hint="eastAsia" w:ascii="宋体" w:hAnsi="宋体" w:eastAsia="宋体" w:cs="Times New Roman"/>
          <w:b/>
          <w:bCs/>
          <w:color w:val="000000"/>
          <w:kern w:val="0"/>
          <w:sz w:val="32"/>
          <w:szCs w:val="21"/>
          <w:highlight w:val="none"/>
          <w:lang w:val="en-US" w:eastAsia="zh-CN" w:bidi="ar-SA"/>
        </w:rPr>
        <w:t>授予</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28.签订合同</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28.1.1、中标人的中标价即为合同价款。</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28.1.2、中标人在收到中标通知书起30天内，与</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签订合同。</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可以按照评标委员会提出的中标候选人名单排序依次确定其他中标候选人为中标人，或重新组织采购。</w:t>
      </w:r>
    </w:p>
    <w:p>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p>
      <w:pPr>
        <w:pStyle w:val="3"/>
        <w:numPr>
          <w:ilvl w:val="0"/>
          <w:numId w:val="7"/>
        </w:numPr>
        <w:spacing w:before="62" w:beforeLines="20" w:after="62" w:afterLines="20" w:line="48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采购需求</w:t>
      </w:r>
      <w:r>
        <w:rPr>
          <w:rFonts w:hint="eastAsia" w:ascii="Arial" w:hAnsi="Arial"/>
          <w:color w:val="000000" w:themeColor="text1"/>
          <w:kern w:val="2"/>
          <w:sz w:val="32"/>
          <w:szCs w:val="32"/>
          <w:highlight w:val="none"/>
          <w14:textFill>
            <w14:solidFill>
              <w14:schemeClr w14:val="tx1"/>
            </w14:solidFill>
          </w14:textFill>
        </w:rPr>
        <w:t>及</w:t>
      </w:r>
      <w:r>
        <w:rPr>
          <w:rFonts w:hint="eastAsia" w:ascii="Arial" w:hAnsi="Arial"/>
          <w:color w:val="000000" w:themeColor="text1"/>
          <w:kern w:val="2"/>
          <w:sz w:val="32"/>
          <w:szCs w:val="32"/>
          <w:highlight w:val="none"/>
          <w:lang w:val="zh-CN"/>
          <w14:textFill>
            <w14:solidFill>
              <w14:schemeClr w14:val="tx1"/>
            </w14:solidFill>
          </w14:textFill>
        </w:rPr>
        <w:t>技术要求</w:t>
      </w:r>
    </w:p>
    <w:p>
      <w:pPr>
        <w:tabs>
          <w:tab w:val="left" w:pos="3640"/>
        </w:tabs>
        <w:autoSpaceDE w:val="0"/>
        <w:autoSpaceDN w:val="0"/>
        <w:spacing w:line="360" w:lineRule="auto"/>
        <w:ind w:firstLine="560" w:firstLineChars="200"/>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一、采购需求</w:t>
      </w:r>
    </w:p>
    <w:tbl>
      <w:tblPr>
        <w:tblStyle w:val="61"/>
        <w:tblW w:w="5405" w:type="pct"/>
        <w:tblInd w:w="-3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85"/>
        <w:gridCol w:w="2205"/>
        <w:gridCol w:w="780"/>
        <w:gridCol w:w="1215"/>
        <w:gridCol w:w="1230"/>
        <w:gridCol w:w="2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波形梁钢护栏配件采购控制价清单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单价限价（元）</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φ140×4.5×1450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59664.00</w:t>
            </w:r>
          </w:p>
        </w:tc>
        <w:tc>
          <w:tcPr>
            <w:tcW w:w="117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1、表面采用热浸镀锌聚酯复合涂层防腐处理措施，热浸镀锌聚酯复合涂层由热浸镀锌内涂层和静电喷涂聚酯外涂层组成。表面防腐按《公路交通工程钢构件防腐技术条件》GB/T 18226-2015执行。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2、平均镀锌层附着量275g/㎡,平均镀锌层厚度39μm，聚酯涂层最小厚度76μm。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φ114×4.5×1300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6808.00</w:t>
            </w:r>
          </w:p>
        </w:tc>
        <w:tc>
          <w:tcPr>
            <w:tcW w:w="1177"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φ114×4.5×1500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618.00</w:t>
            </w:r>
          </w:p>
        </w:tc>
        <w:tc>
          <w:tcPr>
            <w:tcW w:w="1177"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预埋套筒</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φ245×7×495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17864.00</w:t>
            </w:r>
          </w:p>
        </w:tc>
        <w:tc>
          <w:tcPr>
            <w:tcW w:w="117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表面镀锌防腐处理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预埋钢板</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φ255×255×5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7308.00</w:t>
            </w:r>
          </w:p>
        </w:tc>
        <w:tc>
          <w:tcPr>
            <w:tcW w:w="117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0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w:t>
            </w:r>
          </w:p>
        </w:tc>
        <w:tc>
          <w:tcPr>
            <w:tcW w:w="113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φ140×4.5×1200</w:t>
            </w:r>
          </w:p>
        </w:tc>
        <w:tc>
          <w:tcPr>
            <w:tcW w:w="40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2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109</w:t>
            </w:r>
          </w:p>
        </w:tc>
        <w:tc>
          <w:tcPr>
            <w:tcW w:w="63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1308.00</w:t>
            </w:r>
          </w:p>
        </w:tc>
        <w:tc>
          <w:tcPr>
            <w:tcW w:w="117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93570.00</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1、报价含运费、税费等货物运达采购人指定地点的所有费用。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2、税率：13%，结算时必须提供足额的增值税专用发票。</w:t>
            </w:r>
          </w:p>
        </w:tc>
      </w:tr>
    </w:tbl>
    <w:p>
      <w:pPr>
        <w:tabs>
          <w:tab w:val="left" w:pos="3640"/>
        </w:tabs>
        <w:autoSpaceDE w:val="0"/>
        <w:autoSpaceDN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说明：</w:t>
      </w:r>
    </w:p>
    <w:p>
      <w:pPr>
        <w:keepNext w:val="0"/>
        <w:keepLines w:val="0"/>
        <w:pageBreakBefore w:val="0"/>
        <w:widowControl w:val="0"/>
        <w:numPr>
          <w:ilvl w:val="0"/>
          <w:numId w:val="8"/>
        </w:numPr>
        <w:tabs>
          <w:tab w:val="left" w:pos="3640"/>
        </w:tabs>
        <w:kinsoku/>
        <w:wordWrap/>
        <w:overflowPunct/>
        <w:topLinePunct w:val="0"/>
        <w:autoSpaceDE w:val="0"/>
        <w:autoSpaceDN w:val="0"/>
        <w:bidi w:val="0"/>
        <w:snapToGrid/>
        <w:spacing w:line="360" w:lineRule="auto"/>
        <w:ind w:firstLine="482" w:firstLineChars="200"/>
        <w:textAlignment w:val="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本次项目按</w:t>
      </w:r>
      <w:r>
        <w:rPr>
          <w:rFonts w:hint="eastAsia" w:ascii="宋体" w:hAnsi="宋体" w:cs="宋体"/>
          <w:b/>
          <w:bCs/>
          <w:color w:val="000000" w:themeColor="text1"/>
          <w:sz w:val="24"/>
          <w:szCs w:val="24"/>
          <w:highlight w:val="none"/>
          <w:lang w:val="en-US" w:eastAsia="zh-CN"/>
          <w14:textFill>
            <w14:solidFill>
              <w14:schemeClr w14:val="tx1"/>
            </w14:solidFill>
          </w14:textFill>
        </w:rPr>
        <w:t>总价</w:t>
      </w:r>
      <w:r>
        <w:rPr>
          <w:rFonts w:hint="eastAsia" w:ascii="宋体" w:hAnsi="宋体" w:cs="宋体"/>
          <w:b/>
          <w:bCs/>
          <w:color w:val="000000" w:themeColor="text1"/>
          <w:sz w:val="24"/>
          <w:szCs w:val="24"/>
          <w:highlight w:val="none"/>
          <w14:textFill>
            <w14:solidFill>
              <w14:schemeClr w14:val="tx1"/>
            </w14:solidFill>
          </w14:textFill>
        </w:rPr>
        <w:t>进行报价，</w:t>
      </w:r>
      <w:r>
        <w:rPr>
          <w:rFonts w:hint="eastAsia" w:ascii="宋体" w:hAnsi="宋体" w:cs="宋体"/>
          <w:b/>
          <w:bCs/>
          <w:color w:val="000000" w:themeColor="text1"/>
          <w:sz w:val="24"/>
          <w:szCs w:val="24"/>
          <w:highlight w:val="none"/>
          <w:lang w:eastAsia="zh-CN"/>
          <w14:textFill>
            <w14:solidFill>
              <w14:schemeClr w14:val="tx1"/>
            </w14:solidFill>
          </w14:textFill>
        </w:rPr>
        <w:t>最高投标限价</w:t>
      </w:r>
      <w:r>
        <w:rPr>
          <w:rFonts w:hint="eastAsia" w:ascii="宋体" w:hAnsi="宋体" w:cs="宋体"/>
          <w:b/>
          <w:bCs/>
          <w:color w:val="000000" w:themeColor="text1"/>
          <w:sz w:val="24"/>
          <w:szCs w:val="24"/>
          <w:highlight w:val="none"/>
          <w14:textFill>
            <w14:solidFill>
              <w14:schemeClr w14:val="tx1"/>
            </w14:solidFill>
          </w14:textFill>
        </w:rPr>
        <w:t>为</w:t>
      </w:r>
      <w:r>
        <w:rPr>
          <w:rFonts w:hint="eastAsia" w:ascii="宋体" w:hAnsi="宋体" w:cs="宋体"/>
          <w:b/>
          <w:bCs/>
          <w:color w:val="000000" w:themeColor="text1"/>
          <w:sz w:val="24"/>
          <w:szCs w:val="24"/>
          <w:highlight w:val="none"/>
          <w:lang w:val="en-US" w:eastAsia="zh-CN"/>
          <w14:textFill>
            <w14:solidFill>
              <w14:schemeClr w14:val="tx1"/>
            </w14:solidFill>
          </w14:textFill>
        </w:rPr>
        <w:t>93570</w:t>
      </w:r>
      <w:r>
        <w:rPr>
          <w:rFonts w:hint="eastAsia" w:ascii="宋体" w:hAnsi="宋体" w:cs="宋体"/>
          <w:b/>
          <w:bCs/>
          <w:color w:val="000000" w:themeColor="text1"/>
          <w:sz w:val="24"/>
          <w:szCs w:val="24"/>
          <w:highlight w:val="none"/>
          <w:lang w:eastAsia="zh-CN"/>
          <w14:textFill>
            <w14:solidFill>
              <w14:schemeClr w14:val="tx1"/>
            </w14:solidFill>
          </w14:textFill>
        </w:rPr>
        <w:t>元</w:t>
      </w:r>
      <w:r>
        <w:rPr>
          <w:rFonts w:hint="eastAsia" w:ascii="宋体" w:hAnsi="宋体" w:cs="宋体"/>
          <w:b/>
          <w:bCs/>
          <w:color w:val="000000" w:themeColor="text1"/>
          <w:sz w:val="24"/>
          <w:szCs w:val="24"/>
          <w:highlight w:val="none"/>
          <w14:textFill>
            <w14:solidFill>
              <w14:schemeClr w14:val="tx1"/>
            </w14:solidFill>
          </w14:textFill>
        </w:rPr>
        <w:t>。参选人总报价不得高于最高投标限价、单项报价不得高于单价限价</w:t>
      </w:r>
    </w:p>
    <w:p>
      <w:pPr>
        <w:keepNext w:val="0"/>
        <w:keepLines w:val="0"/>
        <w:pageBreakBefore w:val="0"/>
        <w:widowControl w:val="0"/>
        <w:numPr>
          <w:ilvl w:val="0"/>
          <w:numId w:val="8"/>
        </w:numPr>
        <w:tabs>
          <w:tab w:val="left" w:pos="3640"/>
        </w:tabs>
        <w:kinsoku/>
        <w:wordWrap/>
        <w:overflowPunct/>
        <w:topLinePunct w:val="0"/>
        <w:autoSpaceDE w:val="0"/>
        <w:autoSpaceDN w:val="0"/>
        <w:bidi w:val="0"/>
        <w:snapToGrid/>
        <w:spacing w:line="360" w:lineRule="auto"/>
        <w:ind w:firstLine="482" w:firstLineChars="200"/>
        <w:textAlignment w:val="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采用固定单价,单价包含制作费、运输费、13%税费等产品送达采购方指定地点内的一切相关费用。</w:t>
      </w:r>
    </w:p>
    <w:p>
      <w:pPr>
        <w:pStyle w:val="81"/>
        <w:keepNext w:val="0"/>
        <w:keepLines w:val="0"/>
        <w:pageBreakBefore w:val="0"/>
        <w:widowControl w:val="0"/>
        <w:kinsoku/>
        <w:wordWrap/>
        <w:overflowPunct/>
        <w:topLinePunct w:val="0"/>
        <w:autoSpaceDE w:val="0"/>
        <w:autoSpaceDN w:val="0"/>
        <w:bidi w:val="0"/>
        <w:snapToGrid/>
        <w:textAlignment w:val="auto"/>
        <w:rPr>
          <w:rFonts w:hint="eastAsia"/>
        </w:rPr>
      </w:pPr>
    </w:p>
    <w:p>
      <w:pPr>
        <w:numPr>
          <w:ilvl w:val="0"/>
          <w:numId w:val="0"/>
        </w:numPr>
        <w:tabs>
          <w:tab w:val="left" w:pos="3640"/>
        </w:tabs>
        <w:autoSpaceDE w:val="0"/>
        <w:autoSpaceDN w:val="0"/>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二、</w:t>
      </w:r>
      <w:r>
        <w:rPr>
          <w:rFonts w:hint="eastAsia" w:ascii="宋体" w:hAnsi="宋体" w:eastAsia="宋体" w:cs="宋体"/>
          <w:color w:val="000000" w:themeColor="text1"/>
          <w:sz w:val="28"/>
          <w:szCs w:val="28"/>
          <w:highlight w:val="none"/>
          <w:lang w:val="en-US" w:eastAsia="zh-CN"/>
          <w14:textFill>
            <w14:solidFill>
              <w14:schemeClr w14:val="tx1"/>
            </w14:solidFill>
          </w14:textFill>
        </w:rPr>
        <w:t>技术标准及要求</w:t>
      </w:r>
    </w:p>
    <w:p>
      <w:pPr>
        <w:widowControl/>
        <w:spacing w:line="440" w:lineRule="exact"/>
        <w:ind w:firstLine="42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1、材料应符合采购文件、技术规范及相关国家和行业标准要求。</w:t>
      </w:r>
    </w:p>
    <w:p>
      <w:pPr>
        <w:widowControl/>
        <w:spacing w:line="440" w:lineRule="exact"/>
        <w:ind w:firstLine="42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2、表面采用热浸镀锌聚酯复合涂层防腐处理措施，热浸镀锌聚酯复合涂层由热浸镀锌内涂层和静电喷涂聚酯外涂层组成。表面防腐按《公路交通工程钢构件防腐技术条件》GB/T 18226-2015执行。</w:t>
      </w:r>
    </w:p>
    <w:p>
      <w:pPr>
        <w:widowControl/>
        <w:spacing w:line="440" w:lineRule="exact"/>
        <w:ind w:firstLine="42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3、平均镀锌层附着量275g/㎡,平均镀锌层厚度39μm，聚酯涂层最小厚度76μm。</w:t>
      </w:r>
    </w:p>
    <w:p>
      <w:pPr>
        <w:pStyle w:val="2"/>
        <w:rPr>
          <w:rFonts w:hint="eastAsia"/>
          <w:lang w:val="en-US" w:eastAsia="zh-CN"/>
        </w:rPr>
      </w:pPr>
    </w:p>
    <w:p>
      <w:pPr>
        <w:numPr>
          <w:ilvl w:val="0"/>
          <w:numId w:val="0"/>
        </w:numPr>
        <w:tabs>
          <w:tab w:val="left" w:pos="3640"/>
        </w:tabs>
        <w:autoSpaceDE w:val="0"/>
        <w:autoSpaceDN w:val="0"/>
        <w:spacing w:line="360" w:lineRule="auto"/>
        <w:ind w:firstLine="560" w:firstLineChars="200"/>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三、工程结算及付款方式</w:t>
      </w:r>
    </w:p>
    <w:p>
      <w:pPr>
        <w:widowControl/>
        <w:spacing w:line="440" w:lineRule="exact"/>
        <w:ind w:firstLine="42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到货后验收合格，一次性支付全部货款，支付时供应商提供13%增值税发票。</w:t>
      </w:r>
    </w:p>
    <w:p>
      <w:pPr>
        <w:pStyle w:val="2"/>
        <w:rPr>
          <w:rFonts w:hint="eastAsia"/>
          <w:lang w:val="en-US" w:eastAsia="zh-CN"/>
        </w:rPr>
      </w:pPr>
    </w:p>
    <w:p>
      <w:pPr>
        <w:tabs>
          <w:tab w:val="left" w:pos="3640"/>
        </w:tabs>
        <w:autoSpaceDE w:val="0"/>
        <w:autoSpaceDN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3"/>
        <w:tabs>
          <w:tab w:val="clear" w:pos="1440"/>
          <w:tab w:val="clear" w:pos="5670"/>
        </w:tabs>
        <w:spacing w:beforeLines="0" w:afterLines="0"/>
        <w:ind w:firstLine="0" w:firstLineChars="0"/>
        <w:jc w:val="center"/>
        <w:rPr>
          <w:rFonts w:ascii="宋体" w:eastAsia="宋体" w:cs="宋体"/>
          <w:color w:val="000000" w:themeColor="text1"/>
          <w:highlight w:val="none"/>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44" w:name="_Toc476584431"/>
      <w:bookmarkStart w:id="45"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30"/>
      <w:bookmarkEnd w:id="31"/>
      <w:bookmarkEnd w:id="32"/>
      <w:bookmarkEnd w:id="44"/>
      <w:bookmarkEnd w:id="45"/>
    </w:p>
    <w:p>
      <w:pPr>
        <w:tabs>
          <w:tab w:val="left" w:pos="3640"/>
        </w:tabs>
        <w:autoSpaceDE w:val="0"/>
        <w:autoSpaceDN w:val="0"/>
        <w:spacing w:line="680" w:lineRule="exact"/>
        <w:rPr>
          <w:rFonts w:hint="eastAsia" w:ascii="宋体" w:hAnsi="宋体" w:eastAsia="宋体" w:cs="宋体"/>
          <w:color w:val="auto"/>
          <w:sz w:val="21"/>
          <w:szCs w:val="21"/>
          <w:highlight w:val="none"/>
          <w:u w:val="single"/>
        </w:rPr>
      </w:pPr>
      <w:bookmarkStart w:id="46" w:name="_Toc54941341"/>
      <w:bookmarkStart w:id="47" w:name="_Toc8981"/>
      <w:bookmarkStart w:id="48" w:name="_Toc25399"/>
      <w:bookmarkStart w:id="49" w:name="_Toc439316880"/>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3640"/>
        </w:tabs>
        <w:autoSpaceDE w:val="0"/>
        <w:autoSpaceDN w:val="0"/>
        <w:spacing w:line="6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3640"/>
        </w:tabs>
        <w:autoSpaceDE w:val="0"/>
        <w:autoSpaceDN w:val="0"/>
        <w:spacing w:line="6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比选文件，甲、</w:t>
      </w:r>
      <w:r>
        <w:rPr>
          <w:rFonts w:hint="eastAsia" w:ascii="宋体" w:hAnsi="宋体" w:eastAsia="宋体" w:cs="宋体"/>
          <w:color w:val="auto"/>
          <w:spacing w:val="-1"/>
          <w:sz w:val="21"/>
          <w:szCs w:val="21"/>
          <w:highlight w:val="none"/>
        </w:rPr>
        <w:t>乙</w:t>
      </w:r>
      <w:r>
        <w:rPr>
          <w:rFonts w:hint="eastAsia" w:ascii="宋体" w:hAnsi="宋体" w:eastAsia="宋体" w:cs="宋体"/>
          <w:color w:val="auto"/>
          <w:sz w:val="21"/>
          <w:szCs w:val="21"/>
          <w:highlight w:val="none"/>
        </w:rPr>
        <w:t>双方经协商一致，签订如下合同条款，并共同遵守。</w:t>
      </w:r>
    </w:p>
    <w:p>
      <w:pPr>
        <w:numPr>
          <w:ilvl w:val="0"/>
          <w:numId w:val="9"/>
        </w:numPr>
        <w:tabs>
          <w:tab w:val="left" w:pos="3640"/>
        </w:tabs>
        <w:autoSpaceDE w:val="0"/>
        <w:autoSpaceDN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货物名称、生产厂家、品牌、数量及金额</w:t>
      </w:r>
    </w:p>
    <w:tbl>
      <w:tblPr>
        <w:tblStyle w:val="61"/>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643"/>
        <w:gridCol w:w="1643"/>
        <w:gridCol w:w="1643"/>
        <w:gridCol w:w="1643"/>
        <w:gridCol w:w="1643"/>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4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材料名称</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数量</w:t>
            </w:r>
          </w:p>
        </w:tc>
        <w:tc>
          <w:tcPr>
            <w:tcW w:w="164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单价（元）</w:t>
            </w:r>
          </w:p>
        </w:tc>
        <w:tc>
          <w:tcPr>
            <w:tcW w:w="164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5"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5"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89" w:type="dxa"/>
            <w:gridSpan w:val="6"/>
            <w:tcBorders>
              <w:right w:val="single" w:color="auto" w:sz="4" w:space="0"/>
            </w:tcBorders>
            <w:noWrap w:val="0"/>
            <w:vAlign w:val="center"/>
          </w:tcPr>
          <w:p>
            <w:pPr>
              <w:spacing w:line="500" w:lineRule="exact"/>
              <w:ind w:right="-2" w:rightChars="-1"/>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合计：（大写）</w:t>
            </w:r>
          </w:p>
        </w:tc>
        <w:tc>
          <w:tcPr>
            <w:tcW w:w="1645"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7"/>
            <w:noWrap w:val="0"/>
            <w:vAlign w:val="center"/>
          </w:tcPr>
          <w:p>
            <w:pPr>
              <w:spacing w:line="500" w:lineRule="exact"/>
              <w:ind w:right="-2" w:rightChars="-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u w:val="single"/>
              </w:rPr>
              <w:t>（约定数量验收方式）</w:t>
            </w:r>
          </w:p>
        </w:tc>
      </w:tr>
    </w:tbl>
    <w:p>
      <w:pPr>
        <w:pStyle w:val="83"/>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本合同单价为到货价（货运至甲方指定地点卸载），且是综合单价，包括但不限于乙方支出的</w:t>
      </w:r>
      <w:r>
        <w:rPr>
          <w:rFonts w:hint="eastAsia" w:ascii="宋体" w:hAnsi="宋体" w:eastAsia="宋体" w:cs="宋体"/>
          <w:color w:val="auto"/>
          <w:sz w:val="21"/>
          <w:szCs w:val="21"/>
          <w:highlight w:val="none"/>
          <w:lang w:val="en-US" w:eastAsia="zh-CN"/>
        </w:rPr>
        <w:t>材料费、</w:t>
      </w:r>
      <w:r>
        <w:rPr>
          <w:rFonts w:hint="eastAsia" w:ascii="宋体" w:hAnsi="宋体" w:eastAsia="宋体" w:cs="宋体"/>
          <w:color w:val="auto"/>
          <w:sz w:val="21"/>
          <w:szCs w:val="21"/>
          <w:highlight w:val="none"/>
        </w:rPr>
        <w:t>运费、装卸费、保险费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利润</w:t>
      </w:r>
      <w:r>
        <w:rPr>
          <w:rFonts w:hint="eastAsia" w:ascii="宋体" w:hAnsi="宋体" w:eastAsia="宋体" w:cs="宋体"/>
          <w:color w:val="auto"/>
          <w:sz w:val="21"/>
          <w:szCs w:val="21"/>
          <w:highlight w:val="none"/>
        </w:rPr>
        <w:t>、税费等费用，甲方无需支付任何其他费用给乙方</w:t>
      </w:r>
    </w:p>
    <w:p>
      <w:pPr>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二、质量要求和技术标准</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1、乙方供应的产品必须符合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工程施工相关技术规范</w:t>
      </w:r>
      <w:r>
        <w:rPr>
          <w:rFonts w:hint="eastAsia" w:ascii="宋体" w:hAnsi="宋体" w:eastAsia="宋体" w:cs="宋体"/>
          <w:color w:val="auto"/>
          <w:sz w:val="21"/>
          <w:szCs w:val="21"/>
          <w:highlight w:val="none"/>
          <w:lang w:val="en-US" w:eastAsia="zh-Hans"/>
        </w:rPr>
        <w:t>及国家强制性规范</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Hans"/>
        </w:rPr>
        <w:t>行业标准</w:t>
      </w:r>
      <w:r>
        <w:rPr>
          <w:rFonts w:hint="eastAsia" w:ascii="宋体" w:hAnsi="宋体" w:eastAsia="宋体" w:cs="宋体"/>
          <w:color w:val="auto"/>
          <w:sz w:val="21"/>
          <w:szCs w:val="21"/>
          <w:highlight w:val="none"/>
          <w:lang w:val="en-US" w:eastAsia="zh-CN"/>
        </w:rPr>
        <w:t>、招标文件、图纸设计要求</w:t>
      </w:r>
      <w:r>
        <w:rPr>
          <w:rFonts w:hint="eastAsia" w:ascii="宋体" w:hAnsi="宋体" w:eastAsia="宋体" w:cs="宋体"/>
          <w:color w:val="auto"/>
          <w:sz w:val="21"/>
          <w:szCs w:val="21"/>
          <w:highlight w:val="none"/>
          <w:lang w:val="en-US" w:eastAsia="zh-Hans"/>
        </w:rPr>
        <w:t>等</w:t>
      </w:r>
      <w:r>
        <w:rPr>
          <w:rFonts w:hint="eastAsia" w:ascii="宋体" w:hAnsi="宋体" w:eastAsia="宋体" w:cs="宋体"/>
          <w:color w:val="auto"/>
          <w:sz w:val="21"/>
          <w:szCs w:val="21"/>
          <w:highlight w:val="none"/>
        </w:rPr>
        <w:t>。</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2、符合甲方、工程监理、总监办、中心试验室、项目办、质检等上级部门相关技术要求。</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3、材料供应过程中无论何种原因需要变更材料厂家的，需向甲方及上级相关部门提前报备</w:t>
      </w:r>
      <w:r>
        <w:rPr>
          <w:rFonts w:hint="eastAsia" w:ascii="宋体" w:hAnsi="宋体" w:eastAsia="宋体" w:cs="宋体"/>
          <w:color w:val="auto"/>
          <w:sz w:val="21"/>
          <w:szCs w:val="21"/>
          <w:highlight w:val="none"/>
          <w:lang w:val="en-US" w:eastAsia="zh-Hans"/>
        </w:rPr>
        <w:t>以征得甲方及上级相关部门的书面同意</w:t>
      </w:r>
      <w:r>
        <w:rPr>
          <w:rFonts w:hint="eastAsia" w:ascii="宋体" w:hAnsi="宋体" w:eastAsia="宋体" w:cs="宋体"/>
          <w:color w:val="auto"/>
          <w:sz w:val="21"/>
          <w:szCs w:val="21"/>
          <w:highlight w:val="none"/>
        </w:rPr>
        <w:t>，并在材料供应前做好相应的试验检测工作。</w:t>
      </w:r>
    </w:p>
    <w:p>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4、因乙方供应的材料质量原因引起的质量或安全事故，造成的经济损失及有关责任均由乙方承担。</w:t>
      </w:r>
    </w:p>
    <w:p>
      <w:pPr>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三、交货方式</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1、交货时间以甲方通知为准，如无特殊情况，甲方应提前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日通知乙方送货。</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2、乙方依据甲方通知，在要求的时间内，将</w:t>
      </w:r>
      <w:r>
        <w:rPr>
          <w:rFonts w:hint="eastAsia" w:ascii="宋体" w:hAnsi="宋体" w:eastAsia="宋体" w:cs="宋体"/>
          <w:color w:val="auto"/>
          <w:sz w:val="21"/>
          <w:szCs w:val="21"/>
          <w:highlight w:val="none"/>
          <w:lang w:val="en-US" w:eastAsia="zh-Hans"/>
        </w:rPr>
        <w:t>甲方要求的</w:t>
      </w:r>
      <w:r>
        <w:rPr>
          <w:rFonts w:hint="eastAsia" w:ascii="宋体" w:hAnsi="宋体" w:eastAsia="宋体" w:cs="宋体"/>
          <w:color w:val="auto"/>
          <w:sz w:val="21"/>
          <w:szCs w:val="21"/>
          <w:highlight w:val="none"/>
        </w:rPr>
        <w:t>材料</w:t>
      </w:r>
      <w:r>
        <w:rPr>
          <w:rFonts w:hint="eastAsia" w:ascii="宋体" w:hAnsi="宋体" w:eastAsia="宋体" w:cs="宋体"/>
          <w:color w:val="auto"/>
          <w:sz w:val="21"/>
          <w:szCs w:val="21"/>
          <w:highlight w:val="none"/>
          <w:lang w:val="en-US" w:eastAsia="zh-Hans"/>
        </w:rPr>
        <w:t>类型及相应数量</w:t>
      </w:r>
      <w:r>
        <w:rPr>
          <w:rFonts w:hint="eastAsia" w:ascii="宋体" w:hAnsi="宋体" w:eastAsia="宋体" w:cs="宋体"/>
          <w:color w:val="auto"/>
          <w:sz w:val="21"/>
          <w:szCs w:val="21"/>
          <w:highlight w:val="none"/>
        </w:rPr>
        <w:t>运抵甲方指定地点</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，并根据甲方现场人员要求，在指定位置落地。</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3、材料运至甲方指定的地点落地前发生的所有费用、货物毁损灭失的风险及安全责任由乙方承担，落地后在甲方施工场地内发生的所有费用货物毁损灭失的风险及安全责任由甲方承担。</w:t>
      </w:r>
    </w:p>
    <w:p>
      <w:pPr>
        <w:spacing w:line="500" w:lineRule="exact"/>
        <w:ind w:firstLine="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color w:val="auto"/>
          <w:sz w:val="21"/>
          <w:szCs w:val="21"/>
          <w:highlight w:val="none"/>
        </w:rPr>
        <w:t>验收</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计量</w:t>
      </w:r>
      <w:r>
        <w:rPr>
          <w:rFonts w:hint="eastAsia" w:ascii="宋体" w:hAnsi="宋体" w:eastAsia="宋体" w:cs="宋体"/>
          <w:b/>
          <w:color w:val="auto"/>
          <w:sz w:val="21"/>
          <w:szCs w:val="21"/>
          <w:highlight w:val="none"/>
        </w:rPr>
        <w:t>方式</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pPr>
        <w:spacing w:line="5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2</w:t>
      </w:r>
      <w:r>
        <w:rPr>
          <w:rFonts w:hint="eastAsia" w:ascii="宋体" w:hAnsi="宋体" w:eastAsia="宋体" w:cs="宋体"/>
          <w:color w:val="auto"/>
          <w:sz w:val="21"/>
          <w:szCs w:val="21"/>
          <w:highlight w:val="none"/>
          <w:lang w:val="zh-CN"/>
        </w:rPr>
        <w:t>计量方法：</w:t>
      </w:r>
      <w:r>
        <w:rPr>
          <w:rFonts w:hint="eastAsia" w:ascii="宋体" w:hAnsi="宋体" w:eastAsia="宋体" w:cs="宋体"/>
          <w:color w:val="auto"/>
          <w:sz w:val="21"/>
          <w:szCs w:val="21"/>
          <w:highlight w:val="none"/>
          <w:lang w:val="en-US" w:eastAsia="zh-CN"/>
        </w:rPr>
        <w:t>检尺理论计量</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3、甲方现场材料员验收合格后，由</w:t>
      </w:r>
      <w:r>
        <w:rPr>
          <w:rFonts w:hint="eastAsia" w:ascii="宋体" w:hAnsi="宋体" w:eastAsia="宋体" w:cs="宋体"/>
          <w:color w:val="auto"/>
          <w:sz w:val="21"/>
          <w:szCs w:val="21"/>
          <w:highlight w:val="none"/>
          <w:lang w:val="en-US" w:eastAsia="zh-CN"/>
        </w:rPr>
        <w:t>两名材料员</w:t>
      </w:r>
      <w:r>
        <w:rPr>
          <w:rFonts w:hint="eastAsia" w:ascii="宋体" w:hAnsi="宋体" w:eastAsia="宋体" w:cs="宋体"/>
          <w:color w:val="auto"/>
          <w:sz w:val="21"/>
          <w:szCs w:val="21"/>
          <w:highlight w:val="none"/>
        </w:rPr>
        <w:t>出具材料单并签收，交</w:t>
      </w:r>
      <w:r>
        <w:rPr>
          <w:rFonts w:hint="eastAsia" w:ascii="宋体" w:hAnsi="宋体" w:eastAsia="宋体" w:cs="宋体"/>
          <w:color w:val="auto"/>
          <w:sz w:val="21"/>
          <w:szCs w:val="21"/>
          <w:highlight w:val="none"/>
          <w:lang w:val="en-US" w:eastAsia="zh-CN"/>
        </w:rPr>
        <w:t>于</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授权委托</w:t>
      </w:r>
      <w:r>
        <w:rPr>
          <w:rFonts w:hint="eastAsia" w:ascii="宋体" w:hAnsi="宋体" w:eastAsia="宋体" w:cs="宋体"/>
          <w:color w:val="auto"/>
          <w:sz w:val="21"/>
          <w:szCs w:val="21"/>
          <w:highlight w:val="none"/>
        </w:rPr>
        <w:t>人员。签收后的材料单</w:t>
      </w:r>
      <w:r>
        <w:rPr>
          <w:rFonts w:hint="eastAsia" w:ascii="宋体" w:hAnsi="宋体" w:eastAsia="宋体" w:cs="宋体"/>
          <w:color w:val="auto"/>
          <w:sz w:val="21"/>
          <w:szCs w:val="21"/>
          <w:highlight w:val="none"/>
          <w:lang w:val="en-US" w:eastAsia="zh-CN"/>
        </w:rPr>
        <w:t>经甲方</w:t>
      </w:r>
      <w:r>
        <w:rPr>
          <w:rFonts w:hint="eastAsia" w:ascii="宋体" w:hAnsi="宋体" w:eastAsia="宋体" w:cs="宋体"/>
          <w:color w:val="auto"/>
          <w:sz w:val="21"/>
          <w:szCs w:val="21"/>
          <w:highlight w:val="none"/>
          <w:lang w:val="en-US" w:eastAsia="zh-Hans"/>
        </w:rPr>
        <w:t>盖章</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公章或项目部章</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CN"/>
        </w:rPr>
        <w:t>认可后</w:t>
      </w:r>
      <w:r>
        <w:rPr>
          <w:rFonts w:hint="eastAsia" w:ascii="宋体" w:hAnsi="宋体" w:eastAsia="宋体" w:cs="宋体"/>
          <w:color w:val="auto"/>
          <w:sz w:val="21"/>
          <w:szCs w:val="21"/>
          <w:highlight w:val="none"/>
        </w:rPr>
        <w:t>作为双方的结算付款依据，</w:t>
      </w:r>
      <w:r>
        <w:rPr>
          <w:rFonts w:hint="eastAsia" w:ascii="宋体" w:hAnsi="宋体" w:eastAsia="宋体" w:cs="宋体"/>
          <w:color w:val="auto"/>
          <w:sz w:val="21"/>
          <w:szCs w:val="21"/>
          <w:highlight w:val="none"/>
          <w:lang w:val="en-US" w:eastAsia="zh-CN"/>
        </w:rPr>
        <w:t>否则</w:t>
      </w:r>
      <w:r>
        <w:rPr>
          <w:rFonts w:hint="eastAsia" w:ascii="宋体" w:hAnsi="宋体" w:eastAsia="宋体" w:cs="宋体"/>
          <w:color w:val="auto"/>
          <w:sz w:val="21"/>
          <w:szCs w:val="21"/>
          <w:highlight w:val="none"/>
        </w:rPr>
        <w:t>视为无效材料单。除此之外乙方持有的任何证明、收条、欠条、信函等文件资料，都不得作为结算与支付依据。</w:t>
      </w:r>
      <w:r>
        <w:rPr>
          <w:rFonts w:hint="eastAsia" w:ascii="宋体" w:hAnsi="宋体" w:eastAsia="宋体" w:cs="宋体"/>
          <w:color w:val="auto"/>
          <w:sz w:val="21"/>
          <w:szCs w:val="21"/>
          <w:highlight w:val="none"/>
          <w:lang w:val="en-US" w:eastAsia="zh-Hans"/>
        </w:rPr>
        <w:t>未经</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Hans"/>
        </w:rPr>
        <w:t>盖章确认</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甲方任何人员</w:t>
      </w:r>
      <w:r>
        <w:rPr>
          <w:rFonts w:hint="eastAsia" w:ascii="宋体" w:hAnsi="宋体" w:eastAsia="宋体" w:cs="宋体"/>
          <w:color w:val="auto"/>
          <w:sz w:val="21"/>
          <w:szCs w:val="21"/>
          <w:highlight w:val="none"/>
        </w:rPr>
        <w:t>的任何签字、签认都不具有</w:t>
      </w:r>
      <w:r>
        <w:rPr>
          <w:rFonts w:hint="eastAsia" w:ascii="宋体" w:hAnsi="宋体" w:eastAsia="宋体" w:cs="宋体"/>
          <w:color w:val="auto"/>
          <w:sz w:val="21"/>
          <w:szCs w:val="21"/>
          <w:highlight w:val="none"/>
          <w:lang w:val="en-US" w:eastAsia="zh-Hans"/>
        </w:rPr>
        <w:t>结算</w:t>
      </w:r>
      <w:r>
        <w:rPr>
          <w:rFonts w:hint="eastAsia" w:ascii="宋体" w:hAnsi="宋体" w:eastAsia="宋体" w:cs="宋体"/>
          <w:color w:val="auto"/>
          <w:sz w:val="21"/>
          <w:szCs w:val="21"/>
          <w:highlight w:val="none"/>
        </w:rPr>
        <w:t>的确认效力。</w:t>
      </w:r>
    </w:p>
    <w:p>
      <w:pPr>
        <w:spacing w:line="50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五、结算</w:t>
      </w:r>
      <w:r>
        <w:rPr>
          <w:rFonts w:hint="eastAsia" w:ascii="宋体" w:hAnsi="宋体" w:eastAsia="宋体" w:cs="宋体"/>
          <w:b/>
          <w:color w:val="auto"/>
          <w:sz w:val="21"/>
          <w:szCs w:val="21"/>
          <w:highlight w:val="none"/>
          <w:lang w:val="en-US" w:eastAsia="zh-CN"/>
        </w:rPr>
        <w:t>与支付</w:t>
      </w:r>
    </w:p>
    <w:p>
      <w:pPr>
        <w:spacing w:line="5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1、货到现场验收合格，乙方根据结算金额开具13%的增值税专用发票，甲方于</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个工作日结清全款。</w:t>
      </w:r>
    </w:p>
    <w:p>
      <w:pPr>
        <w:spacing w:line="5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none"/>
          <w:lang w:val="en-US" w:eastAsia="zh-CN"/>
        </w:rPr>
        <w:t>其它约定：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pPr>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六、甲、乙双方的责任和义务</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1、因业主或监理部门的要求，甲方对材料的质量规格需要变更，要求乙方调整设备、工艺或变更厂家；乙方如因供货地点、原料、设备、工艺等发生变化，需作出调整时，双方均应提前</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天通知对方，以便有充足的时间完成相关试验和报批手续。因业主或监理部门的要求对材料进行变更的，乙方应无条件接受。因乙方要求对材料进行变更的，甲方有权拒绝变更。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2、甲方施工用料量达到饱和时，应提前</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日通知乙方停止供货。</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3、甲方应</w:t>
      </w:r>
      <w:r>
        <w:rPr>
          <w:rFonts w:hint="eastAsia" w:ascii="宋体" w:hAnsi="宋体" w:eastAsia="宋体" w:cs="宋体"/>
          <w:color w:val="auto"/>
          <w:sz w:val="21"/>
          <w:szCs w:val="21"/>
          <w:highlight w:val="none"/>
          <w:lang w:val="en-US" w:eastAsia="zh-CN"/>
        </w:rPr>
        <w:t>安</w:t>
      </w:r>
      <w:r>
        <w:rPr>
          <w:rFonts w:hint="eastAsia" w:ascii="宋体" w:hAnsi="宋体" w:eastAsia="宋体" w:cs="宋体"/>
          <w:color w:val="auto"/>
          <w:sz w:val="21"/>
          <w:szCs w:val="21"/>
          <w:highlight w:val="none"/>
        </w:rPr>
        <w:t>排好自己场内运输通道和卸货场地。</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4、乙方应向甲方提供营业执照、法定代表人身份证明书、从业资质证书（如法律、法规有要求）、产品合格证等相关证件的复印件并加盖乙方印章，作为本合同附件。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5、乙方因自身原因，单方面延缓或停止供货，影响甲方施工速度，甲方有权以书面通知乙方的方式终止本合同，并没收乙方的履约保证金，剩余货款</w:t>
      </w:r>
      <w:r>
        <w:rPr>
          <w:rFonts w:hint="eastAsia" w:ascii="宋体" w:hAnsi="宋体" w:eastAsia="宋体" w:cs="宋体"/>
          <w:color w:val="auto"/>
          <w:sz w:val="21"/>
          <w:szCs w:val="21"/>
          <w:highlight w:val="none"/>
          <w:lang w:val="en-US" w:eastAsia="zh-CN"/>
        </w:rPr>
        <w:t>暂</w:t>
      </w:r>
      <w:r>
        <w:rPr>
          <w:rFonts w:hint="eastAsia" w:ascii="宋体" w:hAnsi="宋体" w:eastAsia="宋体" w:cs="宋体"/>
          <w:color w:val="auto"/>
          <w:sz w:val="21"/>
          <w:szCs w:val="21"/>
          <w:highlight w:val="none"/>
        </w:rPr>
        <w:t>不予支付，且给甲方造成的经济损失和法律责任应由乙方承担。</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6、乙方应按甲方</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交货。　</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7、承担运输的车辆应</w:t>
      </w:r>
      <w:r>
        <w:rPr>
          <w:rFonts w:hint="eastAsia" w:ascii="宋体" w:hAnsi="宋体" w:eastAsia="宋体" w:cs="宋体"/>
          <w:color w:val="auto"/>
          <w:sz w:val="21"/>
          <w:szCs w:val="21"/>
          <w:highlight w:val="none"/>
          <w:lang w:val="en-US" w:eastAsia="zh-CN"/>
        </w:rPr>
        <w:t>证照齐全、合法合规，并</w:t>
      </w:r>
      <w:r>
        <w:rPr>
          <w:rFonts w:hint="eastAsia" w:ascii="宋体" w:hAnsi="宋体" w:eastAsia="宋体" w:cs="宋体"/>
          <w:color w:val="auto"/>
          <w:sz w:val="21"/>
          <w:szCs w:val="21"/>
          <w:highlight w:val="none"/>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8、</w:t>
      </w:r>
      <w:r>
        <w:rPr>
          <w:rFonts w:hint="eastAsia" w:ascii="宋体" w:hAnsi="宋体" w:eastAsia="宋体" w:cs="宋体"/>
          <w:color w:val="auto"/>
          <w:sz w:val="21"/>
          <w:szCs w:val="21"/>
          <w:highlight w:val="none"/>
          <w:lang w:val="en-US" w:eastAsia="zh-CN"/>
        </w:rPr>
        <w:t>材料单价确定方式按照第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条约定解决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①乙方自行承担因市场等原因造成价格上涨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涨</w:t>
      </w:r>
      <w:r>
        <w:rPr>
          <w:rFonts w:hint="eastAsia" w:ascii="宋体" w:hAnsi="宋体" w:eastAsia="宋体" w:cs="宋体"/>
          <w:color w:val="auto"/>
          <w:sz w:val="21"/>
          <w:szCs w:val="21"/>
          <w:highlight w:val="none"/>
          <w:lang w:val="en-US" w:eastAsia="zh-CN"/>
        </w:rPr>
        <w:t>跌</w:t>
      </w:r>
      <w:r>
        <w:rPr>
          <w:rFonts w:hint="eastAsia" w:ascii="宋体" w:hAnsi="宋体" w:eastAsia="宋体" w:cs="宋体"/>
          <w:color w:val="auto"/>
          <w:sz w:val="21"/>
          <w:szCs w:val="21"/>
          <w:highlight w:val="none"/>
        </w:rPr>
        <w:t>幅在</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%）以下风险由乙方自己承担，涨幅在</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%（不含</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%）以上的由</w:t>
      </w:r>
      <w:r>
        <w:rPr>
          <w:rFonts w:hint="eastAsia" w:ascii="宋体" w:hAnsi="宋体" w:eastAsia="宋体" w:cs="宋体"/>
          <w:color w:val="auto"/>
          <w:sz w:val="21"/>
          <w:szCs w:val="21"/>
          <w:highlight w:val="none"/>
          <w:lang w:val="en-US" w:eastAsia="zh-CN"/>
        </w:rPr>
        <w:t>甲方承担；</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3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其它约定：</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rPr>
        <w:t>价格发生重大变化，双方协商解决，</w:t>
      </w:r>
      <w:r>
        <w:rPr>
          <w:rFonts w:hint="eastAsia" w:ascii="宋体" w:hAnsi="宋体" w:eastAsia="宋体" w:cs="宋体"/>
          <w:b/>
          <w:color w:val="auto"/>
          <w:sz w:val="21"/>
          <w:szCs w:val="21"/>
          <w:highlight w:val="none"/>
          <w:u w:val="single"/>
          <w:lang w:val="en-US" w:eastAsia="zh-CN"/>
        </w:rPr>
        <w:t>协商一致，签订价格调整补充协议；</w:t>
      </w:r>
      <w:r>
        <w:rPr>
          <w:rFonts w:hint="eastAsia" w:ascii="宋体" w:hAnsi="宋体" w:eastAsia="宋体" w:cs="宋体"/>
          <w:b/>
          <w:color w:val="auto"/>
          <w:sz w:val="21"/>
          <w:szCs w:val="21"/>
          <w:highlight w:val="none"/>
          <w:u w:val="single"/>
        </w:rPr>
        <w:t xml:space="preserve">协商不成，合同自动终止 </w:t>
      </w:r>
      <w:r>
        <w:rPr>
          <w:rFonts w:hint="eastAsia" w:ascii="宋体" w:hAnsi="宋体" w:eastAsia="宋体" w:cs="宋体"/>
          <w:b/>
          <w:color w:val="auto"/>
          <w:sz w:val="21"/>
          <w:szCs w:val="21"/>
          <w:highlight w:val="none"/>
        </w:rPr>
        <w:t>。</w:t>
      </w:r>
    </w:p>
    <w:p>
      <w:pPr>
        <w:spacing w:line="500" w:lineRule="exact"/>
        <w:ind w:right="-2" w:rightChars="-1" w:firstLine="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七、其它</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w:t>
      </w:r>
      <w:r>
        <w:rPr>
          <w:rFonts w:hint="eastAsia" w:ascii="宋体" w:hAnsi="宋体" w:eastAsia="宋体" w:cs="宋体"/>
          <w:b/>
          <w:bCs/>
          <w:color w:val="auto"/>
          <w:sz w:val="21"/>
          <w:szCs w:val="21"/>
          <w:highlight w:val="none"/>
        </w:rPr>
        <w:t>每批次进货前甲方需提前</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天通知乙方，如甲方因需求发生重大变化可无条件终止合同。</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2</w:t>
      </w:r>
      <w:r>
        <w:rPr>
          <w:rFonts w:hint="eastAsia" w:ascii="宋体" w:hAnsi="宋体" w:eastAsia="宋体" w:cs="宋体"/>
          <w:color w:val="auto"/>
          <w:sz w:val="21"/>
          <w:szCs w:val="21"/>
          <w:highlight w:val="none"/>
        </w:rPr>
        <w:t>、乙方不得转让合同，乙方指定</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为本合同发生费用的唯一结算人。</w:t>
      </w:r>
    </w:p>
    <w:p>
      <w:pPr>
        <w:spacing w:line="500" w:lineRule="exact"/>
        <w:ind w:left="1" w:right="-2" w:rightChars="-1" w:firstLine="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、甲方按合同</w:t>
      </w:r>
      <w:r>
        <w:rPr>
          <w:rFonts w:hint="eastAsia" w:ascii="宋体" w:hAnsi="宋体" w:eastAsia="宋体" w:cs="宋体"/>
          <w:color w:val="auto"/>
          <w:sz w:val="21"/>
          <w:szCs w:val="21"/>
          <w:highlight w:val="none"/>
          <w:lang w:val="en-US" w:eastAsia="zh-Hans"/>
        </w:rPr>
        <w:t>约定</w:t>
      </w:r>
      <w:r>
        <w:rPr>
          <w:rFonts w:hint="eastAsia" w:ascii="宋体" w:hAnsi="宋体" w:eastAsia="宋体" w:cs="宋体"/>
          <w:color w:val="auto"/>
          <w:sz w:val="21"/>
          <w:szCs w:val="21"/>
          <w:highlight w:val="none"/>
        </w:rPr>
        <w:t>要求乙方上缴的款项均有权在乙方的材料款当期支付中扣除，不足部分乙方另行筹措资金补齐。</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、如果乙方不能按上述条款履约，甲方有权单方面终止合同，扣除履约保证金、扣除余下货款并有权另行选择其他供货商。</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5</w:t>
      </w:r>
      <w:r>
        <w:rPr>
          <w:rFonts w:hint="eastAsia" w:ascii="宋体" w:hAnsi="宋体" w:eastAsia="宋体" w:cs="宋体"/>
          <w:color w:val="auto"/>
          <w:sz w:val="21"/>
          <w:szCs w:val="21"/>
          <w:highlight w:val="none"/>
        </w:rPr>
        <w:t>、未尽事宜由双方协商解决，如甲、乙双方发生纠纷协商未果，按照第</w:t>
      </w:r>
      <w:r>
        <w:rPr>
          <w:rFonts w:hint="eastAsia" w:ascii="宋体" w:hAnsi="宋体" w:eastAsia="宋体" w:cs="宋体"/>
          <w:color w:val="auto"/>
          <w:sz w:val="21"/>
          <w:szCs w:val="21"/>
          <w:highlight w:val="none"/>
          <w:u w:val="single"/>
        </w:rPr>
        <w:t>①</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②</w:t>
      </w:r>
      <w:r>
        <w:rPr>
          <w:rFonts w:hint="eastAsia" w:ascii="宋体" w:hAnsi="宋体" w:eastAsia="宋体" w:cs="宋体"/>
          <w:color w:val="auto"/>
          <w:sz w:val="21"/>
          <w:szCs w:val="21"/>
          <w:highlight w:val="none"/>
        </w:rPr>
        <w:t>条约定解决，①安庆仲裁委员会仲裁；②向甲方住所地法院诉讼。</w:t>
      </w:r>
    </w:p>
    <w:p>
      <w:pPr>
        <w:spacing w:line="5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6</w:t>
      </w:r>
      <w:r>
        <w:rPr>
          <w:rFonts w:hint="eastAsia" w:ascii="宋体" w:hAnsi="宋体" w:eastAsia="宋体" w:cs="宋体"/>
          <w:color w:val="auto"/>
          <w:sz w:val="21"/>
          <w:szCs w:val="21"/>
          <w:highlight w:val="none"/>
        </w:rPr>
        <w:t>、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电邮地址：</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收件人：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移动电话：</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其他联系方式：</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若上述信息发生变化的，乙方必须书面通知甲方，并经甲方书面确认。</w:t>
      </w:r>
    </w:p>
    <w:p>
      <w:pPr>
        <w:pStyle w:val="83"/>
        <w:widowControl w:val="0"/>
        <w:numPr>
          <w:ilvl w:val="0"/>
          <w:numId w:val="0"/>
        </w:numPr>
        <w:spacing w:before="100" w:beforeAutospacing="1" w:after="100" w:afterAutospacing="1" w:line="440" w:lineRule="exact"/>
        <w:ind w:left="120" w:leftChars="0" w:hanging="357"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　　7、</w:t>
      </w:r>
      <w:r>
        <w:rPr>
          <w:rFonts w:hint="eastAsia" w:ascii="宋体" w:hAnsi="宋体" w:eastAsia="宋体" w:cs="宋体"/>
          <w:color w:val="auto"/>
          <w:kern w:val="2"/>
          <w:sz w:val="21"/>
          <w:szCs w:val="21"/>
          <w:highlight w:val="none"/>
          <w:lang w:val="en-US" w:eastAsia="zh-CN" w:bidi="ar-SA"/>
        </w:rPr>
        <w:t>本合同一式    份，甲方执     份，乙方执     份，自双方签字和盖章之日起生效，双方款项付清后合同自动失效。</w:t>
      </w: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p>
    <w:tbl>
      <w:tblPr>
        <w:tblStyle w:val="61"/>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Hans"/>
              </w:rPr>
              <w:t>甲方</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Hans"/>
              </w:rPr>
              <w:t>盖合同专用</w:t>
            </w:r>
            <w:r>
              <w:rPr>
                <w:rFonts w:hint="eastAsia" w:ascii="宋体" w:hAnsi="宋体" w:eastAsia="宋体" w:cs="宋体"/>
                <w:b w:val="0"/>
                <w:bCs/>
                <w:color w:val="auto"/>
                <w:sz w:val="21"/>
                <w:szCs w:val="21"/>
                <w:highlight w:val="none"/>
              </w:rPr>
              <w:t>公章）</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Hans"/>
              </w:rPr>
              <w:t>乙方</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Hans"/>
              </w:rPr>
              <w:t>盖</w:t>
            </w:r>
            <w:r>
              <w:rPr>
                <w:rFonts w:hint="eastAsia" w:ascii="宋体" w:hAnsi="宋体" w:eastAsia="宋体" w:cs="宋体"/>
                <w:b w:val="0"/>
                <w:bCs/>
                <w:color w:val="auto"/>
                <w:sz w:val="21"/>
                <w:szCs w:val="21"/>
                <w:highlight w:val="none"/>
              </w:rPr>
              <w:t>公章）</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地址：</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地址：</w:t>
            </w:r>
            <w:r>
              <w:rPr>
                <w:rFonts w:hint="eastAsia" w:ascii="宋体" w:hAnsi="宋体" w:eastAsia="宋体" w:cs="宋体"/>
                <w:b w:val="0"/>
                <w:bCs/>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法定代表人：</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法定代表人：</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委托代理人：</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委托代理人：</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纳税人识别号：</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纳税人识别号：</w:t>
            </w:r>
            <w:r>
              <w:rPr>
                <w:rFonts w:hint="eastAsia" w:ascii="宋体" w:hAnsi="宋体" w:eastAsia="宋体" w:cs="宋体"/>
                <w:b w:val="0"/>
                <w:bCs/>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开户银行：</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开户银行：</w:t>
            </w:r>
            <w:r>
              <w:rPr>
                <w:rFonts w:hint="eastAsia" w:ascii="宋体" w:hAnsi="宋体" w:eastAsia="宋体" w:cs="宋体"/>
                <w:b w:val="0"/>
                <w:bCs/>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账号：</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账号：</w:t>
            </w:r>
            <w:r>
              <w:rPr>
                <w:rFonts w:hint="eastAsia" w:ascii="宋体" w:hAnsi="宋体" w:eastAsia="宋体" w:cs="宋体"/>
                <w:b w:val="0"/>
                <w:bCs/>
                <w:color w:val="auto"/>
                <w:sz w:val="21"/>
                <w:szCs w:val="21"/>
                <w:highlight w:val="none"/>
                <w:lang w:val="en-US" w:eastAsia="zh-CN"/>
              </w:rPr>
              <w:t xml:space="preserve">    </w:t>
            </w:r>
          </w:p>
        </w:tc>
      </w:tr>
    </w:tbl>
    <w:p>
      <w:pPr>
        <w:spacing w:line="540" w:lineRule="exac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w:t>
      </w: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widowControl w:val="0"/>
        <w:spacing w:line="500" w:lineRule="exact"/>
        <w:ind w:right="105" w:rightChars="50" w:firstLine="0" w:firstLineChars="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安全生产合同</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  方：</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  方：</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经双方协商，就车辆运输安全管理方面的问题，达成如下协议：</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乙方责任及义务：</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1、必须遵守国家安全生产方面的法律，法规和其他要求。</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2、进入施工现场的车辆证件、手续、保险和驾驶员的驾驶证、身体条件符合道路交通法的相关规定，驾驶证要与所驾驶车辆所需的驾驶证件相符。</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3、保证车辆的完好率，禁止带病行驶、超速行驶、超载行驶、超负行驶；运输车辆要安装倒车喇叭。</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4、在运输全过程中，保持安全时速。特别是转弯、路过道口、材料装卸时，要注意来往车辆及行人，确保安全无事故，做到一停二看三通过。</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5、服从工地及料场人员的管理，不乱装料，乱停车，倒车时先鸣笛确保无人后方可倒车，卸车时要服从现场人员的指挥。</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6、严禁在无人指挥的情况下自行卸车，做到文明施工，文明驾驶。</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7、行车时注意安全，注意来往车辆及行人礼让三先遵章驾驶，严禁酒后、服用药物后驾驶。</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8、车辆在施工现场、特殊路段、雨、雪、雾天等行驶运输中，时速不准超过现场交通实际情况限制的时速，严禁在施工现场抢道超车，出现后果，责任自负。</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9、乙方负责对本车队的员工进行班前安全教育，提供必要的劳动保护用品。</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甲方：                         乙方：   </w:t>
      </w: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代表人（签字）：                代表人（签字）：  </w:t>
      </w: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签订日期：                     签订日期：</w:t>
      </w:r>
    </w:p>
    <w:p>
      <w:pPr>
        <w:tabs>
          <w:tab w:val="left" w:pos="3640"/>
        </w:tabs>
        <w:autoSpaceDE w:val="0"/>
        <w:autoSpaceDN w:val="0"/>
        <w:spacing w:line="480" w:lineRule="auto"/>
        <w:rPr>
          <w:rFonts w:ascii="宋体" w:hAnsi="宋体" w:cs="宋体"/>
          <w:color w:val="000000" w:themeColor="text1"/>
          <w:szCs w:val="21"/>
          <w:highlight w:val="none"/>
          <w14:textFill>
            <w14:solidFill>
              <w14:schemeClr w14:val="tx1"/>
            </w14:solidFill>
          </w14:textFill>
        </w:rPr>
      </w:pPr>
    </w:p>
    <w:p>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r>
        <w:rPr>
          <w:rFonts w:hint="eastAsia" w:ascii="宋体" w:hAnsi="宋体" w:cs="宋体"/>
          <w:b/>
          <w:bCs/>
          <w:color w:val="000000" w:themeColor="text1"/>
          <w:szCs w:val="21"/>
          <w:highlight w:val="none"/>
          <w14:textFill>
            <w14:solidFill>
              <w14:schemeClr w14:val="tx1"/>
            </w14:solidFill>
          </w14:textFill>
        </w:rPr>
        <w:br w:type="page"/>
      </w:r>
    </w:p>
    <w:p>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46"/>
      <w:bookmarkEnd w:id="47"/>
      <w:bookmarkEnd w:id="48"/>
      <w:bookmarkEnd w:id="49"/>
      <w:bookmarkStart w:id="50" w:name="_Toc54884158"/>
      <w:bookmarkStart w:id="51" w:name="_Toc26873"/>
      <w:r>
        <w:rPr>
          <w:rFonts w:hint="eastAsia" w:ascii="Arial" w:hAnsi="Arial"/>
          <w:color w:val="000000" w:themeColor="text1"/>
          <w:kern w:val="2"/>
          <w:sz w:val="32"/>
          <w:szCs w:val="32"/>
          <w:highlight w:val="none"/>
          <w14:textFill>
            <w14:solidFill>
              <w14:schemeClr w14:val="tx1"/>
            </w14:solidFill>
          </w14:textFill>
        </w:rPr>
        <w:t>参选文件格式</w:t>
      </w:r>
      <w:bookmarkEnd w:id="50"/>
      <w:bookmarkEnd w:id="51"/>
    </w:p>
    <w:p>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pPr>
        <w:pStyle w:val="82"/>
        <w:spacing w:before="156"/>
        <w:ind w:firstLine="350"/>
        <w:rPr>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pPr>
        <w:spacing w:line="360" w:lineRule="auto"/>
        <w:rPr>
          <w:rFonts w:ascii="宋体" w:hAnsi="宋体"/>
          <w:b/>
          <w:color w:val="000000" w:themeColor="text1"/>
          <w:sz w:val="30"/>
          <w:szCs w:val="30"/>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pPr>
        <w:pStyle w:val="82"/>
        <w:spacing w:before="156"/>
        <w:ind w:firstLine="350"/>
        <w:rPr>
          <w:color w:val="000000" w:themeColor="text1"/>
          <w:highlight w:val="none"/>
          <w14:textFill>
            <w14:solidFill>
              <w14:schemeClr w14:val="tx1"/>
            </w14:solidFill>
          </w14:textFill>
        </w:rPr>
      </w:pPr>
    </w:p>
    <w:p>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pPr>
        <w:spacing w:line="360" w:lineRule="auto"/>
        <w:rPr>
          <w:rFonts w:ascii="仿宋_GB2312" w:eastAsia="仿宋_GB2312"/>
          <w:color w:val="000000" w:themeColor="text1"/>
          <w:sz w:val="30"/>
          <w:szCs w:val="30"/>
          <w:highlight w:val="none"/>
          <w14:textFill>
            <w14:solidFill>
              <w14:schemeClr w14:val="tx1"/>
            </w14:solidFill>
          </w14:textFill>
        </w:rPr>
      </w:pPr>
    </w:p>
    <w:p>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pPr>
        <w:spacing w:line="480" w:lineRule="exact"/>
        <w:jc w:val="center"/>
        <w:rPr>
          <w:rFonts w:ascii="宋体" w:hAnsi="宋体"/>
          <w:b/>
          <w:color w:val="000000" w:themeColor="text1"/>
          <w:sz w:val="30"/>
          <w:szCs w:val="30"/>
          <w:highlight w:val="none"/>
          <w14:textFill>
            <w14:solidFill>
              <w14:schemeClr w14:val="tx1"/>
            </w14:solidFill>
          </w14:textFill>
        </w:rPr>
      </w:pPr>
    </w:p>
    <w:p>
      <w:pPr>
        <w:spacing w:line="480" w:lineRule="exact"/>
        <w:rPr>
          <w:rFonts w:ascii="黑体" w:eastAsia="黑体"/>
          <w:b/>
          <w:bCs/>
          <w:color w:val="000000" w:themeColor="text1"/>
          <w:szCs w:val="21"/>
          <w:highlight w:val="none"/>
          <w14:textFill>
            <w14:solidFill>
              <w14:schemeClr w14:val="tx1"/>
            </w14:solidFill>
          </w14:textFill>
        </w:rPr>
      </w:pPr>
    </w:p>
    <w:p>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目录</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一、投标函</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二、货物报价表</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三、诚信投标承诺书</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四、相关证明文件</w:t>
      </w:r>
    </w:p>
    <w:p>
      <w:pPr>
        <w:pStyle w:val="82"/>
        <w:rPr>
          <w:rFonts w:hint="eastAsia" w:ascii="宋体" w:hAnsi="宋体"/>
          <w:color w:val="000000" w:themeColor="text1"/>
          <w:sz w:val="24"/>
          <w:highlight w:val="none"/>
          <w14:textFill>
            <w14:solidFill>
              <w14:schemeClr w14:val="tx1"/>
            </w14:solidFill>
          </w14:textFill>
        </w:rPr>
      </w:pPr>
    </w:p>
    <w:p>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52" w:name="_Toc476584433"/>
      <w:bookmarkStart w:id="53" w:name="_Toc54941342"/>
      <w:r>
        <w:rPr>
          <w:rFonts w:hint="eastAsia" w:ascii="Arial" w:hAnsi="Arial" w:eastAsia="宋体" w:cs="Times New Roman"/>
          <w:b/>
          <w:color w:val="000000"/>
          <w:kern w:val="0"/>
          <w:sz w:val="32"/>
          <w:szCs w:val="20"/>
          <w:highlight w:val="none"/>
          <w:lang w:val="en-US" w:eastAsia="zh-CN" w:bidi="ar-SA"/>
        </w:rPr>
        <w:t>一、</w:t>
      </w:r>
      <w:bookmarkEnd w:id="52"/>
      <w:bookmarkEnd w:id="53"/>
      <w:r>
        <w:rPr>
          <w:rFonts w:hint="eastAsia" w:ascii="Arial" w:hAnsi="Arial" w:eastAsia="宋体" w:cs="Times New Roman"/>
          <w:b/>
          <w:color w:val="000000"/>
          <w:kern w:val="0"/>
          <w:sz w:val="32"/>
          <w:szCs w:val="20"/>
          <w:highlight w:val="none"/>
          <w:lang w:val="en-US" w:eastAsia="zh-CN" w:bidi="ar-SA"/>
        </w:rPr>
        <w:t>投标函</w:t>
      </w:r>
    </w:p>
    <w:p>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安庆通汇交通工程有限责任公司</w:t>
      </w:r>
    </w:p>
    <w:p>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安庆通汇交通工程有限责任公司波形梁钢护栏配件采购</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pPr>
        <w:widowControl w:val="0"/>
        <w:tabs>
          <w:tab w:val="left" w:pos="5580"/>
        </w:tabs>
        <w:spacing w:line="360" w:lineRule="auto"/>
        <w:ind w:firstLine="420" w:firstLineChars="200"/>
        <w:jc w:val="both"/>
        <w:rPr>
          <w:rFonts w:hint="eastAsia" w:ascii="宋体" w:hAnsi="宋体" w:eastAsia="宋体" w:cs="Courier New"/>
          <w:b/>
          <w:bCs/>
          <w:color w:val="auto"/>
          <w:kern w:val="2"/>
          <w:sz w:val="21"/>
          <w:szCs w:val="21"/>
          <w:highlight w:val="none"/>
          <w:lang w:val="en-US" w:eastAsia="zh-CN" w:bidi="ar-SA"/>
        </w:rPr>
      </w:pPr>
      <w:r>
        <w:rPr>
          <w:rFonts w:hint="eastAsia" w:ascii="宋体" w:hAnsi="宋体" w:eastAsia="宋体" w:cs="Courier New"/>
          <w:color w:val="auto"/>
          <w:kern w:val="2"/>
          <w:sz w:val="21"/>
          <w:szCs w:val="21"/>
          <w:lang w:val="en-US" w:eastAsia="zh-CN" w:bidi="ar-SA"/>
        </w:rPr>
        <w:t>2、</w:t>
      </w:r>
      <w:r>
        <w:rPr>
          <w:rFonts w:hint="eastAsia" w:ascii="宋体" w:hAnsi="宋体" w:eastAsia="宋体" w:cs="Courier New"/>
          <w:color w:val="auto"/>
          <w:kern w:val="2"/>
          <w:sz w:val="21"/>
          <w:szCs w:val="21"/>
          <w:highlight w:val="none"/>
          <w:lang w:val="en-US" w:eastAsia="zh-CN" w:bidi="ar-SA"/>
        </w:rPr>
        <w:t>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ascii="宋体" w:hAnsi="宋体" w:cs="Courier New"/>
          <w:b/>
          <w:bCs/>
          <w:color w:val="auto"/>
          <w:kern w:val="2"/>
          <w:sz w:val="21"/>
          <w:szCs w:val="21"/>
          <w:highlight w:val="none"/>
          <w:lang w:val="en-US" w:eastAsia="zh-CN" w:bidi="ar-SA"/>
        </w:rPr>
        <w:t>总</w:t>
      </w:r>
      <w:r>
        <w:rPr>
          <w:rFonts w:hint="eastAsia" w:ascii="宋体" w:hAnsi="宋体" w:eastAsia="宋体" w:cs="Courier New"/>
          <w:b/>
          <w:bCs/>
          <w:color w:val="auto"/>
          <w:kern w:val="2"/>
          <w:sz w:val="21"/>
          <w:szCs w:val="21"/>
          <w:highlight w:val="none"/>
          <w:lang w:val="en-US" w:eastAsia="zh-CN" w:bidi="ar-SA"/>
        </w:rPr>
        <w:t>报价为人民币（大写）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，(小写)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w:t>
      </w:r>
    </w:p>
    <w:p>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3、一旦我方成交，我方将严格履行合同规定的责任和义务，保证该项目的</w:t>
      </w:r>
      <w:r>
        <w:rPr>
          <w:rFonts w:hint="eastAsia" w:ascii="宋体" w:hAnsi="宋体" w:cs="Courier New"/>
          <w:color w:val="auto"/>
          <w:kern w:val="2"/>
          <w:sz w:val="21"/>
          <w:szCs w:val="21"/>
          <w:highlight w:val="none"/>
          <w:lang w:val="en-US" w:eastAsia="zh-CN" w:bidi="ar-SA"/>
        </w:rPr>
        <w:t>供</w:t>
      </w:r>
      <w:r>
        <w:rPr>
          <w:rFonts w:hint="eastAsia" w:ascii="宋体" w:hAnsi="宋体" w:eastAsia="宋体" w:cs="Courier New"/>
          <w:color w:val="auto"/>
          <w:kern w:val="2"/>
          <w:sz w:val="21"/>
          <w:szCs w:val="21"/>
          <w:highlight w:val="none"/>
          <w:lang w:val="en-US" w:eastAsia="zh-CN" w:bidi="ar-SA"/>
        </w:rPr>
        <w:t>货</w:t>
      </w:r>
      <w:r>
        <w:rPr>
          <w:rFonts w:hint="eastAsia" w:ascii="宋体" w:hAnsi="宋体" w:cs="Courier New"/>
          <w:color w:val="auto"/>
          <w:kern w:val="2"/>
          <w:sz w:val="21"/>
          <w:szCs w:val="21"/>
          <w:highlight w:val="none"/>
          <w:lang w:val="en-US" w:eastAsia="zh-CN" w:bidi="ar-SA"/>
        </w:rPr>
        <w:t>期限</w:t>
      </w:r>
      <w:r>
        <w:rPr>
          <w:rFonts w:hint="eastAsia" w:ascii="宋体" w:hAnsi="宋体" w:eastAsia="宋体" w:cs="Courier New"/>
          <w:color w:val="auto"/>
          <w:kern w:val="2"/>
          <w:sz w:val="21"/>
          <w:szCs w:val="21"/>
          <w:highlight w:val="none"/>
          <w:lang w:val="en-US" w:eastAsia="zh-CN" w:bidi="ar-SA"/>
        </w:rPr>
        <w:t>为</w:t>
      </w:r>
      <w:r>
        <w:rPr>
          <w:rFonts w:hint="eastAsia" w:ascii="宋体" w:hAnsi="Courier New" w:eastAsia="宋体" w:cs="Courier New"/>
          <w:color w:val="auto"/>
          <w:kern w:val="2"/>
          <w:sz w:val="21"/>
          <w:szCs w:val="21"/>
          <w:highlight w:val="none"/>
          <w:u w:val="single"/>
          <w:lang w:val="en-US" w:eastAsia="zh-CN" w:bidi="ar-SA"/>
        </w:rPr>
        <w:t>接到采购方通知后七个工作日内交货</w:t>
      </w:r>
      <w:r>
        <w:rPr>
          <w:rFonts w:hint="eastAsia" w:ascii="宋体" w:hAnsi="Courier New" w:cs="Courier New"/>
          <w:color w:val="auto"/>
          <w:kern w:val="2"/>
          <w:sz w:val="21"/>
          <w:szCs w:val="21"/>
          <w:highlight w:val="none"/>
          <w:u w:val="single"/>
          <w:lang w:val="en-US" w:eastAsia="zh-CN" w:bidi="ar-SA"/>
        </w:rPr>
        <w:t>。</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pPr>
        <w:pStyle w:val="31"/>
        <w:tabs>
          <w:tab w:val="left" w:pos="5580"/>
        </w:tabs>
        <w:wordWrap w:val="0"/>
        <w:spacing w:line="480" w:lineRule="auto"/>
        <w:ind w:firstLine="420" w:firstLineChars="200"/>
        <w:jc w:val="right"/>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pPr>
        <w:pStyle w:val="31"/>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pPr>
        <w:pStyle w:val="31"/>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pPr>
        <w:pStyle w:val="23"/>
        <w:rPr>
          <w:color w:val="000000" w:themeColor="text1"/>
          <w:highlight w:val="none"/>
          <w14:textFill>
            <w14:solidFill>
              <w14:schemeClr w14:val="tx1"/>
            </w14:solidFill>
          </w14:textFill>
        </w:rPr>
      </w:pPr>
    </w:p>
    <w:p>
      <w:pPr>
        <w:rPr>
          <w:rFonts w:hint="eastAsia" w:cs="宋体"/>
          <w:color w:val="000000" w:themeColor="text1"/>
          <w:highlight w:val="none"/>
          <w14:textFill>
            <w14:solidFill>
              <w14:schemeClr w14:val="tx1"/>
            </w14:solidFill>
          </w14:textFill>
        </w:rPr>
      </w:pPr>
      <w:bookmarkStart w:id="54" w:name="_Toc54941350"/>
      <w:bookmarkStart w:id="55" w:name="_Toc476584438"/>
      <w:r>
        <w:rPr>
          <w:rFonts w:hint="eastAsia" w:cs="宋体"/>
          <w:color w:val="000000" w:themeColor="text1"/>
          <w:highlight w:val="none"/>
          <w14:textFill>
            <w14:solidFill>
              <w14:schemeClr w14:val="tx1"/>
            </w14:solidFill>
          </w14:textFill>
        </w:rPr>
        <w:br w:type="page"/>
      </w: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二、货物报价表</w:t>
      </w:r>
    </w:p>
    <w:p>
      <w:pPr>
        <w:spacing w:line="360" w:lineRule="auto"/>
        <w:rPr>
          <w:rFonts w:hint="default" w:ascii="Times New Roman" w:hAnsi="Times New Roman" w:eastAsia="仿宋" w:cs="Times New Roman"/>
          <w:b/>
          <w:bCs/>
          <w:color w:val="auto"/>
          <w:kern w:val="0"/>
          <w:sz w:val="28"/>
          <w:szCs w:val="28"/>
          <w:highlight w:val="none"/>
          <w:lang w:val="en-US" w:eastAsia="zh-CN"/>
        </w:rPr>
      </w:pPr>
      <w:r>
        <w:rPr>
          <w:rFonts w:hint="eastAsia" w:ascii="Times New Roman" w:hAnsi="Times New Roman" w:eastAsia="仿宋" w:cs="Times New Roman"/>
          <w:b/>
          <w:bCs/>
          <w:color w:val="auto"/>
          <w:kern w:val="0"/>
          <w:sz w:val="28"/>
          <w:szCs w:val="28"/>
          <w:highlight w:val="none"/>
          <w:lang w:val="zh-CN"/>
        </w:rPr>
        <w:t>波形梁钢护栏配件</w:t>
      </w:r>
      <w:r>
        <w:rPr>
          <w:rFonts w:hint="eastAsia" w:eastAsia="仿宋" w:cs="Times New Roman"/>
          <w:b/>
          <w:bCs/>
          <w:color w:val="auto"/>
          <w:kern w:val="0"/>
          <w:sz w:val="28"/>
          <w:szCs w:val="28"/>
          <w:highlight w:val="none"/>
          <w:lang w:val="en-US" w:eastAsia="zh-CN"/>
        </w:rPr>
        <w:t>报价表：</w:t>
      </w:r>
    </w:p>
    <w:tbl>
      <w:tblPr>
        <w:tblStyle w:val="61"/>
        <w:tblW w:w="5297" w:type="pct"/>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215"/>
        <w:gridCol w:w="2201"/>
        <w:gridCol w:w="695"/>
        <w:gridCol w:w="1139"/>
        <w:gridCol w:w="1440"/>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规格尺寸</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立柱</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φ140×4.5×1450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0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1、表面采用热浸镀锌聚酯复合涂层防腐处理措施，热浸镀锌聚酯复合涂层由热浸镀锌内涂层和静电喷涂聚酯外涂层组成。表面防腐按《公路交通工程钢构件防腐技术条件》GB/T 18226-2015执行。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2、平均镀锌层附着量275g/㎡,平均镀锌层厚度39μm，聚酯涂层最小厚度76μm。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立柱</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φ114×4.5×1300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099"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立柱</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φ114×4.5×1500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099"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预埋套筒</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φ245×7×495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0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表面镀锌防腐处理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预埋钢板</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φ255×255×5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09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立柱</w:t>
            </w:r>
          </w:p>
        </w:tc>
        <w:tc>
          <w:tcPr>
            <w:tcW w:w="116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φ140×4.5×1200</w:t>
            </w:r>
          </w:p>
        </w:tc>
        <w:tc>
          <w:tcPr>
            <w:tcW w:w="36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75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09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sz w:val="21"/>
                <w:szCs w:val="21"/>
                <w:u w:val="none"/>
              </w:rPr>
              <w:t>总价合计人民币：</w:t>
            </w:r>
            <w:r>
              <w:rPr>
                <w:rFonts w:hint="eastAsia" w:ascii="宋体" w:hAnsi="宋体" w:eastAsia="宋体" w:cs="宋体"/>
                <w:b/>
                <w:bCs/>
                <w:i w:val="0"/>
                <w:iCs w:val="0"/>
                <w:color w:val="000000"/>
                <w:sz w:val="21"/>
                <w:szCs w:val="21"/>
                <w:u w:val="none"/>
                <w:lang w:eastAsia="zh-CN"/>
              </w:rPr>
              <w:t>（</w:t>
            </w:r>
            <w:r>
              <w:rPr>
                <w:rFonts w:hint="eastAsia" w:ascii="宋体" w:hAnsi="宋体" w:eastAsia="宋体" w:cs="宋体"/>
                <w:b/>
                <w:bCs/>
                <w:i w:val="0"/>
                <w:iCs w:val="0"/>
                <w:color w:val="000000"/>
                <w:sz w:val="21"/>
                <w:szCs w:val="21"/>
                <w:u w:val="none"/>
                <w:lang w:val="en-US" w:eastAsia="zh-CN"/>
              </w:rPr>
              <w:t>大写）</w:t>
            </w:r>
            <w:r>
              <w:rPr>
                <w:rFonts w:hint="eastAsia" w:ascii="宋体" w:hAnsi="宋体" w:eastAsia="宋体" w:cs="宋体"/>
                <w:b/>
                <w:bCs/>
                <w:i w:val="0"/>
                <w:iCs w:val="0"/>
                <w:color w:val="000000"/>
                <w:sz w:val="21"/>
                <w:szCs w:val="21"/>
                <w:u w:val="none"/>
              </w:rPr>
              <w:t xml:space="preserve">           元</w:t>
            </w:r>
            <w:r>
              <w:rPr>
                <w:rFonts w:hint="eastAsia" w:ascii="宋体" w:hAnsi="宋体" w:eastAsia="宋体" w:cs="宋体"/>
                <w:b/>
                <w:bCs/>
                <w:i w:val="0"/>
                <w:iCs w:val="0"/>
                <w:color w:val="000000"/>
                <w:sz w:val="21"/>
                <w:szCs w:val="21"/>
                <w:u w:val="none"/>
                <w:lang w:eastAsia="zh-CN"/>
              </w:rPr>
              <w:t>；（</w:t>
            </w:r>
            <w:r>
              <w:rPr>
                <w:rFonts w:hint="eastAsia" w:ascii="宋体" w:hAnsi="宋体" w:eastAsia="宋体" w:cs="宋体"/>
                <w:b/>
                <w:bCs/>
                <w:i w:val="0"/>
                <w:iCs w:val="0"/>
                <w:color w:val="000000"/>
                <w:sz w:val="21"/>
                <w:szCs w:val="21"/>
                <w:u w:val="none"/>
                <w:lang w:val="en-US" w:eastAsia="zh-CN"/>
              </w:rPr>
              <w:t>小写）       元</w:t>
            </w:r>
          </w:p>
        </w:tc>
      </w:tr>
    </w:tbl>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加盖供应商公章）</w:t>
      </w:r>
    </w:p>
    <w:p>
      <w:pPr>
        <w:spacing w:line="360" w:lineRule="auto"/>
        <w:ind w:firstLine="3465" w:firstLineChars="1650"/>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供应商：</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pPr>
        <w:spacing w:line="360" w:lineRule="auto"/>
        <w:ind w:firstLine="3561" w:firstLineChars="1696"/>
        <w:jc w:val="right"/>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pPr>
        <w:spacing w:line="360" w:lineRule="auto"/>
        <w:ind w:firstLine="3570" w:firstLineChars="1700"/>
        <w:jc w:val="right"/>
        <w:rPr>
          <w:rFonts w:ascii="宋体" w:hAnsi="Times New Roman" w:eastAsia="宋体" w:cs="Times New Roman"/>
          <w:color w:val="auto"/>
          <w:szCs w:val="21"/>
          <w:highlight w:val="none"/>
        </w:rPr>
      </w:pPr>
    </w:p>
    <w:p>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pPr>
        <w:pStyle w:val="23"/>
      </w:pPr>
    </w:p>
    <w:p>
      <w:pP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三、诚信投标承诺书</w:t>
      </w:r>
    </w:p>
    <w:p>
      <w:pPr>
        <w:rPr>
          <w:rFonts w:ascii="仿宋" w:hAnsi="仿宋" w:eastAsia="仿宋" w:cs="仿宋"/>
          <w:b/>
          <w:bCs/>
          <w:color w:val="000000"/>
          <w:sz w:val="24"/>
          <w:szCs w:val="24"/>
          <w:highlight w:val="none"/>
        </w:rPr>
      </w:pP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本人以企业法定代表人</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的身份郑重承诺：</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一、将遵循公开、公正和诚实信用的原则自愿参加</w:t>
      </w:r>
      <w:r>
        <w:rPr>
          <w:rFonts w:hint="eastAsia" w:ascii="仿宋" w:hAnsi="仿宋" w:eastAsia="仿宋" w:cs="仿宋"/>
          <w:b/>
          <w:bCs/>
          <w:color w:val="000000"/>
          <w:sz w:val="24"/>
          <w:szCs w:val="24"/>
          <w:highlight w:val="none"/>
          <w:u w:val="single"/>
        </w:rPr>
        <w:t xml:space="preserve">                </w:t>
      </w:r>
      <w:r>
        <w:rPr>
          <w:rFonts w:hint="eastAsia" w:ascii="仿宋" w:hAnsi="仿宋" w:eastAsia="仿宋" w:cs="仿宋"/>
          <w:b/>
          <w:bCs/>
          <w:color w:val="000000"/>
          <w:sz w:val="24"/>
          <w:szCs w:val="24"/>
          <w:highlight w:val="none"/>
        </w:rPr>
        <w:t>项目的</w:t>
      </w:r>
      <w:r>
        <w:rPr>
          <w:rFonts w:hint="eastAsia" w:ascii="仿宋" w:hAnsi="仿宋" w:eastAsia="仿宋" w:cs="仿宋"/>
          <w:b/>
          <w:bCs/>
          <w:color w:val="000000"/>
          <w:sz w:val="24"/>
          <w:szCs w:val="24"/>
          <w:highlight w:val="none"/>
          <w:lang w:eastAsia="zh-CN"/>
        </w:rPr>
        <w:t>比选</w:t>
      </w:r>
      <w:r>
        <w:rPr>
          <w:rFonts w:hint="eastAsia" w:ascii="仿宋" w:hAnsi="仿宋" w:eastAsia="仿宋" w:cs="仿宋"/>
          <w:b/>
          <w:bCs/>
          <w:color w:val="000000"/>
          <w:sz w:val="24"/>
          <w:szCs w:val="24"/>
          <w:highlight w:val="none"/>
          <w:lang w:val="en-US" w:eastAsia="zh-CN"/>
        </w:rPr>
        <w:t>招标</w:t>
      </w:r>
      <w:r>
        <w:rPr>
          <w:rFonts w:hint="eastAsia" w:ascii="仿宋" w:hAnsi="仿宋" w:eastAsia="仿宋" w:cs="仿宋"/>
          <w:b/>
          <w:bCs/>
          <w:color w:val="000000"/>
          <w:sz w:val="24"/>
          <w:szCs w:val="24"/>
          <w:highlight w:val="none"/>
        </w:rPr>
        <w:t>；</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二、所提供的一切材料都是真实、有效、合法的；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三、不出借、转让资质证书，不让他人挂靠投标，不以他人名义投标或者以其他方式弄虚作假，骗取中标；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四、不与其他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相互串通投标报价，不排挤其他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的公平竞争、损害</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 xml:space="preserve">的合法权益；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五、不与采购单位或其他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 xml:space="preserve">串通投标，损害国家利益、社会公共利益或者他人的合法权益；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六、严格遵守开标现场纪律，服从监管人员管理；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七、保证中标后不转包，若有合法分包征得</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同意；</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八、保证中标之后，按照</w:t>
      </w:r>
      <w:r>
        <w:rPr>
          <w:rFonts w:hint="eastAsia" w:ascii="仿宋" w:hAnsi="仿宋" w:eastAsia="仿宋" w:cs="仿宋"/>
          <w:b/>
          <w:bCs/>
          <w:color w:val="000000"/>
          <w:sz w:val="24"/>
          <w:szCs w:val="24"/>
          <w:highlight w:val="none"/>
          <w:lang w:eastAsia="zh-CN"/>
        </w:rPr>
        <w:t>参选文件</w:t>
      </w:r>
      <w:r>
        <w:rPr>
          <w:rFonts w:hint="eastAsia" w:ascii="仿宋" w:hAnsi="仿宋" w:eastAsia="仿宋" w:cs="仿宋"/>
          <w:b/>
          <w:bCs/>
          <w:color w:val="000000"/>
          <w:sz w:val="24"/>
          <w:szCs w:val="24"/>
          <w:highlight w:val="none"/>
        </w:rPr>
        <w:t>承诺提供货物、服务及派驻人员；</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九、保证企业及所属相关人员在本次投标中无行贿等犯罪行为；</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十、如在投标过程和评标结果公告异议期内发生投诉行为，保证按</w:t>
      </w:r>
      <w:r>
        <w:rPr>
          <w:rFonts w:hint="eastAsia" w:ascii="仿宋" w:hAnsi="仿宋" w:eastAsia="仿宋" w:cs="仿宋"/>
          <w:b/>
          <w:bCs/>
          <w:color w:val="000000"/>
          <w:sz w:val="24"/>
          <w:szCs w:val="24"/>
          <w:highlight w:val="none"/>
          <w:lang w:val="en-US" w:eastAsia="zh-CN"/>
        </w:rPr>
        <w:t>相关</w:t>
      </w:r>
      <w:r>
        <w:rPr>
          <w:rFonts w:hint="eastAsia" w:ascii="仿宋" w:hAnsi="仿宋" w:eastAsia="仿宋" w:cs="仿宋"/>
          <w:b/>
          <w:bCs/>
          <w:color w:val="000000"/>
          <w:sz w:val="24"/>
          <w:szCs w:val="24"/>
          <w:highlight w:val="none"/>
        </w:rPr>
        <w:t>要求进行。投诉内容符合要求，投诉材料加盖企业公章或由法定代表人</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个体工商户经营者或其</w:t>
      </w:r>
      <w:r>
        <w:rPr>
          <w:rFonts w:hint="eastAsia" w:ascii="仿宋" w:hAnsi="仿宋" w:eastAsia="仿宋" w:cs="仿宋"/>
          <w:b/>
          <w:bCs/>
          <w:color w:val="000000"/>
          <w:sz w:val="24"/>
          <w:szCs w:val="24"/>
          <w:highlight w:val="none"/>
          <w:lang w:eastAsia="zh-CN"/>
        </w:rPr>
        <w:t>授权委托人</w:t>
      </w:r>
      <w:r>
        <w:rPr>
          <w:rFonts w:hint="eastAsia" w:ascii="仿宋" w:hAnsi="仿宋" w:eastAsia="仿宋" w:cs="仿宋"/>
          <w:b/>
          <w:bCs/>
          <w:color w:val="000000"/>
          <w:sz w:val="24"/>
          <w:szCs w:val="24"/>
          <w:highlight w:val="none"/>
        </w:rPr>
        <w:t xml:space="preserve">签字，并附有关身份证明。不恶意投诉，对本公司提供的投诉线索的真实性负责。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、我方保证对本次招标活动有任何疑问或投诉，都依法在规定的时间内提出。否则，不针对本次招标活动提出任何异议或投诉。</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以上内容我已仔细阅读，本公司若有违反承诺内容的行为，自愿承担</w:t>
      </w:r>
      <w:r>
        <w:rPr>
          <w:rFonts w:hint="eastAsia" w:ascii="仿宋" w:hAnsi="仿宋" w:eastAsia="仿宋" w:cs="仿宋"/>
          <w:b/>
          <w:bCs/>
          <w:color w:val="000000"/>
          <w:sz w:val="24"/>
          <w:szCs w:val="24"/>
          <w:highlight w:val="none"/>
          <w:lang w:eastAsia="zh-CN"/>
        </w:rPr>
        <w:t>比选文件</w:t>
      </w:r>
      <w:r>
        <w:rPr>
          <w:rFonts w:hint="eastAsia" w:ascii="仿宋" w:hAnsi="仿宋" w:eastAsia="仿宋" w:cs="仿宋"/>
          <w:b/>
          <w:bCs/>
          <w:color w:val="000000"/>
          <w:sz w:val="24"/>
          <w:szCs w:val="24"/>
          <w:highlight w:val="none"/>
        </w:rPr>
        <w:t>确定的责任和法律责任并接受相关行政部门给予的处理和处罚。给</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造成损失的，依法承担赔偿责任。</w:t>
      </w:r>
    </w:p>
    <w:p>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pPr>
        <w:rPr>
          <w:rFonts w:ascii="仿宋" w:hAnsi="仿宋" w:eastAsia="仿宋" w:cs="仿宋"/>
          <w:b/>
          <w:bCs/>
          <w:color w:val="000000"/>
          <w:sz w:val="22"/>
          <w:szCs w:val="22"/>
          <w:highlight w:val="none"/>
        </w:rPr>
      </w:pPr>
    </w:p>
    <w:p>
      <w:pPr>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                                   投标单位（盖章）：</w:t>
      </w:r>
    </w:p>
    <w:p>
      <w:pPr>
        <w:jc w:val="right"/>
        <w:rPr>
          <w:rFonts w:ascii="仿宋" w:hAnsi="仿宋" w:eastAsia="仿宋" w:cs="仿宋"/>
          <w:b/>
          <w:bCs/>
          <w:color w:val="000000"/>
          <w:sz w:val="24"/>
          <w:szCs w:val="24"/>
          <w:highlight w:val="none"/>
        </w:rPr>
      </w:pPr>
    </w:p>
    <w:p>
      <w:pPr>
        <w:jc w:val="right"/>
        <w:rPr>
          <w:rFonts w:ascii="仿宋" w:hAnsi="仿宋" w:eastAsia="仿宋" w:cs="仿宋"/>
          <w:b/>
          <w:bCs/>
          <w:color w:val="000000"/>
          <w:sz w:val="24"/>
          <w:szCs w:val="24"/>
          <w:highlight w:val="none"/>
        </w:rPr>
      </w:pPr>
    </w:p>
    <w:p>
      <w:pPr>
        <w:ind w:right="48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日期：_____年____月____日</w:t>
      </w:r>
    </w:p>
    <w:p>
      <w:pP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page"/>
      </w:r>
    </w:p>
    <w:bookmarkEnd w:id="54"/>
    <w:bookmarkEnd w:id="55"/>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四、相关证明文件</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2、税务登记证副本复印件；（如为三证合一的，只需提供三证合一的营业执照复印件）  </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pPr>
        <w:rPr>
          <w:rFonts w:ascii="宋体" w:hAnsi="宋体" w:cs="宋体"/>
          <w:b/>
          <w:color w:val="000000" w:themeColor="text1"/>
          <w:spacing w:val="-4"/>
          <w:kern w:val="0"/>
          <w:szCs w:val="21"/>
          <w:highlight w:val="none"/>
          <w14:textFill>
            <w14:solidFill>
              <w14:schemeClr w14:val="tx1"/>
            </w14:solidFill>
          </w14:textFill>
        </w:rPr>
      </w:pPr>
      <w:r>
        <w:rPr>
          <w:rFonts w:ascii="宋体" w:hAnsi="宋体" w:cs="宋体"/>
          <w:b/>
          <w:color w:val="000000" w:themeColor="text1"/>
          <w:spacing w:val="-4"/>
          <w:kern w:val="0"/>
          <w:szCs w:val="21"/>
          <w:highlight w:val="none"/>
          <w14:textFill>
            <w14:solidFill>
              <w14:schemeClr w14:val="tx1"/>
            </w14:solidFill>
          </w14:textFill>
        </w:rPr>
        <w:br w:type="page"/>
      </w:r>
    </w:p>
    <w:p>
      <w:pPr>
        <w:pStyle w:val="23"/>
      </w:pPr>
    </w:p>
    <w:p>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pPr>
        <w:pStyle w:val="82"/>
        <w:ind w:left="0" w:leftChars="0" w:firstLine="0" w:firstLineChars="0"/>
        <w:rPr>
          <w:highlight w:val="none"/>
        </w:rPr>
      </w:pPr>
    </w:p>
    <w:p>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p>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jc w:val="right"/>
    </w:pPr>
    <w:r>
      <w:rPr>
        <w:rFonts w:hint="eastAsia"/>
        <w:sz w:val="16"/>
        <w:szCs w:val="16"/>
        <w:lang w:eastAsia="zh-CN"/>
      </w:rPr>
      <w:t>安庆通汇交通工程有限责任公司波形梁钢护栏配件采购</w:t>
    </w:r>
    <w:r>
      <w:rPr>
        <w:rFonts w:hint="eastAsia"/>
        <w:sz w:val="16"/>
        <w:szCs w:val="16"/>
      </w:rPr>
      <w:t>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jc w:val="right"/>
      <w:rPr>
        <w:sz w:val="16"/>
        <w:szCs w:val="16"/>
      </w:rPr>
    </w:pPr>
    <w:r>
      <w:rPr>
        <w:rFonts w:hint="eastAsia"/>
        <w:sz w:val="16"/>
        <w:szCs w:val="16"/>
        <w:lang w:eastAsia="zh-CN"/>
      </w:rPr>
      <w:t>安庆通汇交通工程有限责任公司波形梁钢护栏配件采购</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A7505"/>
    <w:multiLevelType w:val="singleLevel"/>
    <w:tmpl w:val="A61A7505"/>
    <w:lvl w:ilvl="0" w:tentative="0">
      <w:start w:val="1"/>
      <w:numFmt w:val="chineseCounting"/>
      <w:suff w:val="nothing"/>
      <w:lvlText w:val="%1、"/>
      <w:lvlJc w:val="left"/>
      <w:rPr>
        <w:rFonts w:hint="eastAsia"/>
      </w:rPr>
    </w:lvl>
  </w:abstractNum>
  <w:abstractNum w:abstractNumId="1">
    <w:nsid w:val="BF3D058B"/>
    <w:multiLevelType w:val="singleLevel"/>
    <w:tmpl w:val="BF3D058B"/>
    <w:lvl w:ilvl="0" w:tentative="0">
      <w:start w:val="3"/>
      <w:numFmt w:val="chineseCounting"/>
      <w:suff w:val="space"/>
      <w:lvlText w:val="第%1章"/>
      <w:lvlJc w:val="left"/>
      <w:rPr>
        <w:rFonts w:hint="eastAsia"/>
      </w:rPr>
    </w:lvl>
  </w:abstractNum>
  <w:abstractNum w:abstractNumId="2">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3">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5">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7">
    <w:nsid w:val="3015D7C6"/>
    <w:multiLevelType w:val="singleLevel"/>
    <w:tmpl w:val="3015D7C6"/>
    <w:lvl w:ilvl="0" w:tentative="0">
      <w:start w:val="1"/>
      <w:numFmt w:val="decimal"/>
      <w:suff w:val="nothing"/>
      <w:lvlText w:val="%1、"/>
      <w:lvlJc w:val="left"/>
    </w:lvl>
  </w:abstractNum>
  <w:abstractNum w:abstractNumId="8">
    <w:nsid w:val="59D0A1BC"/>
    <w:multiLevelType w:val="singleLevel"/>
    <w:tmpl w:val="59D0A1BC"/>
    <w:lvl w:ilvl="0" w:tentative="0">
      <w:start w:val="4"/>
      <w:numFmt w:val="decimal"/>
      <w:suff w:val="nothing"/>
      <w:lvlText w:val="(%1)"/>
      <w:lvlJc w:val="left"/>
    </w:lvl>
  </w:abstractNum>
  <w:num w:numId="1">
    <w:abstractNumId w:val="2"/>
  </w:num>
  <w:num w:numId="2">
    <w:abstractNumId w:val="3"/>
  </w:num>
  <w:num w:numId="3">
    <w:abstractNumId w:val="5"/>
  </w:num>
  <w:num w:numId="4">
    <w:abstractNumId w:val="6"/>
  </w:num>
  <w:num w:numId="5">
    <w:abstractNumId w:val="4"/>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527EDF"/>
    <w:rsid w:val="01535EB9"/>
    <w:rsid w:val="0191681C"/>
    <w:rsid w:val="019E06E3"/>
    <w:rsid w:val="01FD0DAF"/>
    <w:rsid w:val="02060261"/>
    <w:rsid w:val="022E6257"/>
    <w:rsid w:val="02555ED9"/>
    <w:rsid w:val="02B14DC7"/>
    <w:rsid w:val="02F94AB6"/>
    <w:rsid w:val="0319408F"/>
    <w:rsid w:val="032717F3"/>
    <w:rsid w:val="03627699"/>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42453"/>
    <w:rsid w:val="050913A9"/>
    <w:rsid w:val="050A31D6"/>
    <w:rsid w:val="051557B4"/>
    <w:rsid w:val="051F656E"/>
    <w:rsid w:val="05321E86"/>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C2157D"/>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513821"/>
    <w:rsid w:val="0E59465B"/>
    <w:rsid w:val="0E6574A4"/>
    <w:rsid w:val="0F051BB9"/>
    <w:rsid w:val="0F323C9D"/>
    <w:rsid w:val="0F8E2325"/>
    <w:rsid w:val="0FD35E8A"/>
    <w:rsid w:val="0FE95356"/>
    <w:rsid w:val="10745ABA"/>
    <w:rsid w:val="108005C5"/>
    <w:rsid w:val="10AB3F70"/>
    <w:rsid w:val="10C63759"/>
    <w:rsid w:val="10C90438"/>
    <w:rsid w:val="114D7560"/>
    <w:rsid w:val="1161187F"/>
    <w:rsid w:val="11717F0E"/>
    <w:rsid w:val="11A8682E"/>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FF65AF"/>
    <w:rsid w:val="172907FA"/>
    <w:rsid w:val="17362B5B"/>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6325C6"/>
    <w:rsid w:val="1CC41839"/>
    <w:rsid w:val="1CED005C"/>
    <w:rsid w:val="1D3A5FA0"/>
    <w:rsid w:val="1D6F5C49"/>
    <w:rsid w:val="1D835251"/>
    <w:rsid w:val="1E156B8A"/>
    <w:rsid w:val="1E1E0410"/>
    <w:rsid w:val="1E335D6C"/>
    <w:rsid w:val="1E494C39"/>
    <w:rsid w:val="1E550BE9"/>
    <w:rsid w:val="1E94348E"/>
    <w:rsid w:val="1F016D75"/>
    <w:rsid w:val="1F0B25BC"/>
    <w:rsid w:val="1F220E88"/>
    <w:rsid w:val="1F63494D"/>
    <w:rsid w:val="1F927BDC"/>
    <w:rsid w:val="1FD020F8"/>
    <w:rsid w:val="1FE20707"/>
    <w:rsid w:val="1FE64182"/>
    <w:rsid w:val="200C3C23"/>
    <w:rsid w:val="20281ADB"/>
    <w:rsid w:val="20325D43"/>
    <w:rsid w:val="20CA3EEF"/>
    <w:rsid w:val="20E406FC"/>
    <w:rsid w:val="20F52170"/>
    <w:rsid w:val="213C22E6"/>
    <w:rsid w:val="213D2165"/>
    <w:rsid w:val="217C0935"/>
    <w:rsid w:val="21DE339D"/>
    <w:rsid w:val="21DE779E"/>
    <w:rsid w:val="21E07C0E"/>
    <w:rsid w:val="22276873"/>
    <w:rsid w:val="224441FB"/>
    <w:rsid w:val="22851AFF"/>
    <w:rsid w:val="22943AF1"/>
    <w:rsid w:val="22C56F28"/>
    <w:rsid w:val="230961F8"/>
    <w:rsid w:val="230D47B1"/>
    <w:rsid w:val="23445819"/>
    <w:rsid w:val="234E00AF"/>
    <w:rsid w:val="237D20DD"/>
    <w:rsid w:val="237F6C4B"/>
    <w:rsid w:val="238B5CC6"/>
    <w:rsid w:val="2399026C"/>
    <w:rsid w:val="23CD2AB0"/>
    <w:rsid w:val="23E2675E"/>
    <w:rsid w:val="23E6478B"/>
    <w:rsid w:val="23ED5B9A"/>
    <w:rsid w:val="242B66E0"/>
    <w:rsid w:val="24B46637"/>
    <w:rsid w:val="25276E09"/>
    <w:rsid w:val="252D4FEE"/>
    <w:rsid w:val="254A62EC"/>
    <w:rsid w:val="255B6AB3"/>
    <w:rsid w:val="25B53949"/>
    <w:rsid w:val="26103D41"/>
    <w:rsid w:val="2623548B"/>
    <w:rsid w:val="262461E3"/>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BD335E"/>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D75A9F"/>
    <w:rsid w:val="2EFC4E63"/>
    <w:rsid w:val="2F406212"/>
    <w:rsid w:val="2F4D56BE"/>
    <w:rsid w:val="2F5842D0"/>
    <w:rsid w:val="2F7F5907"/>
    <w:rsid w:val="2FA13062"/>
    <w:rsid w:val="30055F99"/>
    <w:rsid w:val="303D02A2"/>
    <w:rsid w:val="30882C93"/>
    <w:rsid w:val="314B586D"/>
    <w:rsid w:val="317C0BC3"/>
    <w:rsid w:val="31CB3665"/>
    <w:rsid w:val="31CE0296"/>
    <w:rsid w:val="31DA771B"/>
    <w:rsid w:val="32034DFD"/>
    <w:rsid w:val="3240150B"/>
    <w:rsid w:val="325D52F8"/>
    <w:rsid w:val="32902492"/>
    <w:rsid w:val="32A45F3D"/>
    <w:rsid w:val="32A82827"/>
    <w:rsid w:val="32B53456"/>
    <w:rsid w:val="33111653"/>
    <w:rsid w:val="334A479D"/>
    <w:rsid w:val="33641B20"/>
    <w:rsid w:val="33751688"/>
    <w:rsid w:val="33CF29A4"/>
    <w:rsid w:val="34193CA8"/>
    <w:rsid w:val="34196205"/>
    <w:rsid w:val="34425A0E"/>
    <w:rsid w:val="34462C29"/>
    <w:rsid w:val="344F2ED9"/>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F234CA"/>
    <w:rsid w:val="39F32DB4"/>
    <w:rsid w:val="3A357430"/>
    <w:rsid w:val="3A5A447A"/>
    <w:rsid w:val="3A5C2DAD"/>
    <w:rsid w:val="3A6B503D"/>
    <w:rsid w:val="3AE710BD"/>
    <w:rsid w:val="3AF31761"/>
    <w:rsid w:val="3AF37A62"/>
    <w:rsid w:val="3AF63950"/>
    <w:rsid w:val="3B143534"/>
    <w:rsid w:val="3B1E43B3"/>
    <w:rsid w:val="3B2B3384"/>
    <w:rsid w:val="3B3D4DC3"/>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B0356"/>
    <w:rsid w:val="416A0352"/>
    <w:rsid w:val="41747D82"/>
    <w:rsid w:val="4258398A"/>
    <w:rsid w:val="42586A54"/>
    <w:rsid w:val="42B26B5F"/>
    <w:rsid w:val="42B4172C"/>
    <w:rsid w:val="42ED4D97"/>
    <w:rsid w:val="42F51E9D"/>
    <w:rsid w:val="431412A9"/>
    <w:rsid w:val="43210EE4"/>
    <w:rsid w:val="436274D2"/>
    <w:rsid w:val="43C63BD6"/>
    <w:rsid w:val="43E31CD1"/>
    <w:rsid w:val="441E71D2"/>
    <w:rsid w:val="445241CE"/>
    <w:rsid w:val="44A83362"/>
    <w:rsid w:val="44C9432E"/>
    <w:rsid w:val="44FD397C"/>
    <w:rsid w:val="452913FC"/>
    <w:rsid w:val="45AD6A5F"/>
    <w:rsid w:val="45F75F2C"/>
    <w:rsid w:val="45F85A36"/>
    <w:rsid w:val="4618037D"/>
    <w:rsid w:val="46212B20"/>
    <w:rsid w:val="464C6002"/>
    <w:rsid w:val="46944856"/>
    <w:rsid w:val="46BC2BD8"/>
    <w:rsid w:val="46D36999"/>
    <w:rsid w:val="472E158C"/>
    <w:rsid w:val="473954E9"/>
    <w:rsid w:val="477A116A"/>
    <w:rsid w:val="478B2DD0"/>
    <w:rsid w:val="479C6D8B"/>
    <w:rsid w:val="47C50090"/>
    <w:rsid w:val="47DB5B06"/>
    <w:rsid w:val="47E80223"/>
    <w:rsid w:val="47EE4E56"/>
    <w:rsid w:val="47F97336"/>
    <w:rsid w:val="480706A9"/>
    <w:rsid w:val="48160B49"/>
    <w:rsid w:val="482173AE"/>
    <w:rsid w:val="4860600B"/>
    <w:rsid w:val="488B4B77"/>
    <w:rsid w:val="48B7790B"/>
    <w:rsid w:val="48E549E9"/>
    <w:rsid w:val="49033566"/>
    <w:rsid w:val="492E2E2E"/>
    <w:rsid w:val="492E43F8"/>
    <w:rsid w:val="49394063"/>
    <w:rsid w:val="4A0977B8"/>
    <w:rsid w:val="4A1D0657"/>
    <w:rsid w:val="4A317C5F"/>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452BB"/>
    <w:rsid w:val="4C485734"/>
    <w:rsid w:val="4CCD64F4"/>
    <w:rsid w:val="4CE92A73"/>
    <w:rsid w:val="4D092279"/>
    <w:rsid w:val="4D1A0E7E"/>
    <w:rsid w:val="4D317F76"/>
    <w:rsid w:val="4D331F40"/>
    <w:rsid w:val="4D3B084B"/>
    <w:rsid w:val="4D530AA8"/>
    <w:rsid w:val="4D7E572D"/>
    <w:rsid w:val="4DA27269"/>
    <w:rsid w:val="4DCA180E"/>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635240"/>
    <w:rsid w:val="551D56FC"/>
    <w:rsid w:val="554671C6"/>
    <w:rsid w:val="556D1D67"/>
    <w:rsid w:val="55747599"/>
    <w:rsid w:val="561D553B"/>
    <w:rsid w:val="562D6C09"/>
    <w:rsid w:val="56321E1B"/>
    <w:rsid w:val="56982E14"/>
    <w:rsid w:val="56A774E2"/>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85AED"/>
    <w:rsid w:val="597E1677"/>
    <w:rsid w:val="59823E17"/>
    <w:rsid w:val="59851D75"/>
    <w:rsid w:val="59937919"/>
    <w:rsid w:val="59FF543B"/>
    <w:rsid w:val="5A317655"/>
    <w:rsid w:val="5A3572F7"/>
    <w:rsid w:val="5A386DE8"/>
    <w:rsid w:val="5A635C5A"/>
    <w:rsid w:val="5AD81D9A"/>
    <w:rsid w:val="5ADC209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837CC0"/>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1BF0114"/>
    <w:rsid w:val="62233ED9"/>
    <w:rsid w:val="62247EF5"/>
    <w:rsid w:val="628569A6"/>
    <w:rsid w:val="62CF4061"/>
    <w:rsid w:val="637C5F97"/>
    <w:rsid w:val="638A11D4"/>
    <w:rsid w:val="63A71DB0"/>
    <w:rsid w:val="63F41F58"/>
    <w:rsid w:val="63F76584"/>
    <w:rsid w:val="644C3BBB"/>
    <w:rsid w:val="64F32289"/>
    <w:rsid w:val="654752D4"/>
    <w:rsid w:val="65965996"/>
    <w:rsid w:val="659730E5"/>
    <w:rsid w:val="65C82F60"/>
    <w:rsid w:val="65CE0D2C"/>
    <w:rsid w:val="65DF280D"/>
    <w:rsid w:val="663E0D58"/>
    <w:rsid w:val="665054B9"/>
    <w:rsid w:val="66846410"/>
    <w:rsid w:val="66A24F5B"/>
    <w:rsid w:val="66A6332B"/>
    <w:rsid w:val="66D47FA5"/>
    <w:rsid w:val="671F6E1E"/>
    <w:rsid w:val="67453492"/>
    <w:rsid w:val="67E71B6D"/>
    <w:rsid w:val="67FF20E2"/>
    <w:rsid w:val="68306BC4"/>
    <w:rsid w:val="688073EB"/>
    <w:rsid w:val="68842FD3"/>
    <w:rsid w:val="689C2C37"/>
    <w:rsid w:val="68A2014F"/>
    <w:rsid w:val="68BF6DF6"/>
    <w:rsid w:val="68C43E52"/>
    <w:rsid w:val="68F55EA4"/>
    <w:rsid w:val="690B1A91"/>
    <w:rsid w:val="69201173"/>
    <w:rsid w:val="692B215E"/>
    <w:rsid w:val="698E432E"/>
    <w:rsid w:val="69D41F5D"/>
    <w:rsid w:val="6A9040D6"/>
    <w:rsid w:val="6AC50223"/>
    <w:rsid w:val="6AD26CD2"/>
    <w:rsid w:val="6B016D82"/>
    <w:rsid w:val="6B2D6EEB"/>
    <w:rsid w:val="6B5F5D4D"/>
    <w:rsid w:val="6B685053"/>
    <w:rsid w:val="6BAF4A30"/>
    <w:rsid w:val="6BC06C3D"/>
    <w:rsid w:val="6C0D4AD4"/>
    <w:rsid w:val="6C3D5F2F"/>
    <w:rsid w:val="6C6770B8"/>
    <w:rsid w:val="6C71768C"/>
    <w:rsid w:val="6CA125CA"/>
    <w:rsid w:val="6CB22DA1"/>
    <w:rsid w:val="6CC03E6D"/>
    <w:rsid w:val="6CD363C3"/>
    <w:rsid w:val="6CD526FE"/>
    <w:rsid w:val="6D3451EC"/>
    <w:rsid w:val="6D68758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34E73"/>
    <w:rsid w:val="74B97E59"/>
    <w:rsid w:val="74C40EAA"/>
    <w:rsid w:val="755778E6"/>
    <w:rsid w:val="7561489F"/>
    <w:rsid w:val="75A153E9"/>
    <w:rsid w:val="75A44ED9"/>
    <w:rsid w:val="75C16B30"/>
    <w:rsid w:val="75DC08C0"/>
    <w:rsid w:val="75F565F2"/>
    <w:rsid w:val="75FA6B3E"/>
    <w:rsid w:val="764F12E9"/>
    <w:rsid w:val="76530DD9"/>
    <w:rsid w:val="7672338B"/>
    <w:rsid w:val="767D7F65"/>
    <w:rsid w:val="76856640"/>
    <w:rsid w:val="76A809F9"/>
    <w:rsid w:val="76C31579"/>
    <w:rsid w:val="77494B12"/>
    <w:rsid w:val="776E39F1"/>
    <w:rsid w:val="77A70D03"/>
    <w:rsid w:val="77C35511"/>
    <w:rsid w:val="77C67389"/>
    <w:rsid w:val="77CE573C"/>
    <w:rsid w:val="77DA51F2"/>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C030BAC"/>
    <w:rsid w:val="7C556F2D"/>
    <w:rsid w:val="7C801F0D"/>
    <w:rsid w:val="7CB579CC"/>
    <w:rsid w:val="7D1868D9"/>
    <w:rsid w:val="7D24527D"/>
    <w:rsid w:val="7D27773C"/>
    <w:rsid w:val="7D3356C7"/>
    <w:rsid w:val="7D422172"/>
    <w:rsid w:val="7D4713B5"/>
    <w:rsid w:val="7D5976B6"/>
    <w:rsid w:val="7DA07E94"/>
    <w:rsid w:val="7DA16F04"/>
    <w:rsid w:val="7DB36601"/>
    <w:rsid w:val="7E2D0162"/>
    <w:rsid w:val="7E321CD4"/>
    <w:rsid w:val="7EA3546E"/>
    <w:rsid w:val="7EB33EA8"/>
    <w:rsid w:val="7ED6280D"/>
    <w:rsid w:val="7F1C70BC"/>
    <w:rsid w:val="7F33144F"/>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2"/>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7">
    <w:name w:val="heading 5"/>
    <w:basedOn w:val="1"/>
    <w:next w:val="2"/>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205"/>
    <w:autoRedefine/>
    <w:qFormat/>
    <w:uiPriority w:val="0"/>
    <w:pPr>
      <w:shd w:val="clear" w:color="auto" w:fill="000080"/>
    </w:pPr>
    <w:rPr>
      <w:rFonts w:ascii="宋体"/>
      <w:sz w:val="18"/>
      <w:szCs w:val="18"/>
    </w:rPr>
  </w:style>
  <w:style w:type="paragraph" w:styleId="19">
    <w:name w:val="annotation text"/>
    <w:basedOn w:val="1"/>
    <w:link w:val="137"/>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201"/>
    <w:autoRedefine/>
    <w:qFormat/>
    <w:uiPriority w:val="0"/>
    <w:rPr>
      <w:rFonts w:ascii="仿宋_GB2312" w:eastAsia="仿宋_GB2312"/>
      <w:sz w:val="20"/>
    </w:rPr>
  </w:style>
  <w:style w:type="paragraph" w:styleId="22">
    <w:name w:val="Body Text 3"/>
    <w:basedOn w:val="1"/>
    <w:link w:val="98"/>
    <w:autoRedefine/>
    <w:qFormat/>
    <w:uiPriority w:val="0"/>
    <w:rPr>
      <w:rFonts w:ascii="仿宋_GB2312" w:hAnsi="Arial" w:eastAsia="仿宋_GB2312"/>
      <w:sz w:val="20"/>
    </w:rPr>
  </w:style>
  <w:style w:type="paragraph" w:styleId="23">
    <w:name w:val="Body Text"/>
    <w:basedOn w:val="1"/>
    <w:link w:val="85"/>
    <w:autoRedefine/>
    <w:qFormat/>
    <w:uiPriority w:val="0"/>
    <w:rPr>
      <w:rFonts w:ascii="楷体_GB2312" w:hAnsi="Arial" w:eastAsia="楷体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19"/>
    <w:next w:val="19"/>
    <w:link w:val="153"/>
    <w:autoRedefine/>
    <w:qFormat/>
    <w:uiPriority w:val="0"/>
    <w:rPr>
      <w:b/>
      <w:bCs/>
    </w:rPr>
  </w:style>
  <w:style w:type="paragraph" w:styleId="59">
    <w:name w:val="Body Text First Indent"/>
    <w:basedOn w:val="23"/>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3"/>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7"/>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6"/>
    <w:autoRedefine/>
    <w:qFormat/>
    <w:uiPriority w:val="0"/>
    <w:rPr>
      <w:rFonts w:ascii="Arial" w:hAnsi="Arial" w:eastAsia="黑体" w:cs="Times New Roman"/>
      <w:b/>
      <w:sz w:val="20"/>
      <w:szCs w:val="20"/>
    </w:rPr>
  </w:style>
  <w:style w:type="character" w:customStyle="1" w:styleId="98">
    <w:name w:val="正文文本 3 字符"/>
    <w:basedOn w:val="63"/>
    <w:link w:val="22"/>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8"/>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19"/>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9"/>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6"/>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0"/>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1"/>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1"/>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8"/>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5"/>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8"/>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13093</Words>
  <Characters>13979</Characters>
  <Lines>69</Lines>
  <Paragraphs>19</Paragraphs>
  <TotalTime>22</TotalTime>
  <ScaleCrop>false</ScaleCrop>
  <LinksUpToDate>false</LinksUpToDate>
  <CharactersWithSpaces>15476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2024-05-29T08:14:14Z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DF7F76B9C9CE42D29A9FD144FCBB0BEA_13</vt:lpwstr>
  </property>
</Properties>
</file>