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宋体"/>
          <w:color w:val="000000" w:themeColor="text1"/>
          <w:sz w:val="44"/>
          <w:szCs w:val="44"/>
          <w14:textFill>
            <w14:solidFill>
              <w14:schemeClr w14:val="tx1"/>
            </w14:solidFill>
          </w14:textFill>
        </w:rPr>
      </w:pPr>
    </w:p>
    <w:p>
      <w:pPr>
        <w:pStyle w:val="82"/>
        <w:spacing w:before="120"/>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安庆市通和深龙城市运营服务有限公司</w:t>
      </w:r>
    </w:p>
    <w:p>
      <w:pPr>
        <w:pStyle w:val="82"/>
        <w:spacing w:before="120"/>
        <w:ind w:left="0" w:leftChars="0" w:firstLine="0" w:firstLineChars="0"/>
        <w:jc w:val="center"/>
        <w:rPr>
          <w:rFonts w:hint="default" w:ascii="仿宋_GB2312" w:hAnsi="宋体" w:eastAsia="仿宋_GB2312"/>
          <w:b/>
          <w:color w:val="000000" w:themeColor="text1"/>
          <w:sz w:val="48"/>
          <w:szCs w:val="48"/>
          <w:highlight w:val="none"/>
          <w:lang w:val="en-US"/>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物资搬运服务</w:t>
      </w:r>
    </w:p>
    <w:p>
      <w:pPr>
        <w:pStyle w:val="82"/>
        <w:ind w:left="0" w:leftChars="0" w:firstLine="0" w:firstLineChars="0"/>
      </w:pPr>
    </w:p>
    <w:p>
      <w:pPr>
        <w:pStyle w:val="82"/>
        <w:ind w:left="0" w:leftChars="0" w:firstLine="0" w:firstLineChars="0"/>
      </w:pPr>
    </w:p>
    <w:p>
      <w:pPr>
        <w:pStyle w:val="82"/>
      </w:pPr>
    </w:p>
    <w:p>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spacing w:line="480" w:lineRule="exact"/>
        <w:jc w:val="center"/>
        <w:rPr>
          <w:rFonts w:ascii="宋体" w:cs="宋体"/>
          <w:b/>
          <w:bCs/>
          <w:color w:val="000000" w:themeColor="text1"/>
          <w:sz w:val="48"/>
          <w:szCs w:val="48"/>
          <w14:textFill>
            <w14:solidFill>
              <w14:schemeClr w14:val="tx1"/>
            </w14:solidFill>
          </w14:textFill>
        </w:rPr>
      </w:pPr>
    </w:p>
    <w:p>
      <w:pPr>
        <w:pStyle w:val="82"/>
      </w:pPr>
    </w:p>
    <w:p>
      <w:pPr>
        <w:spacing w:line="480" w:lineRule="exact"/>
        <w:jc w:val="center"/>
        <w:rPr>
          <w:rFonts w:hint="eastAsia" w:ascii="宋体" w:hAnsi="宋体" w:eastAsia="宋体" w:cs="仿宋_GB2312"/>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000000" w:themeColor="text1"/>
          <w:sz w:val="28"/>
          <w:szCs w:val="28"/>
          <w:lang w:eastAsia="zh-CN"/>
          <w14:textFill>
            <w14:solidFill>
              <w14:schemeClr w14:val="tx1"/>
            </w14:solidFill>
          </w14:textFill>
        </w:rPr>
        <w:t>AQJK-CG-2024-035</w:t>
      </w:r>
    </w:p>
    <w:p>
      <w:pPr>
        <w:spacing w:line="480" w:lineRule="exact"/>
        <w:rPr>
          <w:rFonts w:ascii="宋体" w:hAnsi="宋体" w:cs="仿宋_GB2312"/>
          <w:color w:val="000000" w:themeColor="text1"/>
          <w:szCs w:val="2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spacing w:line="360" w:lineRule="auto"/>
        <w:ind w:firstLine="596" w:firstLineChars="198"/>
        <w:jc w:val="both"/>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14:textFill>
            <w14:solidFill>
              <w14:schemeClr w14:val="tx1"/>
            </w14:solidFill>
          </w14:textFill>
        </w:rPr>
        <w:t xml:space="preserve">    </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安庆市通和深龙城市运营服务有限公司        </w:t>
      </w:r>
    </w:p>
    <w:p>
      <w:pPr>
        <w:spacing w:line="360" w:lineRule="auto"/>
        <w:rPr>
          <w:rFonts w:ascii="宋体" w:hAnsi="宋体" w:cs="仿宋_GB2312"/>
          <w:b/>
          <w:color w:val="000000" w:themeColor="text1"/>
          <w:sz w:val="24"/>
          <w14:textFill>
            <w14:solidFill>
              <w14:schemeClr w14:val="tx1"/>
            </w14:solidFill>
          </w14:textFill>
        </w:rPr>
      </w:pPr>
    </w:p>
    <w:p>
      <w:pPr>
        <w:spacing w:line="360" w:lineRule="auto"/>
        <w:rPr>
          <w:rFonts w:ascii="宋体" w:hAnsi="宋体" w:cs="仿宋_GB2312"/>
          <w:b/>
          <w:color w:val="000000" w:themeColor="text1"/>
          <w:sz w:val="24"/>
          <w14:textFill>
            <w14:solidFill>
              <w14:schemeClr w14:val="tx1"/>
            </w14:solidFill>
          </w14:textFill>
        </w:rPr>
      </w:pPr>
    </w:p>
    <w:p>
      <w:pPr>
        <w:pStyle w:val="82"/>
      </w:pPr>
    </w:p>
    <w:p>
      <w:pPr>
        <w:pStyle w:val="82"/>
      </w:pPr>
    </w:p>
    <w:p>
      <w:pPr>
        <w:spacing w:line="360" w:lineRule="auto"/>
        <w:rPr>
          <w:rFonts w:ascii="宋体" w:hAnsi="宋体" w:cs="仿宋_GB2312"/>
          <w:b/>
          <w:color w:val="000000" w:themeColor="text1"/>
          <w:sz w:val="24"/>
          <w14:textFill>
            <w14:solidFill>
              <w14:schemeClr w14:val="tx1"/>
            </w14:solidFill>
          </w14:textFill>
        </w:rPr>
      </w:pPr>
    </w:p>
    <w:p>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pStyle w:val="82"/>
        <w:ind w:left="0" w:leftChars="0" w:firstLine="0" w:firstLineChars="0"/>
        <w:rPr>
          <w:rFonts w:ascii="宋体" w:hAnsi="宋体" w:cs="仿宋_GB2312"/>
          <w:color w:val="000000" w:themeColor="text1"/>
          <w:szCs w:val="21"/>
          <w14:textFill>
            <w14:solidFill>
              <w14:schemeClr w14:val="tx1"/>
            </w14:solidFill>
          </w14:textFill>
        </w:rPr>
      </w:pPr>
    </w:p>
    <w:p>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四</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五</w:t>
      </w:r>
      <w:r>
        <w:rPr>
          <w:rFonts w:hint="eastAsia" w:ascii="宋体" w:hAnsi="宋体" w:cs="仿宋_GB2312"/>
          <w:color w:val="000000" w:themeColor="text1"/>
          <w:sz w:val="32"/>
          <w:szCs w:val="32"/>
          <w14:textFill>
            <w14:solidFill>
              <w14:schemeClr w14:val="tx1"/>
            </w14:solidFill>
          </w14:textFill>
        </w:rPr>
        <w:t>月</w:t>
      </w:r>
    </w:p>
    <w:p>
      <w:pPr>
        <w:widowControl/>
        <w:jc w:val="left"/>
        <w:rPr>
          <w:rFonts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pPr>
        <w:pStyle w:val="41"/>
        <w:tabs>
          <w:tab w:val="right" w:leader="dot" w:pos="9070"/>
        </w:tabs>
        <w:spacing w:line="480" w:lineRule="auto"/>
        <w:rPr>
          <w:color w:val="000000" w:themeColor="text1"/>
          <w:sz w:val="28"/>
          <w:szCs w:val="28"/>
          <w14:textFill>
            <w14:solidFill>
              <w14:schemeClr w14:val="tx1"/>
            </w14:solidFill>
          </w14:textFill>
        </w:rPr>
      </w:pPr>
      <w:bookmarkStart w:id="0" w:name="_Toc54941328"/>
      <w:bookmarkStart w:id="1" w:name="_Toc21464"/>
      <w:bookmarkStart w:id="2" w:name="_Toc23467"/>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pPr>
        <w:pStyle w:val="41"/>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41"/>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第三章 服务及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w:t>
      </w:r>
    </w:p>
    <w:p>
      <w:pPr>
        <w:pStyle w:val="41"/>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4</w:t>
      </w:r>
    </w:p>
    <w:p>
      <w:pPr>
        <w:pStyle w:val="41"/>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6</w:t>
      </w:r>
    </w:p>
    <w:p>
      <w:pPr>
        <w:pStyle w:val="30"/>
        <w:tabs>
          <w:tab w:val="right" w:leader="dot" w:pos="9060"/>
        </w:tabs>
        <w:spacing w:line="480" w:lineRule="auto"/>
        <w:ind w:left="0"/>
        <w:jc w:val="center"/>
        <w:rPr>
          <w:rFonts w:hint="eastAsia" w:ascii="Arial" w:hAnsi="Arial" w:eastAsia="黑体"/>
          <w:b/>
          <w:i w:val="0"/>
          <w:color w:val="000000" w:themeColor="text1"/>
          <w:sz w:val="30"/>
          <w:szCs w:val="30"/>
          <w:highlight w:val="yellow"/>
          <w:lang w:val="en-US" w:eastAsia="zh-CN"/>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w:t>
      </w:r>
      <w:r>
        <w:rPr>
          <w:rFonts w:hint="eastAsia" w:ascii="Arial" w:hAnsi="Arial" w:eastAsia="黑体"/>
          <w:b/>
          <w:i w:val="0"/>
          <w:color w:val="000000" w:themeColor="text1"/>
          <w:sz w:val="30"/>
          <w:szCs w:val="30"/>
          <w:highlight w:val="none"/>
          <w:lang w:eastAsia="zh-CN"/>
          <w14:textFill>
            <w14:solidFill>
              <w14:schemeClr w14:val="tx1"/>
            </w14:solidFill>
          </w14:textFill>
        </w:rPr>
        <w:t>安庆市通和深龙城市运营服务有限公司物资搬运服务项目</w:t>
      </w:r>
    </w:p>
    <w:p>
      <w:pPr>
        <w:pStyle w:val="30"/>
        <w:tabs>
          <w:tab w:val="right" w:leader="dot" w:pos="9060"/>
        </w:tabs>
        <w:spacing w:line="480" w:lineRule="auto"/>
        <w:ind w:left="0"/>
        <w:jc w:val="center"/>
        <w:rPr>
          <w:rFonts w:ascii="Arial" w:hAnsi="Arial" w:eastAsia="黑体"/>
          <w:b/>
          <w:i w:val="0"/>
          <w:color w:val="000000" w:themeColor="text1"/>
          <w:sz w:val="32"/>
          <w:szCs w:val="32"/>
          <w14:textFill>
            <w14:solidFill>
              <w14:schemeClr w14:val="tx1"/>
            </w14:solidFill>
          </w14:textFill>
        </w:rPr>
      </w:pPr>
      <w:r>
        <w:rPr>
          <w:rFonts w:hint="eastAsia" w:ascii="Arial" w:hAnsi="Arial" w:eastAsia="黑体"/>
          <w:b/>
          <w:i w:val="0"/>
          <w:color w:val="000000" w:themeColor="text1"/>
          <w:sz w:val="30"/>
          <w:szCs w:val="30"/>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35393629"/>
      <w:bookmarkStart w:id="6" w:name="_Toc28359012"/>
      <w:bookmarkStart w:id="7" w:name="_Toc28359089"/>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eastAsia="zh-CN"/>
          <w14:textFill>
            <w14:solidFill>
              <w14:schemeClr w14:val="tx1"/>
            </w14:solidFill>
          </w14:textFill>
        </w:rPr>
        <w:t>安庆市通和深龙城市运营服务有限公司</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eastAsia="zh-CN"/>
          <w14:textFill>
            <w14:solidFill>
              <w14:schemeClr w14:val="tx1"/>
            </w14:solidFill>
          </w14:textFill>
        </w:rPr>
        <w:t>安庆市通和深龙城市运营服务有限公司物资搬运服务</w:t>
      </w:r>
      <w:r>
        <w:rPr>
          <w:rFonts w:hint="eastAsia" w:ascii="仿宋" w:hAnsi="仿宋" w:eastAsia="仿宋"/>
          <w:color w:val="000000" w:themeColor="text1"/>
          <w:sz w:val="28"/>
          <w:szCs w:val="28"/>
          <w14:textFill>
            <w14:solidFill>
              <w14:schemeClr w14:val="tx1"/>
            </w14:solidFill>
          </w14:textFill>
        </w:rPr>
        <w:t>项目”（项目编号：</w:t>
      </w:r>
      <w:r>
        <w:rPr>
          <w:rFonts w:hint="eastAsia" w:ascii="仿宋" w:hAnsi="仿宋" w:eastAsia="仿宋"/>
          <w:color w:val="000000" w:themeColor="text1"/>
          <w:sz w:val="28"/>
          <w:szCs w:val="28"/>
          <w:lang w:eastAsia="zh-CN"/>
          <w14:textFill>
            <w14:solidFill>
              <w14:schemeClr w14:val="tx1"/>
            </w14:solidFill>
          </w14:textFill>
        </w:rPr>
        <w:t>AQJK-CG-2024-035</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安庆市通和深龙城市运营服务有限公司物资搬运服务</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项目概况：物资搬运服务，</w:t>
      </w:r>
      <w:r>
        <w:rPr>
          <w:rFonts w:hint="eastAsia" w:ascii="仿宋" w:hAnsi="仿宋" w:eastAsia="仿宋"/>
          <w:color w:val="000000" w:themeColor="text1"/>
          <w:sz w:val="28"/>
          <w:szCs w:val="28"/>
          <w:highlight w:val="none"/>
          <w:lang w:val="en-US" w:eastAsia="zh-CN"/>
          <w14:textFill>
            <w14:solidFill>
              <w14:schemeClr w14:val="tx1"/>
            </w14:solidFill>
          </w14:textFill>
        </w:rPr>
        <w:t>详见采购需求。</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24000</w:t>
      </w:r>
      <w:r>
        <w:rPr>
          <w:rFonts w:hint="eastAsia" w:ascii="仿宋" w:hAnsi="仿宋" w:eastAsia="仿宋"/>
          <w:color w:val="000000" w:themeColor="text1"/>
          <w:sz w:val="28"/>
          <w:szCs w:val="28"/>
          <w:highlight w:val="none"/>
          <w:lang w:eastAsia="zh-CN"/>
          <w14:textFill>
            <w14:solidFill>
              <w14:schemeClr w14:val="tx1"/>
            </w14:solidFill>
          </w14:textFill>
        </w:rPr>
        <w:t>元（含税）</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付款方式：搬运完成后，提供增值税专票15天内支付全部款项</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搬运周期：5个自然日内完成</w:t>
      </w:r>
    </w:p>
    <w:p>
      <w:pPr>
        <w:spacing w:line="560" w:lineRule="exac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搬运起点：安庆市怀宁县茶岭镇安庆西站</w:t>
      </w:r>
    </w:p>
    <w:p>
      <w:pPr>
        <w:spacing w:line="560" w:lineRule="exact"/>
        <w:ind w:firstLine="560" w:firstLineChars="200"/>
        <w:rPr>
          <w:rFonts w:hint="eastAsia"/>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搬运终点：安庆市大观区宜园路16号安庆交控集团和安庆港汽车整车进口口岸，具体以采购需求为准。</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pPr>
        <w:pStyle w:val="82"/>
        <w:ind w:firstLine="1050" w:firstLineChars="3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24</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24</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w:t>
      </w:r>
      <w:bookmarkStart w:id="69" w:name="_GoBack"/>
      <w:bookmarkEnd w:id="69"/>
      <w:r>
        <w:rPr>
          <w:rFonts w:hint="eastAsia" w:ascii="仿宋" w:hAnsi="仿宋" w:eastAsia="仿宋"/>
          <w:color w:val="000000" w:themeColor="text1"/>
          <w:sz w:val="28"/>
          <w:szCs w:val="28"/>
          <w:highlight w:val="none"/>
          <w14:textFill>
            <w14:solidFill>
              <w14:schemeClr w14:val="tx1"/>
            </w14:solidFill>
          </w14:textFill>
        </w:rPr>
        <w:t>理</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27</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0分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805"/>
      <w:bookmarkStart w:id="9" w:name="_Toc35393636"/>
      <w:bookmarkStart w:id="10" w:name="_Toc28359018"/>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637"/>
      <w:bookmarkStart w:id="13" w:name="_Toc35393806"/>
      <w:bookmarkStart w:id="14" w:name="_Toc28359096"/>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称：安庆市通和深龙城市运营服务有限公司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人：钱年生</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联系方式：0556-5578871</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安庆市通和深龙城市运营服务有限公司物资搬运服务项目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11223"/>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4"/>
        <w:rPr>
          <w:rFonts w:cs="Tahoma"/>
          <w:bCs/>
          <w:color w:val="000000" w:themeColor="text1"/>
          <w:kern w:val="0"/>
          <w:sz w:val="32"/>
          <w:szCs w:val="32"/>
          <w:highlight w:val="none"/>
          <w14:textFill>
            <w14:solidFill>
              <w14:schemeClr w14:val="tx1"/>
            </w14:solidFill>
          </w14:textFill>
        </w:rPr>
      </w:pPr>
      <w:bookmarkStart w:id="20" w:name="_Toc439316871"/>
      <w:bookmarkStart w:id="21" w:name="_Toc54941330"/>
      <w:bookmarkStart w:id="22" w:name="_Toc17862"/>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安庆市通和深龙城市运营服务有限公司物资搬运服务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安庆市通和深龙城市运营服务有限公司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24000元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搬运周期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default" w:eastAsia="宋体"/>
                <w:color w:val="000000" w:themeColor="text1"/>
                <w:szCs w:val="21"/>
                <w:highlight w:val="none"/>
                <w:lang w:val="en-US" w:eastAsia="zh-CN"/>
                <w14:textFill>
                  <w14:solidFill>
                    <w14:schemeClr w14:val="tx1"/>
                  </w14:solidFill>
                </w14:textFill>
              </w:rPr>
              <w:t>5个自然日内完成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rPr>
              <w:t>搬运完成后，提供增值税专票15天内支付全部款项</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安庆市通和深龙城市运营服务有限公司，特此说明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12394"/>
      <w:bookmarkStart w:id="25" w:name="_Toc2521"/>
      <w:bookmarkStart w:id="26" w:name="_Toc16271"/>
      <w:bookmarkStart w:id="27" w:name="_Toc54941331"/>
      <w:bookmarkStart w:id="28" w:name="_Toc476584426"/>
      <w:bookmarkStart w:id="29" w:name="_Toc54941337"/>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000000" w:themeColor="text1"/>
          <w:szCs w:val="21"/>
          <w:highlight w:val="none"/>
          <w:lang w:val="zh-CN"/>
          <w14:textFill>
            <w14:solidFill>
              <w14:schemeClr w14:val="tx1"/>
            </w14:solidFill>
          </w14:textFill>
        </w:rPr>
      </w:pPr>
      <w:bookmarkStart w:id="30" w:name="_Toc22834"/>
      <w:bookmarkStart w:id="31" w:name="_Toc54941332"/>
      <w:bookmarkStart w:id="32" w:name="_Toc9558"/>
      <w:r>
        <w:rPr>
          <w:rFonts w:hint="eastAsia" w:ascii="宋体" w:hAnsi="宋体" w:eastAsia="宋体" w:cs="宋体"/>
          <w:b/>
          <w:bCs/>
          <w:color w:val="000000" w:themeColor="text1"/>
          <w:szCs w:val="21"/>
          <w:highlight w:val="none"/>
          <w:lang w:val="zh-CN"/>
          <w14:textFill>
            <w14:solidFill>
              <w14:schemeClr w14:val="tx1"/>
            </w14:solidFill>
          </w14:textFill>
        </w:rPr>
        <w:t>一、总    则</w:t>
      </w:r>
      <w:bookmarkEnd w:id="30"/>
      <w:bookmarkEnd w:id="31"/>
      <w:bookmarkEnd w:id="32"/>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bookmarkStart w:id="33" w:name="_Toc24643"/>
      <w:bookmarkStart w:id="34" w:name="_Toc439316874"/>
      <w:bookmarkStart w:id="35" w:name="_Toc439316920"/>
      <w:bookmarkStart w:id="36" w:name="_Toc10933"/>
      <w:bookmarkStart w:id="37" w:name="_Toc27113"/>
      <w:bookmarkStart w:id="38" w:name="_Toc8228"/>
      <w:bookmarkStart w:id="39" w:name="_Toc1704"/>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、定义</w:t>
      </w:r>
      <w:bookmarkEnd w:id="33"/>
      <w:bookmarkEnd w:id="34"/>
      <w:bookmarkEnd w:id="35"/>
      <w:bookmarkEnd w:id="36"/>
      <w:bookmarkEnd w:id="37"/>
      <w:bookmarkEnd w:id="38"/>
      <w:bookmarkEnd w:id="39"/>
    </w:p>
    <w:p>
      <w:pPr>
        <w:pageBreakBefore w:val="0"/>
        <w:kinsoku/>
        <w:overflowPunct/>
        <w:topLinePunct w:val="0"/>
        <w:bidi w:val="0"/>
        <w:spacing w:line="440" w:lineRule="exact"/>
        <w:ind w:firstLine="420" w:firstLineChars="200"/>
        <w:textAlignment w:val="auto"/>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单位是指</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lang w:val="en-US" w:eastAsia="zh-CN"/>
          <w14:textFill>
            <w14:solidFill>
              <w14:schemeClr w14:val="tx1"/>
            </w14:solidFill>
          </w14:textFill>
        </w:rPr>
        <w:t>及采购管理部门。</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是指对“</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须知前附表”序号2所指的项目表现出兴趣，按照约定的程序，从</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单位获取了</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文件，并实际参与了该项目</w:t>
      </w:r>
      <w:r>
        <w:rPr>
          <w:rFonts w:hint="eastAsia" w:ascii="宋体" w:hAnsi="宋体" w:eastAsia="宋体" w:cs="宋体"/>
          <w:color w:val="000000" w:themeColor="text1"/>
          <w:szCs w:val="21"/>
          <w:highlight w:val="none"/>
          <w:lang w:val="en-US" w:eastAsia="zh-CN"/>
          <w14:textFill>
            <w14:solidFill>
              <w14:schemeClr w14:val="tx1"/>
            </w14:solidFill>
          </w14:textFill>
        </w:rPr>
        <w:t>招投标</w:t>
      </w:r>
      <w:r>
        <w:rPr>
          <w:rFonts w:hint="eastAsia" w:ascii="宋体" w:hAnsi="宋体" w:eastAsia="宋体" w:cs="宋体"/>
          <w:color w:val="000000" w:themeColor="text1"/>
          <w:szCs w:val="21"/>
          <w:highlight w:val="none"/>
          <w14:textFill>
            <w14:solidFill>
              <w14:schemeClr w14:val="tx1"/>
            </w14:solidFill>
          </w14:textFill>
        </w:rPr>
        <w:t>活动的</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资格要求</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详见</w:t>
      </w:r>
      <w:r>
        <w:rPr>
          <w:rFonts w:hint="eastAsia" w:ascii="宋体"/>
          <w:color w:val="000000" w:themeColor="text1"/>
          <w:szCs w:val="21"/>
          <w:highlight w:val="none"/>
          <w:lang w:val="en-US" w:eastAsia="zh-CN"/>
          <w14:textFill>
            <w14:solidFill>
              <w14:schemeClr w14:val="tx1"/>
            </w14:solidFill>
          </w14:textFill>
        </w:rPr>
        <w:t>比选公告</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000000" w:themeColor="text1"/>
          <w:szCs w:val="21"/>
          <w:highlight w:val="none"/>
          <w:lang w:val="zh-CN"/>
          <w14:textFill>
            <w14:solidFill>
              <w14:schemeClr w14:val="tx1"/>
            </w14:solidFill>
          </w14:textFill>
        </w:rPr>
      </w:pPr>
      <w:bookmarkStart w:id="40" w:name="_Toc54941333"/>
      <w:bookmarkStart w:id="41" w:name="_Toc17451"/>
      <w:bookmarkStart w:id="42" w:name="_Toc384"/>
      <w:r>
        <w:rPr>
          <w:rFonts w:hint="eastAsia" w:ascii="宋体" w:hAnsi="宋体" w:eastAsia="宋体" w:cs="宋体"/>
          <w:b/>
          <w:bCs/>
          <w:color w:val="000000" w:themeColor="text1"/>
          <w:szCs w:val="21"/>
          <w:highlight w:val="none"/>
          <w:lang w:val="zh-CN"/>
          <w14:textFill>
            <w14:solidFill>
              <w14:schemeClr w14:val="tx1"/>
            </w14:solidFill>
          </w14:textFill>
        </w:rPr>
        <w:t>二、</w:t>
      </w:r>
      <w:bookmarkEnd w:id="40"/>
      <w:r>
        <w:rPr>
          <w:rFonts w:hint="eastAsia" w:ascii="宋体" w:hAnsi="宋体" w:eastAsia="宋体" w:cs="宋体"/>
          <w:b/>
          <w:bCs/>
          <w:color w:val="000000" w:themeColor="text1"/>
          <w:szCs w:val="21"/>
          <w:highlight w:val="none"/>
          <w:lang w:val="en-US" w:eastAsia="zh-CN"/>
          <w14:textFill>
            <w14:solidFill>
              <w14:schemeClr w14:val="tx1"/>
            </w14:solidFill>
          </w14:textFill>
        </w:rPr>
        <w:t>参选文件</w:t>
      </w:r>
      <w:bookmarkEnd w:id="41"/>
      <w:bookmarkEnd w:id="42"/>
    </w:p>
    <w:p>
      <w:pPr>
        <w:pageBreakBefore w:val="0"/>
        <w:kinsoku/>
        <w:overflowPunct/>
        <w:topLinePunct w:val="0"/>
        <w:bidi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比选</w:t>
      </w:r>
      <w:r>
        <w:rPr>
          <w:rFonts w:hint="eastAsia" w:ascii="宋体" w:hAnsi="宋体" w:eastAsia="宋体" w:cs="宋体"/>
          <w:b/>
          <w:color w:val="000000" w:themeColor="text1"/>
          <w:szCs w:val="21"/>
          <w:highlight w:val="none"/>
          <w14:textFill>
            <w14:solidFill>
              <w14:schemeClr w14:val="tx1"/>
            </w14:solidFill>
          </w14:textFill>
        </w:rPr>
        <w:t>文件的构成</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文件包括：</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（1）第一章  </w:t>
      </w:r>
      <w:r>
        <w:rPr>
          <w:rFonts w:hint="eastAsia" w:ascii="宋体" w:hAnsi="宋体" w:cs="宋体"/>
          <w:color w:val="000000" w:themeColor="text1"/>
          <w:szCs w:val="21"/>
          <w:highlight w:val="none"/>
          <w:lang w:val="en-US" w:eastAsia="zh-CN"/>
          <w14:textFill>
            <w14:solidFill>
              <w14:schemeClr w14:val="tx1"/>
            </w14:solidFill>
          </w14:textFill>
        </w:rPr>
        <w:t>比选公告</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（2）第二章  </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须知；</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（3）第三章  </w:t>
      </w:r>
      <w:r>
        <w:rPr>
          <w:rFonts w:hint="eastAsia" w:ascii="宋体" w:hAnsi="宋体" w:eastAsia="宋体" w:cs="宋体"/>
          <w:color w:val="000000" w:themeColor="text1"/>
          <w:szCs w:val="21"/>
          <w:highlight w:val="none"/>
          <w:lang w:eastAsia="zh-CN"/>
          <w14:textFill>
            <w14:solidFill>
              <w14:schemeClr w14:val="tx1"/>
            </w14:solidFill>
          </w14:textFill>
        </w:rPr>
        <w:t>服务需求及技术要求</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章</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合同主要条款</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五</w:t>
      </w:r>
      <w:r>
        <w:rPr>
          <w:rFonts w:hint="eastAsia" w:ascii="宋体" w:hAnsi="宋体" w:eastAsia="宋体" w:cs="宋体"/>
          <w:color w:val="000000" w:themeColor="text1"/>
          <w:szCs w:val="21"/>
          <w:highlight w:val="none"/>
          <w14:textFill>
            <w14:solidFill>
              <w14:schemeClr w14:val="tx1"/>
            </w14:solidFill>
          </w14:textFill>
        </w:rPr>
        <w:t xml:space="preserve">章  </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格式</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应认真阅读和充分理解</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文件中所有的内容。如果</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没有满足</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文件的有关要求，其风险由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自行承担。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文件后，应仔细检查</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文件的所有内容，如有残缺、文本不清晰、表述不一致等问题应在获得</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日内向</w:t>
      </w:r>
      <w:r>
        <w:rPr>
          <w:rFonts w:hint="eastAsia" w:ascii="宋体" w:hAnsi="宋体" w:cs="宋体"/>
          <w:color w:val="000000" w:themeColor="text1"/>
          <w:szCs w:val="21"/>
          <w:highlight w:val="none"/>
          <w:lang w:eastAsia="zh-CN"/>
          <w14:textFill>
            <w14:solidFill>
              <w14:schemeClr w14:val="tx1"/>
            </w14:solidFill>
          </w14:textFill>
        </w:rPr>
        <w:t>采购单位</w:t>
      </w:r>
      <w:r>
        <w:rPr>
          <w:rFonts w:hint="eastAsia" w:ascii="宋体" w:hAnsi="宋体" w:eastAsia="宋体" w:cs="宋体"/>
          <w:color w:val="000000" w:themeColor="text1"/>
          <w:szCs w:val="21"/>
          <w:highlight w:val="none"/>
          <w14:textFill>
            <w14:solidFill>
              <w14:schemeClr w14:val="tx1"/>
            </w14:solidFill>
          </w14:textFill>
        </w:rPr>
        <w:t>提出，否则，由此引起的损失由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自己承担。</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同时应认真审阅</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文件中所有的事项、格式、条款和规范要求等，若</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没有按</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eastAsia="宋体" w:cs="宋体"/>
          <w:color w:val="000000" w:themeColor="text1"/>
          <w:szCs w:val="21"/>
          <w:highlight w:val="none"/>
          <w14:textFill>
            <w14:solidFill>
              <w14:schemeClr w14:val="tx1"/>
            </w14:solidFill>
          </w14:textFill>
        </w:rPr>
        <w:t>全部资料及自己理解产生的误差，或</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没有对</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文件做出实质性响应，其风险由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自行承担，并根据有关条款约定，该响应有可能被拒绝。</w:t>
      </w:r>
    </w:p>
    <w:p>
      <w:pPr>
        <w:pageBreakBefore w:val="0"/>
        <w:kinsoku/>
        <w:overflowPunct/>
        <w:topLinePunct w:val="0"/>
        <w:bidi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比选</w:t>
      </w:r>
      <w:r>
        <w:rPr>
          <w:rFonts w:hint="eastAsia" w:ascii="宋体" w:hAnsi="宋体" w:eastAsia="宋体" w:cs="宋体"/>
          <w:b/>
          <w:color w:val="000000" w:themeColor="text1"/>
          <w:szCs w:val="21"/>
          <w:highlight w:val="none"/>
          <w14:textFill>
            <w14:solidFill>
              <w14:schemeClr w14:val="tx1"/>
            </w14:solidFill>
          </w14:textFill>
        </w:rPr>
        <w:t>文件的澄清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可以要求</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单位对</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文件中的有关问题进行答疑或澄清。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单位对在约定时间收到的、且需要做出澄清的问题，将以本须知所述方式进行答复，但不说明问题的来源。</w:t>
      </w:r>
    </w:p>
    <w:p>
      <w:pPr>
        <w:pageBreakBefore w:val="0"/>
        <w:kinsoku/>
        <w:overflowPunct/>
        <w:topLinePunct w:val="0"/>
        <w:bidi w:val="0"/>
        <w:spacing w:line="44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5</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比选</w:t>
      </w:r>
      <w:r>
        <w:rPr>
          <w:rFonts w:hint="eastAsia" w:ascii="宋体" w:hAnsi="宋体" w:eastAsia="宋体" w:cs="宋体"/>
          <w:b/>
          <w:szCs w:val="21"/>
          <w:highlight w:val="none"/>
        </w:rPr>
        <w:t>文件的修改</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.1、采购单位可以对</w:t>
      </w:r>
      <w:r>
        <w:rPr>
          <w:rFonts w:hint="eastAsia" w:ascii="宋体" w:hAnsi="宋体" w:eastAsia="宋体" w:cs="宋体"/>
          <w:szCs w:val="21"/>
          <w:highlight w:val="none"/>
          <w:lang w:eastAsia="zh-CN"/>
        </w:rPr>
        <w:t>比选</w:t>
      </w:r>
      <w:r>
        <w:rPr>
          <w:rFonts w:hint="eastAsia" w:ascii="宋体" w:hAnsi="宋体" w:eastAsia="宋体" w:cs="宋体"/>
          <w:szCs w:val="21"/>
          <w:highlight w:val="none"/>
        </w:rPr>
        <w:t>文件进行修改。</w:t>
      </w:r>
    </w:p>
    <w:p>
      <w:pPr>
        <w:pageBreakBefore w:val="0"/>
        <w:kinsoku/>
        <w:overflowPunct/>
        <w:topLinePunct w:val="0"/>
        <w:bidi w:val="0"/>
        <w:spacing w:line="440" w:lineRule="exact"/>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.2、采购单位对</w:t>
      </w:r>
      <w:r>
        <w:rPr>
          <w:rFonts w:hint="eastAsia" w:ascii="宋体" w:hAnsi="宋体" w:eastAsia="宋体" w:cs="宋体"/>
          <w:szCs w:val="21"/>
          <w:highlight w:val="none"/>
          <w:lang w:eastAsia="zh-CN"/>
        </w:rPr>
        <w:t>比选</w:t>
      </w:r>
      <w:r>
        <w:rPr>
          <w:rFonts w:hint="eastAsia" w:ascii="宋体" w:hAnsi="宋体" w:eastAsia="宋体" w:cs="宋体"/>
          <w:szCs w:val="21"/>
          <w:highlight w:val="none"/>
        </w:rPr>
        <w:t>文件的澄清、修改、补充说明等内容</w:t>
      </w:r>
      <w:r>
        <w:rPr>
          <w:rFonts w:hint="eastAsia" w:ascii="宋体" w:hAnsi="宋体" w:eastAsia="宋体" w:cs="宋体"/>
          <w:b w:val="0"/>
          <w:bCs w:val="0"/>
          <w:szCs w:val="21"/>
          <w:highlight w:val="none"/>
        </w:rPr>
        <w:t>均通过</w:t>
      </w: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b w:val="0"/>
          <w:bCs w:val="0"/>
          <w:szCs w:val="21"/>
          <w:highlight w:val="none"/>
        </w:rPr>
        <w:t>发布，该修改内容作为</w:t>
      </w:r>
      <w:r>
        <w:rPr>
          <w:rFonts w:hint="eastAsia" w:ascii="宋体" w:hAnsi="宋体" w:eastAsia="宋体" w:cs="宋体"/>
          <w:b w:val="0"/>
          <w:bCs w:val="0"/>
          <w:szCs w:val="21"/>
          <w:highlight w:val="none"/>
          <w:lang w:eastAsia="zh-CN"/>
        </w:rPr>
        <w:t>比选</w:t>
      </w:r>
      <w:r>
        <w:rPr>
          <w:rFonts w:hint="eastAsia" w:ascii="宋体" w:hAnsi="宋体" w:eastAsia="宋体" w:cs="宋体"/>
          <w:b w:val="0"/>
          <w:bCs w:val="0"/>
          <w:szCs w:val="21"/>
          <w:highlight w:val="none"/>
        </w:rPr>
        <w:t>文件的组成部分，具有约束作用。</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.3、当</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文件与对</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文件的澄清、修改、补充等在同一内容的表述上不一致时，以最后发出的为准。</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bookmarkStart w:id="43" w:name="_Toc21845"/>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.4、为使参选人有充分时间对比选文件的澄清、修改、补充部分进行研究、或是由于其他原因，采购单位可以决定顺延</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lang w:eastAsia="zh-CN"/>
        </w:rPr>
        <w:t>时间，具体时间通过</w:t>
      </w: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b w:val="0"/>
          <w:bCs w:val="0"/>
          <w:szCs w:val="21"/>
          <w:highlight w:val="none"/>
        </w:rPr>
        <w:t>发布</w:t>
      </w:r>
      <w:r>
        <w:rPr>
          <w:rFonts w:hint="eastAsia" w:ascii="宋体" w:hAnsi="宋体" w:eastAsia="宋体" w:cs="宋体"/>
          <w:color w:val="auto"/>
          <w:szCs w:val="21"/>
          <w:highlight w:val="none"/>
          <w:lang w:eastAsia="zh-CN"/>
        </w:rPr>
        <w:t>。</w:t>
      </w:r>
      <w:bookmarkEnd w:id="43"/>
    </w:p>
    <w:p>
      <w:pPr>
        <w:pageBreakBefore w:val="0"/>
        <w:kinsoku/>
        <w:overflowPunct/>
        <w:topLinePunct w:val="0"/>
        <w:bidi w:val="0"/>
        <w:spacing w:line="440" w:lineRule="exact"/>
        <w:ind w:firstLine="422" w:firstLineChars="200"/>
        <w:textAlignment w:val="auto"/>
        <w:rPr>
          <w:rFonts w:hint="eastAsia" w:ascii="宋体" w:hAnsi="宋体" w:cs="宋体"/>
          <w:b/>
          <w:color w:val="000000" w:themeColor="text1"/>
          <w:szCs w:val="21"/>
          <w:highlight w:val="none"/>
          <w:lang w:val="en-US" w:eastAsia="zh-CN"/>
          <w14:textFill>
            <w14:solidFill>
              <w14:schemeClr w14:val="tx1"/>
            </w14:solidFill>
          </w14:textFill>
        </w:rPr>
      </w:pPr>
      <w:bookmarkStart w:id="44" w:name="_Toc31936"/>
      <w:bookmarkStart w:id="45" w:name="_Toc7326"/>
      <w:bookmarkStart w:id="46" w:name="_Toc54941334"/>
      <w:r>
        <w:rPr>
          <w:rFonts w:hint="eastAsia" w:ascii="宋体" w:hAnsi="宋体" w:cs="宋体"/>
          <w:b/>
          <w:color w:val="000000" w:themeColor="text1"/>
          <w:szCs w:val="21"/>
          <w:highlight w:val="none"/>
          <w:lang w:val="en-US" w:eastAsia="zh-CN"/>
          <w14:textFill>
            <w14:solidFill>
              <w14:schemeClr w14:val="tx1"/>
            </w14:solidFill>
          </w14:textFill>
        </w:rPr>
        <w:t>三、参选文件编制</w:t>
      </w:r>
      <w:bookmarkEnd w:id="44"/>
      <w:bookmarkEnd w:id="45"/>
      <w:bookmarkEnd w:id="46"/>
    </w:p>
    <w:p>
      <w:pPr>
        <w:pageBreakBefore w:val="0"/>
        <w:numPr>
          <w:ilvl w:val="0"/>
          <w:numId w:val="0"/>
        </w:numPr>
        <w:kinsoku/>
        <w:overflowPunct/>
        <w:topLinePunct w:val="0"/>
        <w:bidi w:val="0"/>
        <w:spacing w:line="440" w:lineRule="exact"/>
        <w:ind w:firstLine="422" w:firstLineChars="200"/>
        <w:textAlignment w:val="auto"/>
        <w:rPr>
          <w:rFonts w:hint="eastAsia" w:ascii="宋体" w:hAnsi="宋体" w:eastAsia="宋体" w:cs="宋体"/>
          <w:b/>
          <w:szCs w:val="21"/>
          <w:highlight w:val="none"/>
        </w:rPr>
      </w:pPr>
      <w:bookmarkStart w:id="47" w:name="_Toc476584424"/>
      <w:bookmarkStart w:id="48" w:name="_Toc54941335"/>
      <w:bookmarkStart w:id="49" w:name="_Toc18140"/>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lang w:eastAsia="zh-CN"/>
        </w:rPr>
        <w:t>参选文件</w:t>
      </w:r>
      <w:r>
        <w:rPr>
          <w:rFonts w:hint="eastAsia" w:ascii="宋体" w:hAnsi="宋体" w:eastAsia="宋体" w:cs="宋体"/>
          <w:b/>
          <w:szCs w:val="21"/>
          <w:highlight w:val="none"/>
        </w:rPr>
        <w:t>的构成</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应该按照“</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格式”约定的内容和顺序进行编写。</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必须对其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的真实性与准确性负责。</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一旦</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将作为合同的重要组成部分。</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提供的服务能满足</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文件约定的实质性要求。否则，其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在评审时有可能被认为是对</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文件未做出实质性的响应，而终止对其作进一步的评审。</w:t>
      </w:r>
    </w:p>
    <w:p>
      <w:pPr>
        <w:pageBreakBefore w:val="0"/>
        <w:kinsoku/>
        <w:overflowPunct/>
        <w:topLinePunct w:val="0"/>
        <w:bidi w:val="0"/>
        <w:spacing w:line="440" w:lineRule="exact"/>
        <w:ind w:firstLine="422" w:firstLineChars="200"/>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7、参选文件的签署</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7.1、参选文件应加盖参选人公章。委托代理人须将“授权书”及其身份证复印件附在参选文件中。</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7.2、参选文件封面、投标函、授权书的签字或盖章不符合比选文件要求的，评选委员会可要求其法定代表人或其委托的委托代理人补齐签字或承诺在签订合同前按照比选文件要求加盖印章。</w:t>
      </w:r>
    </w:p>
    <w:p>
      <w:pPr>
        <w:pageBreakBefore w:val="0"/>
        <w:kinsoku/>
        <w:overflowPunct/>
        <w:topLinePunct w:val="0"/>
        <w:bidi w:val="0"/>
        <w:spacing w:line="44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8</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投标</w:t>
      </w:r>
      <w:r>
        <w:rPr>
          <w:rFonts w:hint="eastAsia" w:ascii="宋体" w:hAnsi="宋体" w:eastAsia="宋体" w:cs="宋体"/>
          <w:b/>
          <w:szCs w:val="21"/>
          <w:highlight w:val="none"/>
        </w:rPr>
        <w:t>报价</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、参选人的</w:t>
      </w:r>
      <w:r>
        <w:rPr>
          <w:rFonts w:hint="eastAsia" w:ascii="宋体" w:hAnsi="宋体" w:eastAsia="宋体" w:cs="宋体"/>
          <w:szCs w:val="21"/>
          <w:highlight w:val="none"/>
        </w:rPr>
        <w:t>报价</w:t>
      </w:r>
      <w:r>
        <w:rPr>
          <w:rFonts w:hint="eastAsia" w:ascii="宋体" w:hAnsi="宋体" w:eastAsia="宋体" w:cs="宋体"/>
          <w:szCs w:val="21"/>
          <w:highlight w:val="none"/>
          <w:lang w:val="en-US" w:eastAsia="zh-CN"/>
        </w:rPr>
        <w:t>高于比选</w:t>
      </w:r>
      <w:r>
        <w:rPr>
          <w:rFonts w:hint="eastAsia" w:ascii="宋体" w:hAnsi="宋体" w:cs="宋体"/>
          <w:szCs w:val="21"/>
          <w:highlight w:val="none"/>
          <w:lang w:eastAsia="zh-CN"/>
        </w:rPr>
        <w:t>最高投标限价</w:t>
      </w:r>
      <w:r>
        <w:rPr>
          <w:rFonts w:hint="eastAsia" w:ascii="宋体" w:hAnsi="宋体" w:eastAsia="宋体" w:cs="宋体"/>
          <w:szCs w:val="21"/>
          <w:highlight w:val="none"/>
        </w:rPr>
        <w:t>为无效报价。</w:t>
      </w:r>
    </w:p>
    <w:p>
      <w:pPr>
        <w:pageBreakBefore w:val="0"/>
        <w:kinsoku/>
        <w:overflowPunct/>
        <w:topLinePunct w:val="0"/>
        <w:bidi w:val="0"/>
        <w:spacing w:line="44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w:t>
      </w:r>
      <w:r>
        <w:rPr>
          <w:rFonts w:hint="eastAsia" w:ascii="宋体" w:hAnsi="宋体" w:eastAsia="宋体" w:cs="宋体"/>
          <w:b/>
          <w:bCs w:val="0"/>
          <w:szCs w:val="21"/>
          <w:highlight w:val="none"/>
          <w:lang w:val="en-US" w:eastAsia="zh-CN"/>
        </w:rPr>
        <w:t>投标</w:t>
      </w:r>
      <w:r>
        <w:rPr>
          <w:rFonts w:hint="eastAsia" w:ascii="宋体" w:hAnsi="宋体" w:eastAsia="宋体" w:cs="宋体"/>
          <w:b/>
          <w:szCs w:val="21"/>
          <w:highlight w:val="none"/>
        </w:rPr>
        <w:t>货币：</w:t>
      </w:r>
      <w:r>
        <w:rPr>
          <w:rFonts w:hint="eastAsia" w:ascii="宋体" w:hAnsi="宋体" w:eastAsia="宋体" w:cs="宋体"/>
          <w:szCs w:val="21"/>
          <w:highlight w:val="none"/>
        </w:rPr>
        <w:t>人民币。</w:t>
      </w:r>
    </w:p>
    <w:p>
      <w:pPr>
        <w:pageBreakBefore w:val="0"/>
        <w:kinsoku/>
        <w:overflowPunct/>
        <w:topLinePunct w:val="0"/>
        <w:bidi w:val="0"/>
        <w:spacing w:line="44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、有以下情形之一的处理：</w:t>
      </w:r>
    </w:p>
    <w:p>
      <w:pPr>
        <w:pageBreakBefore w:val="0"/>
        <w:kinsoku/>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val="0"/>
          <w:color w:val="auto"/>
          <w:szCs w:val="21"/>
          <w:highlight w:val="none"/>
          <w:lang w:val="en-US" w:eastAsia="zh-CN"/>
        </w:rPr>
        <w:t>参选人</w:t>
      </w:r>
      <w:r>
        <w:rPr>
          <w:rFonts w:hint="eastAsia" w:ascii="宋体" w:hAnsi="宋体" w:eastAsia="宋体" w:cs="宋体"/>
          <w:b/>
          <w:bCs w:val="0"/>
          <w:color w:val="auto"/>
          <w:szCs w:val="21"/>
          <w:highlight w:val="none"/>
        </w:rPr>
        <w:t>在本项目</w:t>
      </w:r>
      <w:r>
        <w:rPr>
          <w:rFonts w:hint="eastAsia" w:ascii="宋体" w:hAnsi="宋体" w:eastAsia="宋体" w:cs="宋体"/>
          <w:b/>
          <w:bCs w:val="0"/>
          <w:color w:val="auto"/>
          <w:szCs w:val="21"/>
          <w:highlight w:val="none"/>
          <w:lang w:val="en-US" w:eastAsia="zh-CN"/>
        </w:rPr>
        <w:t>比选</w:t>
      </w:r>
      <w:r>
        <w:rPr>
          <w:rFonts w:hint="eastAsia" w:ascii="宋体" w:hAnsi="宋体" w:eastAsia="宋体" w:cs="宋体"/>
          <w:b/>
          <w:bCs w:val="0"/>
          <w:color w:val="auto"/>
          <w:szCs w:val="21"/>
          <w:highlight w:val="none"/>
        </w:rPr>
        <w:t>过程中有下列行为之一的，</w:t>
      </w:r>
      <w:r>
        <w:rPr>
          <w:rFonts w:hint="eastAsia" w:ascii="宋体" w:hAnsi="宋体" w:eastAsia="宋体" w:cs="宋体"/>
          <w:b/>
          <w:bCs w:val="0"/>
          <w:color w:val="auto"/>
          <w:szCs w:val="21"/>
          <w:highlight w:val="none"/>
          <w:lang w:val="en-US" w:eastAsia="zh-CN"/>
        </w:rPr>
        <w:t>成交</w:t>
      </w:r>
      <w:r>
        <w:rPr>
          <w:rFonts w:hint="eastAsia" w:ascii="宋体" w:hAnsi="宋体" w:eastAsia="宋体" w:cs="宋体"/>
          <w:b/>
          <w:bCs w:val="0"/>
          <w:color w:val="auto"/>
          <w:szCs w:val="21"/>
          <w:highlight w:val="none"/>
        </w:rPr>
        <w:t>无效，给</w:t>
      </w:r>
      <w:r>
        <w:rPr>
          <w:rFonts w:hint="eastAsia" w:ascii="宋体" w:hAnsi="宋体" w:eastAsia="宋体" w:cs="宋体"/>
          <w:b/>
          <w:bCs w:val="0"/>
          <w:color w:val="auto"/>
          <w:szCs w:val="21"/>
          <w:highlight w:val="none"/>
          <w:lang w:eastAsia="zh-CN"/>
        </w:rPr>
        <w:t>采购人</w:t>
      </w:r>
      <w:r>
        <w:rPr>
          <w:rFonts w:hint="eastAsia" w:ascii="宋体" w:hAnsi="宋体" w:eastAsia="宋体" w:cs="宋体"/>
          <w:b/>
          <w:bCs w:val="0"/>
          <w:color w:val="auto"/>
          <w:szCs w:val="21"/>
          <w:highlight w:val="none"/>
        </w:rPr>
        <w:t>造成的损失，</w:t>
      </w:r>
      <w:r>
        <w:rPr>
          <w:rFonts w:hint="eastAsia" w:ascii="宋体" w:hAnsi="宋体" w:eastAsia="宋体" w:cs="宋体"/>
          <w:b/>
          <w:bCs w:val="0"/>
          <w:color w:val="auto"/>
          <w:szCs w:val="21"/>
          <w:highlight w:val="none"/>
          <w:lang w:val="en-US" w:eastAsia="zh-CN"/>
        </w:rPr>
        <w:t>参选人</w:t>
      </w:r>
      <w:r>
        <w:rPr>
          <w:rFonts w:hint="eastAsia" w:ascii="宋体" w:hAnsi="宋体" w:eastAsia="宋体" w:cs="宋体"/>
          <w:b/>
          <w:bCs w:val="0"/>
          <w:color w:val="auto"/>
          <w:szCs w:val="21"/>
          <w:highlight w:val="none"/>
        </w:rPr>
        <w:t>还应予以赔偿。构成犯罪的，依法追究刑事责任</w:t>
      </w:r>
      <w:r>
        <w:rPr>
          <w:rFonts w:hint="eastAsia" w:ascii="宋体" w:hAnsi="宋体" w:eastAsia="宋体" w:cs="宋体"/>
          <w:b/>
          <w:color w:val="auto"/>
          <w:szCs w:val="21"/>
          <w:highlight w:val="none"/>
        </w:rPr>
        <w:t>。</w:t>
      </w:r>
    </w:p>
    <w:p>
      <w:pPr>
        <w:pageBreakBefore w:val="0"/>
        <w:widowControl/>
        <w:kinsoku/>
        <w:overflowPunct/>
        <w:topLinePunct w:val="0"/>
        <w:bidi w:val="0"/>
        <w:spacing w:line="440" w:lineRule="exact"/>
        <w:ind w:firstLine="420" w:firstLine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（1）成交后无正当理由不与</w:t>
      </w:r>
      <w:r>
        <w:rPr>
          <w:rFonts w:hint="eastAsia" w:ascii="宋体" w:hAnsi="宋体" w:eastAsia="宋体" w:cs="宋体"/>
          <w:color w:val="auto"/>
          <w:szCs w:val="20"/>
          <w:highlight w:val="none"/>
          <w:lang w:eastAsia="zh-CN"/>
        </w:rPr>
        <w:t>采购单位</w:t>
      </w:r>
      <w:r>
        <w:rPr>
          <w:rFonts w:hint="eastAsia" w:ascii="宋体" w:hAnsi="宋体" w:eastAsia="宋体" w:cs="宋体"/>
          <w:color w:val="auto"/>
          <w:szCs w:val="20"/>
          <w:highlight w:val="none"/>
        </w:rPr>
        <w:t>签订合同的；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提出附加条件，</w:t>
      </w:r>
      <w:r>
        <w:rPr>
          <w:rFonts w:hint="eastAsia" w:ascii="宋体" w:hAnsi="宋体" w:eastAsia="宋体" w:cs="宋体"/>
          <w:color w:val="000000"/>
          <w:szCs w:val="21"/>
          <w:highlight w:val="none"/>
        </w:rPr>
        <w:t>或者不按照</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文件要求</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rPr>
        <w:t>履约保证金的；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（3）将成交项目转让给他人，或在</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中未说明，将成交项目分包给他人的；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相互串通或者与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串通的；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以向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成员行贿的手段谋取成交的；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以他人名义</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或者以其他方式弄虚作假，骗取成交的；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（7）违法与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价格、服务方案等实质性内容进行</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，影响成交结果的；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（8）法律、法规规定及</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文件约定的其他情形。</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cs="宋体"/>
          <w:b/>
          <w:bCs/>
          <w:color w:val="000000" w:themeColor="text1"/>
          <w:szCs w:val="21"/>
          <w:highlight w:val="none"/>
          <w:lang w:val="en-US" w:eastAsia="zh-CN"/>
          <w14:textFill>
            <w14:solidFill>
              <w14:schemeClr w14:val="tx1"/>
            </w14:solidFill>
          </w14:textFill>
        </w:rPr>
      </w:pPr>
      <w:bookmarkStart w:id="50" w:name="_Toc5512"/>
      <w:r>
        <w:rPr>
          <w:rFonts w:hint="eastAsia" w:ascii="宋体" w:hAnsi="宋体" w:cs="宋体"/>
          <w:b/>
          <w:bCs/>
          <w:color w:val="000000" w:themeColor="text1"/>
          <w:szCs w:val="21"/>
          <w:highlight w:val="none"/>
          <w:lang w:val="en-US" w:eastAsia="zh-CN"/>
          <w14:textFill>
            <w14:solidFill>
              <w14:schemeClr w14:val="tx1"/>
            </w14:solidFill>
          </w14:textFill>
        </w:rPr>
        <w:t>四、参选文件的</w:t>
      </w:r>
      <w:bookmarkEnd w:id="47"/>
      <w:bookmarkEnd w:id="48"/>
      <w:r>
        <w:rPr>
          <w:rFonts w:hint="eastAsia" w:ascii="宋体" w:hAnsi="宋体" w:cs="宋体"/>
          <w:b/>
          <w:bCs/>
          <w:color w:val="000000" w:themeColor="text1"/>
          <w:szCs w:val="21"/>
          <w:highlight w:val="none"/>
          <w:lang w:val="en-US" w:eastAsia="zh-CN"/>
          <w14:textFill>
            <w14:solidFill>
              <w14:schemeClr w14:val="tx1"/>
            </w14:solidFill>
          </w14:textFill>
        </w:rPr>
        <w:t>递交</w:t>
      </w:r>
      <w:bookmarkEnd w:id="50"/>
    </w:p>
    <w:p>
      <w:pPr>
        <w:pageBreakBefore w:val="0"/>
        <w:kinsoku/>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bookmarkStart w:id="51" w:name="_Toc476584425"/>
      <w:bookmarkStart w:id="52" w:name="_Toc54941336"/>
      <w:r>
        <w:rPr>
          <w:rFonts w:hint="eastAsia" w:ascii="宋体" w:hAnsi="宋体" w:eastAsia="宋体" w:cs="宋体"/>
          <w:b/>
          <w:color w:val="auto"/>
          <w:szCs w:val="21"/>
          <w:highlight w:val="none"/>
          <w:lang w:val="en-US" w:eastAsia="zh-CN"/>
        </w:rPr>
        <w:t>11</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递交</w:t>
      </w:r>
      <w:r>
        <w:rPr>
          <w:rFonts w:hint="eastAsia" w:ascii="宋体" w:hAnsi="宋体" w:eastAsia="宋体" w:cs="宋体"/>
          <w:b/>
          <w:color w:val="auto"/>
          <w:szCs w:val="21"/>
          <w:highlight w:val="none"/>
        </w:rPr>
        <w:t>说明</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应按照参选人须知前附表的第13条的装订要求进行递交</w:t>
      </w:r>
      <w:r>
        <w:rPr>
          <w:rFonts w:hint="eastAsia" w:ascii="宋体" w:hAnsi="宋体" w:eastAsia="宋体" w:cs="宋体"/>
          <w:color w:val="auto"/>
          <w:szCs w:val="21"/>
          <w:highlight w:val="none"/>
        </w:rPr>
        <w:t>。</w:t>
      </w:r>
    </w:p>
    <w:p>
      <w:pPr>
        <w:spacing w:line="44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12、参选截止时间</w:t>
      </w:r>
    </w:p>
    <w:p>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12.1参选人应在参选人须知前附表中约定的递交参选文件截止时间前将参选文件递交至比选地点。逾期递交的参选文件，采购单位不予受理。</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12.2采购人有权按本须知的约定，通过修改比选文件相关条款以延长递交参选文件截止时间。在此情况下，采购人和参选人受递交参选文件截止时间制约的所有权利和义务均应延长至新的递交参选文件截止时间。</w:t>
      </w:r>
    </w:p>
    <w:p>
      <w:pPr>
        <w:spacing w:line="440" w:lineRule="exact"/>
        <w:ind w:firstLine="422" w:firstLineChars="20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13、参选文件的递交</w:t>
      </w:r>
    </w:p>
    <w:p>
      <w:pPr>
        <w:widowControl/>
        <w:spacing w:line="500" w:lineRule="exact"/>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13</w:t>
      </w: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参选人</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文件以后，</w:t>
      </w:r>
      <w:r>
        <w:rPr>
          <w:rFonts w:hint="eastAsia" w:ascii="宋体" w:hAnsi="宋体" w:eastAsia="宋体" w:cs="宋体"/>
          <w:color w:val="000000"/>
          <w:szCs w:val="21"/>
          <w:highlight w:val="none"/>
          <w:lang w:val="en-US" w:eastAsia="zh-CN"/>
        </w:rPr>
        <w:t>不得</w:t>
      </w:r>
      <w:r>
        <w:rPr>
          <w:rFonts w:hint="eastAsia" w:ascii="宋体" w:hAnsi="宋体" w:eastAsia="宋体" w:cs="宋体"/>
          <w:color w:val="000000"/>
          <w:szCs w:val="21"/>
          <w:highlight w:val="none"/>
        </w:rPr>
        <w:t>撤回已</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pPr>
        <w:spacing w:line="360" w:lineRule="auto"/>
        <w:ind w:firstLine="420" w:firstLineChars="200"/>
        <w:rPr>
          <w:rFonts w:ascii="宋体" w:hAnsi="Times New Roman" w:eastAsia="宋体" w:cs="宋体"/>
          <w:szCs w:val="21"/>
          <w:highlight w:val="none"/>
        </w:rPr>
      </w:pPr>
      <w:r>
        <w:rPr>
          <w:rFonts w:hint="eastAsia" w:ascii="宋体" w:hAnsi="宋体" w:eastAsia="宋体" w:cs="宋体"/>
          <w:szCs w:val="21"/>
          <w:highlight w:val="none"/>
          <w:lang w:val="en-US" w:eastAsia="zh-CN"/>
        </w:rPr>
        <w:t>13</w:t>
      </w:r>
      <w:r>
        <w:rPr>
          <w:rFonts w:ascii="宋体" w:hAnsi="宋体" w:eastAsia="宋体" w:cs="宋体"/>
          <w:szCs w:val="21"/>
          <w:highlight w:val="none"/>
        </w:rPr>
        <w:t>.</w:t>
      </w:r>
      <w:r>
        <w:rPr>
          <w:rFonts w:hint="eastAsia" w:ascii="宋体" w:hAnsi="宋体" w:eastAsia="宋体" w:cs="宋体"/>
          <w:szCs w:val="21"/>
          <w:highlight w:val="none"/>
        </w:rPr>
        <w:t>2、在</w:t>
      </w:r>
      <w:r>
        <w:rPr>
          <w:rFonts w:hint="eastAsia" w:ascii="宋体" w:hAnsi="宋体" w:eastAsia="宋体" w:cs="宋体"/>
          <w:szCs w:val="21"/>
          <w:highlight w:val="none"/>
          <w:lang w:val="en-US" w:eastAsia="zh-CN"/>
        </w:rPr>
        <w:t>参选截止</w:t>
      </w:r>
      <w:r>
        <w:rPr>
          <w:rFonts w:hint="eastAsia" w:ascii="宋体" w:hAnsi="宋体" w:eastAsia="宋体" w:cs="宋体"/>
          <w:szCs w:val="21"/>
          <w:highlight w:val="none"/>
        </w:rPr>
        <w:t>时间之后，</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不得对其</w:t>
      </w:r>
      <w:r>
        <w:rPr>
          <w:rFonts w:hint="eastAsia" w:ascii="宋体" w:hAnsi="宋体" w:eastAsia="宋体" w:cs="宋体"/>
          <w:szCs w:val="21"/>
          <w:highlight w:val="none"/>
          <w:lang w:val="en-US" w:eastAsia="zh-CN"/>
        </w:rPr>
        <w:t>参选</w:t>
      </w:r>
      <w:r>
        <w:rPr>
          <w:rFonts w:hint="eastAsia" w:ascii="宋体" w:hAnsi="宋体" w:eastAsia="宋体" w:cs="宋体"/>
          <w:szCs w:val="21"/>
          <w:highlight w:val="none"/>
        </w:rPr>
        <w:t>文件做任何修改。</w:t>
      </w:r>
    </w:p>
    <w:p>
      <w:pPr>
        <w:spacing w:line="44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五、开启</w:t>
      </w:r>
    </w:p>
    <w:p>
      <w:pPr>
        <w:widowControl/>
        <w:spacing w:line="500" w:lineRule="exact"/>
        <w:ind w:firstLine="422" w:firstLineChars="200"/>
        <w:jc w:val="left"/>
        <w:rPr>
          <w:rFonts w:ascii="宋体" w:cs="宋体"/>
          <w:color w:val="000000" w:themeColor="text1"/>
          <w:szCs w:val="21"/>
          <w:highlight w:val="none"/>
          <w14:textFill>
            <w14:solidFill>
              <w14:schemeClr w14:val="tx1"/>
            </w14:solidFill>
          </w14:textFill>
        </w:rPr>
      </w:pPr>
      <w:r>
        <w:rPr>
          <w:rFonts w:hint="eastAsia" w:ascii="宋体" w:hAnsi="宋体" w:eastAsia="宋体" w:cs="宋体"/>
          <w:b/>
          <w:bCs/>
          <w:color w:val="000000"/>
          <w:kern w:val="2"/>
          <w:sz w:val="21"/>
          <w:szCs w:val="21"/>
          <w:highlight w:val="none"/>
          <w:lang w:val="en-US" w:eastAsia="zh-CN" w:bidi="ar-SA"/>
        </w:rPr>
        <w:t>14</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b/>
          <w:bCs/>
          <w:color w:val="000000"/>
          <w:spacing w:val="-6"/>
          <w:sz w:val="21"/>
          <w:szCs w:val="21"/>
          <w:highlight w:val="none"/>
        </w:rPr>
        <w:t>本项目要求</w:t>
      </w:r>
      <w:r>
        <w:rPr>
          <w:rFonts w:hint="eastAsia" w:ascii="宋体" w:hAnsi="宋体" w:eastAsia="宋体" w:cs="宋体"/>
          <w:b/>
          <w:bCs/>
          <w:color w:val="000000"/>
          <w:spacing w:val="-6"/>
          <w:sz w:val="21"/>
          <w:szCs w:val="21"/>
          <w:highlight w:val="none"/>
          <w:lang w:val="en-US" w:eastAsia="zh-CN"/>
        </w:rPr>
        <w:t>参选人</w:t>
      </w:r>
      <w:r>
        <w:rPr>
          <w:rFonts w:hint="eastAsia" w:ascii="宋体" w:hAnsi="宋体" w:eastAsia="宋体" w:cs="宋体"/>
          <w:b/>
          <w:bCs/>
          <w:color w:val="000000"/>
          <w:spacing w:val="-6"/>
          <w:sz w:val="21"/>
          <w:szCs w:val="21"/>
          <w:highlight w:val="none"/>
        </w:rPr>
        <w:t>对</w:t>
      </w:r>
      <w:r>
        <w:rPr>
          <w:rFonts w:hint="eastAsia" w:ascii="宋体" w:hAnsi="宋体" w:eastAsia="宋体" w:cs="宋体"/>
          <w:b/>
          <w:bCs/>
          <w:color w:val="000000"/>
          <w:spacing w:val="-6"/>
          <w:sz w:val="21"/>
          <w:szCs w:val="21"/>
          <w:highlight w:val="none"/>
          <w:lang w:val="en-US" w:eastAsia="zh-CN"/>
        </w:rPr>
        <w:t>参选</w:t>
      </w:r>
      <w:r>
        <w:rPr>
          <w:rFonts w:hint="eastAsia" w:ascii="宋体" w:hAnsi="宋体" w:eastAsia="宋体" w:cs="宋体"/>
          <w:b/>
          <w:bCs/>
          <w:color w:val="000000"/>
          <w:spacing w:val="-6"/>
          <w:sz w:val="21"/>
          <w:szCs w:val="21"/>
          <w:highlight w:val="none"/>
        </w:rPr>
        <w:t>文件实施</w:t>
      </w:r>
      <w:r>
        <w:rPr>
          <w:rFonts w:hint="eastAsia" w:ascii="宋体" w:hAnsi="宋体" w:eastAsia="宋体" w:cs="宋体"/>
          <w:b/>
          <w:bCs/>
          <w:color w:val="000000"/>
          <w:spacing w:val="-6"/>
          <w:sz w:val="21"/>
          <w:szCs w:val="21"/>
          <w:highlight w:val="none"/>
          <w:lang w:val="en-US" w:eastAsia="zh-CN"/>
        </w:rPr>
        <w:t>现场比选</w:t>
      </w:r>
      <w:r>
        <w:rPr>
          <w:rFonts w:hint="eastAsia" w:ascii="宋体" w:hAnsi="宋体" w:eastAsia="宋体" w:cs="宋体"/>
          <w:b/>
          <w:bCs/>
          <w:color w:val="000000"/>
          <w:spacing w:val="-6"/>
          <w:sz w:val="21"/>
          <w:szCs w:val="21"/>
          <w:highlight w:val="none"/>
        </w:rPr>
        <w:t>，</w:t>
      </w:r>
      <w:r>
        <w:rPr>
          <w:rFonts w:hint="eastAsia" w:ascii="宋体" w:hAnsi="宋体" w:eastAsia="宋体" w:cs="宋体"/>
          <w:b/>
          <w:bCs/>
          <w:color w:val="000000"/>
          <w:spacing w:val="-6"/>
          <w:sz w:val="21"/>
          <w:szCs w:val="21"/>
          <w:highlight w:val="none"/>
          <w:lang w:val="en-US" w:eastAsia="zh-CN"/>
        </w:rPr>
        <w:t>参选人必须</w:t>
      </w:r>
      <w:r>
        <w:rPr>
          <w:rFonts w:hint="eastAsia" w:ascii="宋体" w:hAnsi="宋体" w:eastAsia="宋体" w:cs="宋体"/>
          <w:b/>
          <w:bCs/>
          <w:color w:val="000000"/>
          <w:spacing w:val="-6"/>
          <w:sz w:val="21"/>
          <w:szCs w:val="21"/>
          <w:highlight w:val="none"/>
        </w:rPr>
        <w:t>到现场参加</w:t>
      </w:r>
      <w:r>
        <w:rPr>
          <w:rFonts w:hint="eastAsia" w:ascii="宋体" w:hAnsi="宋体" w:eastAsia="宋体" w:cs="宋体"/>
          <w:b/>
          <w:bCs/>
          <w:color w:val="000000"/>
          <w:spacing w:val="-6"/>
          <w:sz w:val="21"/>
          <w:szCs w:val="21"/>
          <w:highlight w:val="none"/>
          <w:lang w:eastAsia="zh-CN"/>
        </w:rPr>
        <w:t>比选</w:t>
      </w:r>
      <w:r>
        <w:rPr>
          <w:rFonts w:hint="eastAsia" w:ascii="宋体" w:hAnsi="宋体" w:eastAsia="宋体" w:cs="宋体"/>
          <w:b/>
          <w:bCs/>
          <w:color w:val="000000"/>
          <w:spacing w:val="-6"/>
          <w:sz w:val="21"/>
          <w:szCs w:val="21"/>
          <w:highlight w:val="none"/>
        </w:rPr>
        <w:t>活动。</w:t>
      </w:r>
    </w:p>
    <w:bookmarkEnd w:id="49"/>
    <w:bookmarkEnd w:id="51"/>
    <w:bookmarkEnd w:id="52"/>
    <w:p>
      <w:pPr>
        <w:pStyle w:val="6"/>
        <w:spacing w:line="440" w:lineRule="exact"/>
        <w:ind w:firstLine="413" w:firstLineChars="196"/>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六、</w:t>
      </w:r>
      <w:bookmarkEnd w:id="28"/>
      <w:bookmarkEnd w:id="29"/>
      <w:r>
        <w:rPr>
          <w:rFonts w:hint="eastAsia" w:cs="宋体"/>
          <w:color w:val="000000" w:themeColor="text1"/>
          <w:highlight w:val="none"/>
          <w14:textFill>
            <w14:solidFill>
              <w14:schemeClr w14:val="tx1"/>
            </w14:solidFill>
          </w14:textFill>
        </w:rPr>
        <w:t>评选</w:t>
      </w:r>
    </w:p>
    <w:p>
      <w:pPr>
        <w:spacing w:line="440" w:lineRule="exact"/>
        <w:ind w:firstLine="422"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15、评选委员会</w:t>
      </w:r>
      <w:r>
        <w:rPr>
          <w:rFonts w:hint="eastAsia" w:ascii="宋体" w:hAnsi="宋体" w:cs="宋体"/>
          <w:bCs/>
          <w:color w:val="000000" w:themeColor="text1"/>
          <w:szCs w:val="21"/>
          <w:highlight w:val="none"/>
          <w14:textFill>
            <w14:solidFill>
              <w14:schemeClr w14:val="tx1"/>
            </w14:solidFill>
          </w14:textFill>
        </w:rPr>
        <w:t>（以下简称“评委会”）：评委会由采购人代表及评标专家依法组建。采购人代表不得担任评委会组长。评选由评委会进行，评委应坚持公正、公平、诚实守信、实事求是、独立评选的原则。</w:t>
      </w:r>
    </w:p>
    <w:p>
      <w:pPr>
        <w:spacing w:line="44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16、评选方法：</w:t>
      </w:r>
      <w:r>
        <w:rPr>
          <w:rFonts w:hint="eastAsia" w:ascii="宋体" w:hAnsi="宋体" w:cs="宋体"/>
          <w:color w:val="000000" w:themeColor="text1"/>
          <w:szCs w:val="21"/>
          <w:highlight w:val="none"/>
          <w14:textFill>
            <w14:solidFill>
              <w14:schemeClr w14:val="tx1"/>
            </w14:solidFill>
          </w14:textFill>
        </w:rPr>
        <w:t>最低</w:t>
      </w:r>
      <w:r>
        <w:rPr>
          <w:rFonts w:hint="eastAsia" w:ascii="宋体" w:hAnsi="宋体" w:cs="宋体"/>
          <w:color w:val="000000" w:themeColor="text1"/>
          <w:szCs w:val="21"/>
          <w:highlight w:val="none"/>
          <w:lang w:val="en-US" w:eastAsia="zh-CN"/>
          <w14:textFill>
            <w14:solidFill>
              <w14:schemeClr w14:val="tx1"/>
            </w14:solidFill>
          </w14:textFill>
        </w:rPr>
        <w:t>投</w:t>
      </w:r>
      <w:r>
        <w:rPr>
          <w:rFonts w:hint="eastAsia" w:ascii="宋体" w:hAnsi="宋体" w:cs="宋体"/>
          <w:color w:val="000000" w:themeColor="text1"/>
          <w:szCs w:val="21"/>
          <w:highlight w:val="none"/>
          <w14:textFill>
            <w14:solidFill>
              <w14:schemeClr w14:val="tx1"/>
            </w14:solidFill>
          </w14:textFill>
        </w:rPr>
        <w:t>标价法。</w:t>
      </w:r>
    </w:p>
    <w:p>
      <w:pPr>
        <w:spacing w:line="44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17、评选程序：</w:t>
      </w:r>
    </w:p>
    <w:p>
      <w:pPr>
        <w:widowControl/>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17.1、参选文件符合性审查，包括但不限于以下内容：</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（1）参选人资格是否符合比选文件要求；</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（2）参选文件是否按比选文件的要求进行编制；</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（3）比选文件要求提交的各种资格证明文件是否真实、完整、合法、有效；</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（4）参选文件对法律、法规和比选文件其他明确要求的符合性；</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（5）参选文件是否附有采购人不能接受的条件；</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（6）参选文件是否存在比选文件中规定的无效参选文件的其他情形；</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（7）参选文件是否符合比选文件的要求。</w:t>
      </w:r>
    </w:p>
    <w:p>
      <w:pPr>
        <w:widowControl/>
        <w:spacing w:line="440" w:lineRule="exact"/>
        <w:ind w:firstLine="405"/>
        <w:jc w:val="left"/>
        <w:rPr>
          <w:rFonts w:ascii="宋体" w:hAnsi="宋体" w:cs="宋体"/>
          <w:b/>
          <w:bCs/>
          <w:color w:val="000000" w:themeColor="text1"/>
          <w:szCs w:val="21"/>
          <w:highlight w:val="none"/>
          <w14:textFill>
            <w14:solidFill>
              <w14:schemeClr w14:val="tx1"/>
            </w14:solidFill>
          </w14:textFill>
        </w:rPr>
      </w:pPr>
      <w:bookmarkStart w:id="53" w:name="_Toc23618"/>
      <w:r>
        <w:rPr>
          <w:rFonts w:hint="eastAsia" w:ascii="宋体" w:hAnsi="宋体" w:cs="宋体"/>
          <w:b/>
          <w:bCs/>
          <w:color w:val="000000" w:themeColor="text1"/>
          <w:szCs w:val="21"/>
          <w:highlight w:val="none"/>
          <w14:textFill>
            <w14:solidFill>
              <w14:schemeClr w14:val="tx1"/>
            </w14:solidFill>
          </w14:textFill>
        </w:rPr>
        <w:t>17.2、比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w:t>
      </w:r>
      <w:r>
        <w:rPr>
          <w:rFonts w:hint="eastAsia" w:ascii="宋体" w:hAnsi="宋体" w:cs="宋体"/>
          <w:b/>
          <w:bCs/>
          <w:color w:val="000000" w:themeColor="text1"/>
          <w:szCs w:val="21"/>
          <w:highlight w:val="none"/>
          <w:lang w:val="en-US" w:eastAsia="zh-CN"/>
          <w14:textFill>
            <w14:solidFill>
              <w14:schemeClr w14:val="tx1"/>
            </w14:solidFill>
          </w14:textFill>
        </w:rPr>
        <w:t>书面</w:t>
      </w:r>
      <w:r>
        <w:rPr>
          <w:rFonts w:hint="eastAsia" w:ascii="宋体" w:hAnsi="宋体" w:cs="宋体"/>
          <w:b/>
          <w:bCs/>
          <w:color w:val="000000" w:themeColor="text1"/>
          <w:szCs w:val="21"/>
          <w:highlight w:val="none"/>
          <w14:textFill>
            <w14:solidFill>
              <w14:schemeClr w14:val="tx1"/>
            </w14:solidFill>
          </w14:textFill>
        </w:rPr>
        <w:t>澄清、说明或者补正，并提供相关材料加盖公章。澄清文件将作为参选文件内容的一部分。由评委会认可的资料内容，成交人须在签订合同前将原件提交给采购人，否则视为成交人自动放弃成交资格。</w:t>
      </w:r>
    </w:p>
    <w:p>
      <w:pPr>
        <w:widowControl/>
        <w:spacing w:line="440" w:lineRule="exact"/>
        <w:ind w:firstLine="40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17.3、参选人报价不得高于比选</w:t>
      </w:r>
      <w:r>
        <w:rPr>
          <w:rFonts w:hint="eastAsia" w:ascii="宋体" w:hAnsi="宋体" w:cs="宋体"/>
          <w:color w:val="000000" w:themeColor="text1"/>
          <w:szCs w:val="21"/>
          <w:highlight w:val="none"/>
          <w:lang w:eastAsia="zh-CN"/>
          <w14:textFill>
            <w14:solidFill>
              <w14:schemeClr w14:val="tx1"/>
            </w14:solidFill>
          </w14:textFill>
        </w:rPr>
        <w:t>最高投标限价</w:t>
      </w:r>
      <w:r>
        <w:rPr>
          <w:rFonts w:hint="eastAsia" w:ascii="宋体" w:hAnsi="宋体" w:cs="宋体"/>
          <w:color w:val="000000" w:themeColor="text1"/>
          <w:szCs w:val="21"/>
          <w:highlight w:val="none"/>
          <w14:textFill>
            <w14:solidFill>
              <w14:schemeClr w14:val="tx1"/>
            </w14:solidFill>
          </w14:textFill>
        </w:rPr>
        <w:t>，否则报价评审不通过，按无效标处理。</w:t>
      </w:r>
    </w:p>
    <w:p>
      <w:pPr>
        <w:widowControl/>
        <w:spacing w:line="440" w:lineRule="exact"/>
        <w:ind w:firstLine="40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评选委员会认为参选人报价明显缺乏竞争性的，评选委员会可以否决所有</w:t>
      </w:r>
      <w:r>
        <w:rPr>
          <w:rFonts w:hint="eastAsia" w:ascii="宋体" w:hAnsi="宋体" w:cs="宋体"/>
          <w:b/>
          <w:bCs/>
          <w:color w:val="000000" w:themeColor="text1"/>
          <w:szCs w:val="21"/>
          <w:highlight w:val="none"/>
          <w:lang w:val="en-US" w:eastAsia="zh-CN"/>
          <w14:textFill>
            <w14:solidFill>
              <w14:schemeClr w14:val="tx1"/>
            </w14:solidFill>
          </w14:textFill>
        </w:rPr>
        <w:t>参选</w:t>
      </w:r>
      <w:r>
        <w:rPr>
          <w:rFonts w:hint="eastAsia" w:ascii="宋体" w:hAnsi="宋体" w:cs="宋体"/>
          <w:b/>
          <w:bCs/>
          <w:color w:val="000000" w:themeColor="text1"/>
          <w:szCs w:val="21"/>
          <w:highlight w:val="none"/>
          <w14:textFill>
            <w14:solidFill>
              <w14:schemeClr w14:val="tx1"/>
            </w14:solidFill>
          </w14:textFill>
        </w:rPr>
        <w:t>投标。</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确定成交候选人排序：评委会对参选文件通过上述评审的参选人，根据评审价由低至高的顺序排列。评审价最低的为第一成交候选人，次低的为第二成交候选人，第三低的为第三成交候选人。若出现两家或两家以上评审价最低且相等时，则由采购人采取现场随机抽取的方式确定成交候选人排序。</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18</w:t>
      </w:r>
      <w:r>
        <w:rPr>
          <w:rFonts w:hint="eastAsia" w:ascii="宋体" w:hAnsi="宋体" w:cs="宋体"/>
          <w:b/>
          <w:bCs/>
          <w:color w:val="000000" w:themeColor="text1"/>
          <w:szCs w:val="21"/>
          <w:highlight w:val="none"/>
          <w14:textFill>
            <w14:solidFill>
              <w14:schemeClr w14:val="tx1"/>
            </w14:solidFill>
          </w14:textFill>
        </w:rPr>
        <w:t>、开标评标异常情况处理</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1、在</w:t>
      </w:r>
      <w:r>
        <w:rPr>
          <w:rFonts w:hint="eastAsia" w:ascii="宋体" w:hAnsi="宋体" w:cs="宋体"/>
          <w:color w:val="000000" w:themeColor="text1"/>
          <w:szCs w:val="21"/>
          <w:highlight w:val="none"/>
          <w:lang w:val="en-US" w:eastAsia="zh-CN"/>
          <w14:textFill>
            <w14:solidFill>
              <w14:schemeClr w14:val="tx1"/>
            </w14:solidFill>
          </w14:textFill>
        </w:rPr>
        <w:t>本次</w:t>
      </w:r>
      <w:r>
        <w:rPr>
          <w:rFonts w:hint="eastAsia" w:ascii="宋体" w:hAnsi="宋体" w:cs="宋体"/>
          <w:color w:val="000000" w:themeColor="text1"/>
          <w:szCs w:val="21"/>
          <w:highlight w:val="none"/>
          <w14:textFill>
            <w14:solidFill>
              <w14:schemeClr w14:val="tx1"/>
            </w14:solidFill>
          </w14:textFill>
        </w:rPr>
        <w:t>采购中，出现下列情况之一的，应予废标，采购单位重新组织采购：</w:t>
      </w:r>
    </w:p>
    <w:p>
      <w:pPr>
        <w:widowControl/>
        <w:spacing w:line="440" w:lineRule="exact"/>
        <w:ind w:firstLine="840" w:firstLineChars="4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提交参选文件的参选人不足2家的；</w:t>
      </w:r>
    </w:p>
    <w:p>
      <w:pPr>
        <w:widowControl/>
        <w:spacing w:line="440" w:lineRule="exact"/>
        <w:ind w:firstLine="840" w:firstLineChars="4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出现影响采购公正的违法、违规行为的；</w:t>
      </w:r>
    </w:p>
    <w:p>
      <w:pPr>
        <w:widowControl/>
        <w:spacing w:line="440" w:lineRule="exact"/>
        <w:ind w:firstLine="840" w:firstLineChars="4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因重大变故，采购任务取消的。</w:t>
      </w:r>
    </w:p>
    <w:bookmarkEnd w:id="53"/>
    <w:p>
      <w:pPr>
        <w:widowControl/>
        <w:spacing w:line="440" w:lineRule="exact"/>
        <w:ind w:firstLine="420"/>
        <w:jc w:val="left"/>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19、成交通知书</w:t>
      </w:r>
    </w:p>
    <w:p>
      <w:pPr>
        <w:widowControl/>
        <w:spacing w:line="440" w:lineRule="exact"/>
        <w:ind w:firstLine="42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采购人在评审报告推荐的参选候选人中按顺序确定成交人。采购人将向成交人发出成交通知书，并在安庆交控集团集采平台（http://jc.zh0556.com/）公告比选结果。参选人如有质疑、投诉，应在成交结果公告期限届满之日起两个工作日内以书面形式向采购人提出。无异议后，采购人与成交人签订合同。</w:t>
      </w:r>
    </w:p>
    <w:p>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pPr>
        <w:pStyle w:val="3"/>
        <w:numPr>
          <w:ilvl w:val="0"/>
          <w:numId w:val="6"/>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54" w:name="_Toc54941340"/>
      <w:bookmarkStart w:id="55" w:name="_Toc11149"/>
      <w:bookmarkStart w:id="56" w:name="_Toc10569"/>
      <w:r>
        <w:rPr>
          <w:rFonts w:hint="eastAsia" w:ascii="Arial" w:hAnsi="Arial"/>
          <w:color w:val="000000" w:themeColor="text1"/>
          <w:kern w:val="2"/>
          <w:sz w:val="32"/>
          <w:szCs w:val="32"/>
          <w:highlight w:val="none"/>
          <w14:textFill>
            <w14:solidFill>
              <w14:schemeClr w14:val="tx1"/>
            </w14:solidFill>
          </w14:textFill>
        </w:rPr>
        <w:t xml:space="preserve"> 服务及</w:t>
      </w:r>
      <w:r>
        <w:rPr>
          <w:rFonts w:hint="eastAsia" w:ascii="Arial" w:hAnsi="Arial"/>
          <w:color w:val="000000" w:themeColor="text1"/>
          <w:kern w:val="2"/>
          <w:sz w:val="32"/>
          <w:szCs w:val="32"/>
          <w:highlight w:val="none"/>
          <w:lang w:val="zh-CN"/>
          <w14:textFill>
            <w14:solidFill>
              <w14:schemeClr w14:val="tx1"/>
            </w14:solidFill>
          </w14:textFill>
        </w:rPr>
        <w:t>技术要求</w:t>
      </w:r>
    </w:p>
    <w:p>
      <w:pPr>
        <w:rPr>
          <w:rFonts w:hint="eastAsia"/>
        </w:rPr>
      </w:pPr>
    </w:p>
    <w:p>
      <w:p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一、项目概况</w:t>
      </w:r>
    </w:p>
    <w:p>
      <w:pPr>
        <w:numPr>
          <w:ilvl w:val="0"/>
          <w:numId w:val="0"/>
        </w:numPr>
        <w:tabs>
          <w:tab w:val="left" w:pos="3640"/>
        </w:tabs>
        <w:autoSpaceDE w:val="0"/>
        <w:autoSpaceDN w:val="0"/>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物资主要包括办公桌椅、铁皮柜、清洁车、洗地机、垃圾车、巡逻车、货架、岗亭等设备，以及部分办公类、保洁类、保安类、工程类等大件工具，其中，设备类物资搬运至安庆港汽车整车进口口岸，其他物资分别搬运至安庆市宜秀区振风大道和龙眠山路交叉口和安庆市大观区宜园路16号安庆交控集团，搬运物资均不上楼。（具体详见物资清单）</w:t>
      </w:r>
    </w:p>
    <w:p>
      <w:pPr>
        <w:numPr>
          <w:ilvl w:val="0"/>
          <w:numId w:val="7"/>
        </w:num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服务需求</w:t>
      </w:r>
    </w:p>
    <w:tbl>
      <w:tblPr>
        <w:tblStyle w:val="61"/>
        <w:tblW w:w="8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9"/>
        <w:gridCol w:w="2186"/>
        <w:gridCol w:w="569"/>
        <w:gridCol w:w="577"/>
        <w:gridCol w:w="2286"/>
        <w:gridCol w:w="1104"/>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19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物资清单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搬运后存放处</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是否需要</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搬运</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自装卸式垃圾车</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油污冲洗车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驾驶式洗地车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手推式洗地机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多功能刷地机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强力吹干机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吸尘吸水机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三轮高压冲洗车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绿能电动扫地车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S16电动清扫车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电动保洁车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两轮电动巡逻车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四轮电动保安巡逻车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不锈钢分类垃圾桶</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240L垃圾桶</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1.2米办公桌</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椅子</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铁皮柜</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室内升降平台</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电动尘推车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汽油发电机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吸尘吸水机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超宝牌175多功能刷机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背式吸尘器</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强力吹干机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清洁工具车</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木质分类垃圾桶</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车载推雪板</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撒布机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会议桌</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含拆卸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会议椅</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演讲台</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小长条桌</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仓库货架</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办公桌椅</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不锈钢岗亭</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警棍长</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盾牌</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防爆钢叉</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医疗废弃桶07317脚踏垃圾桶</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白云小号方形直立式告示牌</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大竹扫把</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不锈钢垃圾桶内胆</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铁锹</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撒布机</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防汛沙袋</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服装</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工业盐</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安庆港汽车整车进口口岸</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1.6米老板桌</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安庆市宜秀区振风大道和龙眠山路交叉口</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含拆卸、组装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沙发</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茶几</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茶水柜</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仓库货架</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高压水枪</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甩干机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茶水柜</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铁皮柜</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摩托剪草器</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多功能吹风机</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飞鸽电动车</w:t>
            </w: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冰柜</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9步人字梯</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微型消防站柜</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饮水机</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防爆器材柜</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不锈钢光亮剂</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强力化油剂</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柏油沥青清洁剂</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洁而亮多功能清洁乳</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医用酒精</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割灌机</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尘推架</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推雪板</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把</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铝合金五部梯</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3芯电缆线</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工业盐</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袋</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77</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伸缩杆</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根</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78</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榨水车</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40</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79</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路锥</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30</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80</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草酸</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81</w:t>
            </w:r>
          </w:p>
        </w:tc>
        <w:tc>
          <w:tcPr>
            <w:tcW w:w="2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脚手架</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付</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2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18"/>
                <w:szCs w:val="18"/>
                <w:u w:val="none"/>
                <w:lang w:val="en-US" w:eastAsia="zh-CN" w:bidi="ar-SA"/>
              </w:rPr>
            </w:pPr>
            <w:r>
              <w:rPr>
                <w:rFonts w:hint="eastAsia" w:ascii="宋体" w:hAnsi="宋体" w:eastAsia="宋体" w:cs="宋体"/>
                <w:i w:val="0"/>
                <w:iCs w:val="0"/>
                <w:color w:val="FF0000"/>
                <w:kern w:val="0"/>
                <w:sz w:val="18"/>
                <w:szCs w:val="18"/>
                <w:u w:val="none"/>
                <w:lang w:val="en-US" w:eastAsia="zh-CN" w:bidi="ar"/>
              </w:rPr>
              <w:t>安庆市大观区宜园路16号</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是</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bl>
    <w:p>
      <w:pPr>
        <w:numPr>
          <w:ilvl w:val="0"/>
          <w:numId w:val="0"/>
        </w:numPr>
        <w:tabs>
          <w:tab w:val="left" w:pos="3640"/>
        </w:tabs>
        <w:autoSpaceDE w:val="0"/>
        <w:autoSpaceDN w:val="0"/>
        <w:spacing w:line="360" w:lineRule="auto"/>
        <w:ind w:firstLine="560" w:firstLineChars="200"/>
        <w:rPr>
          <w:rFonts w:hint="default"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三、服务要求</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1、本次采购服务包含物资</w:t>
      </w:r>
      <w:r>
        <w:rPr>
          <w:rFonts w:hint="eastAsia" w:ascii="宋体" w:hAnsi="宋体" w:cs="宋体"/>
          <w:color w:val="000000" w:themeColor="text1"/>
          <w:sz w:val="24"/>
          <w:szCs w:val="24"/>
          <w:highlight w:val="none"/>
          <w:lang w:val="en-US" w:eastAsia="zh-CN"/>
          <w14:textFill>
            <w14:solidFill>
              <w14:schemeClr w14:val="tx1"/>
            </w14:solidFill>
          </w14:textFill>
        </w:rPr>
        <w:t>打包、</w:t>
      </w:r>
      <w:r>
        <w:rPr>
          <w:rFonts w:hint="eastAsia" w:ascii="宋体" w:hAnsi="宋体" w:eastAsia="宋体" w:cs="宋体"/>
          <w:color w:val="000000" w:themeColor="text1"/>
          <w:sz w:val="24"/>
          <w:szCs w:val="24"/>
          <w:highlight w:val="none"/>
          <w:lang w:val="en-US" w:eastAsia="zh-CN"/>
          <w14:textFill>
            <w14:solidFill>
              <w14:schemeClr w14:val="tx1"/>
            </w14:solidFill>
          </w14:textFill>
        </w:rPr>
        <w:t>装车、卸货以及搬运至指定地点，部分设备需要使用叉车</w:t>
      </w:r>
      <w:r>
        <w:rPr>
          <w:rFonts w:hint="eastAsia" w:ascii="宋体" w:hAnsi="宋体" w:cs="宋体"/>
          <w:color w:val="000000" w:themeColor="text1"/>
          <w:sz w:val="24"/>
          <w:szCs w:val="24"/>
          <w:highlight w:val="none"/>
          <w:lang w:val="en-US" w:eastAsia="zh-CN"/>
          <w14:textFill>
            <w14:solidFill>
              <w14:schemeClr w14:val="tx1"/>
            </w14:solidFill>
          </w14:textFill>
        </w:rPr>
        <w:t>、拖车、吊车</w:t>
      </w:r>
      <w:r>
        <w:rPr>
          <w:rFonts w:hint="eastAsia" w:ascii="宋体" w:hAnsi="宋体" w:eastAsia="宋体" w:cs="宋体"/>
          <w:color w:val="000000" w:themeColor="text1"/>
          <w:sz w:val="24"/>
          <w:szCs w:val="24"/>
          <w:highlight w:val="none"/>
          <w:lang w:val="en-US" w:eastAsia="zh-CN"/>
          <w14:textFill>
            <w14:solidFill>
              <w14:schemeClr w14:val="tx1"/>
            </w14:solidFill>
          </w14:textFill>
        </w:rPr>
        <w:t>等专业设备进行装车</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卸货</w:t>
      </w:r>
      <w:r>
        <w:rPr>
          <w:rFonts w:hint="eastAsia" w:ascii="宋体" w:hAnsi="宋体" w:cs="宋体"/>
          <w:color w:val="000000" w:themeColor="text1"/>
          <w:sz w:val="24"/>
          <w:szCs w:val="24"/>
          <w:highlight w:val="none"/>
          <w:lang w:val="en-US" w:eastAsia="zh-CN"/>
          <w14:textFill>
            <w14:solidFill>
              <w14:schemeClr w14:val="tx1"/>
            </w14:solidFill>
          </w14:textFill>
        </w:rPr>
        <w:t>及搬运</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参选</w:t>
      </w:r>
      <w:r>
        <w:rPr>
          <w:rFonts w:hint="eastAsia" w:ascii="宋体" w:hAnsi="宋体" w:eastAsia="宋体" w:cs="宋体"/>
          <w:color w:val="000000" w:themeColor="text1"/>
          <w:sz w:val="24"/>
          <w:szCs w:val="24"/>
          <w:highlight w:val="none"/>
          <w:lang w:val="en-US" w:eastAsia="zh-CN"/>
          <w14:textFill>
            <w14:solidFill>
              <w14:schemeClr w14:val="tx1"/>
            </w14:solidFill>
          </w14:textFill>
        </w:rPr>
        <w:t>人应综合考虑。</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2、在完成本项目采购内容的过程中，所有的安全责任均由中标人承担。</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3、若因中标人在搬运过程中搬运不当等人为因素造成搬运物资损坏或丢失的，应由中标人照价赔偿。</w:t>
      </w:r>
    </w:p>
    <w:p>
      <w:pPr>
        <w:tabs>
          <w:tab w:val="left" w:pos="3640"/>
        </w:tabs>
        <w:autoSpaceDE w:val="0"/>
        <w:autoSpaceDN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4、本次采购为包干制，采购人除支付中标价款外，不再支付任何其他费用。</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7" w:name="_Toc10479"/>
      <w:bookmarkStart w:id="58"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4"/>
      <w:bookmarkEnd w:id="55"/>
      <w:bookmarkEnd w:id="56"/>
      <w:bookmarkEnd w:id="57"/>
      <w:bookmarkEnd w:id="58"/>
    </w:p>
    <w:p>
      <w:pPr>
        <w:rPr>
          <w:rFonts w:hint="eastAsia"/>
          <w:lang w:eastAsia="zh-CN"/>
        </w:rPr>
      </w:pPr>
    </w:p>
    <w:p>
      <w:pPr>
        <w:tabs>
          <w:tab w:val="left" w:pos="3640"/>
        </w:tabs>
        <w:autoSpaceDE w:val="0"/>
        <w:autoSpaceDN w:val="0"/>
        <w:spacing w:line="360" w:lineRule="auto"/>
        <w:rPr>
          <w:rFonts w:ascii="宋体" w:hAnsi="Times New Roman" w:eastAsia="宋体" w:cs="宋体"/>
          <w:color w:val="36363D"/>
          <w:szCs w:val="21"/>
          <w:highlight w:val="none"/>
          <w:u w:val="single"/>
        </w:rPr>
      </w:pPr>
      <w:bookmarkStart w:id="59" w:name="_Toc439316880"/>
      <w:bookmarkStart w:id="60" w:name="_Toc8981"/>
      <w:bookmarkStart w:id="61" w:name="_Toc54941341"/>
      <w:bookmarkStart w:id="62" w:name="_Toc25399"/>
      <w:r>
        <w:rPr>
          <w:rFonts w:hint="eastAsia" w:ascii="宋体" w:hAnsi="宋体" w:eastAsia="宋体" w:cs="宋体"/>
          <w:color w:val="36363D"/>
          <w:szCs w:val="21"/>
          <w:highlight w:val="none"/>
        </w:rPr>
        <w:t>买方（</w:t>
      </w:r>
      <w:r>
        <w:rPr>
          <w:rFonts w:hint="eastAsia" w:ascii="宋体" w:hAnsi="宋体" w:cs="宋体"/>
          <w:color w:val="36363D"/>
          <w:szCs w:val="21"/>
          <w:highlight w:val="none"/>
          <w:lang w:val="en-US" w:eastAsia="zh-CN"/>
        </w:rPr>
        <w:t>采购</w:t>
      </w:r>
      <w:r>
        <w:rPr>
          <w:rFonts w:hint="eastAsia" w:ascii="宋体" w:hAnsi="宋体" w:eastAsia="宋体" w:cs="宋体"/>
          <w:color w:val="36363D"/>
          <w:szCs w:val="21"/>
          <w:highlight w:val="none"/>
          <w:lang w:eastAsia="zh-CN"/>
        </w:rPr>
        <w:t>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pPr>
        <w:tabs>
          <w:tab w:val="left" w:pos="3640"/>
        </w:tabs>
        <w:autoSpaceDE w:val="0"/>
        <w:autoSpaceDN w:val="0"/>
        <w:spacing w:line="360" w:lineRule="auto"/>
        <w:rPr>
          <w:rFonts w:ascii="宋体" w:hAnsi="Times New Roman" w:eastAsia="宋体" w:cs="宋体"/>
          <w:color w:val="36363D"/>
          <w:szCs w:val="21"/>
          <w:highlight w:val="none"/>
          <w:u w:val="single"/>
        </w:rPr>
      </w:pPr>
      <w:r>
        <w:rPr>
          <w:rFonts w:hint="eastAsia" w:ascii="宋体" w:hAnsi="宋体" w:eastAsia="宋体" w:cs="宋体"/>
          <w:color w:val="36363D"/>
          <w:szCs w:val="21"/>
          <w:highlight w:val="none"/>
        </w:rPr>
        <w:t>卖方（</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hint="eastAsia" w:ascii="宋体" w:hAnsi="宋体" w:eastAsia="宋体" w:cs="宋体"/>
          <w:color w:val="36363D"/>
          <w:szCs w:val="21"/>
          <w:highlight w:val="none"/>
        </w:rPr>
        <w:t>根据《中华人民共和国民法典》及</w:t>
      </w:r>
      <w:r>
        <w:rPr>
          <w:rFonts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文件，买、卖双方经协商一致，签订如下合同条款，并共同遵守。</w:t>
      </w:r>
    </w:p>
    <w:p>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lang w:val="en-US" w:eastAsia="zh-CN"/>
        </w:rPr>
        <w:t>一、</w:t>
      </w:r>
      <w:r>
        <w:rPr>
          <w:rFonts w:hint="eastAsia" w:ascii="宋体" w:hAnsi="宋体" w:eastAsia="宋体" w:cs="宋体"/>
          <w:b/>
          <w:color w:val="36363D"/>
          <w:szCs w:val="21"/>
          <w:highlight w:val="none"/>
        </w:rPr>
        <w:t>服务内容</w:t>
      </w:r>
    </w:p>
    <w:p>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服务内容：</w:t>
      </w:r>
    </w:p>
    <w:p>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合同金额：</w:t>
      </w:r>
    </w:p>
    <w:p>
      <w:pPr>
        <w:tabs>
          <w:tab w:val="left" w:pos="3640"/>
        </w:tabs>
        <w:autoSpaceDE w:val="0"/>
        <w:autoSpaceDN w:val="0"/>
        <w:spacing w:line="360" w:lineRule="auto"/>
        <w:ind w:firstLine="422" w:firstLineChars="200"/>
        <w:rPr>
          <w:rFonts w:ascii="宋体" w:hAnsi="Times New Roman" w:eastAsia="宋体" w:cs="宋体"/>
          <w:color w:val="36363D"/>
          <w:szCs w:val="21"/>
          <w:highlight w:val="none"/>
        </w:rPr>
      </w:pPr>
      <w:r>
        <w:rPr>
          <w:rFonts w:hint="eastAsia" w:ascii="宋体" w:hAnsi="宋体" w:eastAsia="宋体" w:cs="宋体"/>
          <w:b/>
          <w:color w:val="36363D"/>
          <w:szCs w:val="21"/>
          <w:highlight w:val="none"/>
        </w:rPr>
        <w:t>二、服务期：</w:t>
      </w:r>
    </w:p>
    <w:p>
      <w:pPr>
        <w:tabs>
          <w:tab w:val="left" w:pos="3640"/>
        </w:tabs>
        <w:autoSpaceDE w:val="0"/>
        <w:autoSpaceDN w:val="0"/>
        <w:spacing w:line="360" w:lineRule="auto"/>
        <w:ind w:firstLine="422" w:firstLineChars="200"/>
        <w:rPr>
          <w:rFonts w:ascii="宋体" w:hAnsi="Times New Roman" w:eastAsia="宋体" w:cs="宋体"/>
          <w:b/>
          <w:bCs/>
          <w:color w:val="36363D"/>
          <w:szCs w:val="21"/>
          <w:highlight w:val="none"/>
        </w:rPr>
      </w:pPr>
      <w:r>
        <w:rPr>
          <w:rFonts w:hint="eastAsia" w:ascii="宋体" w:hAnsi="宋体" w:eastAsia="宋体" w:cs="宋体"/>
          <w:b/>
          <w:bCs/>
          <w:color w:val="36363D"/>
          <w:szCs w:val="21"/>
          <w:highlight w:val="none"/>
        </w:rPr>
        <w:t>三、服务人员配备：</w:t>
      </w:r>
    </w:p>
    <w:p>
      <w:pPr>
        <w:tabs>
          <w:tab w:val="left" w:pos="3640"/>
        </w:tabs>
        <w:autoSpaceDE w:val="0"/>
        <w:autoSpaceDN w:val="0"/>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四、服务地点：</w:t>
      </w:r>
    </w:p>
    <w:p>
      <w:pPr>
        <w:tabs>
          <w:tab w:val="left" w:pos="3640"/>
        </w:tabs>
        <w:autoSpaceDE w:val="0"/>
        <w:autoSpaceDN w:val="0"/>
        <w:spacing w:line="360" w:lineRule="auto"/>
        <w:ind w:firstLine="422" w:firstLineChars="200"/>
        <w:rPr>
          <w:rFonts w:ascii="宋体" w:hAnsi="Times New Roman" w:eastAsia="宋体" w:cs="宋体"/>
          <w:b/>
          <w:color w:val="36363D"/>
          <w:szCs w:val="20"/>
          <w:highlight w:val="none"/>
        </w:rPr>
      </w:pPr>
      <w:r>
        <w:rPr>
          <w:rFonts w:hint="eastAsia" w:ascii="宋体" w:hAnsi="宋体" w:eastAsia="宋体" w:cs="宋体"/>
          <w:b/>
          <w:color w:val="36363D"/>
          <w:szCs w:val="21"/>
          <w:highlight w:val="none"/>
        </w:rPr>
        <w:t>五、</w:t>
      </w:r>
      <w:r>
        <w:rPr>
          <w:rFonts w:hint="eastAsia" w:ascii="宋体" w:hAnsi="宋体" w:eastAsia="宋体" w:cs="宋体"/>
          <w:b/>
          <w:color w:val="36363D"/>
          <w:szCs w:val="20"/>
          <w:highlight w:val="none"/>
        </w:rPr>
        <w:t>验收：</w:t>
      </w:r>
    </w:p>
    <w:p>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六、付款方式：</w:t>
      </w:r>
    </w:p>
    <w:p>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七、履约保证金退还：</w:t>
      </w:r>
    </w:p>
    <w:p>
      <w:pPr>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八、违约责任</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1</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无正当理由拒绝接受服务，买方向卖方偿付合同价的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2</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无正当理由逾期付款的，买方向卖方每日偿付合同价的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3</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不能提供服务的，卖方向买方支付合同价的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4</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逾期提供服务的，卖方向买方每日偿付合同价的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spacing w:line="360" w:lineRule="auto"/>
        <w:ind w:left="-178" w:leftChars="-85" w:firstLine="583" w:firstLineChars="257"/>
        <w:rPr>
          <w:rFonts w:ascii="宋体" w:hAnsi="Times New Roman" w:eastAsia="宋体" w:cs="宋体"/>
          <w:b/>
          <w:color w:val="36363D"/>
          <w:spacing w:val="8"/>
          <w:szCs w:val="21"/>
          <w:highlight w:val="none"/>
        </w:rPr>
      </w:pPr>
      <w:r>
        <w:rPr>
          <w:rFonts w:hint="eastAsia" w:ascii="宋体" w:hAnsi="宋体" w:eastAsia="宋体" w:cs="宋体"/>
          <w:b/>
          <w:color w:val="36363D"/>
          <w:spacing w:val="8"/>
          <w:szCs w:val="21"/>
          <w:highlight w:val="none"/>
        </w:rPr>
        <w:t>九、解决合同纠纷方式</w:t>
      </w:r>
    </w:p>
    <w:p>
      <w:pPr>
        <w:spacing w:line="360" w:lineRule="auto"/>
        <w:ind w:left="-178" w:leftChars="-85" w:firstLine="580" w:firstLineChars="257"/>
        <w:rPr>
          <w:rFonts w:ascii="宋体" w:hAnsi="宋体" w:eastAsia="宋体" w:cs="宋体"/>
          <w:color w:val="36363D"/>
          <w:spacing w:val="8"/>
          <w:szCs w:val="21"/>
          <w:highlight w:val="none"/>
        </w:rPr>
      </w:pPr>
      <w:r>
        <w:rPr>
          <w:rFonts w:hint="eastAsia" w:ascii="宋体" w:hAnsi="宋体" w:eastAsia="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highlight w:val="none"/>
          <w:u w:val="single"/>
        </w:rPr>
        <w:t xml:space="preserve"> 安庆仲裁委员会 </w:t>
      </w:r>
      <w:r>
        <w:rPr>
          <w:rFonts w:hint="eastAsia" w:ascii="宋体" w:hAnsi="宋体" w:eastAsia="宋体" w:cs="宋体"/>
          <w:color w:val="36363D"/>
          <w:spacing w:val="8"/>
          <w:szCs w:val="21"/>
          <w:highlight w:val="none"/>
        </w:rPr>
        <w:t>申请仲裁。②向</w:t>
      </w:r>
      <w:r>
        <w:rPr>
          <w:rFonts w:hint="eastAsia" w:ascii="宋体" w:hAnsi="宋体" w:eastAsia="宋体" w:cs="宋体"/>
          <w:color w:val="36363D"/>
          <w:spacing w:val="8"/>
          <w:szCs w:val="21"/>
          <w:highlight w:val="none"/>
          <w:u w:val="single"/>
          <w:lang w:val="en-US" w:eastAsia="zh-CN"/>
        </w:rPr>
        <w:t>项目所在地</w:t>
      </w:r>
      <w:r>
        <w:rPr>
          <w:rFonts w:hint="eastAsia" w:ascii="宋体" w:hAnsi="宋体" w:eastAsia="宋体" w:cs="宋体"/>
          <w:color w:val="36363D"/>
          <w:spacing w:val="8"/>
          <w:szCs w:val="21"/>
          <w:highlight w:val="none"/>
        </w:rPr>
        <w:t>人民法院起诉。</w:t>
      </w:r>
    </w:p>
    <w:p>
      <w:pPr>
        <w:spacing w:line="360" w:lineRule="auto"/>
        <w:ind w:left="-178" w:leftChars="-85" w:firstLine="542" w:firstLineChars="257"/>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十、本合同的其他重要组成部分：</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1</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2</w:t>
      </w:r>
      <w:r>
        <w:rPr>
          <w:rFonts w:hint="eastAsia" w:ascii="宋体" w:hAnsi="宋体" w:eastAsia="宋体" w:cs="宋体"/>
          <w:color w:val="36363D"/>
          <w:szCs w:val="21"/>
          <w:highlight w:val="none"/>
        </w:rPr>
        <w:t>、成交人的</w:t>
      </w:r>
      <w:r>
        <w:rPr>
          <w:rFonts w:hint="eastAsia" w:ascii="宋体" w:hAnsi="宋体" w:eastAsia="宋体" w:cs="宋体"/>
          <w:color w:val="36363D"/>
          <w:szCs w:val="21"/>
          <w:highlight w:val="none"/>
          <w:lang w:val="en-US" w:eastAsia="zh-CN"/>
        </w:rPr>
        <w:t>参选</w:t>
      </w:r>
      <w:r>
        <w:rPr>
          <w:rFonts w:hint="eastAsia" w:ascii="宋体" w:hAnsi="宋体" w:eastAsia="宋体" w:cs="宋体"/>
          <w:color w:val="36363D"/>
          <w:szCs w:val="21"/>
          <w:highlight w:val="none"/>
        </w:rPr>
        <w:t>文件；</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3</w:t>
      </w:r>
      <w:r>
        <w:rPr>
          <w:rFonts w:hint="eastAsia" w:ascii="宋体" w:hAnsi="宋体" w:eastAsia="宋体" w:cs="宋体"/>
          <w:color w:val="36363D"/>
          <w:szCs w:val="21"/>
          <w:highlight w:val="none"/>
        </w:rPr>
        <w:t>、成交通知书。</w:t>
      </w:r>
    </w:p>
    <w:p>
      <w:pPr>
        <w:spacing w:line="360" w:lineRule="auto"/>
        <w:ind w:firstLine="445" w:firstLineChars="196"/>
        <w:rPr>
          <w:rFonts w:ascii="宋体" w:hAnsi="Times New Roman" w:eastAsia="宋体" w:cs="宋体"/>
          <w:b/>
          <w:color w:val="36363D"/>
          <w:spacing w:val="8"/>
          <w:szCs w:val="21"/>
          <w:highlight w:val="none"/>
          <w:u w:val="single"/>
        </w:rPr>
      </w:pPr>
      <w:r>
        <w:rPr>
          <w:rFonts w:hint="eastAsia" w:ascii="宋体" w:hAnsi="宋体" w:eastAsia="宋体" w:cs="宋体"/>
          <w:b/>
          <w:color w:val="36363D"/>
          <w:spacing w:val="8"/>
          <w:szCs w:val="21"/>
          <w:highlight w:val="none"/>
        </w:rPr>
        <w:t>十一、</w:t>
      </w:r>
      <w:r>
        <w:rPr>
          <w:rFonts w:hint="eastAsia" w:ascii="宋体" w:hAnsi="宋体" w:eastAsia="宋体" w:cs="宋体"/>
          <w:color w:val="36363D"/>
          <w:spacing w:val="8"/>
          <w:szCs w:val="21"/>
          <w:highlight w:val="none"/>
        </w:rPr>
        <w:t>其他约定事项：</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u w:val="single"/>
        </w:rPr>
        <w:t>合同文本的组成部分的先后解释顺序为：</w:t>
      </w:r>
      <w:r>
        <w:rPr>
          <w:rFonts w:ascii="宋体" w:hAnsi="宋体" w:eastAsia="宋体" w:cs="宋体"/>
          <w:color w:val="36363D"/>
          <w:spacing w:val="8"/>
          <w:szCs w:val="21"/>
          <w:highlight w:val="none"/>
          <w:u w:val="single"/>
        </w:rPr>
        <w:t>1</w:t>
      </w:r>
      <w:r>
        <w:rPr>
          <w:rFonts w:hint="eastAsia" w:ascii="宋体" w:hAnsi="宋体" w:eastAsia="宋体" w:cs="宋体"/>
          <w:color w:val="36363D"/>
          <w:spacing w:val="8"/>
          <w:szCs w:val="21"/>
          <w:highlight w:val="none"/>
          <w:u w:val="single"/>
        </w:rPr>
        <w:t>、成交通知书；</w:t>
      </w:r>
      <w:r>
        <w:rPr>
          <w:rFonts w:ascii="宋体" w:hAnsi="宋体" w:eastAsia="宋体" w:cs="宋体"/>
          <w:color w:val="36363D"/>
          <w:spacing w:val="8"/>
          <w:szCs w:val="21"/>
          <w:highlight w:val="none"/>
          <w:u w:val="single"/>
        </w:rPr>
        <w:t>2</w:t>
      </w:r>
      <w:r>
        <w:rPr>
          <w:rFonts w:hint="eastAsia" w:ascii="宋体" w:hAnsi="宋体" w:eastAsia="宋体" w:cs="宋体"/>
          <w:color w:val="36363D"/>
          <w:spacing w:val="8"/>
          <w:szCs w:val="21"/>
          <w:highlight w:val="none"/>
          <w:u w:val="single"/>
        </w:rPr>
        <w:t>、</w:t>
      </w:r>
      <w:r>
        <w:rPr>
          <w:rFonts w:hint="eastAsia" w:ascii="宋体" w:hAnsi="宋体" w:eastAsia="宋体" w:cs="宋体"/>
          <w:color w:val="36363D"/>
          <w:spacing w:val="8"/>
          <w:szCs w:val="21"/>
          <w:highlight w:val="none"/>
          <w:u w:val="single"/>
          <w:lang w:eastAsia="zh-CN"/>
        </w:rPr>
        <w:t>比选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3</w:t>
      </w:r>
      <w:r>
        <w:rPr>
          <w:rFonts w:hint="eastAsia" w:ascii="宋体" w:hAnsi="宋体" w:eastAsia="宋体" w:cs="宋体"/>
          <w:color w:val="36363D"/>
          <w:spacing w:val="8"/>
          <w:szCs w:val="21"/>
          <w:highlight w:val="none"/>
          <w:u w:val="single"/>
        </w:rPr>
        <w:t>、本合同文本；</w:t>
      </w:r>
      <w:r>
        <w:rPr>
          <w:rFonts w:ascii="宋体" w:hAnsi="宋体" w:eastAsia="宋体" w:cs="宋体"/>
          <w:color w:val="36363D"/>
          <w:spacing w:val="8"/>
          <w:szCs w:val="21"/>
          <w:highlight w:val="none"/>
          <w:u w:val="single"/>
        </w:rPr>
        <w:t>4</w:t>
      </w:r>
      <w:r>
        <w:rPr>
          <w:rFonts w:hint="eastAsia" w:ascii="宋体" w:hAnsi="宋体" w:eastAsia="宋体" w:cs="宋体"/>
          <w:color w:val="36363D"/>
          <w:spacing w:val="8"/>
          <w:szCs w:val="21"/>
          <w:highlight w:val="none"/>
          <w:u w:val="single"/>
        </w:rPr>
        <w:t>、成交人的</w:t>
      </w:r>
      <w:r>
        <w:rPr>
          <w:rFonts w:hint="eastAsia" w:ascii="宋体" w:hAnsi="宋体" w:eastAsia="宋体" w:cs="宋体"/>
          <w:color w:val="36363D"/>
          <w:spacing w:val="8"/>
          <w:szCs w:val="21"/>
          <w:highlight w:val="none"/>
          <w:u w:val="single"/>
          <w:lang w:val="en-US" w:eastAsia="zh-CN"/>
        </w:rPr>
        <w:t>参选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5</w:t>
      </w:r>
      <w:r>
        <w:rPr>
          <w:rFonts w:hint="eastAsia" w:ascii="宋体" w:hAnsi="宋体" w:eastAsia="宋体" w:cs="宋体"/>
          <w:color w:val="36363D"/>
          <w:spacing w:val="8"/>
          <w:szCs w:val="21"/>
          <w:highlight w:val="none"/>
          <w:u w:val="single"/>
        </w:rPr>
        <w:t>、其他补充约定事项。</w:t>
      </w:r>
      <w:r>
        <w:rPr>
          <w:rFonts w:ascii="宋体" w:hAnsi="宋体" w:eastAsia="宋体" w:cs="宋体"/>
          <w:color w:val="36363D"/>
          <w:spacing w:val="8"/>
          <w:szCs w:val="21"/>
          <w:highlight w:val="none"/>
          <w:u w:val="single"/>
        </w:rPr>
        <w:t xml:space="preserve">                    </w:t>
      </w:r>
      <w:r>
        <w:rPr>
          <w:rFonts w:ascii="宋体" w:hAnsi="宋体" w:eastAsia="宋体" w:cs="宋体"/>
          <w:b/>
          <w:color w:val="36363D"/>
          <w:spacing w:val="8"/>
          <w:szCs w:val="21"/>
          <w:highlight w:val="none"/>
          <w:u w:val="single"/>
        </w:rPr>
        <w:t xml:space="preserve">                                 </w:t>
      </w:r>
    </w:p>
    <w:p>
      <w:pPr>
        <w:spacing w:line="360" w:lineRule="auto"/>
        <w:ind w:left="-178" w:leftChars="-85" w:firstLine="177" w:firstLineChars="78"/>
        <w:rPr>
          <w:rFonts w:ascii="宋体" w:hAnsi="Times New Roman" w:eastAsia="宋体" w:cs="宋体"/>
          <w:color w:val="36363D"/>
          <w:spacing w:val="8"/>
          <w:szCs w:val="21"/>
          <w:highlight w:val="none"/>
          <w:u w:val="single"/>
        </w:rPr>
      </w:pPr>
      <w:r>
        <w:rPr>
          <w:rFonts w:ascii="宋体" w:hAnsi="宋体" w:eastAsia="宋体" w:cs="宋体"/>
          <w:b/>
          <w:color w:val="36363D"/>
          <w:spacing w:val="8"/>
          <w:szCs w:val="21"/>
          <w:highlight w:val="none"/>
          <w:u w:val="single"/>
        </w:rPr>
        <w:t xml:space="preserve">                                                       </w:t>
      </w:r>
      <w:r>
        <w:rPr>
          <w:rFonts w:ascii="宋体" w:hAnsi="宋体" w:eastAsia="宋体" w:cs="宋体"/>
          <w:color w:val="36363D"/>
          <w:spacing w:val="8"/>
          <w:szCs w:val="21"/>
          <w:highlight w:val="none"/>
          <w:u w:val="single"/>
        </w:rPr>
        <w:t xml:space="preserve">                    </w:t>
      </w:r>
    </w:p>
    <w:p>
      <w:pPr>
        <w:spacing w:line="360" w:lineRule="auto"/>
        <w:ind w:left="-178" w:leftChars="-85" w:firstLine="176" w:firstLineChars="78"/>
        <w:rPr>
          <w:rFonts w:ascii="宋体" w:hAnsi="Times New Roman" w:eastAsia="宋体" w:cs="宋体"/>
          <w:color w:val="36363D"/>
          <w:spacing w:val="8"/>
          <w:szCs w:val="21"/>
          <w:highlight w:val="none"/>
          <w:u w:val="single"/>
        </w:rPr>
      </w:pPr>
      <w:r>
        <w:rPr>
          <w:rFonts w:ascii="宋体" w:hAnsi="宋体" w:eastAsia="宋体" w:cs="宋体"/>
          <w:color w:val="36363D"/>
          <w:spacing w:val="8"/>
          <w:szCs w:val="21"/>
          <w:highlight w:val="none"/>
          <w:u w:val="single"/>
        </w:rPr>
        <w:t xml:space="preserve">                                                                           </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 xml:space="preserve">买  方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卖   方                        </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成交人（单位盖章）：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法定代表人</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法定代表人</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pPr>
        <w:snapToGrid w:val="0"/>
        <w:spacing w:line="480" w:lineRule="auto"/>
        <w:rPr>
          <w:rFonts w:ascii="宋体" w:hAnsi="Times New Roman" w:eastAsia="宋体" w:cs="宋体"/>
          <w:color w:val="36363D"/>
          <w:szCs w:val="20"/>
          <w:highlight w:val="none"/>
        </w:rPr>
      </w:pP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9"/>
      <w:bookmarkEnd w:id="60"/>
      <w:bookmarkEnd w:id="61"/>
      <w:bookmarkEnd w:id="62"/>
      <w:bookmarkStart w:id="63" w:name="_Toc26873"/>
      <w:bookmarkStart w:id="64" w:name="_Toc54884158"/>
      <w:r>
        <w:rPr>
          <w:rFonts w:hint="eastAsia" w:ascii="Arial" w:hAnsi="Arial"/>
          <w:color w:val="000000" w:themeColor="text1"/>
          <w:kern w:val="2"/>
          <w:sz w:val="32"/>
          <w:szCs w:val="32"/>
          <w:highlight w:val="none"/>
          <w14:textFill>
            <w14:solidFill>
              <w14:schemeClr w14:val="tx1"/>
            </w14:solidFill>
          </w14:textFill>
        </w:rPr>
        <w:t>参选文件格式</w:t>
      </w:r>
      <w:bookmarkEnd w:id="63"/>
      <w:bookmarkEnd w:id="64"/>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w:t>
      </w:r>
      <w:r>
        <w:rPr>
          <w:rFonts w:hint="eastAsia" w:ascii="宋体" w:hAnsi="宋体"/>
          <w:color w:val="000000" w:themeColor="text1"/>
          <w:sz w:val="24"/>
          <w:highlight w:val="none"/>
          <w14:textFill>
            <w14:solidFill>
              <w14:schemeClr w14:val="tx1"/>
            </w14:solidFill>
          </w14:textFill>
        </w:rPr>
        <w:t>函</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三、相关证明文件</w:t>
      </w:r>
    </w:p>
    <w:p>
      <w:pPr>
        <w:pStyle w:val="82"/>
        <w:rPr>
          <w:rFonts w:hint="eastAsia" w:ascii="宋体" w:hAnsi="宋体"/>
          <w:color w:val="000000" w:themeColor="text1"/>
          <w:sz w:val="24"/>
          <w:highlight w:val="none"/>
          <w14:textFill>
            <w14:solidFill>
              <w14:schemeClr w14:val="tx1"/>
            </w14:solidFill>
          </w14:textFill>
        </w:rPr>
      </w:pP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pStyle w:val="6"/>
        <w:jc w:val="center"/>
        <w:rPr>
          <w:color w:val="000000" w:themeColor="text1"/>
          <w:szCs w:val="21"/>
          <w:highlight w:val="none"/>
          <w14:textFill>
            <w14:solidFill>
              <w14:schemeClr w14:val="tx1"/>
            </w14:solidFill>
          </w14:textFill>
        </w:rPr>
      </w:pPr>
      <w:bookmarkStart w:id="65" w:name="_Toc54941342"/>
      <w:bookmarkStart w:id="66" w:name="_Toc476584433"/>
      <w:r>
        <w:rPr>
          <w:rFonts w:hint="eastAsia" w:cs="宋体"/>
          <w:color w:val="000000" w:themeColor="text1"/>
          <w:sz w:val="28"/>
          <w:szCs w:val="28"/>
          <w:highlight w:val="none"/>
          <w14:textFill>
            <w14:solidFill>
              <w14:schemeClr w14:val="tx1"/>
            </w14:solidFill>
          </w14:textFill>
        </w:rPr>
        <w:t>一、</w:t>
      </w:r>
      <w:bookmarkEnd w:id="65"/>
      <w:bookmarkEnd w:id="66"/>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安庆市通和深龙城市运营服务有限公司</w:t>
      </w:r>
    </w:p>
    <w:p>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安庆市通和深龙城市运营服务有限公司物资搬运服务</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3、一旦我方成交，我方将严格履行合同规定的责任和义务，保证该项目的</w:t>
      </w:r>
      <w:r>
        <w:rPr>
          <w:rFonts w:hint="eastAsia" w:ascii="宋体" w:hAnsi="宋体" w:cs="Courier New"/>
          <w:color w:val="auto"/>
          <w:kern w:val="2"/>
          <w:sz w:val="21"/>
          <w:szCs w:val="21"/>
          <w:highlight w:val="none"/>
          <w:lang w:val="en-US" w:eastAsia="zh-CN" w:bidi="ar-SA"/>
        </w:rPr>
        <w:t>搬运周期</w:t>
      </w:r>
      <w:r>
        <w:rPr>
          <w:rFonts w:hint="eastAsia" w:ascii="宋体" w:hAnsi="宋体" w:eastAsia="宋体" w:cs="Courier New"/>
          <w:color w:val="auto"/>
          <w:kern w:val="2"/>
          <w:sz w:val="21"/>
          <w:szCs w:val="21"/>
          <w:highlight w:val="none"/>
          <w:lang w:val="en-US" w:eastAsia="zh-CN" w:bidi="ar-SA"/>
        </w:rPr>
        <w:t>为</w:t>
      </w:r>
      <w:r>
        <w:rPr>
          <w:rFonts w:hint="eastAsia" w:ascii="宋体" w:hAnsi="Courier New" w:cs="Courier New"/>
          <w:color w:val="auto"/>
          <w:kern w:val="2"/>
          <w:sz w:val="21"/>
          <w:szCs w:val="21"/>
          <w:highlight w:val="none"/>
          <w:u w:val="single"/>
          <w:lang w:val="en-US" w:eastAsia="zh-CN" w:bidi="ar-SA"/>
        </w:rPr>
        <w:t>自合同签订之日起5个自然日内完成。</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
        <w:rPr>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bookmarkStart w:id="67" w:name="_Toc54941350"/>
      <w:bookmarkStart w:id="68" w:name="_Toc476584438"/>
      <w:r>
        <w:rPr>
          <w:rFonts w:hint="eastAsia" w:cs="宋体"/>
          <w:color w:val="000000" w:themeColor="text1"/>
          <w:highlight w:val="none"/>
          <w14:textFill>
            <w14:solidFill>
              <w14:schemeClr w14:val="tx1"/>
            </w14:solidFill>
          </w14:textFill>
        </w:rPr>
        <w:br w:type="page"/>
      </w:r>
    </w:p>
    <w:p>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highlight w:val="none"/>
          <w:bdr w:val="single" w:color="auto" w:sz="4" w:space="0"/>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t>二、</w:t>
      </w:r>
      <w:r>
        <w:rPr>
          <w:rFonts w:hint="eastAsia" w:ascii="宋体" w:hAnsi="宋体" w:eastAsia="宋体" w:cs="Times New Roman"/>
          <w:b/>
          <w:color w:val="auto"/>
          <w:kern w:val="2"/>
          <w:sz w:val="21"/>
          <w:highlight w:val="none"/>
          <w:shd w:val="clear" w:color="auto" w:fill="FFFFFF"/>
          <w:lang w:val="en-US" w:eastAsia="zh-CN" w:bidi="ar-SA"/>
        </w:rPr>
        <w:t>报价表</w:t>
      </w:r>
    </w:p>
    <w:p>
      <w:pPr>
        <w:spacing w:line="360" w:lineRule="auto"/>
        <w:ind w:firstLine="420" w:firstLineChars="200"/>
        <w:rPr>
          <w:rFonts w:ascii="仿宋" w:hAnsi="仿宋" w:eastAsia="仿宋" w:cs="Times New Roman"/>
          <w:color w:val="auto"/>
          <w:szCs w:val="21"/>
          <w:highlight w:val="none"/>
        </w:rPr>
      </w:pPr>
    </w:p>
    <w:p>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keepNext w:val="0"/>
              <w:keepLines w:val="0"/>
              <w:suppressLineNumbers w:val="0"/>
              <w:spacing w:before="0" w:beforeAutospacing="0" w:after="0" w:afterAutospacing="0" w:line="400" w:lineRule="exact"/>
              <w:ind w:left="0" w:right="0"/>
              <w:jc w:val="center"/>
              <w:rPr>
                <w:rFonts w:hint="eastAsia"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搬运服务</w:t>
            </w:r>
          </w:p>
          <w:p>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p>
        </w:tc>
        <w:tc>
          <w:tcPr>
            <w:tcW w:w="8167" w:type="dxa"/>
            <w:vAlign w:val="center"/>
          </w:tcPr>
          <w:p>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pPr>
        <w:spacing w:line="360" w:lineRule="auto"/>
        <w:ind w:firstLine="3561" w:firstLineChars="1696"/>
        <w:jc w:val="right"/>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pPr>
        <w:spacing w:line="360" w:lineRule="auto"/>
        <w:ind w:firstLine="3570" w:firstLineChars="1700"/>
        <w:jc w:val="right"/>
        <w:rPr>
          <w:rFonts w:ascii="宋体" w:hAnsi="Times New Roman" w:eastAsia="宋体" w:cs="Times New Roman"/>
          <w:color w:val="auto"/>
          <w:szCs w:val="21"/>
          <w:highlight w:val="none"/>
        </w:rPr>
      </w:pPr>
    </w:p>
    <w:p>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p>
    <w:p>
      <w:pPr>
        <w:pStyle w:val="2"/>
        <w:rPr>
          <w:rFonts w:hint="eastAsia" w:cs="宋体"/>
          <w:color w:val="000000" w:themeColor="text1"/>
          <w:highlight w:val="none"/>
          <w14:textFill>
            <w14:solidFill>
              <w14:schemeClr w14:val="tx1"/>
            </w14:solidFill>
          </w14:textFill>
        </w:rPr>
      </w:pPr>
    </w:p>
    <w:p>
      <w:pPr>
        <w:pStyle w:val="2"/>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rPr>
          <w:rFonts w:hint="eastAsia" w:ascii="Times New Roman" w:hAnsi="Times New Roman" w:eastAsia="宋体" w:cs="Times New Roman"/>
        </w:rPr>
      </w:pPr>
    </w:p>
    <w:p>
      <w:pPr>
        <w:pStyle w:val="81"/>
        <w:rPr>
          <w:rFonts w:hint="eastAsia"/>
        </w:rPr>
      </w:pPr>
    </w:p>
    <w:bookmarkEnd w:id="67"/>
    <w:bookmarkEnd w:id="68"/>
    <w:p>
      <w:pPr>
        <w:keepNext/>
        <w:keepLines/>
        <w:widowControl w:val="0"/>
        <w:shd w:val="clear" w:color="auto" w:fill="FFFFFF"/>
        <w:wordWrap w:val="0"/>
        <w:spacing w:line="360" w:lineRule="exact"/>
        <w:jc w:val="center"/>
        <w:outlineLvl w:val="2"/>
        <w:rPr>
          <w:rFonts w:ascii="宋体" w:hAnsi="宋体" w:eastAsia="宋体" w:cs="宋体"/>
          <w:b/>
          <w:color w:val="auto"/>
          <w:kern w:val="2"/>
          <w:sz w:val="21"/>
          <w:highlight w:val="none"/>
          <w:bdr w:val="single" w:color="auto" w:sz="4" w:space="0"/>
          <w:shd w:val="clear" w:color="auto" w:fill="FFFFFF"/>
          <w:lang w:val="en-US" w:eastAsia="zh-CN" w:bidi="ar-SA"/>
        </w:rPr>
      </w:pPr>
      <w:r>
        <w:rPr>
          <w:rFonts w:hint="eastAsia" w:ascii="宋体" w:hAnsi="宋体" w:cs="宋体"/>
          <w:b/>
          <w:color w:val="auto"/>
          <w:kern w:val="2"/>
          <w:sz w:val="21"/>
          <w:highlight w:val="none"/>
          <w:shd w:val="clear" w:color="auto" w:fill="FFFFFF"/>
          <w:lang w:val="en-US" w:eastAsia="zh-CN" w:bidi="ar-SA"/>
        </w:rPr>
        <w:t>三</w:t>
      </w:r>
      <w:r>
        <w:rPr>
          <w:rFonts w:hint="eastAsia" w:ascii="宋体" w:hAnsi="宋体" w:eastAsia="宋体" w:cs="宋体"/>
          <w:b/>
          <w:color w:val="auto"/>
          <w:kern w:val="2"/>
          <w:sz w:val="21"/>
          <w:highlight w:val="none"/>
          <w:shd w:val="clear" w:color="auto" w:fill="FFFFFF"/>
          <w:lang w:val="en-US" w:eastAsia="zh-CN" w:bidi="ar-SA"/>
        </w:rPr>
        <w:t>、相关证明文件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r>
        <w:rPr>
          <w:rFonts w:ascii="宋体" w:hAnsi="宋体" w:cs="宋体"/>
          <w:b/>
          <w:color w:val="000000" w:themeColor="text1"/>
          <w:spacing w:val="-4"/>
          <w:kern w:val="0"/>
          <w:szCs w:val="21"/>
          <w:highlight w:val="none"/>
          <w14:textFill>
            <w14:solidFill>
              <w14:schemeClr w14:val="tx1"/>
            </w14:solidFill>
          </w14:textFill>
        </w:rPr>
        <w:br w:type="page"/>
      </w: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pPr>
    <w:r>
      <w:rPr>
        <w:rFonts w:hint="eastAsia"/>
        <w:sz w:val="16"/>
        <w:szCs w:val="16"/>
        <w:lang w:eastAsia="zh-CN"/>
      </w:rPr>
      <w:t>安庆市通和深龙城市运营服务有限公司物资搬运服务</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rPr>
        <w:sz w:val="16"/>
        <w:szCs w:val="16"/>
      </w:rPr>
    </w:pPr>
    <w:r>
      <w:rPr>
        <w:rFonts w:hint="eastAsia"/>
        <w:sz w:val="16"/>
        <w:szCs w:val="16"/>
        <w:lang w:eastAsia="zh-CN"/>
      </w:rPr>
      <w:t>安庆市通和深龙城市运营服务有限公司物资搬运服务</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59DAD"/>
    <w:multiLevelType w:val="singleLevel"/>
    <w:tmpl w:val="97C59DAD"/>
    <w:lvl w:ilvl="0" w:tentative="0">
      <w:start w:val="2"/>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rPr>
    </w:lvl>
  </w:abstractNum>
  <w:abstractNum w:abstractNumId="2">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3">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5">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3"/>
  </w:num>
  <w:num w:numId="3">
    <w:abstractNumId w:val="5"/>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D0DAF"/>
    <w:rsid w:val="02060261"/>
    <w:rsid w:val="022E6257"/>
    <w:rsid w:val="02555ED9"/>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6325C6"/>
    <w:rsid w:val="1C825622"/>
    <w:rsid w:val="1CC41839"/>
    <w:rsid w:val="1CED005C"/>
    <w:rsid w:val="1D3A5FA0"/>
    <w:rsid w:val="1D6F5C49"/>
    <w:rsid w:val="1D772D50"/>
    <w:rsid w:val="1D835251"/>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913E8E"/>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8554</Words>
  <Characters>9085</Characters>
  <Lines>69</Lines>
  <Paragraphs>19</Paragraphs>
  <TotalTime>20</TotalTime>
  <ScaleCrop>false</ScaleCrop>
  <LinksUpToDate>false</LinksUpToDate>
  <CharactersWithSpaces>10443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2024-05-21T01:21:23Z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5F4A5B8EAE5C4D2CBAD53E03CDF1C3FD_13</vt:lpwstr>
  </property>
</Properties>
</file>