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color w:val="auto"/>
          <w:highlight w:val="none"/>
        </w:rPr>
      </w:pPr>
      <w:bookmarkStart w:id="4" w:name="_GoBack"/>
      <w:bookmarkEnd w:id="4"/>
      <w:bookmarkStart w:id="0" w:name="_Toc4481598"/>
      <w:bookmarkStart w:id="1" w:name="_Toc18076"/>
      <w:bookmarkStart w:id="2" w:name="_Toc28617"/>
      <w:r>
        <w:rPr>
          <w:rFonts w:hint="eastAsia"/>
          <w:color w:val="auto"/>
          <w:highlight w:val="none"/>
        </w:rPr>
        <w:t>服务需求及技术要求</w:t>
      </w:r>
      <w:bookmarkEnd w:id="0"/>
      <w:bookmarkEnd w:id="1"/>
      <w:bookmarkEnd w:id="2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一、基本需求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1、本项目为S22天天高速安庆至潜山段（月山至潜山）路基路面工程施工YQB1标13mT梁梁板预制及安装、小构件预制劳务合作采购，招标人提供混凝土、钢筋。中标人须完成所有工序的施工内容并配合甲方报检、验收合格后方可予以计量，最终结算工程数量以现场实际发生，并经招标人现场签证且验收合格后的工程量为准。</w:t>
      </w:r>
    </w:p>
    <w:p>
      <w:pPr>
        <w:widowControl/>
        <w:spacing w:line="500" w:lineRule="exact"/>
        <w:jc w:val="left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2、项目名称：安徽路达公路工程有限责任公司S22天天高速安庆至潜山段（月山至潜山）路基路面工程施工YQB1标13mT梁预制吊装及路基路面小构件预制劳务合作项目。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  3、建设地点：安庆市怀宁县。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  4、建设期限：500个日历天。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  5、项目类别：13mT梁预制吊装及路基路面小构件预制施工。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　  6、质量要求：交工验收的质量评定：合格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　　　　　　竣工验收的质量评定： 合格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7、13mT梁预制吊装及路基路面小构件预制施工产生的一切环保问题（包括废渣、废砼、淤泥、扬尘、推土等）均由乙方自行负责。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二、服务需求及技术要求等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1、技术要求：人员、设备等本项目施工所需要的主设备、附属设备及辅助性材料均由中标人自行提供，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投标人需为本项目拟派一个专职安全员，投标文件中须提供安全员的专职安全员C证。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2、　工期要求：500个日历天（工期以实际发生为准，中标人不得以工期延长而要求增加费用）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3、报价计税方式：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工程量清单综合单价计价法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提供增值税专用发票，税率3%</w:t>
      </w: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4、乙方在施工中不得偷工减料，但对其丢失、损坏以及其他原因导致使用的甲供的材料超过规定损耗范围的，甲方在中期结算时对损耗进行核算，对超出约定损耗范围外的材料由乙方按市场价100%进行赔偿。其中，双方约定的材料损耗率为：（1）钢材：0 ，（2）混凝土： 2%。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三、付款方式：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中期结算支付比例：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参见招标文件及合同相关条款。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bookmarkStart w:id="3" w:name="_Toc23541"/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2、计量方式：参见招标文件第六章《投标文件-清单分项报价表相关内容》。</w:t>
      </w:r>
      <w:bookmarkEnd w:id="3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四、最高投标限价：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</w:p>
    <w:tbl>
      <w:tblPr>
        <w:tblStyle w:val="4"/>
        <w:tblW w:w="8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23"/>
        <w:gridCol w:w="916"/>
        <w:gridCol w:w="1716"/>
        <w:gridCol w:w="169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上部结构钢筋HPB300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186646.08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143717.48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上部结构钢筋HRB400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485579.74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373896.40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预应力混凝土工程后张法预应力钢绞线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97121.72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450644.78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C50混凝土（T梁预制）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2644.68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339.90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898926.73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C50混凝土（T梁运输、安装）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2644.68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195.70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517563.88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边沟C30预制安装盖板（预制）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621.10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153535.92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排水沟C30预制安装混凝土（预制）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1820.80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450101.76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18"/>
                <w:szCs w:val="24"/>
                <w:highlight w:val="none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C30预制混凝土截水沟（预制）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382.50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94554.00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C30混凝土急流槽（预制）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252.30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62368.56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C30混凝土骨架护坡（预制）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3048.30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753539.76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C30预制安装混凝土护面墙（预制）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603.87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149276.66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中央分隔带C30砼路缘石（预制）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389.20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96210.24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混凝土预制块加固土路肩（预制）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1449.90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358415.28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梁厂建设（13mT梁混凝土台座）含钢面板定型材料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2586.10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51722.00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智能喷淋养生设施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51500.00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4605973.45</w:t>
            </w:r>
          </w:p>
        </w:tc>
      </w:tr>
    </w:tbl>
    <w:p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37D17A24"/>
    <w:rsid w:val="37D17A24"/>
    <w:rsid w:val="4FC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6">
    <w:name w:val="正文1"/>
    <w:basedOn w:val="1"/>
    <w:autoRedefine/>
    <w:qFormat/>
    <w:uiPriority w:val="0"/>
    <w:rPr>
      <w:rFonts w:ascii="Calibri" w:hAnsi="Calibri" w:eastAsia="Times New Roman" w:cs="宋体"/>
      <w:kern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2024-05-14T01:05:00Z</dcterms:created>
  <dc:creator>媛媛__</dc:creator>
  <cp:lastModifiedBy>为我撩人°</cp:lastModifiedBy>
  <dcterms:modified xsi:type="dcterms:W3CDTF">2024-05-14T01:56:41Z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BBF7531915FA461BA31F86FC9380B2E7_13</vt:lpwstr>
  </property>
</Properties>
</file>