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/>
          <w:color w:val="auto"/>
          <w:kern w:val="2"/>
          <w:sz w:val="32"/>
          <w:szCs w:val="32"/>
          <w:highlight w:val="none"/>
          <w:lang w:val="zh-CN"/>
        </w:rPr>
      </w:pPr>
      <w:bookmarkStart w:id="0" w:name="_GoBack"/>
      <w:bookmarkEnd w:id="0"/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  <w:t>采购需求</w:t>
      </w:r>
      <w:r>
        <w:rPr>
          <w:rFonts w:hint="eastAsia" w:ascii="Arial" w:hAnsi="Arial"/>
          <w:color w:val="auto"/>
          <w:kern w:val="2"/>
          <w:sz w:val="32"/>
          <w:szCs w:val="32"/>
          <w:highlight w:val="none"/>
        </w:rPr>
        <w:t>及</w:t>
      </w:r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zh-CN"/>
        </w:rPr>
        <w:t>技术要求</w:t>
      </w:r>
    </w:p>
    <w:p>
      <w:pP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>
      <w:pPr>
        <w:numPr>
          <w:ilvl w:val="0"/>
          <w:numId w:val="1"/>
        </w:numPr>
        <w:suppressAutoHyphens w:val="0"/>
        <w:bidi w:val="0"/>
        <w:spacing w:beforeLines="0" w:beforeAutospacing="0" w:afterLines="0" w:afterAutospacing="0"/>
        <w:rPr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highlight w:val="none"/>
          <w:lang w:eastAsia="zh-CN"/>
        </w:rPr>
        <w:t>货物需求</w:t>
      </w:r>
      <w:r>
        <w:rPr>
          <w:rFonts w:ascii="宋体" w:hAnsi="宋体" w:eastAsia="宋体" w:cs="宋体"/>
          <w:b/>
          <w:bCs/>
          <w:color w:val="auto"/>
          <w:highlight w:val="none"/>
        </w:rPr>
        <w:t>及技术要求</w:t>
      </w:r>
    </w:p>
    <w:tbl>
      <w:tblPr>
        <w:tblStyle w:val="3"/>
        <w:tblpPr w:leftFromText="180" w:rightFromText="180" w:vertAnchor="text" w:horzAnchor="page" w:tblpXSpec="center" w:tblpY="309"/>
        <w:tblOverlap w:val="never"/>
        <w:tblW w:w="80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852"/>
        <w:gridCol w:w="1433"/>
        <w:gridCol w:w="1061"/>
        <w:gridCol w:w="1700"/>
        <w:gridCol w:w="1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填土高度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暂定数量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φ1.5m圆管涵管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0.5~5m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详见附件图纸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φ1.5m圆管涵管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5.0~10m</w:t>
            </w:r>
          </w:p>
        </w:tc>
        <w:tc>
          <w:tcPr>
            <w:tcW w:w="106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φ1.2m圆管涵管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61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临时便涵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线外涵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Φ1.0m圆管涵管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6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φ0.8m圆管涵管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6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φ0.5m圆管涵管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6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φ0.3m圆管涵管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6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  <w:highlight w:val="none"/>
          <w:u w:val="none"/>
          <w:lang w:val="en-US" w:eastAsia="zh-CN"/>
        </w:rPr>
        <w:t>注：暂定数量系依据设计图纸数量+现场预估数量计算。预估数量包括破坏性试验数量、不可见因素造成损坏数量和可预估的临时便涵、线外涵数量。最终结算数量以实际发生量为准。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  <w:u w:val="none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  <w:u w:val="none"/>
        </w:rPr>
        <w:t>技术标准及要求：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  <w:highlight w:val="none"/>
          <w:u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  <w:highlight w:val="none"/>
          <w:u w:val="none"/>
        </w:rPr>
        <w:t>、投标人所供应的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  <w:highlight w:val="none"/>
          <w:u w:val="none"/>
          <w:lang w:val="en-US" w:eastAsia="zh-CN"/>
        </w:rPr>
        <w:t>圆管涵成品质量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  <w:highlight w:val="none"/>
          <w:u w:val="none"/>
        </w:rPr>
        <w:t>应符合规范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  <w:highlight w:val="none"/>
          <w:u w:val="none"/>
          <w:lang w:val="en-US" w:eastAsia="zh-CN"/>
        </w:rPr>
        <w:t>与设计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  <w:highlight w:val="none"/>
          <w:u w:val="none"/>
        </w:rPr>
        <w:t>要求及国家现行的有关强制性标准的规定；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  <w:highlight w:val="none"/>
          <w:u w:val="none"/>
          <w:lang w:val="en-US" w:eastAsia="zh-CN"/>
        </w:rPr>
        <w:t>2、清单数量为暂估量，具体尺寸及数量以项目联系为准，结算以实际发生为准。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  <w:highlight w:val="none"/>
          <w:u w:val="none"/>
          <w:lang w:val="en-US" w:eastAsia="zh-CN"/>
        </w:rPr>
        <w:t xml:space="preserve">3、乙方已充分考虑到气候影响及时常变化可能发生的各种涨价因素，承诺单价一次性包死，实施期间不论发生工、料、机的价格浮动或政策性变化，单价均不作调整。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  <w:highlight w:val="none"/>
          <w:u w:val="none"/>
          <w:lang w:val="en-US" w:eastAsia="zh-CN"/>
        </w:rPr>
        <w:t>5、质量保证能力要求：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  <w:highlight w:val="none"/>
          <w:u w:val="none"/>
          <w:lang w:val="en-US" w:eastAsia="zh-CN"/>
        </w:rPr>
        <w:t>（1）投标人生产的产品需满足国家、交通部及行业相关标准要求，并经市级及以上专业检测机构检测合格（响应文件中须提供φ1.5m圆管涵管 2021年-2024任意年度物资检测报告）。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  <w:highlight w:val="none"/>
          <w:u w:val="none"/>
          <w:lang w:val="en-US" w:eastAsia="zh-CN"/>
        </w:rPr>
        <w:t>（2） 2021年至今无因质量问题引起的诉讼且败诉的情况，同时没有因质量问题被在交通部或省级交通或行业主管机构通报（含正在整改的）（响应文件中提供承诺函）。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、其它要求：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（1）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投标人或生产厂家需拥有不小于1000平方米不低于钢构大棚条件的生产车间，拥有管焊机、芯模振动机等必备的生产设备。（参选文件中提供相关照片证明，在合同签订前将对中标人进行现场核实，如不能达到上述生产条件的，采购人有权取消中标候选人中标资格，取消中标候选人中标资格后采购人可以确定下一候选人为成交人，也可以重新开展采购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中标人按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规定的质量、数量要求供货，货到现场后由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项目材料员、质检员共同进行验收；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随机取样抽检，如检验不合格，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一律拒绝验收，中标人必须无条件拉走并承担合同约定的违约责任；验收合格后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开具收料单，作为结算依据。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）若中标人不能按规定质量、数量供货，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有权终止合同，中标人的合同履约保证金不予退还。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）投标人应充分实地考察进场道路的承载能力、地形地貌和外围环境，超限超载治理政策等，组织适宜的车辆，协调相关事宜，综合测算运输成本，合理报价。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与中标候选人签订合同后，关于本招标内容所涉及的所有外围协调事宜，均由投标人负责处理；如因投标人无法协调相关事项，影响正常施工，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有权选择其他材料供应商。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应提前3天将材料进场计划提交给投标人，投标人应按时按照计划提供相应合格的材料；如若逾期，则投标人应向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支付 1000元/天 的违约金，如逾期超过 3天，则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有权更换供应商，投标人不得以材料供应数量未履行完成为借口继续供应材料。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0A1D7"/>
    <w:multiLevelType w:val="singleLevel"/>
    <w:tmpl w:val="1A90A1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GU5YzFmMjAyNTFlYzY2YTkwYmU3ZGU5YzU4YjEifQ=="/>
  </w:docVars>
  <w:rsids>
    <w:rsidRoot w:val="2A6A797C"/>
    <w:rsid w:val="05C61A7B"/>
    <w:rsid w:val="2A6A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2024-05-09T03:46:00Z</dcterms:created>
  <dc:creator>媛媛__</dc:creator>
  <cp:lastModifiedBy>为我撩人°</cp:lastModifiedBy>
  <dcterms:modified xsi:type="dcterms:W3CDTF">2024-05-09T03:53:34Z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473EF9BAD95748FCBECE6278929FB6C9_13</vt:lpwstr>
  </property>
</Properties>
</file>