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Chars="0"/>
        <w:jc w:val="center"/>
        <w:rPr>
          <w:rFonts w:hint="eastAsia"/>
          <w:color w:val="auto"/>
          <w:highlight w:val="none"/>
        </w:rPr>
      </w:pPr>
      <w:bookmarkStart w:id="5" w:name="_GoBack"/>
      <w:bookmarkEnd w:id="5"/>
      <w:bookmarkStart w:id="0" w:name="_Toc4481598"/>
      <w:bookmarkStart w:id="1" w:name="_Toc18076"/>
      <w:bookmarkStart w:id="2" w:name="_Toc28617"/>
      <w:r>
        <w:rPr>
          <w:rFonts w:hint="eastAsia"/>
          <w:color w:val="auto"/>
          <w:highlight w:val="none"/>
        </w:rPr>
        <w:t>服务需求及技术要求</w:t>
      </w:r>
      <w:bookmarkEnd w:id="0"/>
      <w:bookmarkEnd w:id="1"/>
      <w:bookmarkEnd w:id="2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　1、本项目为凉月二标2工区涵洞劳务合作项目（二次），招标人提供圆管涵、砼、钢筋、装配式预制件。中标人须完成所有工序的施工内容并配合甲方报检、验收合格后方可予以计量，最终结算工程数量以现场实际发生，并经招标人现场签证且验收合格后的工程量为准。</w:t>
      </w:r>
    </w:p>
    <w:p>
      <w:pPr>
        <w:widowControl/>
        <w:spacing w:line="500" w:lineRule="exact"/>
        <w:jc w:val="left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2、项目名称：凉月二标2工区涵洞劳务合作项目（二次）。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3、建设地点：安庆市怀宁县石镜乡。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4、建设期限：365日历天。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  5、项目类别：涵洞劳务施工。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　  6、质量要求：交工验收的质量评定：合格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　　　　　　　　 竣工验收的质量评定：优良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　　7、涵洞施工产生的一切环保问题（包括废渣、废砼、淤泥、扬尘、推土等）均由乙方自行负责。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三、服务需求及技术要求等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1、技术要求：人员、设备等本项目施工所需要的主设备、附属设备及辅助性材料均由中标人自行提供，</w:t>
      </w:r>
      <w:r>
        <w:rPr>
          <w:rFonts w:hint="eastAsia" w:ascii="Times New Roman" w:hAnsi="Times New Roman" w:eastAsia="仿宋" w:cs="Times New Roman"/>
          <w:b/>
          <w:bCs/>
          <w:color w:val="auto"/>
          <w:sz w:val="28"/>
          <w:szCs w:val="28"/>
          <w:highlight w:val="none"/>
          <w:lang w:val="en-US" w:eastAsia="zh-CN"/>
        </w:rPr>
        <w:t>投标人需为本项目拟派一个专职安全员，投标文件中须提供安全员的安全C证。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2、工期要求：365日历天（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中标人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无条件服从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招标人及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上级主管单位对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工期改变的要求，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中标人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不得任何理由要求延长工期或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 w:eastAsia="zh-CN"/>
        </w:rPr>
        <w:t>延长工期而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highlight w:val="none"/>
        </w:rPr>
        <w:t>增加费用。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3、报价计税方式：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</w:rPr>
        <w:t>工程量清单综合单价计价法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eastAsia="zh-CN"/>
        </w:rPr>
        <w:t>，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提供增值税专用发票，税率３%</w:t>
      </w:r>
    </w:p>
    <w:p>
      <w:pPr>
        <w:pStyle w:val="5"/>
        <w:tabs>
          <w:tab w:val="left" w:pos="0"/>
          <w:tab w:val="left" w:pos="993"/>
          <w:tab w:val="left" w:pos="1134"/>
        </w:tabs>
        <w:ind w:left="0" w:leftChars="0" w:firstLine="0" w:firstLineChars="0"/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4、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乙方在施工中不得偷工减料，但对其丢失、损坏以及其他原因导致使用的甲供的材料超过规定损耗范围的，甲方在中期结算时对损耗进行核算，对超出约定损耗范围外的材料由乙方按市场价100%进行赔偿。其中，双方约定的材料损耗率为：（1）钢材：0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（2）混凝土：</w:t>
      </w:r>
      <w:r>
        <w:rPr>
          <w:rFonts w:hint="eastAsia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2%</w:t>
      </w:r>
      <w:r>
        <w:rPr>
          <w:rFonts w:hint="default" w:ascii="Times New Roman" w:hAnsi="Times New Roman" w:eastAsia="仿宋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，（3）其他材料:  \  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三、付款方式：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中期结算支付比例：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 xml:space="preserve">参见合同相关条款。  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bookmarkStart w:id="3" w:name="_Toc23541"/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2、计量方式：参见招标文件第六章《投标文件-清单分项报价表相关内容》。</w:t>
      </w:r>
      <w:bookmarkEnd w:id="3"/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/>
        <w:jc w:val="left"/>
        <w:textAlignment w:val="auto"/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四、最高投标限价：</w:t>
      </w:r>
    </w:p>
    <w:tbl>
      <w:tblPr>
        <w:tblStyle w:val="6"/>
        <w:tblW w:w="9169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255"/>
        <w:gridCol w:w="999"/>
        <w:gridCol w:w="1290"/>
        <w:gridCol w:w="1887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子目名称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单位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数量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控制价单价（元）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合计（元）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bookmarkStart w:id="4" w:name="OLE_LINK1"/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bookmarkEnd w:id="4"/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单孔钢筋混凝土圆管涵，φ1.5m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  <w:t>147.82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610.79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90286.98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线外涵，φ1.0m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16.48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485.13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7994.94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纵向涵，φ0.5m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91.00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112.27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10216.57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单孔钢筋混凝土倒虹吸圆管涵，φ1.5m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78.00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1219.52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95122.56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双孔钢筋混凝土圆管涵，φ1.5m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71.00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860.05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61063.55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1-4x3.5钢筋混凝土盖板涵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86.13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5753.58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495555.85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1-4x3钢筋混凝土盖板涵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41.86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6080.09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254512.57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1-4x2.7装配式箱通（暗）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123.00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2586.33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318118.59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1-4x3.5装配式箱通（暗）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57.83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3966.53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229384.43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1-6x4装配式箱通（暗）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m3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77.00</w:t>
            </w:r>
          </w:p>
        </w:tc>
        <w:tc>
          <w:tcPr>
            <w:tcW w:w="18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6279.91</w:t>
            </w:r>
          </w:p>
        </w:tc>
        <w:tc>
          <w:tcPr>
            <w:tcW w:w="19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483553.07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/>
              </w:rPr>
            </w:pP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614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lang w:val="en-US" w:eastAsia="zh-CN" w:bidi="ar"/>
              </w:rPr>
              <w:t>2045809.10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MTY4NmY0Nzk2OWY2YzljMzdkYTA3N2JmZWU2OTUifQ=="/>
  </w:docVars>
  <w:rsids>
    <w:rsidRoot w:val="3DB57EC2"/>
    <w:rsid w:val="19841C27"/>
    <w:rsid w:val="3DB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qFormat/>
    <w:uiPriority w:val="0"/>
    <w:pPr>
      <w:keepNext w:val="0"/>
      <w:keepLines w:val="0"/>
      <w:widowControl w:val="0"/>
      <w:suppressLineNumbers w:val="0"/>
      <w:spacing w:after="120" w:afterLines="0" w:afterAutospacing="0"/>
      <w:ind w:left="420" w:leftChars="20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Body Text First Indent 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2024-04-12T05:04:00Z</dcterms:created>
  <dc:creator>媛媛__</dc:creator>
  <cp:lastModifiedBy>86198</cp:lastModifiedBy>
  <dcterms:modified xsi:type="dcterms:W3CDTF">2024-04-12T10:15:06Z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8E14C802D56844A3B4BE50B810C656DD_13</vt:lpwstr>
  </property>
</Properties>
</file>