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color w:val="auto"/>
          <w:highlight w:val="none"/>
        </w:rPr>
      </w:pPr>
      <w:bookmarkStart w:id="5" w:name="_GoBack"/>
      <w:bookmarkEnd w:id="5"/>
      <w:bookmarkStart w:id="0" w:name="_Toc4481598"/>
      <w:bookmarkStart w:id="1" w:name="_Toc28617"/>
      <w:bookmarkStart w:id="2" w:name="_Toc18076"/>
      <w:r>
        <w:rPr>
          <w:rFonts w:hint="eastAsia"/>
          <w:color w:val="auto"/>
          <w:highlight w:val="none"/>
        </w:rPr>
        <w:t>服务需求及技术要求</w:t>
      </w:r>
      <w:bookmarkEnd w:id="0"/>
      <w:bookmarkEnd w:id="1"/>
      <w:bookmarkEnd w:id="2"/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　　1、本项目为凉月二标2工区涵洞劳务合作项目，招标人提供圆管涵、砼、钢筋、装配式预制件。中标人须完成所有工序的施工内容并配合甲方报检、验收合格后方可予以计量，最终结算工程数量以现场实际发生，并经招标人现场签证且验收合格后的工程量为准。</w:t>
      </w:r>
    </w:p>
    <w:p>
      <w:pPr>
        <w:widowControl/>
        <w:spacing w:line="500" w:lineRule="exact"/>
        <w:jc w:val="left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　2、项目名称：凉月二标2工区涵洞劳务合作项目。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3、建设地点：安庆市怀宁县石镜乡。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4、建设期限：365日历天。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5、项目类别：涵洞劳务施工。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 xml:space="preserve">　  6、质量要求：交工验收的质量评定：合格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 xml:space="preserve">　　　　　　　　 竣工验收的质量评定：优良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　7、涵洞施工产生的一切环保问题（包括废渣、废砼、淤泥、扬尘、推土等）均由乙方自行负责。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三、服务需求及技术要求等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1、技术要求：人员、设备等本项目施工所需要的主设备、附属设备及辅助性材料均由中标人自行提供，</w:t>
      </w:r>
      <w:r>
        <w:rPr>
          <w:rFonts w:hint="eastAsia" w:ascii="Times New Roman" w:hAnsi="Times New Roman" w:eastAsia="仿宋" w:cs="Times New Roman"/>
          <w:b/>
          <w:bCs/>
          <w:color w:val="auto"/>
          <w:sz w:val="28"/>
          <w:szCs w:val="28"/>
          <w:highlight w:val="none"/>
          <w:lang w:val="en-US" w:eastAsia="zh-CN"/>
        </w:rPr>
        <w:t>投标人需为本项目拟派一个专职安全员，投标文件中须提供安全员的安全C证。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2、工期要求：365日历天（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>中标人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>无条件服从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招标人及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>上级主管单位对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>工期改变的要求，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中标人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>不得任何理由要求延长工期或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延长工期而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>增加费用。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3、报价计税方式：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工程量清单综合单价计价法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提供增值税专用发票，税率３%</w:t>
      </w:r>
    </w:p>
    <w:p>
      <w:pPr>
        <w:pStyle w:val="5"/>
        <w:tabs>
          <w:tab w:val="left" w:pos="0"/>
          <w:tab w:val="left" w:pos="993"/>
          <w:tab w:val="left" w:pos="1134"/>
        </w:tabs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4、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乙方在施工中不得偷工减料，但对其丢失、损坏以及其他原因导致使用的甲供的材料超过规定损耗范围的，甲方在中期结算时对损耗进行核算，对超出约定损耗范围外的材料由乙方按市场价100%进行赔偿。其中，双方约定的材料损耗率为：（1）钢材：0，（2）混凝土： </w:t>
      </w:r>
      <w:r>
        <w:rPr>
          <w:rFonts w:hint="eastAsia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0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，（3）其他材料:  \  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三、付款方式：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中期结算支付比例：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 xml:space="preserve">参见合同相关条款。 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bookmarkStart w:id="3" w:name="_Toc23541"/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2、计量方式：参见招标文件第六章《投标文件-清单分项报价表相关内容》。</w:t>
      </w:r>
      <w:bookmarkEnd w:id="3"/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四、最高投标限价：</w:t>
      </w:r>
    </w:p>
    <w:tbl>
      <w:tblPr>
        <w:tblStyle w:val="6"/>
        <w:tblW w:w="9169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255"/>
        <w:gridCol w:w="999"/>
        <w:gridCol w:w="1290"/>
        <w:gridCol w:w="1887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子目名称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数量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控制价单价（元）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bookmarkStart w:id="4" w:name="OLE_LINK1"/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  <w:bookmarkEnd w:id="4"/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单孔钢筋混凝土圆管涵，φ1.5m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147.82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675.68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99879.02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纵向涵，φ1.0m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16.48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298.70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4922.58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纵向涵，φ0.5m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91.00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123.60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11247.60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单孔钢筋混凝土倒虹吸圆管涵，φ1.5m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78.00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1166.99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91025.22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双孔钢筋混凝土倒虹吸圆管涵，φ1.5m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71.00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1072.23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76128.33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1-4x3.5盖板涵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86.13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5998.72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516669.75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1-4x3盖板涵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41.86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5322.01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222779.34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1-4x2.7装配式箱通（暗）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123.00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2775.85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341429.55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1-4x3.5装配式箱通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57.83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4795.68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277334.17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1-6x4装配式箱通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77.00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7164.68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551680.36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合计</w:t>
            </w:r>
          </w:p>
        </w:tc>
        <w:tc>
          <w:tcPr>
            <w:tcW w:w="614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/>
              </w:rPr>
              <w:t>2193095.92</w:t>
            </w:r>
          </w:p>
        </w:tc>
      </w:tr>
    </w:tbl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MTY4NmY0Nzk2OWY2YzljMzdkYTA3N2JmZWU2OTUifQ=="/>
  </w:docVars>
  <w:rsids>
    <w:rsidRoot w:val="66D21500"/>
    <w:rsid w:val="1B662EE5"/>
    <w:rsid w:val="66D2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autoRedefine/>
    <w:qFormat/>
    <w:uiPriority w:val="0"/>
    <w:pPr>
      <w:keepNext w:val="0"/>
      <w:keepLines w:val="0"/>
      <w:widowControl w:val="0"/>
      <w:suppressLineNumbers w:val="0"/>
      <w:spacing w:after="120" w:afterLines="0" w:afterAutospacing="0"/>
      <w:ind w:left="420" w:left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envelope return"/>
    <w:basedOn w:val="1"/>
    <w:autoRedefine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Body Text First Indent 2"/>
    <w:basedOn w:val="3"/>
    <w:next w:val="1"/>
    <w:autoRedefine/>
    <w:qFormat/>
    <w:uiPriority w:val="0"/>
    <w:pPr>
      <w:ind w:firstLine="420" w:firstLineChars="200"/>
    </w:pPr>
  </w:style>
  <w:style w:type="paragraph" w:customStyle="1" w:styleId="8">
    <w:name w:val="正文1"/>
    <w:basedOn w:val="1"/>
    <w:autoRedefine/>
    <w:qFormat/>
    <w:uiPriority w:val="0"/>
    <w:rPr>
      <w:rFonts w:ascii="Calibri" w:hAnsi="Calibri" w:eastAsia="Times New Roman" w:cs="宋体"/>
      <w:kern w:val="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2024-04-11T00:18:00Z</dcterms:created>
  <dc:creator>媛媛__</dc:creator>
  <cp:lastModifiedBy>为我撩人°</cp:lastModifiedBy>
  <dcterms:modified xsi:type="dcterms:W3CDTF">2024-04-11T03:54:38Z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A530198203184023B91B24227016F529_13</vt:lpwstr>
  </property>
</Properties>
</file>