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p>
    <w:p>
      <w:pPr>
        <w:jc w:val="center"/>
        <w:rPr>
          <w:sz w:val="36"/>
          <w:szCs w:val="36"/>
        </w:rPr>
      </w:pPr>
    </w:p>
    <w:p>
      <w:pPr>
        <w:spacing w:line="360" w:lineRule="auto"/>
        <w:jc w:val="center"/>
        <w:rPr>
          <w:rFonts w:hint="eastAsia" w:ascii="宋体" w:hAnsi="宋体" w:eastAsia="宋体" w:cs="宋体"/>
          <w:b/>
          <w:bCs/>
          <w:color w:val="auto"/>
          <w:spacing w:val="-20"/>
          <w:kern w:val="0"/>
          <w:sz w:val="44"/>
          <w:szCs w:val="44"/>
          <w:highlight w:val="none"/>
          <w:lang w:eastAsia="zh-CN"/>
        </w:rPr>
      </w:pPr>
      <w:r>
        <w:rPr>
          <w:rFonts w:hint="eastAsia" w:ascii="宋体" w:hAnsi="宋体" w:eastAsia="宋体" w:cs="宋体"/>
          <w:b/>
          <w:bCs/>
          <w:color w:val="auto"/>
          <w:spacing w:val="-20"/>
          <w:kern w:val="0"/>
          <w:sz w:val="44"/>
          <w:szCs w:val="44"/>
          <w:highlight w:val="none"/>
          <w:lang w:eastAsia="zh-CN"/>
        </w:rPr>
        <w:t>安徽路达工程检测有限责任公司本部及工地试验室</w:t>
      </w:r>
    </w:p>
    <w:p>
      <w:pPr>
        <w:spacing w:line="360" w:lineRule="auto"/>
        <w:jc w:val="center"/>
        <w:rPr>
          <w:rFonts w:hint="eastAsia" w:ascii="宋体" w:hAnsi="宋体" w:eastAsia="宋体" w:cs="宋体"/>
          <w:b/>
          <w:bCs/>
          <w:color w:val="auto"/>
          <w:spacing w:val="-20"/>
          <w:kern w:val="0"/>
          <w:sz w:val="44"/>
          <w:szCs w:val="44"/>
          <w:highlight w:val="none"/>
          <w:lang w:eastAsia="zh-CN"/>
        </w:rPr>
      </w:pPr>
      <w:r>
        <w:rPr>
          <w:rFonts w:hint="eastAsia" w:ascii="宋体" w:hAnsi="宋体" w:eastAsia="宋体" w:cs="宋体"/>
          <w:b/>
          <w:bCs/>
          <w:color w:val="auto"/>
          <w:spacing w:val="-20"/>
          <w:kern w:val="0"/>
          <w:sz w:val="44"/>
          <w:szCs w:val="44"/>
          <w:highlight w:val="none"/>
          <w:lang w:eastAsia="zh-CN"/>
        </w:rPr>
        <w:t>试验仪器检定校准服务</w:t>
      </w:r>
    </w:p>
    <w:p>
      <w:pPr>
        <w:pStyle w:val="81"/>
        <w:spacing w:before="120"/>
        <w:ind w:firstLine="630"/>
        <w:jc w:val="center"/>
        <w:rPr>
          <w:color w:val="auto"/>
          <w:sz w:val="36"/>
          <w:szCs w:val="36"/>
          <w:highlight w:val="none"/>
        </w:rPr>
      </w:pPr>
    </w:p>
    <w:p>
      <w:pPr>
        <w:pStyle w:val="81"/>
        <w:spacing w:before="120"/>
        <w:ind w:firstLine="630"/>
        <w:jc w:val="center"/>
        <w:rPr>
          <w:color w:val="auto"/>
          <w:sz w:val="36"/>
          <w:szCs w:val="36"/>
          <w:highlight w:val="none"/>
        </w:rPr>
      </w:pPr>
    </w:p>
    <w:p>
      <w:pPr>
        <w:pStyle w:val="81"/>
        <w:spacing w:before="120"/>
        <w:ind w:firstLine="630"/>
        <w:jc w:val="center"/>
        <w:rPr>
          <w:color w:val="auto"/>
          <w:sz w:val="36"/>
          <w:szCs w:val="36"/>
          <w:highlight w:val="none"/>
        </w:rPr>
      </w:pPr>
    </w:p>
    <w:p>
      <w:pPr>
        <w:spacing w:line="360" w:lineRule="auto"/>
        <w:jc w:val="center"/>
        <w:rPr>
          <w:rFonts w:hint="eastAsia" w:ascii="宋体" w:hAnsi="宋体" w:eastAsia="宋体" w:cs="宋体"/>
          <w:b/>
          <w:color w:val="auto"/>
          <w:sz w:val="96"/>
          <w:szCs w:val="96"/>
          <w:highlight w:val="none"/>
        </w:rPr>
      </w:pPr>
      <w:r>
        <w:rPr>
          <w:rFonts w:hint="eastAsia" w:ascii="宋体" w:hAnsi="宋体" w:eastAsia="宋体" w:cs="宋体"/>
          <w:b/>
          <w:color w:val="auto"/>
          <w:sz w:val="96"/>
          <w:szCs w:val="96"/>
          <w:highlight w:val="none"/>
        </w:rPr>
        <w:t>比  选 文 件</w:t>
      </w:r>
    </w:p>
    <w:p>
      <w:pPr>
        <w:pStyle w:val="81"/>
        <w:spacing w:before="120"/>
        <w:ind w:firstLine="630"/>
        <w:jc w:val="center"/>
        <w:rPr>
          <w:color w:val="auto"/>
          <w:sz w:val="36"/>
          <w:szCs w:val="36"/>
          <w:highlight w:val="none"/>
        </w:rPr>
      </w:pPr>
    </w:p>
    <w:p>
      <w:pPr>
        <w:jc w:val="both"/>
        <w:rPr>
          <w:color w:val="auto"/>
          <w:sz w:val="36"/>
          <w:szCs w:val="36"/>
          <w:highlight w:val="none"/>
        </w:rPr>
      </w:pPr>
    </w:p>
    <w:p>
      <w:pPr>
        <w:pStyle w:val="81"/>
        <w:spacing w:before="120"/>
        <w:ind w:firstLine="630"/>
        <w:jc w:val="center"/>
        <w:rPr>
          <w:color w:val="auto"/>
          <w:sz w:val="36"/>
          <w:szCs w:val="36"/>
          <w:highlight w:val="none"/>
        </w:rPr>
      </w:pPr>
    </w:p>
    <w:p>
      <w:pPr>
        <w:spacing w:line="360" w:lineRule="auto"/>
        <w:jc w:val="center"/>
        <w:rPr>
          <w:rFonts w:hint="default" w:ascii="宋体" w:hAnsi="宋体" w:eastAsia="宋体" w:cs="仿宋_GB2312"/>
          <w:b/>
          <w:color w:val="auto"/>
          <w:sz w:val="30"/>
          <w:szCs w:val="30"/>
          <w:highlight w:val="none"/>
          <w:u w:val="none"/>
          <w:lang w:val="en-US" w:eastAsia="zh-CN"/>
        </w:rPr>
      </w:pPr>
      <w:r>
        <w:rPr>
          <w:rFonts w:hint="eastAsia" w:ascii="宋体" w:hAnsi="宋体" w:eastAsia="宋体" w:cs="仿宋_GB2312"/>
          <w:b/>
          <w:color w:val="auto"/>
          <w:sz w:val="30"/>
          <w:szCs w:val="30"/>
          <w:highlight w:val="none"/>
          <w:u w:val="none"/>
          <w:lang w:val="en-US" w:eastAsia="zh-CN"/>
        </w:rPr>
        <w:t>项目编号：</w:t>
      </w:r>
      <w:r>
        <w:rPr>
          <w:rFonts w:hint="eastAsia" w:ascii="宋体" w:hAnsi="宋体" w:cs="仿宋_GB2312"/>
          <w:b/>
          <w:color w:val="auto"/>
          <w:sz w:val="30"/>
          <w:szCs w:val="30"/>
          <w:highlight w:val="none"/>
          <w:u w:val="none"/>
          <w:lang w:val="en-US" w:eastAsia="zh-CN"/>
        </w:rPr>
        <w:t>AQJK-CG-2024-013</w:t>
      </w:r>
    </w:p>
    <w:p>
      <w:pPr>
        <w:pStyle w:val="81"/>
        <w:spacing w:before="120"/>
        <w:ind w:left="0" w:leftChars="0" w:firstLine="0" w:firstLineChars="0"/>
        <w:jc w:val="both"/>
        <w:rPr>
          <w:rFonts w:hint="eastAsia"/>
          <w:color w:val="auto"/>
          <w:sz w:val="36"/>
          <w:szCs w:val="36"/>
          <w:highlight w:val="none"/>
        </w:rPr>
      </w:pPr>
    </w:p>
    <w:p>
      <w:pPr>
        <w:pStyle w:val="81"/>
        <w:spacing w:before="120"/>
        <w:ind w:firstLine="630"/>
        <w:jc w:val="center"/>
        <w:rPr>
          <w:color w:val="auto"/>
          <w:sz w:val="36"/>
          <w:szCs w:val="36"/>
          <w:highlight w:val="none"/>
        </w:rPr>
      </w:pPr>
    </w:p>
    <w:p>
      <w:pPr>
        <w:jc w:val="center"/>
        <w:rPr>
          <w:color w:val="auto"/>
          <w:sz w:val="36"/>
          <w:szCs w:val="36"/>
          <w:highlight w:val="none"/>
        </w:rPr>
      </w:pPr>
    </w:p>
    <w:p>
      <w:pPr>
        <w:spacing w:line="360" w:lineRule="auto"/>
        <w:ind w:firstLine="596" w:firstLineChars="198"/>
        <w:jc w:val="both"/>
        <w:rPr>
          <w:rFonts w:hint="default" w:ascii="宋体" w:hAnsi="宋体" w:eastAsia="宋体" w:cs="宋体"/>
          <w:b/>
          <w:color w:val="auto"/>
          <w:sz w:val="24"/>
          <w:szCs w:val="24"/>
          <w:highlight w:val="none"/>
          <w:u w:val="single"/>
          <w:lang w:val="en-US" w:eastAsia="zh-CN"/>
        </w:rPr>
      </w:pPr>
      <w:r>
        <w:rPr>
          <w:rFonts w:hint="eastAsia" w:ascii="宋体" w:hAnsi="宋体" w:eastAsia="宋体" w:cs="宋体"/>
          <w:b/>
          <w:color w:val="auto"/>
          <w:sz w:val="30"/>
          <w:szCs w:val="30"/>
          <w:highlight w:val="none"/>
          <w:lang w:val="en-US" w:eastAsia="zh-CN"/>
        </w:rPr>
        <w:t>采</w:t>
      </w:r>
      <w:r>
        <w:rPr>
          <w:rFonts w:hint="eastAsia" w:ascii="宋体" w:hAnsi="宋体" w:eastAsia="宋体" w:cs="宋体"/>
          <w:b/>
          <w:color w:val="auto"/>
          <w:sz w:val="30"/>
          <w:szCs w:val="30"/>
          <w:highlight w:val="none"/>
        </w:rPr>
        <w:t xml:space="preserve">   购   人：</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r>
        <w:rPr>
          <w:rFonts w:hint="eastAsia" w:ascii="宋体" w:hAnsi="宋体" w:eastAsia="宋体" w:cs="宋体"/>
          <w:b/>
          <w:color w:val="auto"/>
          <w:sz w:val="30"/>
          <w:szCs w:val="30"/>
          <w:highlight w:val="none"/>
          <w:u w:val="single"/>
          <w:lang w:eastAsia="zh-CN"/>
        </w:rPr>
        <w:t>安徽路达工程检测有限责任公司</w:t>
      </w:r>
      <w:r>
        <w:rPr>
          <w:rFonts w:hint="eastAsia" w:ascii="宋体" w:hAnsi="宋体" w:eastAsia="宋体" w:cs="宋体"/>
          <w:b/>
          <w:color w:val="auto"/>
          <w:sz w:val="30"/>
          <w:szCs w:val="30"/>
          <w:highlight w:val="none"/>
          <w:u w:val="single"/>
        </w:rPr>
        <w:t xml:space="preserve">  </w:t>
      </w:r>
      <w:r>
        <w:rPr>
          <w:rFonts w:hint="eastAsia" w:ascii="宋体" w:hAnsi="宋体" w:eastAsia="宋体" w:cs="宋体"/>
          <w:b/>
          <w:color w:val="auto"/>
          <w:sz w:val="30"/>
          <w:szCs w:val="30"/>
          <w:highlight w:val="none"/>
          <w:u w:val="single"/>
          <w:lang w:val="en-US" w:eastAsia="zh-CN"/>
        </w:rPr>
        <w:t xml:space="preserve">     </w:t>
      </w:r>
    </w:p>
    <w:p>
      <w:pPr>
        <w:pStyle w:val="81"/>
        <w:spacing w:before="120"/>
        <w:ind w:left="0" w:leftChars="0" w:firstLine="0" w:firstLineChars="0"/>
        <w:rPr>
          <w:color w:val="auto"/>
          <w:highlight w:val="none"/>
        </w:rPr>
      </w:pPr>
    </w:p>
    <w:p>
      <w:pPr>
        <w:pStyle w:val="81"/>
        <w:spacing w:before="120"/>
        <w:ind w:left="0" w:leftChars="0" w:firstLine="0" w:firstLineChars="0"/>
        <w:rPr>
          <w:color w:val="auto"/>
          <w:highlight w:val="none"/>
        </w:rPr>
      </w:pPr>
    </w:p>
    <w:p>
      <w:pPr>
        <w:pStyle w:val="81"/>
        <w:spacing w:before="120"/>
        <w:ind w:left="0" w:leftChars="0" w:firstLine="0" w:firstLineChars="0"/>
        <w:rPr>
          <w:color w:val="auto"/>
          <w:highlight w:val="none"/>
        </w:rPr>
      </w:pPr>
    </w:p>
    <w:p>
      <w:pPr>
        <w:spacing w:line="360" w:lineRule="auto"/>
        <w:jc w:val="both"/>
        <w:rPr>
          <w:rFonts w:hint="eastAsia" w:ascii="宋体" w:hAnsi="宋体" w:eastAsia="宋体" w:cs="仿宋_GB2312"/>
          <w:b/>
          <w:color w:val="auto"/>
          <w:sz w:val="30"/>
          <w:szCs w:val="30"/>
          <w:highlight w:val="none"/>
          <w:u w:val="none"/>
          <w:lang w:val="en-US" w:eastAsia="zh-CN"/>
        </w:rPr>
      </w:pPr>
    </w:p>
    <w:p>
      <w:pPr>
        <w:spacing w:line="360" w:lineRule="auto"/>
        <w:jc w:val="center"/>
        <w:rPr>
          <w:rFonts w:hint="eastAsia" w:ascii="宋体" w:hAnsi="宋体" w:eastAsia="宋体" w:cs="宋体"/>
          <w:color w:val="auto"/>
          <w:sz w:val="32"/>
          <w:szCs w:val="32"/>
          <w:highlight w:val="none"/>
          <w:u w:val="single"/>
          <w:lang w:val="en-US" w:eastAsia="zh-CN"/>
        </w:rPr>
      </w:pPr>
      <w:r>
        <w:rPr>
          <w:rFonts w:hint="eastAsia" w:ascii="宋体" w:hAnsi="宋体" w:eastAsia="宋体" w:cs="仿宋_GB2312"/>
          <w:b/>
          <w:color w:val="auto"/>
          <w:sz w:val="30"/>
          <w:szCs w:val="30"/>
          <w:highlight w:val="none"/>
          <w:u w:val="none"/>
          <w:lang w:val="en-US" w:eastAsia="zh-CN"/>
        </w:rPr>
        <w:t>安庆市交通控股集团有限公司集采中心</w:t>
      </w:r>
    </w:p>
    <w:p>
      <w:pPr>
        <w:widowControl/>
        <w:spacing w:line="480" w:lineRule="auto"/>
        <w:jc w:val="both"/>
        <w:rPr>
          <w:rFonts w:hint="eastAsia" w:ascii="宋体" w:hAnsi="宋体" w:eastAsia="宋体" w:cs="宋体"/>
          <w:color w:val="auto"/>
          <w:sz w:val="32"/>
          <w:szCs w:val="32"/>
          <w:highlight w:val="none"/>
          <w:u w:val="single"/>
          <w:lang w:val="en-US" w:eastAsia="zh-CN"/>
        </w:rPr>
      </w:pPr>
    </w:p>
    <w:p>
      <w:pPr>
        <w:widowControl/>
        <w:spacing w:line="480" w:lineRule="auto"/>
        <w:jc w:val="center"/>
        <w:rPr>
          <w:rFonts w:hint="eastAsia" w:ascii="宋体" w:hAnsi="宋体" w:eastAsia="宋体" w:cs="宋体"/>
          <w:color w:val="auto"/>
          <w:sz w:val="32"/>
          <w:szCs w:val="32"/>
          <w:highlight w:val="none"/>
          <w:u w:val="single"/>
          <w:lang w:val="en-US" w:eastAsia="zh-CN"/>
        </w:rPr>
        <w:sectPr>
          <w:headerReference r:id="rId4" w:type="first"/>
          <w:footerReference r:id="rId6" w:type="first"/>
          <w:headerReference r:id="rId3" w:type="default"/>
          <w:footerReference r:id="rId5" w:type="even"/>
          <w:pgSz w:w="11906" w:h="16838"/>
          <w:pgMar w:top="1418" w:right="1418" w:bottom="1418" w:left="1418" w:header="851" w:footer="680" w:gutter="0"/>
          <w:pgBorders>
            <w:top w:val="none" w:sz="0" w:space="0"/>
            <w:left w:val="none" w:sz="0" w:space="0"/>
            <w:bottom w:val="none" w:sz="0" w:space="0"/>
            <w:right w:val="none" w:sz="0" w:space="0"/>
          </w:pgBorders>
          <w:pgNumType w:fmt="decimal" w:start="0"/>
          <w:cols w:space="720" w:num="1"/>
          <w:titlePg/>
          <w:docGrid w:linePitch="290" w:charSpace="0"/>
        </w:sectPr>
      </w:pPr>
      <w:r>
        <w:rPr>
          <w:rFonts w:hint="eastAsia" w:ascii="宋体" w:hAnsi="宋体" w:eastAsia="宋体" w:cs="宋体"/>
          <w:color w:val="auto"/>
          <w:sz w:val="32"/>
          <w:szCs w:val="32"/>
          <w:highlight w:val="none"/>
          <w:u w:val="single"/>
          <w:lang w:val="en-US" w:eastAsia="zh-CN"/>
        </w:rPr>
        <w:t>日期：二〇二四年三月</w:t>
      </w:r>
    </w:p>
    <w:p>
      <w:pPr>
        <w:pStyle w:val="81"/>
        <w:spacing w:before="120"/>
        <w:ind w:left="0" w:leftChars="0" w:firstLine="0" w:firstLineChars="0"/>
        <w:rPr>
          <w:color w:val="auto"/>
          <w:highlight w:val="none"/>
          <w:lang w:val="zh-CN"/>
        </w:rPr>
      </w:pPr>
    </w:p>
    <w:p>
      <w:pPr>
        <w:keepNext w:val="0"/>
        <w:keepLines w:val="0"/>
        <w:pageBreakBefore w:val="0"/>
        <w:widowControl w:val="0"/>
        <w:kinsoku/>
        <w:wordWrap/>
        <w:overflowPunct/>
        <w:topLinePunct w:val="0"/>
        <w:autoSpaceDE/>
        <w:autoSpaceDN/>
        <w:bidi w:val="0"/>
        <w:adjustRightInd/>
        <w:snapToGrid/>
        <w:spacing w:line="960" w:lineRule="auto"/>
        <w:jc w:val="center"/>
        <w:textAlignment w:val="auto"/>
        <w:rPr>
          <w:rFonts w:ascii="宋体" w:hAnsi="宋体"/>
          <w:b/>
          <w:color w:val="auto"/>
          <w:sz w:val="44"/>
          <w:szCs w:val="44"/>
          <w:highlight w:val="none"/>
        </w:rPr>
      </w:pPr>
      <w:bookmarkStart w:id="0" w:name="_Toc439316870"/>
      <w:r>
        <w:rPr>
          <w:rFonts w:hint="eastAsia" w:ascii="宋体" w:hAnsi="宋体"/>
          <w:b/>
          <w:color w:val="auto"/>
          <w:sz w:val="44"/>
          <w:szCs w:val="44"/>
          <w:highlight w:val="none"/>
        </w:rPr>
        <w:t>目   录</w:t>
      </w:r>
    </w:p>
    <w:p>
      <w:pPr>
        <w:pStyle w:val="40"/>
        <w:keepNext w:val="0"/>
        <w:keepLines w:val="0"/>
        <w:pageBreakBefore w:val="0"/>
        <w:widowControl w:val="0"/>
        <w:tabs>
          <w:tab w:val="left" w:pos="1260"/>
          <w:tab w:val="right" w:leader="dot" w:pos="9060"/>
        </w:tabs>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b w:val="0"/>
          <w:bCs/>
          <w:color w:val="auto"/>
          <w:sz w:val="30"/>
          <w:szCs w:val="30"/>
          <w:highlight w:val="none"/>
        </w:rPr>
      </w:pPr>
      <w:r>
        <w:rPr>
          <w:rFonts w:ascii="宋体" w:hAnsi="宋体"/>
          <w:color w:val="auto"/>
          <w:highlight w:val="none"/>
        </w:rPr>
        <w:fldChar w:fldCharType="begin"/>
      </w:r>
      <w:r>
        <w:rPr>
          <w:rFonts w:ascii="宋体" w:hAnsi="宋体"/>
          <w:color w:val="auto"/>
          <w:highlight w:val="none"/>
        </w:rPr>
        <w:instrText xml:space="preserve"> TOC \o "1-3" \h \z \u </w:instrText>
      </w:r>
      <w:r>
        <w:rPr>
          <w:rFonts w:ascii="宋体" w:hAnsi="宋体"/>
          <w:color w:val="auto"/>
          <w:highlight w:val="none"/>
        </w:rPr>
        <w:fldChar w:fldCharType="separate"/>
      </w:r>
      <w:r>
        <w:rPr>
          <w:b w:val="0"/>
          <w:bCs/>
          <w:color w:val="auto"/>
          <w:sz w:val="30"/>
          <w:szCs w:val="30"/>
          <w:highlight w:val="none"/>
        </w:rPr>
        <w:fldChar w:fldCharType="begin"/>
      </w:r>
      <w:r>
        <w:rPr>
          <w:b w:val="0"/>
          <w:bCs/>
          <w:color w:val="auto"/>
          <w:sz w:val="30"/>
          <w:szCs w:val="30"/>
          <w:highlight w:val="none"/>
        </w:rPr>
        <w:instrText xml:space="preserve"> HYPERLINK \l "_Toc4481589" </w:instrText>
      </w:r>
      <w:r>
        <w:rPr>
          <w:b w:val="0"/>
          <w:bCs/>
          <w:color w:val="auto"/>
          <w:sz w:val="30"/>
          <w:szCs w:val="30"/>
          <w:highlight w:val="none"/>
        </w:rPr>
        <w:fldChar w:fldCharType="separate"/>
      </w:r>
      <w:r>
        <w:rPr>
          <w:rStyle w:val="74"/>
          <w:rFonts w:hint="eastAsia"/>
          <w:b w:val="0"/>
          <w:bCs/>
          <w:color w:val="auto"/>
          <w:sz w:val="30"/>
          <w:szCs w:val="30"/>
          <w:highlight w:val="none"/>
        </w:rPr>
        <w:t>第一章</w:t>
      </w:r>
      <w:r>
        <w:rPr>
          <w:rFonts w:asciiTheme="minorHAnsi" w:hAnsiTheme="minorHAnsi" w:eastAsiaTheme="minorEastAsia" w:cstheme="minorBidi"/>
          <w:b w:val="0"/>
          <w:bCs/>
          <w:color w:val="auto"/>
          <w:sz w:val="30"/>
          <w:szCs w:val="30"/>
          <w:highlight w:val="none"/>
        </w:rPr>
        <w:tab/>
      </w:r>
      <w:r>
        <w:rPr>
          <w:rStyle w:val="74"/>
          <w:rFonts w:hint="eastAsia" w:eastAsiaTheme="minorEastAsia"/>
          <w:b w:val="0"/>
          <w:bCs/>
          <w:color w:val="auto"/>
          <w:sz w:val="30"/>
          <w:szCs w:val="30"/>
          <w:highlight w:val="none"/>
          <w:lang w:eastAsia="zh-CN"/>
        </w:rPr>
        <w:t>比选公告</w:t>
      </w:r>
      <w:r>
        <w:rPr>
          <w:b w:val="0"/>
          <w:bCs/>
          <w:color w:val="auto"/>
          <w:sz w:val="30"/>
          <w:szCs w:val="30"/>
          <w:highlight w:val="none"/>
        </w:rPr>
        <w:tab/>
      </w:r>
      <w:r>
        <w:rPr>
          <w:rFonts w:hint="eastAsia"/>
          <w:b w:val="0"/>
          <w:bCs/>
          <w:color w:val="auto"/>
          <w:sz w:val="30"/>
          <w:szCs w:val="30"/>
          <w:highlight w:val="none"/>
          <w:lang w:val="en-US" w:eastAsia="zh-CN"/>
        </w:rPr>
        <w:t>1</w:t>
      </w:r>
      <w:r>
        <w:rPr>
          <w:b w:val="0"/>
          <w:bCs/>
          <w:color w:val="auto"/>
          <w:sz w:val="30"/>
          <w:szCs w:val="30"/>
          <w:highlight w:val="none"/>
        </w:rPr>
        <w:fldChar w:fldCharType="end"/>
      </w:r>
    </w:p>
    <w:p>
      <w:pPr>
        <w:pStyle w:val="40"/>
        <w:keepNext w:val="0"/>
        <w:keepLines w:val="0"/>
        <w:pageBreakBefore w:val="0"/>
        <w:widowControl w:val="0"/>
        <w:tabs>
          <w:tab w:val="left" w:pos="1260"/>
          <w:tab w:val="right" w:leader="dot" w:pos="9060"/>
        </w:tabs>
        <w:kinsoku/>
        <w:wordWrap/>
        <w:overflowPunct/>
        <w:topLinePunct w:val="0"/>
        <w:autoSpaceDE/>
        <w:autoSpaceDN/>
        <w:bidi w:val="0"/>
        <w:adjustRightInd/>
        <w:snapToGrid/>
        <w:spacing w:before="313" w:beforeLines="100" w:line="600" w:lineRule="exact"/>
        <w:textAlignment w:val="auto"/>
        <w:rPr>
          <w:rFonts w:asciiTheme="minorHAnsi" w:hAnsiTheme="minorHAnsi" w:eastAsiaTheme="minorEastAsia" w:cstheme="minorBidi"/>
          <w:b w:val="0"/>
          <w:bCs/>
          <w:color w:val="auto"/>
          <w:sz w:val="30"/>
          <w:szCs w:val="30"/>
          <w:highlight w:val="none"/>
        </w:rPr>
      </w:pPr>
      <w:r>
        <w:rPr>
          <w:b w:val="0"/>
          <w:bCs/>
          <w:color w:val="auto"/>
          <w:sz w:val="30"/>
          <w:szCs w:val="30"/>
          <w:highlight w:val="none"/>
        </w:rPr>
        <w:fldChar w:fldCharType="begin"/>
      </w:r>
      <w:r>
        <w:rPr>
          <w:b w:val="0"/>
          <w:bCs/>
          <w:color w:val="auto"/>
          <w:sz w:val="30"/>
          <w:szCs w:val="30"/>
          <w:highlight w:val="none"/>
        </w:rPr>
        <w:instrText xml:space="preserve"> HYPERLINK \l "_Toc4481590" </w:instrText>
      </w:r>
      <w:r>
        <w:rPr>
          <w:b w:val="0"/>
          <w:bCs/>
          <w:color w:val="auto"/>
          <w:sz w:val="30"/>
          <w:szCs w:val="30"/>
          <w:highlight w:val="none"/>
        </w:rPr>
        <w:fldChar w:fldCharType="separate"/>
      </w:r>
      <w:r>
        <w:rPr>
          <w:rStyle w:val="74"/>
          <w:rFonts w:hint="eastAsia"/>
          <w:b w:val="0"/>
          <w:bCs/>
          <w:color w:val="auto"/>
          <w:sz w:val="30"/>
          <w:szCs w:val="30"/>
          <w:highlight w:val="none"/>
        </w:rPr>
        <w:t>第二章</w:t>
      </w:r>
      <w:r>
        <w:rPr>
          <w:rFonts w:asciiTheme="minorHAnsi" w:hAnsiTheme="minorHAnsi" w:eastAsiaTheme="minorEastAsia" w:cstheme="minorBidi"/>
          <w:b w:val="0"/>
          <w:bCs/>
          <w:color w:val="auto"/>
          <w:sz w:val="30"/>
          <w:szCs w:val="30"/>
          <w:highlight w:val="none"/>
        </w:rPr>
        <w:tab/>
      </w:r>
      <w:r>
        <w:rPr>
          <w:rStyle w:val="74"/>
          <w:rFonts w:hint="eastAsia" w:eastAsiaTheme="minorEastAsia"/>
          <w:b w:val="0"/>
          <w:bCs/>
          <w:color w:val="auto"/>
          <w:sz w:val="30"/>
          <w:szCs w:val="30"/>
          <w:highlight w:val="none"/>
          <w:lang w:eastAsia="zh-CN"/>
        </w:rPr>
        <w:t>参选人</w:t>
      </w:r>
      <w:r>
        <w:rPr>
          <w:rStyle w:val="74"/>
          <w:rFonts w:hint="eastAsia"/>
          <w:b w:val="0"/>
          <w:bCs/>
          <w:color w:val="auto"/>
          <w:sz w:val="30"/>
          <w:szCs w:val="30"/>
          <w:highlight w:val="none"/>
        </w:rPr>
        <w:t>须知</w:t>
      </w:r>
      <w:r>
        <w:rPr>
          <w:b w:val="0"/>
          <w:bCs/>
          <w:color w:val="auto"/>
          <w:sz w:val="30"/>
          <w:szCs w:val="30"/>
          <w:highlight w:val="none"/>
        </w:rPr>
        <w:tab/>
      </w:r>
      <w:r>
        <w:rPr>
          <w:rFonts w:hint="eastAsia"/>
          <w:b w:val="0"/>
          <w:bCs/>
          <w:color w:val="auto"/>
          <w:sz w:val="30"/>
          <w:szCs w:val="30"/>
          <w:highlight w:val="none"/>
          <w:lang w:val="en-US" w:eastAsia="zh-CN"/>
        </w:rPr>
        <w:t>5</w:t>
      </w:r>
      <w:r>
        <w:rPr>
          <w:b w:val="0"/>
          <w:bCs/>
          <w:color w:val="auto"/>
          <w:sz w:val="30"/>
          <w:szCs w:val="30"/>
          <w:highlight w:val="none"/>
        </w:rPr>
        <w:fldChar w:fldCharType="end"/>
      </w:r>
    </w:p>
    <w:p>
      <w:pPr>
        <w:pStyle w:val="40"/>
        <w:keepNext w:val="0"/>
        <w:keepLines w:val="0"/>
        <w:pageBreakBefore w:val="0"/>
        <w:widowControl w:val="0"/>
        <w:tabs>
          <w:tab w:val="left" w:pos="1260"/>
          <w:tab w:val="right" w:leader="dot" w:pos="9060"/>
        </w:tabs>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b w:val="0"/>
          <w:bCs/>
          <w:color w:val="auto"/>
          <w:sz w:val="30"/>
          <w:szCs w:val="30"/>
          <w:highlight w:val="none"/>
          <w:lang w:val="en-US" w:eastAsia="zh-CN"/>
        </w:rPr>
      </w:pPr>
      <w:r>
        <w:rPr>
          <w:b w:val="0"/>
          <w:bCs/>
          <w:color w:val="auto"/>
          <w:sz w:val="30"/>
          <w:szCs w:val="30"/>
          <w:highlight w:val="none"/>
        </w:rPr>
        <w:fldChar w:fldCharType="begin"/>
      </w:r>
      <w:r>
        <w:rPr>
          <w:b w:val="0"/>
          <w:bCs/>
          <w:color w:val="auto"/>
          <w:sz w:val="30"/>
          <w:szCs w:val="30"/>
          <w:highlight w:val="none"/>
        </w:rPr>
        <w:instrText xml:space="preserve"> HYPERLINK \l "_Toc4481598" </w:instrText>
      </w:r>
      <w:r>
        <w:rPr>
          <w:b w:val="0"/>
          <w:bCs/>
          <w:color w:val="auto"/>
          <w:sz w:val="30"/>
          <w:szCs w:val="30"/>
          <w:highlight w:val="none"/>
        </w:rPr>
        <w:fldChar w:fldCharType="separate"/>
      </w:r>
      <w:r>
        <w:rPr>
          <w:rStyle w:val="74"/>
          <w:rFonts w:hint="eastAsia"/>
          <w:b w:val="0"/>
          <w:bCs/>
          <w:color w:val="auto"/>
          <w:sz w:val="30"/>
          <w:szCs w:val="30"/>
          <w:highlight w:val="none"/>
        </w:rPr>
        <w:t>第三章</w:t>
      </w:r>
      <w:r>
        <w:rPr>
          <w:rFonts w:asciiTheme="minorHAnsi" w:hAnsiTheme="minorHAnsi" w:eastAsiaTheme="minorEastAsia" w:cstheme="minorBidi"/>
          <w:b w:val="0"/>
          <w:bCs/>
          <w:color w:val="auto"/>
          <w:sz w:val="30"/>
          <w:szCs w:val="30"/>
          <w:highlight w:val="none"/>
        </w:rPr>
        <w:tab/>
      </w:r>
      <w:r>
        <w:rPr>
          <w:rFonts w:hint="eastAsia" w:ascii="Times New Roman" w:hAnsi="Times New Roman" w:eastAsia="宋体" w:cs="Times New Roman"/>
          <w:b w:val="0"/>
          <w:bCs/>
          <w:color w:val="auto"/>
          <w:kern w:val="44"/>
          <w:sz w:val="32"/>
          <w:szCs w:val="44"/>
          <w:highlight w:val="none"/>
          <w:lang w:val="en-US" w:eastAsia="zh-CN" w:bidi="ar-SA"/>
        </w:rPr>
        <w:t>评标方法和标准</w:t>
      </w:r>
      <w:r>
        <w:rPr>
          <w:b w:val="0"/>
          <w:bCs/>
          <w:color w:val="auto"/>
          <w:sz w:val="30"/>
          <w:szCs w:val="30"/>
          <w:highlight w:val="none"/>
        </w:rPr>
        <w:tab/>
      </w:r>
      <w:r>
        <w:rPr>
          <w:rFonts w:hint="eastAsia"/>
          <w:b w:val="0"/>
          <w:bCs/>
          <w:color w:val="auto"/>
          <w:sz w:val="30"/>
          <w:szCs w:val="30"/>
          <w:highlight w:val="none"/>
          <w:lang w:val="en-US" w:eastAsia="zh-CN"/>
        </w:rPr>
        <w:t>15</w:t>
      </w:r>
    </w:p>
    <w:p>
      <w:pPr>
        <w:pStyle w:val="40"/>
        <w:keepNext w:val="0"/>
        <w:keepLines w:val="0"/>
        <w:pageBreakBefore w:val="0"/>
        <w:widowControl w:val="0"/>
        <w:tabs>
          <w:tab w:val="left" w:pos="1260"/>
          <w:tab w:val="right" w:leader="dot" w:pos="9060"/>
        </w:tabs>
        <w:kinsoku/>
        <w:wordWrap/>
        <w:overflowPunct/>
        <w:topLinePunct w:val="0"/>
        <w:autoSpaceDE/>
        <w:autoSpaceDN/>
        <w:bidi w:val="0"/>
        <w:adjustRightInd/>
        <w:snapToGrid/>
        <w:spacing w:before="313" w:beforeLines="100" w:line="600" w:lineRule="exact"/>
        <w:textAlignment w:val="auto"/>
        <w:rPr>
          <w:rFonts w:hint="eastAsia" w:eastAsia="宋体" w:asciiTheme="minorHAnsi" w:hAnsiTheme="minorHAnsi" w:cstheme="minorBidi"/>
          <w:b w:val="0"/>
          <w:bCs/>
          <w:color w:val="auto"/>
          <w:sz w:val="30"/>
          <w:szCs w:val="30"/>
          <w:highlight w:val="none"/>
          <w:lang w:val="en-US" w:eastAsia="zh-CN"/>
        </w:rPr>
      </w:pPr>
      <w:r>
        <w:rPr>
          <w:rStyle w:val="74"/>
          <w:rFonts w:hint="eastAsia"/>
          <w:b w:val="0"/>
          <w:bCs/>
          <w:color w:val="auto"/>
          <w:sz w:val="30"/>
          <w:szCs w:val="30"/>
          <w:highlight w:val="none"/>
        </w:rPr>
        <w:t>第</w:t>
      </w:r>
      <w:r>
        <w:rPr>
          <w:rStyle w:val="74"/>
          <w:rFonts w:hint="eastAsia"/>
          <w:b w:val="0"/>
          <w:bCs/>
          <w:color w:val="auto"/>
          <w:sz w:val="30"/>
          <w:szCs w:val="30"/>
          <w:highlight w:val="none"/>
          <w:lang w:val="en-US" w:eastAsia="zh-CN"/>
        </w:rPr>
        <w:t>四</w:t>
      </w:r>
      <w:r>
        <w:rPr>
          <w:rStyle w:val="74"/>
          <w:rFonts w:hint="eastAsia"/>
          <w:b w:val="0"/>
          <w:bCs/>
          <w:color w:val="auto"/>
          <w:sz w:val="30"/>
          <w:szCs w:val="30"/>
          <w:highlight w:val="none"/>
        </w:rPr>
        <w:t>章</w:t>
      </w:r>
      <w:r>
        <w:rPr>
          <w:rFonts w:asciiTheme="minorHAnsi" w:hAnsiTheme="minorHAnsi" w:eastAsiaTheme="minorEastAsia" w:cstheme="minorBidi"/>
          <w:b w:val="0"/>
          <w:bCs/>
          <w:color w:val="auto"/>
          <w:sz w:val="30"/>
          <w:szCs w:val="30"/>
          <w:highlight w:val="none"/>
        </w:rPr>
        <w:tab/>
      </w:r>
      <w:r>
        <w:rPr>
          <w:rFonts w:hint="eastAsia" w:asciiTheme="minorHAnsi" w:hAnsiTheme="minorHAnsi" w:eastAsiaTheme="minorEastAsia" w:cstheme="minorBidi"/>
          <w:b w:val="0"/>
          <w:bCs/>
          <w:color w:val="auto"/>
          <w:sz w:val="30"/>
          <w:szCs w:val="30"/>
          <w:highlight w:val="none"/>
          <w:lang w:val="en-US" w:eastAsia="zh-CN"/>
        </w:rPr>
        <w:t>服务</w:t>
      </w:r>
      <w:r>
        <w:rPr>
          <w:rStyle w:val="74"/>
          <w:rFonts w:hint="eastAsia" w:eastAsiaTheme="minorEastAsia"/>
          <w:b w:val="0"/>
          <w:bCs/>
          <w:color w:val="auto"/>
          <w:sz w:val="30"/>
          <w:szCs w:val="30"/>
          <w:highlight w:val="none"/>
          <w:lang w:eastAsia="zh-CN"/>
        </w:rPr>
        <w:t>需求</w:t>
      </w:r>
      <w:r>
        <w:rPr>
          <w:rStyle w:val="74"/>
          <w:rFonts w:hint="eastAsia"/>
          <w:b w:val="0"/>
          <w:bCs/>
          <w:color w:val="auto"/>
          <w:sz w:val="30"/>
          <w:szCs w:val="30"/>
          <w:highlight w:val="none"/>
        </w:rPr>
        <w:t>及技术要求</w:t>
      </w:r>
      <w:r>
        <w:rPr>
          <w:b w:val="0"/>
          <w:bCs/>
          <w:color w:val="auto"/>
          <w:sz w:val="30"/>
          <w:szCs w:val="30"/>
          <w:highlight w:val="none"/>
        </w:rPr>
        <w:tab/>
      </w:r>
      <w:r>
        <w:rPr>
          <w:rFonts w:hint="eastAsia"/>
          <w:b w:val="0"/>
          <w:bCs/>
          <w:color w:val="auto"/>
          <w:sz w:val="30"/>
          <w:szCs w:val="30"/>
          <w:highlight w:val="none"/>
          <w:lang w:val="en-US" w:eastAsia="zh-CN"/>
        </w:rPr>
        <w:t>1</w:t>
      </w:r>
      <w:r>
        <w:rPr>
          <w:b w:val="0"/>
          <w:bCs/>
          <w:color w:val="auto"/>
          <w:sz w:val="30"/>
          <w:szCs w:val="30"/>
          <w:highlight w:val="none"/>
        </w:rPr>
        <w:fldChar w:fldCharType="end"/>
      </w:r>
      <w:r>
        <w:rPr>
          <w:rFonts w:hint="eastAsia"/>
          <w:b w:val="0"/>
          <w:bCs/>
          <w:color w:val="auto"/>
          <w:sz w:val="30"/>
          <w:szCs w:val="30"/>
          <w:highlight w:val="none"/>
          <w:lang w:val="en-US" w:eastAsia="zh-CN"/>
        </w:rPr>
        <w:t>9</w:t>
      </w:r>
    </w:p>
    <w:p>
      <w:pPr>
        <w:pStyle w:val="40"/>
        <w:keepNext w:val="0"/>
        <w:keepLines w:val="0"/>
        <w:pageBreakBefore w:val="0"/>
        <w:widowControl w:val="0"/>
        <w:tabs>
          <w:tab w:val="left" w:pos="1260"/>
          <w:tab w:val="right" w:leader="dot" w:pos="9060"/>
        </w:tabs>
        <w:kinsoku/>
        <w:wordWrap/>
        <w:overflowPunct/>
        <w:topLinePunct w:val="0"/>
        <w:autoSpaceDE/>
        <w:autoSpaceDN/>
        <w:bidi w:val="0"/>
        <w:adjustRightInd/>
        <w:snapToGrid/>
        <w:spacing w:before="313" w:beforeLines="100" w:line="600" w:lineRule="exact"/>
        <w:textAlignment w:val="auto"/>
        <w:rPr>
          <w:rFonts w:hint="default" w:eastAsia="宋体" w:asciiTheme="minorHAnsi" w:hAnsiTheme="minorHAnsi" w:cstheme="minorBidi"/>
          <w:b w:val="0"/>
          <w:bCs/>
          <w:color w:val="auto"/>
          <w:sz w:val="30"/>
          <w:szCs w:val="30"/>
          <w:highlight w:val="none"/>
          <w:lang w:val="en-US" w:eastAsia="zh-CN"/>
        </w:rPr>
      </w:pPr>
      <w:r>
        <w:rPr>
          <w:b w:val="0"/>
          <w:bCs/>
          <w:color w:val="auto"/>
          <w:sz w:val="30"/>
          <w:szCs w:val="30"/>
          <w:highlight w:val="none"/>
        </w:rPr>
        <w:fldChar w:fldCharType="begin"/>
      </w:r>
      <w:r>
        <w:rPr>
          <w:b w:val="0"/>
          <w:bCs/>
          <w:color w:val="auto"/>
          <w:sz w:val="30"/>
          <w:szCs w:val="30"/>
          <w:highlight w:val="none"/>
        </w:rPr>
        <w:instrText xml:space="preserve"> HYPERLINK \l "_Toc4481599" </w:instrText>
      </w:r>
      <w:r>
        <w:rPr>
          <w:b w:val="0"/>
          <w:bCs/>
          <w:color w:val="auto"/>
          <w:sz w:val="30"/>
          <w:szCs w:val="30"/>
          <w:highlight w:val="none"/>
        </w:rPr>
        <w:fldChar w:fldCharType="separate"/>
      </w:r>
      <w:r>
        <w:rPr>
          <w:rStyle w:val="74"/>
          <w:rFonts w:hint="eastAsia"/>
          <w:b w:val="0"/>
          <w:bCs/>
          <w:color w:val="auto"/>
          <w:sz w:val="30"/>
          <w:szCs w:val="30"/>
          <w:highlight w:val="none"/>
        </w:rPr>
        <w:t>第四章</w:t>
      </w:r>
      <w:r>
        <w:rPr>
          <w:rFonts w:asciiTheme="minorHAnsi" w:hAnsiTheme="minorHAnsi" w:eastAsiaTheme="minorEastAsia" w:cstheme="minorBidi"/>
          <w:b w:val="0"/>
          <w:bCs/>
          <w:color w:val="auto"/>
          <w:sz w:val="30"/>
          <w:szCs w:val="30"/>
          <w:highlight w:val="none"/>
        </w:rPr>
        <w:tab/>
      </w:r>
      <w:r>
        <w:rPr>
          <w:rStyle w:val="74"/>
          <w:rFonts w:hint="eastAsia"/>
          <w:b w:val="0"/>
          <w:bCs/>
          <w:color w:val="auto"/>
          <w:sz w:val="30"/>
          <w:szCs w:val="30"/>
          <w:highlight w:val="none"/>
        </w:rPr>
        <w:t>合同主要条款</w:t>
      </w:r>
      <w:r>
        <w:rPr>
          <w:b w:val="0"/>
          <w:bCs/>
          <w:color w:val="auto"/>
          <w:sz w:val="30"/>
          <w:szCs w:val="30"/>
          <w:highlight w:val="none"/>
        </w:rPr>
        <w:tab/>
      </w:r>
      <w:r>
        <w:rPr>
          <w:b w:val="0"/>
          <w:bCs/>
          <w:color w:val="auto"/>
          <w:sz w:val="30"/>
          <w:szCs w:val="30"/>
          <w:highlight w:val="none"/>
        </w:rPr>
        <w:fldChar w:fldCharType="end"/>
      </w:r>
      <w:r>
        <w:rPr>
          <w:rFonts w:hint="eastAsia"/>
          <w:b w:val="0"/>
          <w:bCs/>
          <w:color w:val="auto"/>
          <w:sz w:val="30"/>
          <w:szCs w:val="30"/>
          <w:highlight w:val="none"/>
          <w:lang w:val="en-US" w:eastAsia="zh-CN"/>
        </w:rPr>
        <w:t>31</w:t>
      </w:r>
    </w:p>
    <w:p>
      <w:pPr>
        <w:pStyle w:val="40"/>
        <w:keepNext w:val="0"/>
        <w:keepLines w:val="0"/>
        <w:pageBreakBefore w:val="0"/>
        <w:widowControl w:val="0"/>
        <w:tabs>
          <w:tab w:val="left" w:pos="1260"/>
          <w:tab w:val="right" w:leader="dot" w:pos="9060"/>
        </w:tabs>
        <w:kinsoku/>
        <w:wordWrap/>
        <w:overflowPunct/>
        <w:topLinePunct w:val="0"/>
        <w:autoSpaceDE/>
        <w:autoSpaceDN/>
        <w:bidi w:val="0"/>
        <w:adjustRightInd/>
        <w:snapToGrid/>
        <w:spacing w:before="313" w:beforeLines="100" w:line="600" w:lineRule="exact"/>
        <w:textAlignment w:val="auto"/>
        <w:rPr>
          <w:rFonts w:hint="default" w:eastAsia="宋体"/>
          <w:color w:val="auto"/>
          <w:highlight w:val="none"/>
          <w:lang w:val="en-US" w:eastAsia="zh-CN"/>
        </w:rPr>
        <w:sectPr>
          <w:headerReference r:id="rId8" w:type="first"/>
          <w:footerReference r:id="rId10" w:type="first"/>
          <w:headerReference r:id="rId7" w:type="default"/>
          <w:footerReference r:id="rId9" w:type="default"/>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0" w:num="1"/>
          <w:rtlGutter w:val="0"/>
          <w:docGrid w:type="lines" w:linePitch="317" w:charSpace="0"/>
        </w:sectPr>
      </w:pPr>
      <w:r>
        <w:rPr>
          <w:b w:val="0"/>
          <w:bCs/>
          <w:color w:val="auto"/>
          <w:sz w:val="30"/>
          <w:szCs w:val="30"/>
          <w:highlight w:val="none"/>
        </w:rPr>
        <w:fldChar w:fldCharType="begin"/>
      </w:r>
      <w:r>
        <w:rPr>
          <w:b w:val="0"/>
          <w:bCs/>
          <w:color w:val="auto"/>
          <w:sz w:val="30"/>
          <w:szCs w:val="30"/>
          <w:highlight w:val="none"/>
        </w:rPr>
        <w:instrText xml:space="preserve"> HYPERLINK \l "_Toc4481600" </w:instrText>
      </w:r>
      <w:r>
        <w:rPr>
          <w:b w:val="0"/>
          <w:bCs/>
          <w:color w:val="auto"/>
          <w:sz w:val="30"/>
          <w:szCs w:val="30"/>
          <w:highlight w:val="none"/>
        </w:rPr>
        <w:fldChar w:fldCharType="separate"/>
      </w:r>
      <w:r>
        <w:rPr>
          <w:rStyle w:val="74"/>
          <w:rFonts w:hint="eastAsia"/>
          <w:b w:val="0"/>
          <w:bCs/>
          <w:color w:val="auto"/>
          <w:sz w:val="30"/>
          <w:szCs w:val="30"/>
          <w:highlight w:val="none"/>
        </w:rPr>
        <w:t>第五章</w:t>
      </w:r>
      <w:r>
        <w:rPr>
          <w:rFonts w:asciiTheme="minorHAnsi" w:hAnsiTheme="minorHAnsi" w:eastAsiaTheme="minorEastAsia" w:cstheme="minorBidi"/>
          <w:b w:val="0"/>
          <w:bCs/>
          <w:color w:val="auto"/>
          <w:sz w:val="30"/>
          <w:szCs w:val="30"/>
          <w:highlight w:val="none"/>
        </w:rPr>
        <w:tab/>
      </w:r>
      <w:r>
        <w:rPr>
          <w:rStyle w:val="74"/>
          <w:rFonts w:hint="eastAsia" w:eastAsiaTheme="minorEastAsia"/>
          <w:b w:val="0"/>
          <w:bCs/>
          <w:color w:val="auto"/>
          <w:sz w:val="30"/>
          <w:szCs w:val="30"/>
          <w:highlight w:val="none"/>
          <w:lang w:eastAsia="zh-CN"/>
        </w:rPr>
        <w:t>参选文件</w:t>
      </w:r>
      <w:r>
        <w:rPr>
          <w:rStyle w:val="74"/>
          <w:rFonts w:hint="eastAsia"/>
          <w:b w:val="0"/>
          <w:bCs/>
          <w:color w:val="auto"/>
          <w:sz w:val="30"/>
          <w:szCs w:val="30"/>
          <w:highlight w:val="none"/>
        </w:rPr>
        <w:t>格式</w:t>
      </w:r>
      <w:r>
        <w:rPr>
          <w:b w:val="0"/>
          <w:bCs/>
          <w:color w:val="auto"/>
          <w:sz w:val="30"/>
          <w:szCs w:val="30"/>
          <w:highlight w:val="none"/>
        </w:rPr>
        <w:tab/>
      </w:r>
      <w:r>
        <w:rPr>
          <w:b w:val="0"/>
          <w:bCs/>
          <w:color w:val="auto"/>
          <w:sz w:val="30"/>
          <w:szCs w:val="30"/>
          <w:highlight w:val="none"/>
        </w:rPr>
        <w:fldChar w:fldCharType="end"/>
      </w:r>
      <w:r>
        <w:rPr>
          <w:rFonts w:hint="eastAsia"/>
          <w:b w:val="0"/>
          <w:bCs/>
          <w:color w:val="auto"/>
          <w:sz w:val="30"/>
          <w:szCs w:val="30"/>
          <w:highlight w:val="none"/>
          <w:lang w:val="en-US" w:eastAsia="zh-CN"/>
        </w:rPr>
        <w:t>33</w:t>
      </w:r>
    </w:p>
    <w:p>
      <w:pPr>
        <w:rPr>
          <w:color w:val="auto"/>
          <w:highlight w:val="none"/>
        </w:rPr>
      </w:pPr>
    </w:p>
    <w:p>
      <w:pPr>
        <w:pStyle w:val="29"/>
        <w:rPr>
          <w:rFonts w:hint="eastAsia" w:eastAsia="黑体"/>
          <w:b/>
          <w:bCs/>
          <w:color w:val="auto"/>
          <w:sz w:val="30"/>
          <w:szCs w:val="30"/>
          <w:highlight w:val="none"/>
        </w:rPr>
      </w:pPr>
      <w:r>
        <w:rPr>
          <w:rFonts w:ascii="宋体" w:hAnsi="宋体"/>
          <w:color w:val="auto"/>
          <w:highlight w:val="none"/>
        </w:rPr>
        <w:fldChar w:fldCharType="end"/>
      </w:r>
      <w:r>
        <w:rPr>
          <w:rFonts w:hint="eastAsia" w:eastAsia="黑体"/>
          <w:b/>
          <w:bCs/>
          <w:color w:val="auto"/>
          <w:sz w:val="30"/>
          <w:szCs w:val="30"/>
          <w:highlight w:val="none"/>
        </w:rPr>
        <w:t xml:space="preserve">第一章  </w:t>
      </w:r>
      <w:r>
        <w:rPr>
          <w:rFonts w:hint="eastAsia"/>
          <w:b/>
          <w:bCs/>
          <w:color w:val="auto"/>
          <w:highlight w:val="none"/>
        </w:rPr>
        <w:t>比选公告</w:t>
      </w:r>
    </w:p>
    <w:p>
      <w:pPr>
        <w:jc w:val="center"/>
        <w:rPr>
          <w:rFonts w:ascii="宋体" w:hAnsi="宋体"/>
          <w:b/>
          <w:bCs/>
          <w:color w:val="auto"/>
          <w:sz w:val="30"/>
          <w:szCs w:val="30"/>
          <w:highlight w:val="none"/>
        </w:rPr>
      </w:pPr>
      <w:r>
        <w:rPr>
          <w:rFonts w:hint="eastAsia" w:ascii="宋体" w:hAnsi="宋体"/>
          <w:b/>
          <w:bCs/>
          <w:color w:val="auto"/>
          <w:sz w:val="30"/>
          <w:szCs w:val="30"/>
          <w:highlight w:val="none"/>
        </w:rPr>
        <w:t>安徽路达工程检测有限责任公司本部及工地试验室</w:t>
      </w:r>
    </w:p>
    <w:p>
      <w:pPr>
        <w:jc w:val="center"/>
        <w:rPr>
          <w:b/>
          <w:bCs/>
          <w:color w:val="auto"/>
          <w:sz w:val="30"/>
          <w:szCs w:val="30"/>
          <w:highlight w:val="none"/>
        </w:rPr>
      </w:pPr>
      <w:r>
        <w:rPr>
          <w:rFonts w:hint="eastAsia"/>
          <w:b/>
          <w:bCs/>
          <w:color w:val="auto"/>
          <w:sz w:val="30"/>
          <w:szCs w:val="30"/>
          <w:highlight w:val="none"/>
        </w:rPr>
        <w:t>试验仪器检定校准服务</w:t>
      </w:r>
    </w:p>
    <w:p>
      <w:pPr>
        <w:spacing w:line="500" w:lineRule="exact"/>
        <w:jc w:val="both"/>
        <w:rPr>
          <w:rFonts w:hint="eastAsia" w:ascii="宋体" w:hAnsi="宋体" w:eastAsia="宋体" w:cs="宋体"/>
          <w:b/>
          <w:color w:val="auto"/>
          <w:sz w:val="28"/>
          <w:szCs w:val="28"/>
          <w:highlight w:val="none"/>
        </w:rPr>
      </w:pPr>
      <w:bookmarkStart w:id="1" w:name="_Toc28359012"/>
      <w:bookmarkStart w:id="2" w:name="_Toc28359089"/>
      <w:bookmarkStart w:id="3" w:name="_Toc35393629"/>
      <w:bookmarkStart w:id="4" w:name="_Toc35393798"/>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eastAsia="zh-CN"/>
        </w:rPr>
        <w:t>采购</w:t>
      </w:r>
      <w:r>
        <w:rPr>
          <w:rFonts w:hint="eastAsia" w:ascii="宋体" w:hAnsi="宋体" w:eastAsia="宋体" w:cs="宋体"/>
          <w:b/>
          <w:color w:val="auto"/>
          <w:sz w:val="28"/>
          <w:szCs w:val="28"/>
          <w:highlight w:val="none"/>
        </w:rPr>
        <w:t>条件</w:t>
      </w:r>
    </w:p>
    <w:p>
      <w:pPr>
        <w:widowControl/>
        <w:spacing w:line="500" w:lineRule="exact"/>
        <w:ind w:firstLine="42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rPr>
        <w:t>本</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u w:val="single"/>
          <w:lang w:eastAsia="zh-CN"/>
        </w:rPr>
        <w:t>安徽路达工程检测有限责任公司本部及工地试验室试验仪器检定校准服务</w:t>
      </w:r>
      <w:r>
        <w:rPr>
          <w:rFonts w:hint="eastAsia" w:ascii="宋体" w:hAnsi="宋体" w:eastAsia="宋体" w:cs="宋体"/>
          <w:color w:val="auto"/>
          <w:szCs w:val="21"/>
          <w:highlight w:val="none"/>
        </w:rPr>
        <w:t>已获批准，</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u w:val="single"/>
          <w:lang w:eastAsia="zh-CN"/>
        </w:rPr>
        <w:t>安徽路达工程检测有限责任公司</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采购管理机构为</w:t>
      </w:r>
      <w:r>
        <w:rPr>
          <w:rFonts w:hint="eastAsia" w:ascii="宋体" w:hAnsi="宋体" w:eastAsia="宋体" w:cs="宋体"/>
          <w:color w:val="auto"/>
          <w:szCs w:val="21"/>
          <w:highlight w:val="none"/>
          <w:u w:val="single"/>
          <w:lang w:val="en-US" w:eastAsia="zh-CN"/>
        </w:rPr>
        <w:t>安庆市交通控股集团有限公司集采中心</w:t>
      </w:r>
      <w:r>
        <w:rPr>
          <w:rFonts w:hint="eastAsia" w:ascii="宋体" w:hAnsi="宋体" w:eastAsia="宋体" w:cs="宋体"/>
          <w:color w:val="auto"/>
          <w:szCs w:val="21"/>
          <w:highlight w:val="none"/>
        </w:rPr>
        <w:t>。项目已具备</w:t>
      </w:r>
      <w:r>
        <w:rPr>
          <w:rFonts w:hint="eastAsia" w:ascii="宋体" w:hAnsi="宋体" w:eastAsia="宋体" w:cs="宋体"/>
          <w:color w:val="auto"/>
          <w:szCs w:val="21"/>
          <w:highlight w:val="none"/>
          <w:lang w:eastAsia="zh-CN"/>
        </w:rPr>
        <w:t>采购</w:t>
      </w:r>
      <w:r>
        <w:rPr>
          <w:rFonts w:hint="eastAsia" w:ascii="宋体" w:hAnsi="宋体" w:eastAsia="宋体" w:cs="宋体"/>
          <w:color w:val="auto"/>
          <w:szCs w:val="21"/>
          <w:highlight w:val="none"/>
        </w:rPr>
        <w:t>条件，现对该项目进行公开</w:t>
      </w:r>
      <w:r>
        <w:rPr>
          <w:rFonts w:hint="eastAsia" w:ascii="宋体" w:hAnsi="宋体" w:eastAsia="宋体" w:cs="宋体"/>
          <w:color w:val="auto"/>
          <w:szCs w:val="21"/>
          <w:highlight w:val="none"/>
          <w:lang w:val="en-US" w:eastAsia="zh-CN"/>
        </w:rPr>
        <w:t>比选</w:t>
      </w:r>
      <w:r>
        <w:rPr>
          <w:rFonts w:hint="eastAsia" w:ascii="宋体" w:hAnsi="宋体" w:eastAsia="宋体" w:cs="宋体"/>
          <w:color w:val="auto"/>
          <w:szCs w:val="21"/>
          <w:highlight w:val="none"/>
        </w:rPr>
        <w:t>。</w:t>
      </w:r>
    </w:p>
    <w:p>
      <w:pPr>
        <w:spacing w:line="500" w:lineRule="exact"/>
        <w:jc w:val="both"/>
        <w:rPr>
          <w:rFonts w:hint="eastAsia"/>
          <w:color w:val="auto"/>
          <w:sz w:val="28"/>
          <w:szCs w:val="28"/>
          <w:highlight w:val="none"/>
        </w:rPr>
      </w:pPr>
      <w:r>
        <w:rPr>
          <w:rFonts w:hint="eastAsia" w:ascii="宋体" w:hAnsi="宋体" w:eastAsia="宋体" w:cs="宋体"/>
          <w:b/>
          <w:color w:val="auto"/>
          <w:sz w:val="28"/>
          <w:szCs w:val="28"/>
          <w:highlight w:val="none"/>
        </w:rPr>
        <w:t>2．项目概况及</w:t>
      </w:r>
      <w:r>
        <w:rPr>
          <w:rFonts w:hint="eastAsia" w:ascii="宋体" w:hAnsi="宋体" w:eastAsia="宋体" w:cs="宋体"/>
          <w:b/>
          <w:color w:val="auto"/>
          <w:sz w:val="28"/>
          <w:szCs w:val="28"/>
          <w:highlight w:val="none"/>
          <w:lang w:eastAsia="zh-CN"/>
        </w:rPr>
        <w:t>采购</w:t>
      </w:r>
      <w:r>
        <w:rPr>
          <w:rFonts w:hint="eastAsia" w:ascii="宋体" w:hAnsi="宋体" w:eastAsia="宋体" w:cs="宋体"/>
          <w:b/>
          <w:color w:val="auto"/>
          <w:sz w:val="28"/>
          <w:szCs w:val="28"/>
          <w:highlight w:val="none"/>
        </w:rPr>
        <w:t>范围</w:t>
      </w:r>
    </w:p>
    <w:p>
      <w:pPr>
        <w:widowControl/>
        <w:spacing w:line="50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2.1</w:t>
      </w: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编号：</w:t>
      </w:r>
      <w:r>
        <w:rPr>
          <w:rFonts w:hint="eastAsia" w:ascii="宋体" w:hAnsi="宋体" w:eastAsia="宋体" w:cs="宋体"/>
          <w:color w:val="auto"/>
          <w:kern w:val="0"/>
          <w:szCs w:val="21"/>
          <w:highlight w:val="none"/>
          <w:lang w:eastAsia="zh-CN"/>
        </w:rPr>
        <w:t>AQJK-CG-2024-013；</w:t>
      </w:r>
    </w:p>
    <w:p>
      <w:pPr>
        <w:widowControl/>
        <w:spacing w:line="50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2.2项目名称：</w:t>
      </w:r>
      <w:r>
        <w:rPr>
          <w:rFonts w:hint="eastAsia" w:ascii="宋体" w:hAnsi="宋体" w:eastAsia="宋体" w:cs="宋体"/>
          <w:color w:val="auto"/>
          <w:kern w:val="0"/>
          <w:szCs w:val="21"/>
          <w:highlight w:val="none"/>
          <w:lang w:eastAsia="zh-CN"/>
        </w:rPr>
        <w:t>安徽路达工程检测有限责任公司本部及工地试验室试验仪器检定校准服务；</w:t>
      </w:r>
    </w:p>
    <w:p>
      <w:pPr>
        <w:widowControl/>
        <w:spacing w:line="50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2.3项目地点：</w:t>
      </w:r>
      <w:r>
        <w:rPr>
          <w:rFonts w:hint="eastAsia" w:ascii="宋体" w:hAnsi="宋体" w:eastAsia="宋体" w:cs="宋体"/>
          <w:color w:val="auto"/>
          <w:kern w:val="0"/>
          <w:szCs w:val="21"/>
          <w:highlight w:val="none"/>
          <w:lang w:eastAsia="zh-CN"/>
        </w:rPr>
        <w:t>安徽路达工程检测有限责任公司本部及工地试验室；</w:t>
      </w:r>
    </w:p>
    <w:p>
      <w:pPr>
        <w:widowControl/>
        <w:spacing w:line="500" w:lineRule="exact"/>
        <w:ind w:firstLine="42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2.4项目概况：</w:t>
      </w:r>
      <w:r>
        <w:rPr>
          <w:rFonts w:hint="eastAsia" w:ascii="宋体" w:hAnsi="宋体" w:eastAsia="宋体" w:cs="宋体"/>
          <w:color w:val="auto"/>
          <w:kern w:val="0"/>
          <w:szCs w:val="21"/>
          <w:highlight w:val="none"/>
          <w:lang w:eastAsia="zh-CN"/>
        </w:rPr>
        <w:t>供应商应按照标准、规范等技术要求对仪器进行检定校准，检定校准参数应包含（不限于）采购人提供的仪器设备检定（校准）参数需求。</w:t>
      </w:r>
      <w:r>
        <w:rPr>
          <w:rFonts w:hint="eastAsia" w:ascii="宋体" w:hAnsi="宋体" w:eastAsia="宋体" w:cs="宋体"/>
          <w:color w:val="auto"/>
          <w:kern w:val="0"/>
          <w:szCs w:val="21"/>
          <w:highlight w:val="none"/>
          <w:lang w:val="en-US" w:eastAsia="zh-CN"/>
        </w:rPr>
        <w:t>详见比选文件具体需求。</w:t>
      </w:r>
    </w:p>
    <w:p>
      <w:pPr>
        <w:widowControl/>
        <w:spacing w:line="500" w:lineRule="exact"/>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服务期：</w:t>
      </w:r>
      <w:r>
        <w:rPr>
          <w:rFonts w:hint="eastAsia" w:ascii="宋体" w:hAnsi="宋体" w:eastAsia="宋体" w:cs="宋体"/>
          <w:color w:val="auto"/>
          <w:kern w:val="0"/>
          <w:szCs w:val="21"/>
          <w:highlight w:val="none"/>
          <w:lang w:val="en-US" w:eastAsia="zh-CN"/>
        </w:rPr>
        <w:t>1年，根据供应商考核情况最多可以续签2年。</w:t>
      </w:r>
    </w:p>
    <w:p>
      <w:pPr>
        <w:widowControl/>
        <w:spacing w:line="500" w:lineRule="exact"/>
        <w:ind w:firstLine="42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最高投标费率：100%</w:t>
      </w:r>
    </w:p>
    <w:p>
      <w:pPr>
        <w:widowControl w:val="0"/>
        <w:spacing w:beforeLines="50" w:after="10"/>
        <w:ind w:left="0" w:leftChars="0" w:firstLine="420" w:firstLineChars="200"/>
        <w:jc w:val="left"/>
        <w:rPr>
          <w:rFonts w:ascii="Times New Roman" w:hAnsi="Times New Roman" w:eastAsia="宋体" w:cs="Times New Roman"/>
          <w:color w:val="auto"/>
          <w:kern w:val="2"/>
          <w:sz w:val="21"/>
          <w:szCs w:val="24"/>
          <w:highlight w:val="none"/>
          <w:lang w:val="en-US" w:eastAsia="zh-CN" w:bidi="ar-SA"/>
        </w:rPr>
      </w:pPr>
      <w:r>
        <w:rPr>
          <w:rFonts w:hint="eastAsia" w:ascii="宋体" w:hAnsi="宋体" w:eastAsia="宋体" w:cs="宋体"/>
          <w:color w:val="auto"/>
          <w:kern w:val="0"/>
          <w:sz w:val="21"/>
          <w:szCs w:val="21"/>
          <w:highlight w:val="none"/>
          <w:lang w:val="en-US" w:eastAsia="zh-CN" w:bidi="ar-SA"/>
        </w:rPr>
        <w:t>2.7采购预算：7万元</w:t>
      </w:r>
      <w:r>
        <w:rPr>
          <w:rFonts w:hint="eastAsia" w:ascii="Times New Roman" w:hAnsi="Times New Roman" w:eastAsia="宋体" w:cs="Times New Roman"/>
          <w:color w:val="auto"/>
          <w:kern w:val="2"/>
          <w:sz w:val="21"/>
          <w:szCs w:val="24"/>
          <w:highlight w:val="none"/>
          <w:lang w:val="en-US" w:eastAsia="zh-CN" w:bidi="ar-SA"/>
        </w:rPr>
        <w:t>。</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包别划分：</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 xml:space="preserve">个包 </w:t>
      </w:r>
      <w:r>
        <w:rPr>
          <w:rFonts w:hint="eastAsia" w:ascii="宋体" w:hAnsi="宋体" w:eastAsia="宋体" w:cs="宋体"/>
          <w:color w:val="auto"/>
          <w:kern w:val="0"/>
          <w:szCs w:val="21"/>
          <w:highlight w:val="none"/>
          <w:lang w:val="en-US" w:eastAsia="zh-CN"/>
        </w:rPr>
        <w:t>。</w:t>
      </w:r>
    </w:p>
    <w:p>
      <w:pPr>
        <w:widowControl/>
        <w:spacing w:line="500" w:lineRule="exact"/>
        <w:ind w:firstLine="420"/>
        <w:jc w:val="left"/>
        <w:rPr>
          <w:rFonts w:hint="eastAsia"/>
          <w:color w:val="auto"/>
          <w:sz w:val="28"/>
          <w:szCs w:val="28"/>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评标办法：</w:t>
      </w:r>
      <w:r>
        <w:rPr>
          <w:rFonts w:hint="eastAsia" w:ascii="宋体" w:hAnsi="宋体" w:eastAsia="宋体" w:cs="宋体"/>
          <w:color w:val="auto"/>
          <w:kern w:val="0"/>
          <w:szCs w:val="21"/>
          <w:highlight w:val="none"/>
          <w:lang w:val="en-US" w:eastAsia="zh-CN"/>
        </w:rPr>
        <w:t>综合评分</w:t>
      </w:r>
      <w:r>
        <w:rPr>
          <w:rFonts w:hint="eastAsia" w:ascii="宋体" w:hAnsi="宋体" w:eastAsia="宋体" w:cs="宋体"/>
          <w:color w:val="auto"/>
          <w:kern w:val="0"/>
          <w:szCs w:val="21"/>
          <w:highlight w:val="none"/>
          <w:lang w:eastAsia="zh-CN"/>
        </w:rPr>
        <w:t>法</w:t>
      </w:r>
    </w:p>
    <w:p>
      <w:pPr>
        <w:spacing w:line="500" w:lineRule="exact"/>
        <w:jc w:val="both"/>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3．</w:t>
      </w:r>
      <w:r>
        <w:rPr>
          <w:rFonts w:hint="eastAsia" w:ascii="宋体" w:hAnsi="宋体" w:eastAsia="宋体" w:cs="宋体"/>
          <w:b/>
          <w:color w:val="auto"/>
          <w:sz w:val="28"/>
          <w:szCs w:val="28"/>
          <w:highlight w:val="none"/>
          <w:lang w:eastAsia="zh-CN"/>
        </w:rPr>
        <w:t>参选人</w:t>
      </w:r>
      <w:r>
        <w:rPr>
          <w:rFonts w:hint="eastAsia" w:ascii="宋体" w:hAnsi="宋体" w:eastAsia="宋体" w:cs="宋体"/>
          <w:b/>
          <w:color w:val="auto"/>
          <w:sz w:val="28"/>
          <w:szCs w:val="28"/>
          <w:highlight w:val="none"/>
        </w:rPr>
        <w:t>资格要求</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 具有合法有效的营业执照，经营范围须包含：计量校准服务。</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 具有中国合格评定国家认可委员会（CNAS）实验室认可证书及和获准认可的能力范围。</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3.3业绩要求：</w:t>
      </w:r>
      <w:r>
        <w:rPr>
          <w:rFonts w:hint="eastAsia" w:ascii="宋体" w:hAnsi="宋体" w:cs="宋体"/>
          <w:color w:val="auto"/>
          <w:kern w:val="0"/>
          <w:szCs w:val="21"/>
          <w:highlight w:val="none"/>
          <w:lang w:val="en-US" w:eastAsia="zh-CN"/>
        </w:rPr>
        <w:t>提供一个</w:t>
      </w:r>
      <w:r>
        <w:rPr>
          <w:rFonts w:hint="eastAsia" w:ascii="宋体" w:hAnsi="宋体" w:eastAsia="宋体" w:cs="宋体"/>
          <w:color w:val="auto"/>
          <w:kern w:val="0"/>
          <w:szCs w:val="21"/>
          <w:highlight w:val="none"/>
          <w:lang w:val="en-US" w:eastAsia="zh-CN"/>
        </w:rPr>
        <w:t>近三年（2021年1月1日至投标截止日，以合同签订时间为准）</w:t>
      </w:r>
      <w:r>
        <w:rPr>
          <w:rFonts w:hint="eastAsia" w:ascii="宋体" w:hAnsi="宋体" w:cs="宋体"/>
          <w:color w:val="auto"/>
          <w:kern w:val="0"/>
          <w:szCs w:val="21"/>
          <w:highlight w:val="none"/>
          <w:lang w:val="en-US" w:eastAsia="zh-CN"/>
        </w:rPr>
        <w:t>单</w:t>
      </w:r>
      <w:r>
        <w:rPr>
          <w:rFonts w:hint="eastAsia" w:ascii="宋体" w:hAnsi="宋体" w:eastAsia="宋体" w:cs="宋体"/>
          <w:color w:val="auto"/>
          <w:kern w:val="0"/>
          <w:szCs w:val="21"/>
          <w:highlight w:val="none"/>
          <w:lang w:val="en-US" w:eastAsia="zh-CN"/>
        </w:rPr>
        <w:t>项合同金额不低于</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万元从事检验检测机构设备校准服务的业绩合同。</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cs="宋体"/>
          <w:color w:val="auto"/>
          <w:kern w:val="0"/>
          <w:szCs w:val="21"/>
          <w:highlight w:val="none"/>
          <w:lang w:val="en-US" w:eastAsia="zh-CN"/>
        </w:rPr>
        <w:t>4具有</w:t>
      </w:r>
      <w:r>
        <w:rPr>
          <w:rFonts w:hint="eastAsia" w:ascii="宋体" w:hAnsi="宋体" w:eastAsia="宋体" w:cs="宋体"/>
          <w:color w:val="auto"/>
          <w:kern w:val="0"/>
          <w:szCs w:val="21"/>
          <w:highlight w:val="none"/>
          <w:lang w:val="en-US" w:eastAsia="zh-CN"/>
        </w:rPr>
        <w:t>注册计量师不少于2名</w:t>
      </w:r>
      <w:r>
        <w:rPr>
          <w:rFonts w:hint="eastAsia" w:ascii="宋体" w:hAnsi="宋体" w:cs="宋体"/>
          <w:color w:val="auto"/>
          <w:kern w:val="0"/>
          <w:szCs w:val="21"/>
          <w:highlight w:val="none"/>
          <w:lang w:val="en-US" w:eastAsia="zh-CN"/>
        </w:rPr>
        <w:t>，须提供注册计量师的</w:t>
      </w:r>
      <w:bookmarkStart w:id="70" w:name="_GoBack"/>
      <w:bookmarkEnd w:id="70"/>
      <w:r>
        <w:rPr>
          <w:rFonts w:hint="eastAsia" w:ascii="宋体" w:hAnsi="宋体" w:cs="宋体"/>
          <w:color w:val="auto"/>
          <w:kern w:val="0"/>
          <w:szCs w:val="21"/>
          <w:highlight w:val="none"/>
          <w:lang w:val="en-US" w:eastAsia="zh-CN"/>
        </w:rPr>
        <w:t>证书扫描件或影印件或复印件</w:t>
      </w:r>
      <w:r>
        <w:rPr>
          <w:rFonts w:hint="eastAsia" w:ascii="宋体" w:hAnsi="宋体" w:eastAsia="宋体" w:cs="宋体"/>
          <w:color w:val="auto"/>
          <w:kern w:val="0"/>
          <w:szCs w:val="21"/>
          <w:highlight w:val="none"/>
          <w:lang w:val="en-US" w:eastAsia="zh-CN"/>
        </w:rPr>
        <w:t>。</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 xml:space="preserve"> 本项目不接受联合体投标。</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 xml:space="preserve"> 投标人有以下情形不得参与本次投标活动</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（1）被列入安庆市交通控股集团有限公司黑名单管理系统</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（2）在安庆市交通控股集团有限公司处罚限制期限内的投标人</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（3）前期参与安庆市交通控股集团有限公司组织的招标采购活动获得中标候选人资格而放弃中标资格不签订合同的投标人，自放弃之日起未满6个月的投标人不得参与本次投标活动。</w:t>
      </w:r>
    </w:p>
    <w:bookmarkEnd w:id="1"/>
    <w:bookmarkEnd w:id="2"/>
    <w:bookmarkEnd w:id="3"/>
    <w:bookmarkEnd w:id="4"/>
    <w:p>
      <w:pPr>
        <w:widowControl/>
        <w:spacing w:line="50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三、比选文件获取：</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3.1 潜在参选人于2024年3月</w:t>
      </w:r>
      <w:r>
        <w:rPr>
          <w:rFonts w:hint="eastAsia" w:ascii="宋体" w:hAnsi="宋体" w:cs="宋体"/>
          <w:color w:val="auto"/>
          <w:kern w:val="0"/>
          <w:szCs w:val="21"/>
          <w:highlight w:val="none"/>
          <w:lang w:val="en-US" w:eastAsia="zh-CN"/>
        </w:rPr>
        <w:t>28</w:t>
      </w:r>
      <w:r>
        <w:rPr>
          <w:rFonts w:hint="eastAsia" w:ascii="宋体" w:hAnsi="宋体" w:eastAsia="宋体" w:cs="宋体"/>
          <w:color w:val="auto"/>
          <w:kern w:val="0"/>
          <w:szCs w:val="21"/>
          <w:highlight w:val="none"/>
          <w:lang w:val="en-US" w:eastAsia="zh-CN"/>
        </w:rPr>
        <w:t>日17点30分前，每天上午8:00至12:00，下午14:30至17:30（北京时间，法定节假日除外）登录安庆市交通控股集团有限公司集采平台（http://jc.zh0556.com/）获取比选文件。</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3.2 参选文件及相关资料工本费：不收取。</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3.3 报名方式：将“确定参与比选的函”盖供应商公章在2024年3月</w:t>
      </w:r>
      <w:r>
        <w:rPr>
          <w:rFonts w:hint="eastAsia" w:ascii="宋体" w:hAnsi="宋体" w:cs="宋体"/>
          <w:color w:val="auto"/>
          <w:kern w:val="0"/>
          <w:szCs w:val="21"/>
          <w:highlight w:val="none"/>
          <w:lang w:val="en-US" w:eastAsia="zh-CN"/>
        </w:rPr>
        <w:t>28</w:t>
      </w:r>
      <w:r>
        <w:rPr>
          <w:rFonts w:hint="eastAsia" w:ascii="宋体" w:hAnsi="宋体" w:eastAsia="宋体" w:cs="宋体"/>
          <w:color w:val="auto"/>
          <w:kern w:val="0"/>
          <w:szCs w:val="21"/>
          <w:highlight w:val="none"/>
          <w:lang w:val="en-US" w:eastAsia="zh-CN"/>
        </w:rPr>
        <w:t>日17点30分前发邮箱838714476@qq.com（报名截止后发送，报名无效。）</w:t>
      </w:r>
    </w:p>
    <w:p>
      <w:pPr>
        <w:widowControl/>
        <w:spacing w:line="50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四、比选时间及地点：</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时间：2024年3月</w:t>
      </w:r>
      <w:r>
        <w:rPr>
          <w:rFonts w:hint="eastAsia" w:ascii="宋体" w:hAnsi="宋体" w:cs="宋体"/>
          <w:color w:val="auto"/>
          <w:kern w:val="0"/>
          <w:szCs w:val="21"/>
          <w:highlight w:val="none"/>
          <w:lang w:val="en-US" w:eastAsia="zh-CN"/>
        </w:rPr>
        <w:t>29</w:t>
      </w:r>
      <w:r>
        <w:rPr>
          <w:rFonts w:hint="eastAsia" w:ascii="宋体" w:hAnsi="宋体" w:eastAsia="宋体" w:cs="宋体"/>
          <w:color w:val="auto"/>
          <w:kern w:val="0"/>
          <w:szCs w:val="21"/>
          <w:highlight w:val="none"/>
          <w:lang w:val="en-US" w:eastAsia="zh-CN"/>
        </w:rPr>
        <w:t>日09时30分</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地点：安庆市大观区宜园路16号安庆交控集团</w:t>
      </w:r>
    </w:p>
    <w:p>
      <w:pPr>
        <w:widowControl/>
        <w:spacing w:line="50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五、其他补充事宜：</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5.1 参选人的联系人电话(手机)、电子邮箱等通讯方式在比选过程中必须保持畅通，否则因上述原因造成的后果，责任自负。</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5.2 本项目比选实行纸质参选，比选活动线下完成。比选时参选人需要按时到达比选现场进行签到，因参选人未按时达到比选现场，则视为主动放弃，对比选造成的不利后果由其自行承担。</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5.3 成交人应在采购人要求的时间内与采购人签订合同。</w:t>
      </w:r>
    </w:p>
    <w:p>
      <w:pPr>
        <w:widowControl/>
        <w:spacing w:line="500" w:lineRule="exact"/>
        <w:jc w:val="left"/>
        <w:rPr>
          <w:rFonts w:hint="eastAsia" w:ascii="宋体" w:hAnsi="宋体" w:eastAsia="宋体" w:cs="宋体"/>
          <w:color w:val="auto"/>
          <w:kern w:val="0"/>
          <w:szCs w:val="21"/>
          <w:highlight w:val="none"/>
          <w:lang w:eastAsia="zh-CN"/>
        </w:rPr>
      </w:pPr>
      <w:bookmarkStart w:id="5" w:name="_Toc28359018"/>
      <w:bookmarkStart w:id="6" w:name="_Toc35393805"/>
      <w:bookmarkStart w:id="7" w:name="_Toc35393636"/>
      <w:bookmarkStart w:id="8" w:name="_Toc28359095"/>
      <w:r>
        <w:rPr>
          <w:rFonts w:hint="eastAsia" w:ascii="宋体" w:hAnsi="宋体" w:eastAsia="宋体" w:cs="宋体"/>
          <w:color w:val="auto"/>
          <w:kern w:val="0"/>
          <w:szCs w:val="21"/>
          <w:highlight w:val="none"/>
          <w:lang w:eastAsia="zh-CN"/>
        </w:rPr>
        <w:t>六、凡对本次比选提出询问，请按以下方式联系</w:t>
      </w:r>
      <w:bookmarkEnd w:id="5"/>
      <w:bookmarkEnd w:id="6"/>
      <w:bookmarkEnd w:id="7"/>
      <w:bookmarkEnd w:id="8"/>
    </w:p>
    <w:p>
      <w:pPr>
        <w:widowControl/>
        <w:spacing w:line="500" w:lineRule="exact"/>
        <w:ind w:firstLine="420"/>
        <w:jc w:val="left"/>
        <w:rPr>
          <w:rFonts w:hint="eastAsia" w:ascii="宋体" w:hAnsi="宋体" w:eastAsia="宋体" w:cs="宋体"/>
          <w:color w:val="auto"/>
          <w:kern w:val="0"/>
          <w:szCs w:val="21"/>
          <w:highlight w:val="none"/>
          <w:lang w:val="en-US" w:eastAsia="zh-CN"/>
        </w:rPr>
      </w:pPr>
      <w:bookmarkStart w:id="9" w:name="_Toc28359019"/>
      <w:bookmarkStart w:id="10" w:name="_Toc35393637"/>
      <w:bookmarkStart w:id="11" w:name="_Toc28359096"/>
      <w:bookmarkStart w:id="12" w:name="_Toc35393806"/>
      <w:r>
        <w:rPr>
          <w:rFonts w:hint="eastAsia" w:ascii="宋体" w:hAnsi="宋体" w:eastAsia="宋体" w:cs="宋体"/>
          <w:color w:val="auto"/>
          <w:kern w:val="0"/>
          <w:szCs w:val="21"/>
          <w:highlight w:val="none"/>
          <w:lang w:val="en-US" w:eastAsia="zh-CN"/>
        </w:rPr>
        <w:t>1.采购人信息</w:t>
      </w:r>
      <w:bookmarkEnd w:id="9"/>
      <w:bookmarkEnd w:id="10"/>
      <w:bookmarkEnd w:id="11"/>
      <w:bookmarkEnd w:id="12"/>
    </w:p>
    <w:p>
      <w:pPr>
        <w:widowControl/>
        <w:spacing w:line="500" w:lineRule="exact"/>
        <w:ind w:firstLine="420"/>
        <w:jc w:val="left"/>
        <w:rPr>
          <w:rFonts w:hint="eastAsia" w:ascii="宋体" w:hAnsi="宋体" w:eastAsia="宋体" w:cs="宋体"/>
          <w:color w:val="auto"/>
          <w:kern w:val="0"/>
          <w:szCs w:val="21"/>
          <w:highlight w:val="none"/>
          <w:lang w:val="en-US" w:eastAsia="zh-CN"/>
        </w:rPr>
      </w:pPr>
      <w:bookmarkStart w:id="13" w:name="_Toc35393807"/>
      <w:bookmarkStart w:id="14" w:name="_Toc28359020"/>
      <w:bookmarkStart w:id="15" w:name="_Toc28359097"/>
      <w:bookmarkStart w:id="16" w:name="_Toc35393638"/>
      <w:r>
        <w:rPr>
          <w:rFonts w:hint="eastAsia" w:ascii="宋体" w:hAnsi="宋体" w:eastAsia="宋体" w:cs="宋体"/>
          <w:color w:val="auto"/>
          <w:kern w:val="0"/>
          <w:szCs w:val="21"/>
          <w:highlight w:val="none"/>
          <w:lang w:val="en-US" w:eastAsia="zh-CN"/>
        </w:rPr>
        <w:t>名    称：安徽路达工程检测有限责任公司</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    址：安庆市经济技术开发区三期安塑管业14号</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 系 人：陈静</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联系方式：</w:t>
      </w:r>
      <w:bookmarkEnd w:id="13"/>
      <w:bookmarkEnd w:id="14"/>
      <w:bookmarkEnd w:id="15"/>
      <w:bookmarkEnd w:id="16"/>
      <w:r>
        <w:rPr>
          <w:rFonts w:hint="eastAsia" w:ascii="宋体" w:hAnsi="宋体" w:eastAsia="宋体" w:cs="宋体"/>
          <w:color w:val="auto"/>
          <w:kern w:val="0"/>
          <w:szCs w:val="21"/>
          <w:highlight w:val="none"/>
          <w:lang w:val="en-US" w:eastAsia="zh-CN"/>
        </w:rPr>
        <w:t>18324985523</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2.采购管理机构信息</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名  称：安庆市交通控股集团有限公司集采中心</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地  址：安庆市大观区宜园路16号2号楼一层</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联系人：谭女士</w:t>
      </w:r>
    </w:p>
    <w:p>
      <w:pPr>
        <w:widowControl/>
        <w:spacing w:line="500" w:lineRule="exact"/>
        <w:ind w:firstLine="42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联系方式：0556-5579928</w:t>
      </w: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pStyle w:val="81"/>
        <w:rPr>
          <w:rFonts w:hint="eastAsia"/>
          <w:color w:val="auto"/>
          <w:sz w:val="28"/>
          <w:szCs w:val="28"/>
          <w:highlight w:val="none"/>
        </w:rPr>
      </w:pPr>
    </w:p>
    <w:p>
      <w:pPr>
        <w:rPr>
          <w:rFonts w:hint="eastAsia"/>
          <w:color w:val="auto"/>
          <w:sz w:val="28"/>
          <w:szCs w:val="28"/>
          <w:highlight w:val="none"/>
        </w:rPr>
      </w:pPr>
    </w:p>
    <w:p>
      <w:pPr>
        <w:rPr>
          <w:color w:val="auto"/>
          <w:sz w:val="28"/>
          <w:szCs w:val="28"/>
          <w:highlight w:val="none"/>
        </w:rPr>
      </w:pPr>
      <w:r>
        <w:rPr>
          <w:rFonts w:hint="eastAsia"/>
          <w:color w:val="auto"/>
          <w:sz w:val="28"/>
          <w:szCs w:val="28"/>
          <w:highlight w:val="none"/>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bCs/>
          <w:color w:val="auto"/>
          <w:kern w:val="44"/>
          <w:sz w:val="44"/>
          <w:szCs w:val="44"/>
          <w:highlight w:val="none"/>
          <w:lang w:val="en-US" w:eastAsia="zh-CN" w:bidi="ar-SA"/>
        </w:rPr>
        <w:t>确定参与比选的函</w:t>
      </w:r>
    </w:p>
    <w:p>
      <w:pPr>
        <w:rPr>
          <w:rFonts w:hint="eastAsia"/>
          <w:color w:val="auto"/>
          <w:sz w:val="28"/>
          <w:szCs w:val="28"/>
          <w:highlight w:val="none"/>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安徽路达工程检测有限责任公司本部及工地试验室试验仪器检定校准服务</w:t>
      </w:r>
      <w:r>
        <w:rPr>
          <w:rFonts w:hint="eastAsia" w:ascii="仿宋" w:hAnsi="仿宋" w:eastAsia="仿宋" w:cs="仿宋"/>
          <w:b w:val="0"/>
          <w:bCs w:val="0"/>
          <w:color w:val="auto"/>
          <w:sz w:val="32"/>
          <w:szCs w:val="32"/>
          <w:highlight w:val="none"/>
          <w:u w:val="none"/>
          <w:lang w:val="en-US" w:eastAsia="zh-CN"/>
        </w:rPr>
        <w:t>，并承诺按比选文件的要求参与，按时参与比选开标。</w:t>
      </w:r>
    </w:p>
    <w:p>
      <w:pPr>
        <w:ind w:firstLine="640"/>
        <w:jc w:val="both"/>
        <w:rPr>
          <w:rFonts w:hint="eastAsia" w:ascii="仿宋" w:hAnsi="仿宋" w:eastAsia="仿宋" w:cs="仿宋"/>
          <w:b w:val="0"/>
          <w:bCs w:val="0"/>
          <w:color w:val="auto"/>
          <w:sz w:val="32"/>
          <w:szCs w:val="32"/>
          <w:highlight w:val="none"/>
          <w:u w:val="none"/>
          <w:lang w:val="en-US" w:eastAsia="zh-CN"/>
        </w:rPr>
      </w:pP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联系人： </w:t>
      </w:r>
    </w:p>
    <w:p>
      <w:pPr>
        <w:ind w:firstLine="640"/>
        <w:jc w:val="both"/>
        <w:rPr>
          <w:color w:val="auto"/>
          <w:sz w:val="28"/>
          <w:szCs w:val="28"/>
          <w:highlight w:val="none"/>
        </w:rPr>
      </w:pPr>
      <w:r>
        <w:rPr>
          <w:rFonts w:hint="eastAsia" w:ascii="仿宋" w:hAnsi="仿宋" w:eastAsia="仿宋" w:cs="仿宋"/>
          <w:b w:val="0"/>
          <w:bCs w:val="0"/>
          <w:color w:val="auto"/>
          <w:sz w:val="32"/>
          <w:szCs w:val="32"/>
          <w:highlight w:val="none"/>
          <w:u w:val="none"/>
          <w:lang w:val="en-US" w:eastAsia="zh-CN"/>
        </w:rPr>
        <w:t>联系电话：</w:t>
      </w:r>
      <w:r>
        <w:rPr>
          <w:rFonts w:hint="eastAsia"/>
          <w:color w:val="auto"/>
          <w:sz w:val="28"/>
          <w:szCs w:val="28"/>
          <w:highlight w:val="none"/>
        </w:rPr>
        <w:t xml:space="preserve">         </w:t>
      </w:r>
    </w:p>
    <w:p>
      <w:pPr>
        <w:rPr>
          <w:color w:val="auto"/>
          <w:sz w:val="28"/>
          <w:szCs w:val="28"/>
          <w:highlight w:val="none"/>
        </w:rPr>
      </w:pPr>
    </w:p>
    <w:p>
      <w:pPr>
        <w:rPr>
          <w:color w:val="auto"/>
          <w:sz w:val="28"/>
          <w:szCs w:val="28"/>
          <w:highlight w:val="none"/>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color w:val="auto"/>
          <w:sz w:val="28"/>
          <w:szCs w:val="28"/>
          <w:highlight w:val="none"/>
        </w:rPr>
        <w:t xml:space="preserve">                                  </w:t>
      </w: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 xml:space="preserve">                                   年   月   日</w:t>
      </w:r>
    </w:p>
    <w:p>
      <w:pPr>
        <w:pStyle w:val="81"/>
        <w:spacing w:before="156"/>
        <w:ind w:firstLine="525"/>
        <w:rPr>
          <w:color w:val="auto"/>
          <w:sz w:val="28"/>
          <w:szCs w:val="28"/>
          <w:highlight w:val="none"/>
        </w:rPr>
      </w:pPr>
    </w:p>
    <w:p>
      <w:pPr>
        <w:pStyle w:val="81"/>
        <w:spacing w:before="156"/>
        <w:ind w:firstLine="525"/>
        <w:rPr>
          <w:color w:val="auto"/>
          <w:sz w:val="28"/>
          <w:szCs w:val="28"/>
          <w:highlight w:val="none"/>
        </w:rPr>
      </w:pPr>
    </w:p>
    <w:p>
      <w:pPr>
        <w:pStyle w:val="81"/>
        <w:spacing w:before="156"/>
        <w:ind w:firstLine="525"/>
        <w:rPr>
          <w:color w:val="auto"/>
          <w:sz w:val="28"/>
          <w:szCs w:val="28"/>
          <w:highlight w:val="none"/>
        </w:rPr>
      </w:pPr>
    </w:p>
    <w:p>
      <w:pPr>
        <w:pStyle w:val="2"/>
        <w:numPr>
          <w:ilvl w:val="0"/>
          <w:numId w:val="6"/>
        </w:numPr>
        <w:spacing w:before="312" w:after="312"/>
        <w:ind w:firstLine="3382"/>
        <w:rPr>
          <w:rFonts w:hint="eastAsia"/>
          <w:color w:val="auto"/>
          <w:kern w:val="2"/>
          <w:highlight w:val="none"/>
        </w:rPr>
      </w:pPr>
      <w:bookmarkStart w:id="17" w:name="_Toc26069"/>
      <w:bookmarkStart w:id="18" w:name="_Toc11223"/>
      <w:bookmarkStart w:id="19" w:name="_Toc54941329"/>
      <w:r>
        <w:rPr>
          <w:rFonts w:hint="eastAsia"/>
          <w:color w:val="auto"/>
          <w:kern w:val="2"/>
          <w:highlight w:val="none"/>
        </w:rPr>
        <w:t xml:space="preserve"> 比选须知</w:t>
      </w:r>
      <w:bookmarkEnd w:id="0"/>
      <w:bookmarkEnd w:id="17"/>
      <w:bookmarkEnd w:id="18"/>
      <w:bookmarkEnd w:id="19"/>
    </w:p>
    <w:p>
      <w:pPr>
        <w:pStyle w:val="455"/>
        <w:rPr>
          <w:color w:val="auto"/>
          <w:highlight w:val="none"/>
        </w:rPr>
      </w:pPr>
      <w:bookmarkStart w:id="20" w:name="_Toc27607"/>
      <w:bookmarkStart w:id="21" w:name="_Toc4481591"/>
      <w:r>
        <w:rPr>
          <w:rFonts w:hint="eastAsia"/>
          <w:color w:val="auto"/>
          <w:highlight w:val="none"/>
        </w:rPr>
        <w:t>（一）</w:t>
      </w:r>
      <w:r>
        <w:rPr>
          <w:rFonts w:hint="eastAsia"/>
          <w:color w:val="auto"/>
          <w:highlight w:val="none"/>
          <w:lang w:eastAsia="zh-CN"/>
        </w:rPr>
        <w:t>参选人</w:t>
      </w:r>
      <w:r>
        <w:rPr>
          <w:rFonts w:hint="eastAsia"/>
          <w:color w:val="auto"/>
          <w:highlight w:val="none"/>
        </w:rPr>
        <w:t>须知前附表</w:t>
      </w:r>
      <w:bookmarkEnd w:id="20"/>
      <w:bookmarkEnd w:id="21"/>
    </w:p>
    <w:tbl>
      <w:tblPr>
        <w:tblStyle w:val="61"/>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1911"/>
        <w:gridCol w:w="63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358"/>
              <w:jc w:val="left"/>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序号</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内容</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abs>
                <w:tab w:val="left" w:pos="1180"/>
              </w:tabs>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项目编号</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eastAsia="zh-CN"/>
              </w:rPr>
              <w:t>AQJK-CG-2024-013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项目名称</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eastAsia" w:ascii="Times New Roman" w:hAnsi="Times New Roman" w:eastAsia="宋体" w:cs="Times New Roman"/>
                <w:color w:val="auto"/>
                <w:szCs w:val="21"/>
                <w:highlight w:val="none"/>
                <w:lang w:eastAsia="zh-CN"/>
              </w:rPr>
            </w:pPr>
            <w:r>
              <w:rPr>
                <w:rFonts w:hint="eastAsia" w:ascii="宋体" w:hAnsi="宋体" w:eastAsia="宋体" w:cs="宋体"/>
                <w:color w:val="auto"/>
                <w:sz w:val="24"/>
                <w:szCs w:val="24"/>
                <w:highlight w:val="none"/>
              </w:rPr>
              <w:t>安徽路达工程检测有限责任公司本部及工地试验室试验仪器检定校准服务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3</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采购人</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eastAsia" w:ascii="Times New Roman" w:hAnsi="Times New Roman" w:eastAsia="宋体" w:cs="Times New Roman"/>
                <w:color w:val="auto"/>
                <w:szCs w:val="21"/>
                <w:highlight w:val="none"/>
                <w:lang w:eastAsia="zh-CN"/>
              </w:rPr>
            </w:pPr>
            <w:r>
              <w:rPr>
                <w:rFonts w:hint="eastAsia" w:ascii="宋体" w:hAnsi="宋体" w:eastAsia="宋体" w:cs="宋体"/>
                <w:color w:val="auto"/>
                <w:szCs w:val="21"/>
                <w:highlight w:val="none"/>
                <w:u w:val="none"/>
                <w:lang w:eastAsia="zh-CN"/>
              </w:rPr>
              <w:t>安徽路达工程检测有限责任公司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采购管理机构</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宋体" w:hAnsi="宋体" w:eastAsia="宋体" w:cs="宋体"/>
                <w:color w:val="auto"/>
                <w:kern w:val="0"/>
                <w:szCs w:val="18"/>
                <w:highlight w:val="none"/>
                <w:lang w:val="en-US" w:eastAsia="zh-CN"/>
              </w:rPr>
            </w:pPr>
            <w:r>
              <w:rPr>
                <w:rFonts w:hint="eastAsia" w:ascii="宋体" w:hAnsi="宋体" w:eastAsia="宋体" w:cs="宋体"/>
                <w:color w:val="auto"/>
                <w:kern w:val="0"/>
                <w:szCs w:val="18"/>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5</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资金来源</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363"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6</w:t>
            </w:r>
          </w:p>
        </w:tc>
        <w:tc>
          <w:tcPr>
            <w:tcW w:w="1068" w:type="pc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最高投标费率：</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7</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项目地点</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eastAsia" w:ascii="Times New Roman" w:hAnsi="Times New Roman" w:eastAsia="宋体" w:cs="Times New Roman"/>
                <w:color w:val="auto"/>
                <w:szCs w:val="21"/>
                <w:highlight w:val="none"/>
                <w:lang w:eastAsia="zh-CN"/>
              </w:rPr>
            </w:pPr>
            <w:r>
              <w:rPr>
                <w:rFonts w:hint="eastAsia" w:ascii="宋体" w:hAnsi="宋体" w:eastAsia="宋体" w:cs="宋体"/>
                <w:color w:val="auto"/>
                <w:szCs w:val="21"/>
                <w:highlight w:val="none"/>
                <w:u w:val="none"/>
                <w:lang w:eastAsia="zh-CN"/>
              </w:rPr>
              <w:t>安徽路达工程检测有限责任公司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8</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服务期限</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rPr>
              <w:t>1年，根据供应商考核情况最多可以续签2年。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9</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资格要求</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宋体" w:hAnsi="宋体" w:eastAsia="宋体" w:cs="Times New Roman"/>
                <w:color w:val="auto"/>
                <w:szCs w:val="21"/>
                <w:highlight w:val="none"/>
              </w:rPr>
            </w:pPr>
            <w:r>
              <w:rPr>
                <w:rFonts w:hint="eastAsia" w:ascii="宋体" w:hAnsi="Times New Roman" w:eastAsia="宋体" w:cs="Times New Roman"/>
                <w:b/>
                <w:bCs/>
                <w:color w:val="auto"/>
                <w:szCs w:val="21"/>
                <w:highlight w:val="none"/>
              </w:rPr>
              <w:t>详见比选公告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资格审查方式</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投标有效期</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2" w:leftChars="-1" w:right="0" w:firstLine="2"/>
              <w:jc w:val="both"/>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90</w:t>
            </w:r>
            <w:r>
              <w:rPr>
                <w:rFonts w:hint="eastAsia" w:ascii="宋体" w:hAnsi="宋体" w:eastAsia="宋体" w:cs="Times New Roman"/>
                <w:color w:val="auto"/>
                <w:szCs w:val="21"/>
                <w:highlight w:val="none"/>
              </w:rPr>
              <w:t>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投标保证金</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宋体" w:hAnsi="宋体" w:eastAsia="宋体" w:cs="Times New Roman"/>
                <w:b/>
                <w:color w:val="auto"/>
                <w:spacing w:val="-14"/>
                <w:szCs w:val="21"/>
                <w:highlight w:val="none"/>
                <w:lang w:val="en-US" w:eastAsia="zh-CN"/>
              </w:rPr>
            </w:pPr>
            <w:r>
              <w:rPr>
                <w:rFonts w:hint="eastAsia" w:ascii="宋体" w:hAnsi="宋体" w:eastAsia="宋体" w:cs="Times New Roman"/>
                <w:b/>
                <w:color w:val="auto"/>
                <w:spacing w:val="-14"/>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48"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份数、密封、装订</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numPr>
                <w:ilvl w:val="0"/>
                <w:numId w:val="0"/>
              </w:numPr>
              <w:suppressLineNumbers w:val="0"/>
              <w:spacing w:before="0" w:beforeAutospacing="0" w:after="0" w:afterAutospacing="0" w:line="420" w:lineRule="exact"/>
              <w:ind w:left="0" w:right="0"/>
              <w:jc w:val="both"/>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eastAsia="zh-CN"/>
              </w:rPr>
              <w:t>参选文件</w:t>
            </w:r>
            <w:r>
              <w:rPr>
                <w:rFonts w:hint="eastAsia" w:ascii="宋体" w:hAnsi="宋体" w:eastAsia="宋体" w:cs="宋体"/>
                <w:b/>
                <w:color w:val="auto"/>
                <w:szCs w:val="21"/>
                <w:highlight w:val="none"/>
              </w:rPr>
              <w:t>份数：</w:t>
            </w:r>
            <w:r>
              <w:rPr>
                <w:rFonts w:hint="eastAsia" w:ascii="宋体" w:hAnsi="宋体" w:eastAsia="宋体" w:cs="宋体"/>
                <w:color w:val="auto"/>
                <w:szCs w:val="21"/>
                <w:highlight w:val="none"/>
                <w:u w:val="single"/>
              </w:rPr>
              <w:t>壹</w:t>
            </w:r>
            <w:r>
              <w:rPr>
                <w:rFonts w:hint="eastAsia" w:ascii="宋体" w:hAnsi="宋体" w:eastAsia="宋体" w:cs="宋体"/>
                <w:color w:val="auto"/>
                <w:szCs w:val="21"/>
                <w:highlight w:val="none"/>
              </w:rPr>
              <w:t>份正本，</w:t>
            </w:r>
            <w:r>
              <w:rPr>
                <w:rFonts w:hint="eastAsia" w:ascii="宋体" w:hAnsi="宋体" w:eastAsia="宋体" w:cs="宋体"/>
                <w:color w:val="auto"/>
                <w:szCs w:val="21"/>
                <w:highlight w:val="none"/>
                <w:u w:val="single"/>
              </w:rPr>
              <w:t>贰</w:t>
            </w:r>
            <w:r>
              <w:rPr>
                <w:rFonts w:hint="eastAsia" w:ascii="宋体" w:hAnsi="宋体" w:eastAsia="宋体" w:cs="宋体"/>
                <w:color w:val="auto"/>
                <w:szCs w:val="21"/>
                <w:highlight w:val="none"/>
              </w:rPr>
              <w:t>份副本；</w:t>
            </w:r>
          </w:p>
          <w:p>
            <w:pPr>
              <w:keepNext w:val="0"/>
              <w:keepLines w:val="0"/>
              <w:widowControl/>
              <w:suppressLineNumbers w:val="0"/>
              <w:spacing w:before="0" w:beforeAutospacing="0" w:after="0" w:afterAutospacing="0" w:line="500" w:lineRule="exact"/>
              <w:ind w:left="0" w:right="0"/>
              <w:jc w:val="left"/>
              <w:rPr>
                <w:rFonts w:hint="eastAsia" w:ascii="宋体" w:hAnsi="宋体" w:eastAsia="宋体" w:cs="宋体"/>
                <w:color w:val="auto"/>
                <w:szCs w:val="21"/>
                <w:highlight w:val="none"/>
              </w:rPr>
            </w:pPr>
            <w:r>
              <w:rPr>
                <w:rFonts w:hint="eastAsia" w:ascii="宋体" w:hAnsi="宋体" w:eastAsia="宋体" w:cs="宋体"/>
                <w:b/>
                <w:bCs/>
                <w:color w:val="auto"/>
                <w:szCs w:val="24"/>
                <w:highlight w:val="none"/>
              </w:rPr>
              <w:t>2</w:t>
            </w:r>
            <w:r>
              <w:rPr>
                <w:rFonts w:hint="eastAsia" w:ascii="宋体" w:hAnsi="宋体" w:eastAsia="宋体" w:cs="宋体"/>
                <w:b/>
                <w:bCs/>
                <w:color w:val="auto"/>
                <w:szCs w:val="24"/>
                <w:highlight w:val="none"/>
                <w:lang w:val="en-US" w:eastAsia="zh-CN"/>
              </w:rPr>
              <w:t>.</w:t>
            </w:r>
            <w:r>
              <w:rPr>
                <w:rFonts w:hint="eastAsia" w:ascii="宋体" w:hAnsi="宋体" w:eastAsia="宋体" w:cs="宋体"/>
                <w:b/>
                <w:bCs/>
                <w:color w:val="auto"/>
                <w:szCs w:val="21"/>
                <w:highlight w:val="none"/>
                <w:lang w:eastAsia="zh-CN"/>
              </w:rPr>
              <w:t>参选人</w:t>
            </w:r>
            <w:r>
              <w:rPr>
                <w:rFonts w:hint="eastAsia" w:ascii="宋体" w:hAnsi="宋体" w:eastAsia="宋体" w:cs="宋体"/>
                <w:b/>
                <w:bCs/>
                <w:color w:val="auto"/>
                <w:szCs w:val="21"/>
                <w:highlight w:val="none"/>
              </w:rPr>
              <w:t>应将</w:t>
            </w:r>
            <w:r>
              <w:rPr>
                <w:rFonts w:hint="eastAsia" w:ascii="宋体" w:hAnsi="宋体" w:eastAsia="宋体" w:cs="宋体"/>
                <w:b/>
                <w:bCs/>
                <w:color w:val="auto"/>
                <w:szCs w:val="21"/>
                <w:highlight w:val="none"/>
                <w:lang w:eastAsia="zh-CN"/>
              </w:rPr>
              <w:t>参选文件</w:t>
            </w:r>
            <w:r>
              <w:rPr>
                <w:rFonts w:hint="eastAsia" w:ascii="宋体" w:hAnsi="宋体" w:eastAsia="宋体" w:cs="宋体"/>
                <w:b/>
                <w:bCs/>
                <w:color w:val="auto"/>
                <w:szCs w:val="21"/>
                <w:highlight w:val="none"/>
              </w:rPr>
              <w:t>的正本和副本同时装于一个袋内。包装密封，并于密封袋上加盖单位公章。</w:t>
            </w:r>
          </w:p>
          <w:p>
            <w:pPr>
              <w:keepNext w:val="0"/>
              <w:keepLines w:val="0"/>
              <w:suppressLineNumbers w:val="0"/>
              <w:spacing w:before="0" w:beforeAutospacing="0" w:after="0" w:afterAutospacing="0" w:line="420" w:lineRule="exact"/>
              <w:ind w:left="0" w:right="0"/>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3</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参选文件</w:t>
            </w:r>
            <w:r>
              <w:rPr>
                <w:rFonts w:hint="eastAsia" w:ascii="宋体" w:hAnsi="宋体" w:eastAsia="宋体" w:cs="宋体"/>
                <w:b/>
                <w:bCs/>
                <w:color w:val="auto"/>
                <w:szCs w:val="21"/>
                <w:highlight w:val="none"/>
              </w:rPr>
              <w:t>正本和副本均需胶装成册并标明页码，不得采用活页或容易拆解的装订形式。</w:t>
            </w:r>
          </w:p>
          <w:p>
            <w:pPr>
              <w:keepNext w:val="0"/>
              <w:keepLines w:val="0"/>
              <w:suppressLineNumbers w:val="0"/>
              <w:spacing w:before="0" w:beforeAutospacing="0" w:after="0" w:afterAutospacing="0" w:line="420" w:lineRule="exact"/>
              <w:ind w:left="0" w:right="0"/>
              <w:jc w:val="both"/>
              <w:rPr>
                <w:rFonts w:hint="default" w:ascii="Times New Roman" w:hAnsi="Times New Roman" w:eastAsia="宋体" w:cs="Times New Roman"/>
                <w:color w:val="auto"/>
                <w:kern w:val="0"/>
                <w:szCs w:val="21"/>
                <w:highlight w:val="none"/>
              </w:rPr>
            </w:pPr>
            <w:r>
              <w:rPr>
                <w:rFonts w:hint="eastAsia" w:ascii="宋体" w:hAnsi="宋体" w:eastAsia="宋体" w:cs="宋体"/>
                <w:b/>
                <w:bCs/>
                <w:color w:val="auto"/>
                <w:szCs w:val="21"/>
                <w:highlight w:val="none"/>
              </w:rPr>
              <w:t>4</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参选文件</w:t>
            </w:r>
            <w:r>
              <w:rPr>
                <w:rFonts w:hint="eastAsia" w:ascii="宋体" w:hAnsi="宋体" w:eastAsia="宋体" w:cs="宋体"/>
                <w:b/>
                <w:bCs/>
                <w:color w:val="auto"/>
                <w:szCs w:val="21"/>
                <w:highlight w:val="none"/>
              </w:rPr>
              <w:t>封面的需清楚地注明“正本”或“副本”。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default"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rPr>
              <w:t>地点:</w:t>
            </w:r>
            <w:r>
              <w:rPr>
                <w:rFonts w:hint="eastAsia" w:ascii="宋体" w:hAnsi="宋体" w:eastAsia="宋体" w:cs="Times New Roman"/>
                <w:color w:val="auto"/>
                <w:szCs w:val="21"/>
                <w:highlight w:val="none"/>
                <w:u w:val="none"/>
                <w:lang w:eastAsia="zh-CN"/>
              </w:rPr>
              <w:t>安庆市大观区宜园路16号安庆交控集团</w:t>
            </w:r>
            <w:r>
              <w:rPr>
                <w:rFonts w:hint="eastAsia" w:ascii="宋体" w:hAnsi="宋体" w:eastAsia="宋体" w:cs="Times New Roman"/>
                <w:color w:val="auto"/>
                <w:szCs w:val="21"/>
                <w:highlight w:val="none"/>
                <w:u w:val="none"/>
                <w:lang w:val="en-US" w:eastAsia="zh-CN"/>
              </w:rPr>
              <w:t>2号楼一层集采中心</w:t>
            </w:r>
          </w:p>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eastAsia="宋体" w:cs="宋体"/>
                <w:b/>
                <w:bCs/>
                <w:color w:val="auto"/>
                <w:szCs w:val="21"/>
                <w:highlight w:val="none"/>
                <w:u w:val="none"/>
              </w:rPr>
            </w:pPr>
            <w:r>
              <w:rPr>
                <w:rFonts w:hint="eastAsia" w:ascii="宋体" w:hAnsi="宋体" w:eastAsia="宋体" w:cs="Times New Roman"/>
                <w:color w:val="auto"/>
                <w:szCs w:val="21"/>
                <w:highlight w:val="none"/>
                <w:u w:val="none"/>
              </w:rPr>
              <w:t>投标截止时间：</w:t>
            </w:r>
            <w:r>
              <w:rPr>
                <w:rFonts w:hint="eastAsia" w:ascii="宋体" w:hAnsi="宋体" w:eastAsia="宋体" w:cs="宋体"/>
                <w:color w:val="auto"/>
                <w:szCs w:val="21"/>
                <w:highlight w:val="none"/>
                <w:u w:val="none"/>
                <w:lang w:val="en-US" w:eastAsia="zh-CN"/>
              </w:rPr>
              <w:t>2024年3月</w:t>
            </w:r>
            <w:r>
              <w:rPr>
                <w:rFonts w:hint="eastAsia" w:ascii="宋体" w:hAnsi="宋体" w:cs="宋体"/>
                <w:color w:val="auto"/>
                <w:szCs w:val="21"/>
                <w:highlight w:val="none"/>
                <w:u w:val="none"/>
                <w:lang w:val="en-US" w:eastAsia="zh-CN"/>
              </w:rPr>
              <w:t>29</w:t>
            </w:r>
            <w:r>
              <w:rPr>
                <w:rFonts w:hint="eastAsia" w:ascii="宋体" w:hAnsi="宋体" w:eastAsia="宋体" w:cs="宋体"/>
                <w:color w:val="auto"/>
                <w:szCs w:val="21"/>
                <w:highlight w:val="none"/>
                <w:u w:val="none"/>
                <w:lang w:val="en-US" w:eastAsia="zh-CN"/>
              </w:rPr>
              <w:t>日09时30分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1"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15</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媒介发布</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在</w:t>
            </w:r>
            <w:r>
              <w:rPr>
                <w:rFonts w:hint="eastAsia" w:ascii="宋体" w:hAnsi="宋体" w:eastAsia="宋体" w:cs="Times New Roman"/>
                <w:color w:val="auto"/>
                <w:szCs w:val="21"/>
                <w:highlight w:val="none"/>
                <w:u w:val="none"/>
                <w:lang w:eastAsia="zh-CN"/>
              </w:rPr>
              <w:t>安庆市交通控股集团有限公司集采</w:t>
            </w:r>
            <w:r>
              <w:rPr>
                <w:rFonts w:hint="eastAsia" w:ascii="宋体" w:hAnsi="宋体" w:eastAsia="宋体" w:cs="Times New Roman"/>
                <w:color w:val="auto"/>
                <w:szCs w:val="21"/>
                <w:highlight w:val="none"/>
                <w:u w:val="none"/>
                <w:lang w:val="en-US" w:eastAsia="zh-CN"/>
              </w:rPr>
              <w:t>平台</w:t>
            </w:r>
            <w:r>
              <w:rPr>
                <w:rFonts w:hint="eastAsia" w:ascii="宋体" w:hAnsi="宋体" w:eastAsia="宋体" w:cs="Times New Roman"/>
                <w:color w:val="auto"/>
                <w:szCs w:val="21"/>
                <w:highlight w:val="none"/>
                <w:u w:val="none"/>
              </w:rPr>
              <w:t>（</w:t>
            </w:r>
            <w:r>
              <w:rPr>
                <w:rFonts w:hint="eastAsia" w:ascii="宋体" w:hAnsi="宋体" w:eastAsia="宋体" w:cs="Times New Roman"/>
                <w:color w:val="auto"/>
                <w:szCs w:val="21"/>
                <w:highlight w:val="none"/>
                <w:u w:val="none"/>
                <w:lang w:eastAsia="zh-CN"/>
              </w:rPr>
              <w:t>http：//jc.zh0556.com/</w:t>
            </w:r>
            <w:r>
              <w:rPr>
                <w:rFonts w:hint="eastAsia" w:ascii="宋体" w:hAnsi="宋体" w:eastAsia="宋体" w:cs="Times New Roman"/>
                <w:color w:val="auto"/>
                <w:szCs w:val="21"/>
                <w:highlight w:val="none"/>
                <w:u w:val="none"/>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开标时间和地点</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宋体" w:hAnsi="宋体" w:eastAsia="宋体" w:cs="Times New Roman"/>
                <w:color w:val="auto"/>
                <w:szCs w:val="21"/>
                <w:highlight w:val="none"/>
                <w:u w:val="none"/>
              </w:rPr>
            </w:pPr>
            <w:r>
              <w:rPr>
                <w:rFonts w:hint="eastAsia" w:ascii="宋体" w:hAnsi="宋体" w:eastAsia="宋体" w:cs="Times New Roman"/>
                <w:color w:val="auto"/>
                <w:szCs w:val="21"/>
                <w:highlight w:val="none"/>
                <w:u w:val="none"/>
              </w:rPr>
              <w:t>时间:</w:t>
            </w:r>
            <w:r>
              <w:rPr>
                <w:rFonts w:hint="eastAsia" w:ascii="宋体" w:hAnsi="宋体" w:eastAsia="宋体" w:cs="Times New Roman"/>
                <w:color w:val="auto"/>
                <w:szCs w:val="21"/>
                <w:highlight w:val="none"/>
                <w:u w:val="none"/>
                <w:lang w:val="en-US" w:eastAsia="zh-CN"/>
              </w:rPr>
              <w:t>2024年3月</w:t>
            </w:r>
            <w:r>
              <w:rPr>
                <w:rFonts w:hint="eastAsia" w:ascii="宋体" w:hAnsi="宋体" w:cs="Times New Roman"/>
                <w:color w:val="auto"/>
                <w:szCs w:val="21"/>
                <w:highlight w:val="none"/>
                <w:u w:val="none"/>
                <w:lang w:val="en-US" w:eastAsia="zh-CN"/>
              </w:rPr>
              <w:t>29</w:t>
            </w:r>
            <w:r>
              <w:rPr>
                <w:rFonts w:hint="eastAsia" w:ascii="宋体" w:hAnsi="宋体" w:eastAsia="宋体" w:cs="Times New Roman"/>
                <w:color w:val="auto"/>
                <w:szCs w:val="21"/>
                <w:highlight w:val="none"/>
                <w:u w:val="none"/>
                <w:lang w:val="en-US" w:eastAsia="zh-CN"/>
              </w:rPr>
              <w:t>日09时30分</w:t>
            </w:r>
          </w:p>
          <w:p>
            <w:pPr>
              <w:keepNext w:val="0"/>
              <w:keepLines w:val="0"/>
              <w:suppressLineNumbers w:val="0"/>
              <w:spacing w:before="0" w:beforeAutospacing="0" w:after="0" w:afterAutospacing="0" w:line="420" w:lineRule="exact"/>
              <w:ind w:left="0" w:right="0"/>
              <w:jc w:val="both"/>
              <w:rPr>
                <w:rFonts w:hint="default" w:ascii="宋体" w:hAnsi="宋体" w:eastAsia="宋体" w:cs="Times New Roman"/>
                <w:color w:val="auto"/>
                <w:szCs w:val="21"/>
                <w:highlight w:val="none"/>
                <w:u w:val="none"/>
                <w:lang w:val="en-US" w:eastAsia="zh-CN"/>
              </w:rPr>
            </w:pPr>
            <w:r>
              <w:rPr>
                <w:rFonts w:hint="eastAsia" w:ascii="宋体" w:hAnsi="宋体" w:eastAsia="宋体" w:cs="Times New Roman"/>
                <w:color w:val="auto"/>
                <w:szCs w:val="21"/>
                <w:highlight w:val="none"/>
                <w:u w:val="none"/>
              </w:rPr>
              <w:t xml:space="preserve">地点: </w:t>
            </w:r>
            <w:r>
              <w:rPr>
                <w:rFonts w:hint="eastAsia" w:ascii="宋体" w:hAnsi="宋体" w:eastAsia="宋体" w:cs="Times New Roman"/>
                <w:color w:val="auto"/>
                <w:szCs w:val="21"/>
                <w:highlight w:val="none"/>
                <w:u w:val="none"/>
                <w:lang w:eastAsia="zh-CN"/>
              </w:rPr>
              <w:t>安庆市大观区宜园路16号安庆交控集团</w:t>
            </w:r>
            <w:r>
              <w:rPr>
                <w:rFonts w:hint="eastAsia" w:ascii="宋体" w:hAnsi="宋体" w:eastAsia="宋体" w:cs="Times New Roman"/>
                <w:color w:val="auto"/>
                <w:szCs w:val="21"/>
                <w:highlight w:val="none"/>
                <w:u w:val="none"/>
                <w:lang w:val="en-US" w:eastAsia="zh-CN"/>
              </w:rPr>
              <w:t>2号楼1楼评标室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auto"/>
                <w:szCs w:val="21"/>
                <w:highlight w:val="none"/>
                <w:lang w:val="en-US" w:eastAsia="zh-CN"/>
              </w:rPr>
            </w:pPr>
            <w:r>
              <w:rPr>
                <w:rFonts w:hint="default"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评标方法</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综合评分法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18</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履约保证金</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lang w:val="en-US" w:eastAsia="zh-CN"/>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19</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专家评审费</w:t>
            </w:r>
            <w:r>
              <w:rPr>
                <w:rFonts w:hint="eastAsia" w:ascii="宋体" w:hAnsi="宋体" w:eastAsia="宋体" w:cs="Times New Roman"/>
                <w:color w:val="auto"/>
                <w:szCs w:val="21"/>
                <w:highlight w:val="none"/>
              </w:rPr>
              <w:t>(元)</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由成交人支付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20</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付款方式</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both"/>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val="en-US" w:eastAsia="zh-CN"/>
              </w:rPr>
              <w:t>按年付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21</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suppressLineNumbers w:val="0"/>
              <w:kinsoku/>
              <w:wordWrap/>
              <w:overflowPunct/>
              <w:topLinePunct w:val="0"/>
              <w:bidi w:val="0"/>
              <w:spacing w:before="0" w:beforeAutospacing="0" w:after="0" w:afterAutospacing="0" w:line="420" w:lineRule="exact"/>
              <w:ind w:left="0" w:right="0"/>
              <w:jc w:val="center"/>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szCs w:val="21"/>
                <w:highlight w:val="none"/>
              </w:rPr>
              <w:t>廉政监督和投诉举报</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凡有意参加投标的单位，在参与过程中，遇排斥潜在</w:t>
            </w:r>
            <w:r>
              <w:rPr>
                <w:rFonts w:hint="eastAsia" w:ascii="Times New Roman" w:hAnsi="Times New Roman" w:eastAsia="宋体" w:cs="Times New Roman"/>
                <w:color w:val="auto"/>
                <w:szCs w:val="20"/>
                <w:highlight w:val="none"/>
                <w:lang w:eastAsia="zh-CN"/>
              </w:rPr>
              <w:t>参选人</w:t>
            </w:r>
            <w:r>
              <w:rPr>
                <w:rFonts w:hint="eastAsia" w:ascii="Times New Roman" w:hAnsi="Times New Roman" w:eastAsia="宋体" w:cs="Times New Roman"/>
                <w:color w:val="auto"/>
                <w:szCs w:val="20"/>
                <w:highlight w:val="none"/>
              </w:rPr>
              <w:t>等现象，可在开标截止时间1日前向</w:t>
            </w:r>
            <w:r>
              <w:rPr>
                <w:rFonts w:hint="eastAsia" w:ascii="Times New Roman" w:hAnsi="Times New Roman" w:eastAsia="宋体" w:cs="Times New Roman"/>
                <w:color w:val="auto"/>
                <w:szCs w:val="20"/>
                <w:highlight w:val="none"/>
                <w:lang w:val="en-US" w:eastAsia="zh-CN"/>
              </w:rPr>
              <w:t>采购管理</w:t>
            </w:r>
            <w:r>
              <w:rPr>
                <w:rFonts w:hint="eastAsia" w:ascii="Times New Roman" w:hAnsi="Times New Roman" w:eastAsia="宋体" w:cs="Times New Roman"/>
                <w:color w:val="auto"/>
                <w:szCs w:val="20"/>
                <w:highlight w:val="none"/>
              </w:rPr>
              <w:t>部门提出书面质疑。如对质疑答复不满，可在开标截止时间前不少于12小时将书面投诉材料送达至监察部门。</w:t>
            </w:r>
          </w:p>
          <w:p>
            <w:pPr>
              <w:keepNext w:val="0"/>
              <w:keepLines w:val="0"/>
              <w:suppressLineNumbers w:val="0"/>
              <w:spacing w:before="0" w:beforeAutospacing="0" w:after="0" w:afterAutospacing="0" w:line="420" w:lineRule="exact"/>
              <w:ind w:left="0" w:right="0"/>
              <w:jc w:val="both"/>
              <w:rPr>
                <w:rFonts w:hint="eastAsia"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地址：安庆市交通控股集团有限公司一号楼纪检监察室。</w:t>
            </w:r>
          </w:p>
          <w:p>
            <w:pPr>
              <w:keepNext w:val="0"/>
              <w:keepLines w:val="0"/>
              <w:suppressLineNumbers w:val="0"/>
              <w:spacing w:before="0" w:beforeAutospacing="0" w:after="0" w:afterAutospacing="0" w:line="420" w:lineRule="exact"/>
              <w:ind w:left="0" w:right="0"/>
              <w:jc w:val="both"/>
              <w:rPr>
                <w:rFonts w:hint="eastAsia" w:ascii="Times New Roman" w:hAnsi="Times New Roman" w:eastAsia="宋体" w:cs="Times New Roman"/>
                <w:color w:val="auto"/>
                <w:kern w:val="2"/>
                <w:sz w:val="21"/>
                <w:szCs w:val="20"/>
                <w:highlight w:val="none"/>
                <w:lang w:val="en-US" w:eastAsia="zh-CN" w:bidi="ar-SA"/>
              </w:rPr>
            </w:pPr>
            <w:r>
              <w:rPr>
                <w:rFonts w:hint="eastAsia" w:ascii="Times New Roman" w:hAnsi="Times New Roman" w:eastAsia="宋体" w:cs="Times New Roman"/>
                <w:color w:val="auto"/>
                <w:szCs w:val="20"/>
                <w:highlight w:val="none"/>
              </w:rPr>
              <w:t>电话：0556-5595102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363"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2</w:t>
            </w:r>
          </w:p>
        </w:tc>
        <w:tc>
          <w:tcPr>
            <w:tcW w:w="10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center"/>
              <w:rPr>
                <w:rFonts w:hint="default"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c>
          <w:tcPr>
            <w:tcW w:w="356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20" w:lineRule="exact"/>
              <w:ind w:left="0" w:right="0"/>
              <w:jc w:val="both"/>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本</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的解释权归采购</w:t>
            </w:r>
            <w:r>
              <w:rPr>
                <w:rFonts w:hint="eastAsia" w:ascii="宋体" w:hAnsi="宋体" w:eastAsia="宋体" w:cs="Times New Roman"/>
                <w:color w:val="auto"/>
                <w:szCs w:val="21"/>
                <w:highlight w:val="none"/>
                <w:lang w:val="en-US" w:eastAsia="zh-CN"/>
              </w:rPr>
              <w:t>管理机构</w:t>
            </w:r>
            <w:r>
              <w:rPr>
                <w:rFonts w:hint="eastAsia" w:ascii="宋体" w:hAnsi="宋体" w:eastAsia="宋体" w:cs="Times New Roman"/>
                <w:color w:val="auto"/>
                <w:szCs w:val="21"/>
                <w:highlight w:val="none"/>
              </w:rPr>
              <w:t>。</w:t>
            </w:r>
          </w:p>
          <w:p>
            <w:pPr>
              <w:keepNext w:val="0"/>
              <w:keepLines w:val="0"/>
              <w:suppressLineNumbers w:val="0"/>
              <w:spacing w:before="0" w:beforeAutospacing="0" w:after="0" w:afterAutospacing="0" w:line="420" w:lineRule="exact"/>
              <w:ind w:left="0" w:right="0"/>
              <w:jc w:val="both"/>
              <w:rPr>
                <w:rFonts w:hint="default" w:ascii="Times New Roman" w:hAnsi="Times New Roman" w:eastAsia="宋体" w:cs="Times New Roman"/>
                <w:color w:val="auto"/>
                <w:szCs w:val="20"/>
                <w:highlight w:val="none"/>
              </w:rPr>
            </w:pPr>
            <w:r>
              <w:rPr>
                <w:rFonts w:hint="eastAsia" w:ascii="Times New Roman" w:hAnsi="Times New Roman" w:eastAsia="宋体" w:cs="Times New Roman"/>
                <w:color w:val="auto"/>
                <w:szCs w:val="20"/>
                <w:highlight w:val="none"/>
              </w:rPr>
              <w:t>2</w:t>
            </w:r>
            <w:r>
              <w:rPr>
                <w:rFonts w:hint="eastAsia" w:ascii="Times New Roman" w:hAnsi="Times New Roman" w:eastAsia="宋体" w:cs="Times New Roman"/>
                <w:color w:val="auto"/>
                <w:szCs w:val="20"/>
                <w:highlight w:val="none"/>
                <w:lang w:eastAsia="zh-CN"/>
              </w:rPr>
              <w:t>、</w:t>
            </w:r>
            <w:r>
              <w:rPr>
                <w:rFonts w:hint="eastAsia" w:ascii="宋体" w:hAnsi="宋体" w:eastAsia="宋体" w:cs="宋体"/>
                <w:color w:val="auto"/>
                <w:sz w:val="21"/>
                <w:szCs w:val="21"/>
                <w:highlight w:val="none"/>
              </w:rPr>
              <w:t>成交人</w:t>
            </w:r>
            <w:r>
              <w:rPr>
                <w:rFonts w:hint="eastAsia" w:ascii="宋体" w:hAnsi="宋体" w:eastAsia="宋体" w:cs="宋体"/>
                <w:color w:val="auto"/>
                <w:sz w:val="21"/>
                <w:szCs w:val="21"/>
                <w:highlight w:val="none"/>
                <w:lang w:val="en-US" w:eastAsia="zh-CN"/>
              </w:rPr>
              <w:t>应具有</w:t>
            </w:r>
            <w:r>
              <w:rPr>
                <w:rFonts w:hint="eastAsia" w:ascii="宋体" w:hAnsi="宋体" w:eastAsia="宋体" w:cs="宋体"/>
                <w:color w:val="auto"/>
                <w:sz w:val="21"/>
                <w:szCs w:val="21"/>
                <w:highlight w:val="none"/>
              </w:rPr>
              <w:t>相应资质，如有</w:t>
            </w:r>
            <w:r>
              <w:rPr>
                <w:rFonts w:hint="eastAsia" w:ascii="宋体" w:hAnsi="宋体" w:eastAsia="宋体" w:cs="宋体"/>
                <w:color w:val="auto"/>
                <w:sz w:val="21"/>
                <w:szCs w:val="21"/>
                <w:highlight w:val="none"/>
                <w:lang w:val="en-US" w:eastAsia="zh-CN"/>
              </w:rPr>
              <w:t>特殊需求</w:t>
            </w:r>
            <w:r>
              <w:rPr>
                <w:rFonts w:hint="eastAsia" w:ascii="宋体" w:hAnsi="宋体" w:eastAsia="宋体" w:cs="宋体"/>
                <w:color w:val="auto"/>
                <w:sz w:val="21"/>
                <w:szCs w:val="21"/>
                <w:highlight w:val="none"/>
              </w:rPr>
              <w:t>需</w:t>
            </w:r>
            <w:r>
              <w:rPr>
                <w:rFonts w:hint="eastAsia" w:ascii="宋体" w:hAnsi="宋体" w:eastAsia="宋体" w:cs="宋体"/>
                <w:color w:val="auto"/>
                <w:sz w:val="21"/>
                <w:szCs w:val="21"/>
                <w:highlight w:val="none"/>
                <w:lang w:val="en-US" w:eastAsia="zh-CN"/>
              </w:rPr>
              <w:t>分包其他</w:t>
            </w:r>
            <w:r>
              <w:rPr>
                <w:rFonts w:hint="eastAsia" w:ascii="宋体" w:hAnsi="宋体" w:eastAsia="宋体" w:cs="宋体"/>
                <w:color w:val="auto"/>
                <w:sz w:val="21"/>
                <w:szCs w:val="21"/>
                <w:highlight w:val="none"/>
              </w:rPr>
              <w:t>具有相应资质的机构</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需经采购人同意，且相关</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rPr>
              <w:t>包含在成交价之内。</w:t>
            </w:r>
          </w:p>
          <w:p>
            <w:pPr>
              <w:keepNext w:val="0"/>
              <w:keepLines w:val="0"/>
              <w:suppressLineNumbers w:val="0"/>
              <w:spacing w:before="0" w:beforeAutospacing="0" w:after="0" w:afterAutospacing="0" w:line="420" w:lineRule="exact"/>
              <w:ind w:left="0" w:right="0"/>
              <w:jc w:val="both"/>
              <w:rPr>
                <w:rFonts w:hint="eastAsia" w:ascii="宋体" w:hAnsi="宋体" w:eastAsia="宋体" w:cs="Times New Roman"/>
                <w:color w:val="auto"/>
                <w:szCs w:val="21"/>
                <w:highlight w:val="none"/>
              </w:rPr>
            </w:pPr>
            <w:r>
              <w:rPr>
                <w:rFonts w:hint="eastAsia" w:ascii="Times New Roman" w:hAnsi="Times New Roman" w:eastAsia="宋体" w:cs="Times New Roman"/>
                <w:color w:val="auto"/>
                <w:szCs w:val="20"/>
                <w:highlight w:val="none"/>
                <w:lang w:val="en-US" w:eastAsia="zh-CN"/>
              </w:rPr>
              <w:t>3、</w:t>
            </w:r>
            <w:r>
              <w:rPr>
                <w:rFonts w:hint="eastAsia" w:ascii="Times New Roman" w:hAnsi="Times New Roman" w:eastAsia="宋体" w:cs="Times New Roman"/>
                <w:color w:val="auto"/>
                <w:kern w:val="2"/>
                <w:sz w:val="21"/>
                <w:szCs w:val="24"/>
                <w:highlight w:val="none"/>
                <w:lang w:val="en-US" w:eastAsia="zh-CN" w:bidi="ar-SA"/>
              </w:rPr>
              <w:t>本次采购管理机构为安庆市交通控股集团有限公司集采中心，具体合同签订主体为安徽路达工程检测有限责任公司，特此说明。</w:t>
            </w:r>
          </w:p>
        </w:tc>
      </w:tr>
    </w:tbl>
    <w:p>
      <w:pPr>
        <w:numPr>
          <w:ilvl w:val="0"/>
          <w:numId w:val="0"/>
        </w:numPr>
        <w:rPr>
          <w:color w:val="auto"/>
          <w:highlight w:val="none"/>
        </w:rPr>
      </w:pPr>
    </w:p>
    <w:p>
      <w:pPr>
        <w:rPr>
          <w:color w:val="auto"/>
          <w:kern w:val="0"/>
          <w:highlight w:val="none"/>
          <w:lang w:val="zh-CN"/>
        </w:rPr>
      </w:pPr>
      <w:bookmarkStart w:id="22" w:name="_Toc439316872"/>
      <w:r>
        <w:rPr>
          <w:color w:val="auto"/>
          <w:kern w:val="0"/>
          <w:highlight w:val="none"/>
          <w:lang w:val="zh-CN"/>
        </w:rPr>
        <w:br w:type="page"/>
      </w:r>
    </w:p>
    <w:p>
      <w:pPr>
        <w:rPr>
          <w:color w:val="auto"/>
          <w:kern w:val="0"/>
          <w:highlight w:val="none"/>
          <w:lang w:val="zh-CN"/>
        </w:rPr>
      </w:pPr>
    </w:p>
    <w:bookmarkEnd w:id="22"/>
    <w:p>
      <w:pPr>
        <w:pStyle w:val="3"/>
        <w:rPr>
          <w:color w:val="auto"/>
          <w:kern w:val="0"/>
          <w:sz w:val="28"/>
          <w:szCs w:val="28"/>
          <w:highlight w:val="none"/>
          <w:lang w:val="zh-CN"/>
        </w:rPr>
      </w:pPr>
      <w:bookmarkStart w:id="23" w:name="_Toc12394"/>
      <w:bookmarkStart w:id="24" w:name="_Toc2521"/>
      <w:bookmarkStart w:id="25" w:name="_Toc16271"/>
      <w:bookmarkStart w:id="26" w:name="_Toc54941331"/>
      <w:bookmarkStart w:id="27" w:name="_Toc54941337"/>
      <w:bookmarkStart w:id="28" w:name="_Toc476584426"/>
      <w:r>
        <w:rPr>
          <w:rFonts w:hint="eastAsia"/>
          <w:color w:val="auto"/>
          <w:kern w:val="0"/>
          <w:sz w:val="28"/>
          <w:szCs w:val="28"/>
          <w:highlight w:val="none"/>
          <w:lang w:val="en-US" w:eastAsia="zh-CN"/>
        </w:rPr>
        <w:t>（二）</w:t>
      </w:r>
      <w:r>
        <w:rPr>
          <w:color w:val="auto"/>
          <w:kern w:val="0"/>
          <w:sz w:val="28"/>
          <w:szCs w:val="28"/>
          <w:highlight w:val="none"/>
          <w:lang w:val="zh-CN"/>
        </w:rPr>
        <w:t xml:space="preserve"> </w:t>
      </w:r>
      <w:r>
        <w:rPr>
          <w:rFonts w:hint="eastAsia"/>
          <w:color w:val="auto"/>
          <w:kern w:val="0"/>
          <w:sz w:val="28"/>
          <w:szCs w:val="28"/>
          <w:highlight w:val="none"/>
        </w:rPr>
        <w:t>参选人</w:t>
      </w:r>
      <w:r>
        <w:rPr>
          <w:rFonts w:hint="eastAsia"/>
          <w:color w:val="auto"/>
          <w:kern w:val="0"/>
          <w:sz w:val="28"/>
          <w:szCs w:val="28"/>
          <w:highlight w:val="none"/>
          <w:lang w:val="zh-CN"/>
        </w:rPr>
        <w:t>须知</w:t>
      </w:r>
      <w:bookmarkEnd w:id="23"/>
      <w:bookmarkEnd w:id="24"/>
      <w:bookmarkEnd w:id="25"/>
      <w:bookmarkEnd w:id="26"/>
    </w:p>
    <w:bookmarkEnd w:id="27"/>
    <w:bookmarkEnd w:id="28"/>
    <w:p>
      <w:pPr>
        <w:spacing w:line="500" w:lineRule="exact"/>
        <w:ind w:firstLine="422" w:firstLineChars="200"/>
        <w:jc w:val="both"/>
        <w:rPr>
          <w:rFonts w:ascii="宋体" w:hAnsi="宋体" w:eastAsia="宋体" w:cs="Times New Roman"/>
          <w:b/>
          <w:color w:val="auto"/>
          <w:szCs w:val="21"/>
          <w:highlight w:val="none"/>
        </w:rPr>
      </w:pPr>
      <w:bookmarkStart w:id="29" w:name="_Toc28310"/>
      <w:bookmarkStart w:id="30" w:name="_Toc23618"/>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、定义</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.1、采购单位是指</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采购管理机构</w:t>
      </w:r>
      <w:r>
        <w:rPr>
          <w:rFonts w:hint="eastAsia" w:ascii="宋体" w:hAnsi="宋体" w:eastAsia="宋体" w:cs="Times New Roman"/>
          <w:color w:val="auto"/>
          <w:szCs w:val="21"/>
          <w:highlight w:val="none"/>
        </w:rPr>
        <w:t>。</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是指对“</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须知前附表”序号2所指的项目表现出兴趣，按照规定的程序，从采购单位获取了</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，并实际参与了该项目投标活动的供应商。</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资格要求</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.1、参与本项目的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必须满足的要求：详见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之间如果存在下列情形之一的，不得同时参加同一包别或者不分包别的同一项目投标：</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（1）法定代表人为同一个人的两个及两个以上法人；</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（2）母公司、全资子公司及其控股公司；</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（3）法律和行政法规规定的其他情形。</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必须确保自己信息真实、准确，否则，</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因此蒙受损失，采购单位概不负责。</w:t>
      </w:r>
    </w:p>
    <w:p>
      <w:pPr>
        <w:adjustRightInd w:val="0"/>
        <w:spacing w:line="500" w:lineRule="exact"/>
        <w:ind w:firstLine="413" w:firstLineChars="196"/>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、联合体投标</w:t>
      </w:r>
    </w:p>
    <w:p>
      <w:pPr>
        <w:spacing w:line="500" w:lineRule="exact"/>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 xml:space="preserve">   本项目不接受联合体</w:t>
      </w:r>
    </w:p>
    <w:p>
      <w:pPr>
        <w:spacing w:line="500" w:lineRule="exact"/>
        <w:ind w:firstLine="422" w:firstLineChars="200"/>
        <w:jc w:val="both"/>
        <w:rPr>
          <w:rFonts w:ascii="宋体" w:hAnsi="宋体" w:eastAsia="宋体" w:cs="Times New Roman"/>
          <w:color w:val="auto"/>
          <w:szCs w:val="21"/>
          <w:highlight w:val="none"/>
        </w:rPr>
      </w:pPr>
      <w:r>
        <w:rPr>
          <w:rFonts w:hint="eastAsia" w:ascii="Times New Roman" w:hAnsi="Times New Roman" w:eastAsia="宋体" w:cs="Times New Roman"/>
          <w:b/>
          <w:color w:val="auto"/>
          <w:szCs w:val="24"/>
          <w:highlight w:val="none"/>
          <w:lang w:val="en-US" w:eastAsia="zh-CN"/>
        </w:rPr>
        <w:t>4</w:t>
      </w:r>
      <w:r>
        <w:rPr>
          <w:rFonts w:hint="eastAsia" w:ascii="Times New Roman" w:hAnsi="Times New Roman" w:eastAsia="宋体" w:cs="Times New Roman"/>
          <w:b/>
          <w:color w:val="auto"/>
          <w:szCs w:val="24"/>
          <w:highlight w:val="none"/>
        </w:rPr>
        <w:t>、</w:t>
      </w:r>
      <w:r>
        <w:rPr>
          <w:rFonts w:hint="eastAsia" w:ascii="Times New Roman" w:hAnsi="Times New Roman" w:eastAsia="宋体" w:cs="Times New Roman"/>
          <w:b/>
          <w:color w:val="auto"/>
          <w:szCs w:val="24"/>
          <w:highlight w:val="none"/>
          <w:lang w:eastAsia="zh-CN"/>
        </w:rPr>
        <w:t>比选</w:t>
      </w:r>
      <w:r>
        <w:rPr>
          <w:rFonts w:hint="eastAsia" w:ascii="Times New Roman" w:hAnsi="Times New Roman" w:eastAsia="宋体" w:cs="Times New Roman"/>
          <w:b/>
          <w:color w:val="auto"/>
          <w:szCs w:val="24"/>
          <w:highlight w:val="none"/>
        </w:rPr>
        <w:t>费用：</w:t>
      </w:r>
      <w:r>
        <w:rPr>
          <w:rFonts w:hint="eastAsia" w:ascii="宋体" w:hAnsi="宋体" w:eastAsia="宋体" w:cs="Times New Roman"/>
          <w:b/>
          <w:color w:val="auto"/>
          <w:szCs w:val="21"/>
          <w:highlight w:val="none"/>
          <w:lang w:eastAsia="zh-CN"/>
        </w:rPr>
        <w:t>参选人</w:t>
      </w:r>
      <w:r>
        <w:rPr>
          <w:rFonts w:hint="eastAsia" w:ascii="宋体" w:hAnsi="宋体" w:eastAsia="宋体" w:cs="Times New Roman"/>
          <w:b/>
          <w:color w:val="auto"/>
          <w:szCs w:val="21"/>
          <w:highlight w:val="none"/>
        </w:rPr>
        <w:t>必须自行承担参加</w:t>
      </w:r>
      <w:r>
        <w:rPr>
          <w:rFonts w:hint="eastAsia" w:ascii="宋体" w:hAnsi="宋体" w:eastAsia="宋体" w:cs="Times New Roman"/>
          <w:b/>
          <w:color w:val="auto"/>
          <w:szCs w:val="21"/>
          <w:highlight w:val="none"/>
          <w:lang w:eastAsia="zh-CN"/>
        </w:rPr>
        <w:t>比选</w:t>
      </w:r>
      <w:r>
        <w:rPr>
          <w:rFonts w:hint="eastAsia" w:ascii="宋体" w:hAnsi="宋体" w:eastAsia="宋体" w:cs="Times New Roman"/>
          <w:b/>
          <w:color w:val="auto"/>
          <w:szCs w:val="21"/>
          <w:highlight w:val="none"/>
        </w:rPr>
        <w:t>的所有费用。</w:t>
      </w:r>
      <w:r>
        <w:rPr>
          <w:rFonts w:hint="eastAsia" w:ascii="宋体" w:hAnsi="宋体" w:eastAsia="宋体" w:cs="Times New Roman"/>
          <w:color w:val="auto"/>
          <w:szCs w:val="21"/>
          <w:highlight w:val="none"/>
        </w:rPr>
        <w:t>不论中标与否，采购单位在任何情况下均无义务和责任承担这些费用。</w:t>
      </w: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auto"/>
          <w:kern w:val="0"/>
          <w:sz w:val="32"/>
          <w:szCs w:val="20"/>
          <w:highlight w:val="none"/>
          <w:lang w:val="en-US" w:eastAsia="zh-CN" w:bidi="ar-SA"/>
        </w:rPr>
      </w:pPr>
      <w:bookmarkStart w:id="31" w:name="_Toc8536"/>
      <w:bookmarkStart w:id="32" w:name="_Toc479622044"/>
      <w:bookmarkStart w:id="33" w:name="_Toc4481593"/>
      <w:r>
        <w:rPr>
          <w:rFonts w:hint="eastAsia" w:ascii="Arial" w:hAnsi="Arial" w:eastAsia="宋体" w:cs="Times New Roman"/>
          <w:b/>
          <w:color w:val="auto"/>
          <w:kern w:val="0"/>
          <w:sz w:val="32"/>
          <w:szCs w:val="20"/>
          <w:highlight w:val="none"/>
          <w:lang w:val="en-US" w:eastAsia="zh-CN" w:bidi="ar-SA"/>
        </w:rPr>
        <w:t>（三）</w:t>
      </w:r>
      <w:bookmarkEnd w:id="31"/>
      <w:bookmarkEnd w:id="32"/>
      <w:bookmarkEnd w:id="33"/>
      <w:r>
        <w:rPr>
          <w:rFonts w:hint="eastAsia" w:ascii="Arial" w:hAnsi="Arial" w:eastAsia="宋体" w:cs="Times New Roman"/>
          <w:b/>
          <w:color w:val="auto"/>
          <w:kern w:val="0"/>
          <w:sz w:val="32"/>
          <w:szCs w:val="20"/>
          <w:highlight w:val="none"/>
          <w:lang w:val="en-US" w:eastAsia="zh-CN" w:bidi="ar-SA"/>
        </w:rPr>
        <w:t>比选文件</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5</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的构成</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包括：</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（1）第一章  </w:t>
      </w:r>
      <w:r>
        <w:rPr>
          <w:rFonts w:hint="eastAsia" w:ascii="宋体" w:hAnsi="宋体" w:eastAsia="宋体" w:cs="Times New Roman"/>
          <w:color w:val="auto"/>
          <w:szCs w:val="21"/>
          <w:highlight w:val="none"/>
          <w:lang w:eastAsia="zh-CN"/>
        </w:rPr>
        <w:t>比选公告</w:t>
      </w:r>
      <w:r>
        <w:rPr>
          <w:rFonts w:hint="eastAsia" w:ascii="宋体" w:hAnsi="宋体" w:eastAsia="宋体" w:cs="Times New Roman"/>
          <w:color w:val="auto"/>
          <w:szCs w:val="21"/>
          <w:highlight w:val="none"/>
        </w:rPr>
        <w:t>；</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（2）第二章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（3）第三章  </w:t>
      </w:r>
      <w:r>
        <w:rPr>
          <w:rFonts w:hint="eastAsia" w:ascii="宋体" w:hAnsi="宋体" w:eastAsia="宋体" w:cs="Times New Roman"/>
          <w:color w:val="auto"/>
          <w:szCs w:val="21"/>
          <w:highlight w:val="none"/>
          <w:lang w:eastAsia="zh-CN"/>
        </w:rPr>
        <w:t>货物需求</w:t>
      </w:r>
      <w:r>
        <w:rPr>
          <w:rFonts w:hint="eastAsia" w:ascii="宋体" w:hAnsi="宋体" w:eastAsia="宋体" w:cs="Times New Roman"/>
          <w:color w:val="auto"/>
          <w:szCs w:val="21"/>
          <w:highlight w:val="none"/>
        </w:rPr>
        <w:t>及技术要求；</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（4）第四章</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合同主要条款；</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（5）第五章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应认真阅读和充分理解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中所有的内容。如果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没有满足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的有关要求，其风险由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获取</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后，应仔细阅读</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的所有内容，如有残缺、文本不清晰、表述不一致等问题应在获得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 xml:space="preserve"> 日内向采购单位提出，否则，由此引起的一切损失和后果由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同时应认真审阅</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中所有的事项、格式、条款和规范要求等，若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没有按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要求提交全部资料及自己理解产生的误差，其风险由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自行承担，并根据有关条款规定，该投标有可能被拒绝。</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6</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的澄清</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可以要求采购单位对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中的有关问题进行答疑或澄清。</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如有异议，应在投标截止日期前向采购单位提出。</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.3、如果</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未在规定的时间内对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有关条款提出异议，则视为充分理解</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所有内容。一旦提交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，则认为该</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接受</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的所有条款。</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.4、采购单位对在规定时间收到的、且需要做出澄清的问题，将以9.2款所述方式进行答复，但不说明问题的来源。</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比选文件</w:t>
      </w:r>
      <w:r>
        <w:rPr>
          <w:rFonts w:hint="eastAsia" w:ascii="宋体" w:hAnsi="宋体" w:eastAsia="宋体" w:cs="Times New Roman"/>
          <w:b/>
          <w:color w:val="auto"/>
          <w:szCs w:val="21"/>
          <w:highlight w:val="none"/>
        </w:rPr>
        <w:t>的修改</w:t>
      </w:r>
    </w:p>
    <w:p>
      <w:pPr>
        <w:spacing w:line="500" w:lineRule="exact"/>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lang w:val="en-US" w:eastAsia="zh-CN"/>
        </w:rPr>
        <w:t>单位</w:t>
      </w:r>
      <w:r>
        <w:rPr>
          <w:rFonts w:hint="eastAsia" w:ascii="宋体" w:hAnsi="宋体" w:eastAsia="宋体" w:cs="Times New Roman"/>
          <w:color w:val="auto"/>
          <w:szCs w:val="21"/>
          <w:highlight w:val="none"/>
        </w:rPr>
        <w:t>可以对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进行修改。</w:t>
      </w:r>
    </w:p>
    <w:p>
      <w:pPr>
        <w:spacing w:line="500" w:lineRule="exact"/>
        <w:ind w:firstLine="422" w:firstLineChars="200"/>
        <w:jc w:val="both"/>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val="en-US" w:eastAsia="zh-CN"/>
        </w:rPr>
        <w:t>7</w:t>
      </w:r>
      <w:r>
        <w:rPr>
          <w:rFonts w:hint="eastAsia"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lang w:eastAsia="zh-CN"/>
        </w:rPr>
        <w:t>采购</w:t>
      </w:r>
      <w:r>
        <w:rPr>
          <w:rFonts w:hint="eastAsia" w:ascii="宋体" w:hAnsi="宋体" w:eastAsia="宋体" w:cs="Times New Roman"/>
          <w:b/>
          <w:bCs/>
          <w:color w:val="auto"/>
          <w:szCs w:val="21"/>
          <w:highlight w:val="none"/>
          <w:lang w:val="en-US" w:eastAsia="zh-CN"/>
        </w:rPr>
        <w:t>单位</w:t>
      </w:r>
      <w:r>
        <w:rPr>
          <w:rFonts w:hint="eastAsia" w:ascii="宋体" w:hAnsi="宋体" w:eastAsia="宋体" w:cs="Times New Roman"/>
          <w:b/>
          <w:bCs/>
          <w:color w:val="auto"/>
          <w:szCs w:val="21"/>
          <w:highlight w:val="none"/>
        </w:rPr>
        <w:t>对</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异议的答复和对</w:t>
      </w:r>
      <w:r>
        <w:rPr>
          <w:rFonts w:hint="eastAsia" w:ascii="宋体" w:hAnsi="宋体" w:eastAsia="宋体" w:cs="Times New Roman"/>
          <w:b/>
          <w:bCs/>
          <w:color w:val="auto"/>
          <w:szCs w:val="21"/>
          <w:highlight w:val="none"/>
          <w:lang w:eastAsia="zh-CN"/>
        </w:rPr>
        <w:t>比选文件</w:t>
      </w:r>
      <w:r>
        <w:rPr>
          <w:rFonts w:hint="eastAsia" w:ascii="宋体" w:hAnsi="宋体" w:eastAsia="宋体" w:cs="Times New Roman"/>
          <w:b/>
          <w:bCs/>
          <w:color w:val="auto"/>
          <w:szCs w:val="21"/>
          <w:highlight w:val="none"/>
        </w:rPr>
        <w:t>的</w:t>
      </w:r>
      <w:r>
        <w:rPr>
          <w:rFonts w:ascii="宋体" w:hAnsi="宋体" w:eastAsia="宋体" w:cs="Times New Roman"/>
          <w:b/>
          <w:bCs/>
          <w:color w:val="auto"/>
          <w:szCs w:val="21"/>
          <w:highlight w:val="none"/>
        </w:rPr>
        <w:t>澄</w:t>
      </w:r>
      <w:r>
        <w:rPr>
          <w:rFonts w:hint="eastAsia" w:ascii="宋体" w:hAnsi="宋体" w:eastAsia="宋体" w:cs="Times New Roman"/>
          <w:b/>
          <w:bCs/>
          <w:color w:val="auto"/>
          <w:szCs w:val="21"/>
          <w:highlight w:val="none"/>
        </w:rPr>
        <w:t>清、修改、补充说明等内容均通过</w:t>
      </w:r>
      <w:r>
        <w:rPr>
          <w:rFonts w:hint="eastAsia" w:ascii="宋体" w:hAnsi="宋体" w:eastAsia="宋体" w:cs="Times New Roman"/>
          <w:b/>
          <w:bCs/>
          <w:color w:val="auto"/>
          <w:szCs w:val="21"/>
          <w:highlight w:val="none"/>
          <w:lang w:eastAsia="zh-CN"/>
        </w:rPr>
        <w:t>安庆市交通控股集团有限公司集采</w:t>
      </w:r>
      <w:r>
        <w:rPr>
          <w:rFonts w:hint="eastAsia" w:ascii="宋体" w:hAnsi="宋体" w:eastAsia="宋体" w:cs="Times New Roman"/>
          <w:b/>
          <w:bCs/>
          <w:color w:val="auto"/>
          <w:szCs w:val="21"/>
          <w:highlight w:val="none"/>
          <w:lang w:val="en-US" w:eastAsia="zh-CN"/>
        </w:rPr>
        <w:t>平台</w:t>
      </w:r>
      <w:r>
        <w:rPr>
          <w:rFonts w:hint="eastAsia" w:ascii="宋体" w:hAnsi="宋体" w:eastAsia="宋体" w:cs="Times New Roman"/>
          <w:b/>
          <w:bCs/>
          <w:color w:val="auto"/>
          <w:szCs w:val="21"/>
          <w:highlight w:val="none"/>
          <w:lang w:eastAsia="zh-CN"/>
        </w:rPr>
        <w:t>（http：//jc.zh0556.com/）</w:t>
      </w:r>
      <w:r>
        <w:rPr>
          <w:rFonts w:hint="eastAsia" w:ascii="宋体" w:hAnsi="宋体" w:eastAsia="宋体" w:cs="Times New Roman"/>
          <w:b/>
          <w:bCs/>
          <w:color w:val="auto"/>
          <w:szCs w:val="21"/>
          <w:highlight w:val="none"/>
        </w:rPr>
        <w:t>招标采购栏目发布，该修改内容作为</w:t>
      </w:r>
      <w:r>
        <w:rPr>
          <w:rFonts w:hint="eastAsia" w:ascii="宋体" w:hAnsi="宋体" w:eastAsia="宋体" w:cs="Times New Roman"/>
          <w:b/>
          <w:bCs/>
          <w:color w:val="auto"/>
          <w:szCs w:val="21"/>
          <w:highlight w:val="none"/>
          <w:lang w:eastAsia="zh-CN"/>
        </w:rPr>
        <w:t>比选</w:t>
      </w:r>
      <w:r>
        <w:rPr>
          <w:rFonts w:hint="eastAsia" w:ascii="宋体" w:hAnsi="宋体" w:eastAsia="宋体" w:cs="Times New Roman"/>
          <w:b/>
          <w:bCs/>
          <w:color w:val="auto"/>
          <w:szCs w:val="21"/>
          <w:highlight w:val="none"/>
        </w:rPr>
        <w:t>文件的组成部分，具有约束作用。</w:t>
      </w:r>
    </w:p>
    <w:p>
      <w:pPr>
        <w:spacing w:line="360" w:lineRule="auto"/>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.3、</w:t>
      </w:r>
      <w:bookmarkStart w:id="34" w:name="_Toc9821"/>
      <w:r>
        <w:rPr>
          <w:rFonts w:hint="eastAsia" w:ascii="宋体" w:hAnsi="宋体" w:eastAsia="宋体" w:cs="Times New Roman"/>
          <w:color w:val="auto"/>
          <w:szCs w:val="21"/>
          <w:highlight w:val="none"/>
        </w:rPr>
        <w:t>当</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与对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的澄清、修改、补充等在同一内容的表述上不一致时，以最后发出的为准。</w:t>
      </w:r>
    </w:p>
    <w:p>
      <w:pPr>
        <w:spacing w:line="360" w:lineRule="auto"/>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.4、为使</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有充分时间对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的澄清、修改、补充部分进行研究，或是由于其他原因，采购单位可以决定顺延投标截止时间，具体时间通过</w:t>
      </w:r>
      <w:r>
        <w:rPr>
          <w:rFonts w:hint="eastAsia" w:ascii="宋体" w:hAnsi="宋体" w:eastAsia="宋体" w:cs="宋体"/>
          <w:color w:val="auto"/>
          <w:szCs w:val="21"/>
          <w:highlight w:val="none"/>
          <w:lang w:eastAsia="zh-CN"/>
        </w:rPr>
        <w:t>安庆市交通控股集团有限公司集采平台</w:t>
      </w:r>
      <w:r>
        <w:rPr>
          <w:rFonts w:hint="eastAsia" w:ascii="宋体" w:hAnsi="宋体" w:eastAsia="宋体" w:cs="宋体"/>
          <w:color w:val="auto"/>
          <w:szCs w:val="21"/>
          <w:highlight w:val="none"/>
        </w:rPr>
        <w:t>网站发布</w:t>
      </w:r>
      <w:r>
        <w:rPr>
          <w:rFonts w:hint="eastAsia" w:ascii="宋体" w:hAnsi="宋体" w:eastAsia="宋体" w:cs="Times New Roman"/>
          <w:color w:val="auto"/>
          <w:szCs w:val="21"/>
          <w:highlight w:val="none"/>
        </w:rPr>
        <w:t>。</w:t>
      </w:r>
    </w:p>
    <w:bookmarkEnd w:id="34"/>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的构成</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应该按照“</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格式”规定的内容和顺序进行编写。</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应提交“</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须知前附表”中规定的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的真实性与准确性负责。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一旦中标，其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将作为合同的重要组成部分。</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提供的</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能满足</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约定的实质性要求。否则，其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在评标时有可能被认为是对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未做出实质性的响应，而被评标委员会终止对其作进一步的评审。</w:t>
      </w:r>
    </w:p>
    <w:p>
      <w:pPr>
        <w:spacing w:line="500" w:lineRule="exact"/>
        <w:ind w:firstLine="422" w:firstLineChars="200"/>
        <w:jc w:val="both"/>
        <w:rPr>
          <w:rFonts w:hint="eastAsia"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0</w:t>
      </w:r>
      <w:r>
        <w:rPr>
          <w:rFonts w:hint="eastAsia" w:ascii="宋体" w:hAnsi="宋体" w:eastAsia="宋体" w:cs="Times New Roman"/>
          <w:b/>
          <w:color w:val="auto"/>
          <w:szCs w:val="21"/>
          <w:highlight w:val="none"/>
        </w:rPr>
        <w:t>、投标</w:t>
      </w:r>
      <w:r>
        <w:rPr>
          <w:rFonts w:hint="eastAsia" w:ascii="宋体" w:hAnsi="宋体" w:eastAsia="宋体" w:cs="Times New Roman"/>
          <w:b/>
          <w:color w:val="auto"/>
          <w:szCs w:val="21"/>
          <w:highlight w:val="none"/>
          <w:lang w:val="en-US" w:eastAsia="zh-CN"/>
        </w:rPr>
        <w:t>费率</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货物投标费率表</w:t>
      </w:r>
      <w:r>
        <w:rPr>
          <w:rFonts w:hint="eastAsia" w:ascii="宋体" w:hAnsi="宋体" w:eastAsia="宋体" w:cs="Times New Roman"/>
          <w:color w:val="auto"/>
          <w:szCs w:val="21"/>
          <w:highlight w:val="none"/>
        </w:rPr>
        <w:t>上应清楚地标明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拟提供</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的名称、</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等内容。</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.2、除非特别要求，每个项目（或每个包）只允许有一个方案、一个</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。多方案、多</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将视为无效</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应包含满足本次</w:t>
      </w:r>
      <w:r>
        <w:rPr>
          <w:rFonts w:hint="eastAsia" w:ascii="宋体" w:hAnsi="宋体" w:eastAsia="宋体" w:cs="Times New Roman"/>
          <w:color w:val="auto"/>
          <w:szCs w:val="21"/>
          <w:highlight w:val="none"/>
          <w:lang w:eastAsia="zh-CN"/>
        </w:rPr>
        <w:t>采购</w:t>
      </w:r>
      <w:r>
        <w:rPr>
          <w:rFonts w:hint="eastAsia" w:ascii="宋体" w:hAnsi="宋体" w:eastAsia="宋体" w:cs="Times New Roman"/>
          <w:color w:val="auto"/>
          <w:szCs w:val="21"/>
          <w:highlight w:val="none"/>
        </w:rPr>
        <w:t>需求的所有费用（包括但不限于：</w:t>
      </w:r>
      <w:r>
        <w:rPr>
          <w:rFonts w:hint="eastAsia" w:ascii="宋体" w:hAnsi="宋体" w:eastAsia="宋体" w:cs="宋体"/>
          <w:color w:val="auto"/>
          <w:szCs w:val="21"/>
          <w:highlight w:val="none"/>
        </w:rPr>
        <w:t>人工费、材料费、</w:t>
      </w:r>
      <w:r>
        <w:rPr>
          <w:rFonts w:hint="eastAsia" w:ascii="宋体" w:hAnsi="宋体" w:eastAsia="宋体" w:cs="宋体"/>
          <w:color w:val="auto"/>
          <w:szCs w:val="21"/>
          <w:highlight w:val="none"/>
          <w:lang w:val="en-US" w:eastAsia="zh-CN"/>
        </w:rPr>
        <w:t>运输</w:t>
      </w:r>
      <w:r>
        <w:rPr>
          <w:rFonts w:hint="eastAsia" w:ascii="宋体" w:hAnsi="宋体" w:eastAsia="宋体" w:cs="宋体"/>
          <w:color w:val="auto"/>
          <w:szCs w:val="21"/>
          <w:highlight w:val="none"/>
        </w:rPr>
        <w:t>费、保险、税金等）。</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.4、投标</w:t>
      </w:r>
      <w:r>
        <w:rPr>
          <w:rFonts w:hint="eastAsia" w:ascii="宋体" w:hAnsi="宋体" w:eastAsia="宋体" w:cs="Times New Roman"/>
          <w:color w:val="auto"/>
          <w:szCs w:val="21"/>
          <w:highlight w:val="none"/>
          <w:lang w:val="en-US" w:eastAsia="zh-CN"/>
        </w:rPr>
        <w:t>费率高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最高</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为投标无效。</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.5.若</w:t>
      </w:r>
      <w:r>
        <w:rPr>
          <w:rFonts w:hint="eastAsia" w:ascii="Times New Roman" w:hAnsi="Times New Roman" w:eastAsia="宋体" w:cs="Times New Roman"/>
          <w:color w:val="auto"/>
          <w:szCs w:val="24"/>
          <w:highlight w:val="none"/>
          <w:lang w:eastAsia="zh-CN"/>
        </w:rPr>
        <w:t>参选报价函</w:t>
      </w:r>
      <w:r>
        <w:rPr>
          <w:rFonts w:hint="eastAsia" w:ascii="Times New Roman" w:hAnsi="Times New Roman" w:eastAsia="宋体" w:cs="Times New Roman"/>
          <w:color w:val="auto"/>
          <w:szCs w:val="24"/>
          <w:highlight w:val="none"/>
          <w:lang w:val="en-US" w:eastAsia="zh-CN"/>
        </w:rPr>
        <w:t>中</w:t>
      </w:r>
      <w:r>
        <w:rPr>
          <w:rFonts w:hint="eastAsia" w:ascii="Times New Roman" w:hAnsi="Times New Roman" w:eastAsia="宋体" w:cs="Times New Roman"/>
          <w:color w:val="auto"/>
          <w:szCs w:val="24"/>
          <w:highlight w:val="none"/>
        </w:rPr>
        <w:t>报价的大写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和小写</w:t>
      </w:r>
      <w:r>
        <w:rPr>
          <w:rFonts w:hint="eastAsia" w:ascii="Times New Roman" w:hAnsi="Times New Roman" w:eastAsia="宋体" w:cs="Times New Roman"/>
          <w:color w:val="auto"/>
          <w:szCs w:val="24"/>
          <w:highlight w:val="none"/>
          <w:lang w:val="en-US" w:eastAsia="zh-CN"/>
        </w:rPr>
        <w:t>费率</w:t>
      </w:r>
      <w:r>
        <w:rPr>
          <w:rFonts w:hint="eastAsia" w:ascii="Times New Roman" w:hAnsi="Times New Roman" w:eastAsia="宋体" w:cs="Times New Roman"/>
          <w:color w:val="auto"/>
          <w:szCs w:val="24"/>
          <w:highlight w:val="none"/>
        </w:rPr>
        <w:t>不一致的</w:t>
      </w:r>
      <w:r>
        <w:rPr>
          <w:rFonts w:hint="eastAsia" w:ascii="宋体" w:hAnsi="宋体" w:eastAsia="宋体" w:cs="Times New Roman"/>
          <w:color w:val="auto"/>
          <w:szCs w:val="21"/>
          <w:highlight w:val="none"/>
        </w:rPr>
        <w:t>，以大写</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为准；单</w:t>
      </w:r>
      <w:r>
        <w:rPr>
          <w:rFonts w:hint="eastAsia" w:ascii="宋体" w:hAnsi="宋体" w:eastAsia="宋体" w:cs="Times New Roman"/>
          <w:color w:val="auto"/>
          <w:szCs w:val="21"/>
          <w:highlight w:val="none"/>
          <w:lang w:val="en-US" w:eastAsia="zh-CN"/>
        </w:rPr>
        <w:t>项投标费率</w:t>
      </w:r>
      <w:r>
        <w:rPr>
          <w:rFonts w:hint="eastAsia" w:ascii="宋体" w:hAnsi="宋体" w:eastAsia="宋体" w:cs="Times New Roman"/>
          <w:color w:val="auto"/>
          <w:szCs w:val="21"/>
          <w:highlight w:val="none"/>
        </w:rPr>
        <w:t>小数点有明显错位的，应以总</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为准，并修正单</w:t>
      </w:r>
      <w:r>
        <w:rPr>
          <w:rFonts w:hint="eastAsia" w:ascii="宋体" w:hAnsi="宋体" w:eastAsia="宋体" w:cs="Times New Roman"/>
          <w:color w:val="auto"/>
          <w:szCs w:val="21"/>
          <w:highlight w:val="none"/>
          <w:lang w:val="en-US" w:eastAsia="zh-CN"/>
        </w:rPr>
        <w:t>项投标费率</w:t>
      </w:r>
      <w:r>
        <w:rPr>
          <w:rFonts w:hint="eastAsia" w:ascii="宋体" w:hAnsi="宋体" w:eastAsia="宋体" w:cs="Times New Roman"/>
          <w:color w:val="auto"/>
          <w:szCs w:val="21"/>
          <w:highlight w:val="none"/>
        </w:rPr>
        <w:t>。</w:t>
      </w:r>
    </w:p>
    <w:p>
      <w:pPr>
        <w:spacing w:line="360" w:lineRule="auto"/>
        <w:ind w:firstLine="420" w:firstLineChars="200"/>
        <w:jc w:val="both"/>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0</w:t>
      </w: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val="en-US" w:eastAsia="zh-CN"/>
        </w:rPr>
        <w:t>参选报价函中报价与参选文件中相应内容不一致的，以参选报价函中费率为准。</w:t>
      </w:r>
    </w:p>
    <w:p>
      <w:pPr>
        <w:spacing w:line="500" w:lineRule="exact"/>
        <w:ind w:firstLine="422" w:firstLineChars="200"/>
        <w:jc w:val="both"/>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、投标货币：</w:t>
      </w:r>
      <w:r>
        <w:rPr>
          <w:rFonts w:hint="eastAsia" w:ascii="宋体" w:hAnsi="宋体" w:eastAsia="宋体" w:cs="Times New Roman"/>
          <w:color w:val="auto"/>
          <w:szCs w:val="21"/>
          <w:highlight w:val="none"/>
        </w:rPr>
        <w:t>人民币。</w:t>
      </w:r>
    </w:p>
    <w:p>
      <w:pPr>
        <w:spacing w:line="500" w:lineRule="exact"/>
        <w:ind w:firstLine="422" w:firstLineChars="200"/>
        <w:jc w:val="both"/>
        <w:rPr>
          <w:rFonts w:hint="default" w:ascii="宋体" w:hAnsi="宋体" w:eastAsia="宋体" w:cs="Times New Roman"/>
          <w:b/>
          <w:color w:val="auto"/>
          <w:szCs w:val="21"/>
          <w:highlight w:val="none"/>
          <w:lang w:val="en-US" w:eastAsia="zh-CN"/>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2</w:t>
      </w:r>
      <w:r>
        <w:rPr>
          <w:rFonts w:hint="eastAsia" w:ascii="宋体" w:hAnsi="宋体" w:eastAsia="宋体" w:cs="Times New Roman"/>
          <w:b/>
          <w:color w:val="auto"/>
          <w:szCs w:val="21"/>
          <w:highlight w:val="none"/>
        </w:rPr>
        <w:t>、投标保证金</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本项目不收取</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3</w:t>
      </w:r>
      <w:r>
        <w:rPr>
          <w:rFonts w:hint="eastAsia" w:ascii="宋体" w:hAnsi="宋体" w:eastAsia="宋体" w:cs="Times New Roman"/>
          <w:b/>
          <w:color w:val="auto"/>
          <w:szCs w:val="21"/>
          <w:highlight w:val="none"/>
        </w:rPr>
        <w:t>、投标有效期</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.1、投标有效期见“</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须知前附表”的规定。</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.2、在投标有效期内，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不得要求撤销或修改其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.3、投标有效期从投标截止之日算起。</w:t>
      </w:r>
    </w:p>
    <w:p>
      <w:pPr>
        <w:spacing w:line="500" w:lineRule="exact"/>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。同意延长投标有效期的中标候选人既不能要求也不允许修改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和其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auto"/>
          <w:kern w:val="0"/>
          <w:sz w:val="21"/>
          <w:szCs w:val="21"/>
          <w:highlight w:val="none"/>
          <w:lang w:val="en-US" w:eastAsia="zh-CN" w:bidi="ar-SA"/>
        </w:rPr>
      </w:pPr>
      <w:r>
        <w:rPr>
          <w:rFonts w:hint="eastAsia" w:ascii="宋体" w:hAnsi="宋体" w:eastAsia="宋体" w:cs="Times New Roman"/>
          <w:b/>
          <w:color w:val="auto"/>
          <w:kern w:val="0"/>
          <w:sz w:val="21"/>
          <w:szCs w:val="21"/>
          <w:highlight w:val="none"/>
          <w:lang w:val="en-US" w:eastAsia="zh-CN" w:bidi="ar-SA"/>
        </w:rPr>
        <w:t>14、参选文件的签署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须知前附表”约定的份数和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货物投标费率表</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报价表、</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35" w:name="_Toc12503"/>
      <w:bookmarkStart w:id="36" w:name="_Toc25319"/>
      <w:bookmarkStart w:id="37" w:name="_Toc4481594"/>
      <w:bookmarkStart w:id="38" w:name="_Toc479622046"/>
      <w:r>
        <w:rPr>
          <w:rFonts w:hint="eastAsia" w:ascii="Arial" w:hAnsi="Arial" w:eastAsia="宋体" w:cs="Times New Roman"/>
          <w:b/>
          <w:color w:val="auto"/>
          <w:kern w:val="0"/>
          <w:sz w:val="32"/>
          <w:szCs w:val="20"/>
          <w:highlight w:val="none"/>
          <w:lang w:val="en-US" w:eastAsia="zh-CN" w:bidi="ar-SA"/>
        </w:rPr>
        <w:t>（四）参选文件的提交</w:t>
      </w:r>
      <w:bookmarkEnd w:id="35"/>
      <w:bookmarkEnd w:id="36"/>
      <w:bookmarkEnd w:id="37"/>
      <w:bookmarkEnd w:id="38"/>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5</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的装订、密封和标记</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正本和副本均需胶装成册并标明页码，不得采用活页或容易拆解的装订形式。</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w:t>
      </w:r>
      <w:r>
        <w:rPr>
          <w:rFonts w:hint="eastAsia" w:ascii="宋体" w:hAnsi="宋体" w:eastAsia="宋体" w:cs="Times New Roman"/>
          <w:b/>
          <w:bCs/>
          <w:color w:val="auto"/>
          <w:szCs w:val="21"/>
          <w:highlight w:val="none"/>
          <w:lang w:val="en-US" w:eastAsia="zh-CN"/>
        </w:rPr>
        <w:t>6</w:t>
      </w:r>
      <w:r>
        <w:rPr>
          <w:rFonts w:hint="eastAsia" w:ascii="宋体" w:hAnsi="宋体" w:eastAsia="宋体" w:cs="Times New Roman"/>
          <w:b/>
          <w:bCs/>
          <w:color w:val="auto"/>
          <w:szCs w:val="21"/>
          <w:highlight w:val="none"/>
        </w:rPr>
        <w:t>.</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密封袋上应写明：</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项目名称、</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采购人</w:t>
      </w:r>
      <w:r>
        <w:rPr>
          <w:rFonts w:hint="eastAsia" w:ascii="宋体" w:hAnsi="宋体" w:eastAsia="宋体" w:cs="Times New Roman"/>
          <w:b/>
          <w:bCs/>
          <w:color w:val="auto"/>
          <w:szCs w:val="21"/>
          <w:highlight w:val="none"/>
        </w:rPr>
        <w:t>名称、</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名称（加盖</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公章）。</w:t>
      </w:r>
    </w:p>
    <w:p>
      <w:pPr>
        <w:spacing w:line="360" w:lineRule="auto"/>
        <w:ind w:firstLine="420" w:firstLineChars="200"/>
        <w:jc w:val="both"/>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 xml:space="preserve">1 </w:t>
      </w:r>
      <w:r>
        <w:rPr>
          <w:rFonts w:hint="eastAsia" w:ascii="宋体" w:hAnsi="宋体" w:eastAsia="宋体" w:cs="Times New Roman"/>
          <w:color w:val="auto"/>
          <w:szCs w:val="21"/>
          <w:highlight w:val="none"/>
        </w:rPr>
        <w:t>未按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须知要求装订、密封和标记的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，将不被接受。</w:t>
      </w:r>
    </w:p>
    <w:p>
      <w:pPr>
        <w:spacing w:line="500" w:lineRule="exact"/>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7</w:t>
      </w:r>
      <w:r>
        <w:rPr>
          <w:rFonts w:hint="eastAsia" w:ascii="宋体" w:hAnsi="宋体" w:eastAsia="宋体" w:cs="Times New Roman"/>
          <w:b/>
          <w:color w:val="auto"/>
          <w:szCs w:val="21"/>
          <w:highlight w:val="none"/>
        </w:rPr>
        <w:t>、投标截止时间</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应在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须知前附表中约定的投标截止时间前将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提交至指定地点。逾期送达的或者未按要求送达指定地点的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有权按本须知的约定，通过修改</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相关条款以延长投标截止时间。在此情况下，</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w:t>
      </w:r>
      <w:r>
        <w:rPr>
          <w:rFonts w:hint="eastAsia" w:ascii="宋体" w:hAnsi="宋体" w:eastAsia="宋体" w:cs="Times New Roman"/>
          <w:b/>
          <w:color w:val="auto"/>
          <w:szCs w:val="21"/>
          <w:highlight w:val="none"/>
          <w:lang w:val="en-US" w:eastAsia="zh-CN"/>
        </w:rPr>
        <w:t>8</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参选文件</w:t>
      </w:r>
      <w:r>
        <w:rPr>
          <w:rFonts w:hint="eastAsia" w:ascii="宋体" w:hAnsi="宋体" w:eastAsia="宋体" w:cs="Times New Roman"/>
          <w:b/>
          <w:color w:val="auto"/>
          <w:szCs w:val="21"/>
          <w:highlight w:val="none"/>
        </w:rPr>
        <w:t>的修改与撤回</w:t>
      </w:r>
    </w:p>
    <w:p>
      <w:pPr>
        <w:widowControl/>
        <w:spacing w:line="500" w:lineRule="exact"/>
        <w:ind w:firstLine="420" w:firstLineChars="200"/>
        <w:jc w:val="left"/>
        <w:rPr>
          <w:rFonts w:hint="eastAsia" w:ascii="宋体" w:hAnsi="宋体" w:eastAsia="宋体" w:cs="Times New Roman"/>
          <w:color w:val="auto"/>
          <w:szCs w:val="21"/>
          <w:highlight w:val="none"/>
        </w:rPr>
      </w:pPr>
      <w:bookmarkStart w:id="39" w:name="_Toc479622047"/>
      <w:bookmarkStart w:id="40" w:name="_Toc23598"/>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以后，在约定的投标截止时间之前，可以以书面形式补充修改或撤回已提交的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，并以书面形式通知</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。补充、修改的内容为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的组成部分。</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的修改或撤回通知应按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须知规定编制、密封、标记和提交，并在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在投标截止时间之后，</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做任何修改。</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19</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在规定的投标有效期内，</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不得撤回其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41" w:name="_Toc4481595"/>
      <w:r>
        <w:rPr>
          <w:rFonts w:hint="eastAsia" w:ascii="Arial" w:hAnsi="Arial" w:eastAsia="宋体" w:cs="Times New Roman"/>
          <w:b/>
          <w:color w:val="auto"/>
          <w:kern w:val="0"/>
          <w:sz w:val="32"/>
          <w:szCs w:val="20"/>
          <w:highlight w:val="none"/>
          <w:lang w:val="en-US" w:eastAsia="zh-CN" w:bidi="ar-SA"/>
        </w:rPr>
        <w:t>（五）开标</w:t>
      </w:r>
      <w:bookmarkEnd w:id="39"/>
      <w:bookmarkEnd w:id="40"/>
      <w:bookmarkEnd w:id="41"/>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20、开标时间和地点：</w:t>
      </w:r>
      <w:r>
        <w:rPr>
          <w:rFonts w:hint="eastAsia" w:ascii="宋体" w:hAnsi="宋体" w:eastAsia="宋体" w:cs="Times New Roman"/>
          <w:color w:val="auto"/>
          <w:szCs w:val="21"/>
          <w:highlight w:val="none"/>
        </w:rPr>
        <w:t>采购单位将在“</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须知前附表”约定的时间和地点开标，并邀请监督人员、所有</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的法定代表人或个体工商户经营者或其授权委托人按时参加。</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21、开标程序</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开标由采购单位代表主持，主持人按下列程序进行：</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21.1.1</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宣布项目名称、介绍参会人员；</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21.1.2</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宣布开标纪律；</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21.1.3</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代表和监督人员查验</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相关证件资料并宣布查验结果；</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21.1.4</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由各</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互相检查</w:t>
      </w:r>
      <w:r>
        <w:rPr>
          <w:rFonts w:hint="eastAsia" w:ascii="宋体" w:hAnsi="宋体" w:eastAsia="宋体" w:cs="宋体"/>
          <w:color w:val="auto"/>
          <w:szCs w:val="21"/>
          <w:highlight w:val="none"/>
          <w:lang w:eastAsia="zh-CN" w:bidi="ar"/>
        </w:rPr>
        <w:t>参选文件</w:t>
      </w:r>
      <w:r>
        <w:rPr>
          <w:rFonts w:hint="eastAsia" w:ascii="宋体" w:hAnsi="宋体" w:eastAsia="宋体" w:cs="宋体"/>
          <w:color w:val="auto"/>
          <w:szCs w:val="21"/>
          <w:highlight w:val="none"/>
          <w:lang w:bidi="ar"/>
        </w:rPr>
        <w:t>的密封情况，并确认</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 xml:space="preserve">是否存在异议； </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21.1.5</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依次当众开标，公布</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名称、报价及</w:t>
      </w:r>
      <w:r>
        <w:rPr>
          <w:rFonts w:hint="eastAsia" w:ascii="宋体" w:hAnsi="宋体" w:eastAsia="宋体" w:cs="宋体"/>
          <w:color w:val="auto"/>
          <w:szCs w:val="21"/>
          <w:highlight w:val="none"/>
          <w:lang w:eastAsia="zh-CN" w:bidi="ar"/>
        </w:rPr>
        <w:t>参选报价函</w:t>
      </w:r>
      <w:r>
        <w:rPr>
          <w:rFonts w:hint="eastAsia" w:ascii="宋体" w:hAnsi="宋体" w:eastAsia="宋体" w:cs="宋体"/>
          <w:color w:val="auto"/>
          <w:szCs w:val="21"/>
          <w:highlight w:val="none"/>
          <w:lang w:bidi="ar"/>
        </w:rPr>
        <w:t>其他内容，并记录在案；</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21.1.6</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eastAsia="zh-CN" w:bidi="ar"/>
        </w:rPr>
        <w:t>参选人</w:t>
      </w:r>
      <w:r>
        <w:rPr>
          <w:rFonts w:hint="eastAsia" w:ascii="宋体" w:hAnsi="宋体" w:eastAsia="宋体" w:cs="宋体"/>
          <w:color w:val="auto"/>
          <w:szCs w:val="21"/>
          <w:highlight w:val="none"/>
          <w:lang w:bidi="ar"/>
        </w:rPr>
        <w:t>代表、</w:t>
      </w:r>
      <w:r>
        <w:rPr>
          <w:rFonts w:hint="eastAsia" w:ascii="宋体" w:hAnsi="宋体" w:eastAsia="宋体" w:cs="Times New Roman"/>
          <w:color w:val="auto"/>
          <w:szCs w:val="21"/>
          <w:highlight w:val="none"/>
          <w:lang w:eastAsia="zh-CN"/>
        </w:rPr>
        <w:t>采购人</w:t>
      </w:r>
      <w:r>
        <w:rPr>
          <w:rFonts w:hint="eastAsia" w:ascii="宋体" w:hAnsi="宋体" w:eastAsia="宋体" w:cs="宋体"/>
          <w:color w:val="auto"/>
          <w:szCs w:val="21"/>
          <w:highlight w:val="none"/>
          <w:lang w:bidi="ar"/>
        </w:rPr>
        <w:t>代表、监督人员、记录人等有关人员在开标记录表上签字确认；</w:t>
      </w:r>
    </w:p>
    <w:p>
      <w:pPr>
        <w:spacing w:line="360" w:lineRule="auto"/>
        <w:ind w:firstLine="420" w:firstLineChars="200"/>
        <w:jc w:val="both"/>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21.1.7</w:t>
      </w:r>
      <w:r>
        <w:rPr>
          <w:rFonts w:hint="eastAsia" w:ascii="宋体" w:hAnsi="宋体" w:eastAsia="宋体" w:cs="宋体"/>
          <w:color w:val="auto"/>
          <w:szCs w:val="21"/>
          <w:highlight w:val="none"/>
          <w:lang w:val="en-US" w:eastAsia="zh-CN" w:bidi="ar"/>
        </w:rPr>
        <w:t xml:space="preserve"> </w:t>
      </w:r>
      <w:r>
        <w:rPr>
          <w:rFonts w:hint="eastAsia" w:ascii="宋体" w:hAnsi="宋体" w:eastAsia="宋体" w:cs="宋体"/>
          <w:color w:val="auto"/>
          <w:szCs w:val="21"/>
          <w:highlight w:val="none"/>
          <w:lang w:bidi="ar"/>
        </w:rPr>
        <w:t>暂时休会，进入评审阶段；</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21.2</w:t>
      </w:r>
      <w:r>
        <w:rPr>
          <w:rFonts w:hint="eastAsia" w:ascii="宋体" w:hAnsi="宋体" w:eastAsia="宋体" w:cs="Times New Roman"/>
          <w:b/>
          <w:bCs/>
          <w:color w:val="auto"/>
          <w:szCs w:val="21"/>
          <w:highlight w:val="none"/>
          <w:lang w:val="en-US" w:eastAsia="zh-CN"/>
        </w:rPr>
        <w:t xml:space="preserve"> </w:t>
      </w:r>
      <w:r>
        <w:rPr>
          <w:rFonts w:hint="eastAsia" w:ascii="宋体" w:hAnsi="宋体" w:eastAsia="宋体" w:cs="Times New Roman"/>
          <w:b/>
          <w:bCs/>
          <w:color w:val="auto"/>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21.2.1 采购人审查参选人以下证件，若证件不全或不符合要求，则查验不合格。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1.法定代表人或个体工商户经营者应出示有效二代居民身份证复印件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2.授权委托人应出示授权书；（授权书格式见附件）。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w:t>
      </w:r>
      <w:r>
        <w:rPr>
          <w:rFonts w:hint="eastAsia" w:ascii="宋体" w:hAnsi="宋体" w:eastAsia="宋体" w:cs="Times New Roman"/>
          <w:color w:val="auto"/>
          <w:szCs w:val="21"/>
          <w:highlight w:val="none"/>
          <w:lang w:val="en-US" w:eastAsia="zh-CN"/>
        </w:rPr>
        <w:t xml:space="preserve">2.2 </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要求包装、密封的。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22.2.1、</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未按要求参加开标会、未按要求出示</w:t>
      </w:r>
      <w:r>
        <w:rPr>
          <w:rFonts w:hint="eastAsia" w:ascii="宋体" w:hAnsi="宋体" w:eastAsia="宋体" w:cs="Times New Roman"/>
          <w:color w:val="auto"/>
          <w:szCs w:val="21"/>
          <w:highlight w:val="none"/>
          <w:lang w:val="en-US" w:eastAsia="zh-CN"/>
        </w:rPr>
        <w:t>材料</w:t>
      </w:r>
      <w:r>
        <w:rPr>
          <w:rFonts w:hint="eastAsia" w:ascii="宋体" w:hAnsi="宋体" w:eastAsia="宋体" w:cs="Times New Roman"/>
          <w:color w:val="auto"/>
          <w:szCs w:val="21"/>
          <w:highlight w:val="none"/>
        </w:rPr>
        <w:t>供现场查验或经查验不合格的、</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份数少于</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22.2.2、未按约定格式提供、填写</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货物投标费率表</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内容及质量要求响应表或</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参选报价函</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货物投标费率表</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货物</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存在下列情形之一，经评标委员会评审后，为</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无效：</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w:t>
      </w:r>
      <w:r>
        <w:rPr>
          <w:rFonts w:ascii="Times New Roman" w:hAnsi="宋体" w:eastAsia="宋体" w:cs="Times New Roman"/>
          <w:color w:val="auto"/>
          <w:szCs w:val="21"/>
          <w:highlight w:val="none"/>
        </w:rPr>
        <w:t>被责令停业</w:t>
      </w:r>
      <w:r>
        <w:rPr>
          <w:rFonts w:hint="eastAsia" w:ascii="Times New Roman" w:hAnsi="宋体" w:eastAsia="宋体" w:cs="Times New Roman"/>
          <w:color w:val="auto"/>
          <w:szCs w:val="21"/>
          <w:highlight w:val="none"/>
        </w:rPr>
        <w:t>且处于有效期内</w:t>
      </w:r>
      <w:r>
        <w:rPr>
          <w:rFonts w:ascii="Times New Roman" w:hAnsi="宋体" w:eastAsia="宋体" w:cs="Times New Roman"/>
          <w:color w:val="auto"/>
          <w:szCs w:val="21"/>
          <w:highlight w:val="none"/>
        </w:rPr>
        <w:t>的</w:t>
      </w:r>
      <w:r>
        <w:rPr>
          <w:rFonts w:hint="eastAsia" w:ascii="宋体" w:hAnsi="宋体" w:eastAsia="宋体" w:cs="Times New Roman"/>
          <w:color w:val="auto"/>
          <w:szCs w:val="21"/>
          <w:highlight w:val="none"/>
        </w:rPr>
        <w:t>；</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(2)被安庆市行政区域内公共资源交易监管部门限制</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资格且处于有效期内；</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(3)财产被接管或冻结可能影响本项目正常实施的；</w:t>
      </w:r>
    </w:p>
    <w:p>
      <w:pPr>
        <w:widowControl/>
        <w:numPr>
          <w:ilvl w:val="0"/>
          <w:numId w:val="7"/>
        </w:numPr>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法律、法规规定及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约定的其他情形。</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auto"/>
          <w:kern w:val="0"/>
          <w:sz w:val="32"/>
          <w:szCs w:val="20"/>
          <w:highlight w:val="none"/>
          <w:lang w:val="en-US" w:eastAsia="zh-CN" w:bidi="ar-SA"/>
        </w:rPr>
      </w:pPr>
      <w:bookmarkStart w:id="42" w:name="_Toc4481596"/>
      <w:r>
        <w:rPr>
          <w:rFonts w:hint="eastAsia" w:ascii="Arial" w:hAnsi="Arial" w:eastAsia="宋体" w:cs="Times New Roman"/>
          <w:b/>
          <w:color w:val="auto"/>
          <w:kern w:val="0"/>
          <w:sz w:val="32"/>
          <w:szCs w:val="20"/>
          <w:highlight w:val="none"/>
          <w:lang w:val="en-US" w:eastAsia="zh-CN" w:bidi="ar-SA"/>
        </w:rPr>
        <w:t>（六）评标</w:t>
      </w:r>
      <w:bookmarkEnd w:id="29"/>
      <w:bookmarkEnd w:id="42"/>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 xml:space="preserve">    23、评标委员会</w:t>
      </w:r>
      <w:r>
        <w:rPr>
          <w:rFonts w:hint="eastAsia" w:ascii="宋体" w:hAnsi="宋体" w:eastAsia="宋体" w:cs="Times New Roman"/>
          <w:color w:val="auto"/>
          <w:szCs w:val="21"/>
          <w:highlight w:val="none"/>
        </w:rPr>
        <w:t>（以下简称“评委会”）：评委会由采购人代表及评标专家依法组建。</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代表不得担任评委会组长。评标由评委会进行，评委应坚持公正、公平、诚实守信、实事求是、独立评标的原则。</w:t>
      </w:r>
    </w:p>
    <w:p>
      <w:pPr>
        <w:spacing w:line="360" w:lineRule="auto"/>
        <w:ind w:firstLine="422" w:firstLineChars="200"/>
        <w:jc w:val="both"/>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24、评标方法：</w:t>
      </w:r>
      <w:r>
        <w:rPr>
          <w:rFonts w:hint="eastAsia" w:ascii="宋体" w:hAnsi="宋体" w:eastAsia="宋体" w:cs="宋体"/>
          <w:color w:val="auto"/>
          <w:szCs w:val="21"/>
          <w:highlight w:val="none"/>
        </w:rPr>
        <w:t>采用</w:t>
      </w:r>
      <w:r>
        <w:rPr>
          <w:rFonts w:hint="eastAsia" w:ascii="宋体" w:hAnsi="宋体" w:eastAsia="宋体" w:cs="宋体"/>
          <w:color w:val="auto"/>
          <w:szCs w:val="21"/>
          <w:highlight w:val="none"/>
          <w:lang w:eastAsia="zh-CN"/>
        </w:rPr>
        <w:t>综合评分法</w:t>
      </w:r>
      <w:r>
        <w:rPr>
          <w:rFonts w:hint="eastAsia" w:ascii="宋体" w:hAnsi="宋体" w:eastAsia="宋体" w:cs="宋体"/>
          <w:color w:val="auto"/>
          <w:szCs w:val="21"/>
          <w:highlight w:val="none"/>
        </w:rPr>
        <w:t>。</w:t>
      </w:r>
    </w:p>
    <w:p>
      <w:pPr>
        <w:spacing w:line="360" w:lineRule="auto"/>
        <w:ind w:firstLine="422" w:firstLineChars="200"/>
        <w:jc w:val="left"/>
        <w:rPr>
          <w:rFonts w:ascii="宋体" w:hAnsi="宋体" w:eastAsia="宋体" w:cs="宋体"/>
          <w:b/>
          <w:color w:val="auto"/>
          <w:szCs w:val="21"/>
          <w:highlight w:val="none"/>
        </w:rPr>
      </w:pPr>
      <w:r>
        <w:rPr>
          <w:rFonts w:hint="eastAsia" w:ascii="宋体" w:hAnsi="宋体" w:eastAsia="宋体" w:cs="Times New Roman"/>
          <w:b/>
          <w:bCs/>
          <w:color w:val="auto"/>
          <w:szCs w:val="21"/>
          <w:highlight w:val="none"/>
        </w:rPr>
        <w:t>25、评标程序</w:t>
      </w:r>
      <w:r>
        <w:rPr>
          <w:rFonts w:hint="eastAsia" w:ascii="宋体" w:hAnsi="宋体" w:eastAsia="宋体" w:cs="Times New Roman"/>
          <w:color w:val="auto"/>
          <w:szCs w:val="21"/>
          <w:highlight w:val="none"/>
        </w:rPr>
        <w:t>：评标包括</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进行符合性审查，只有通过</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才能进入</w:t>
      </w:r>
      <w:r>
        <w:rPr>
          <w:rFonts w:hint="eastAsia" w:ascii="宋体" w:hAnsi="宋体" w:eastAsia="宋体" w:cs="Times New Roman"/>
          <w:color w:val="auto"/>
          <w:szCs w:val="21"/>
          <w:highlight w:val="none"/>
          <w:lang w:eastAsia="zh-CN"/>
        </w:rPr>
        <w:t>比选</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25.1、</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符合性审查，包括但不限于以下内容：</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资格是否符合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是否按</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的要求进行编制、盖章和标记；</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要求提交的各种资格证明文件是否真实、完整、合法、有效；</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货物</w:t>
      </w:r>
      <w:r>
        <w:rPr>
          <w:rFonts w:hint="eastAsia" w:ascii="宋体" w:hAnsi="宋体" w:eastAsia="宋体" w:cs="宋体"/>
          <w:color w:val="auto"/>
          <w:szCs w:val="21"/>
          <w:highlight w:val="none"/>
        </w:rPr>
        <w:t>内容及质量是否完全响应或优于</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要求；</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对法律、法规和</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其他明确要求的符合性；</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是否附有</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不能接受的条件；</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是否存在</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中</w:t>
      </w:r>
      <w:r>
        <w:rPr>
          <w:rFonts w:hint="eastAsia" w:ascii="宋体" w:hAnsi="宋体" w:eastAsia="宋体" w:cs="宋体"/>
          <w:color w:val="auto"/>
          <w:kern w:val="0"/>
          <w:szCs w:val="21"/>
          <w:highlight w:val="none"/>
        </w:rPr>
        <w:t>约定</w:t>
      </w:r>
      <w:r>
        <w:rPr>
          <w:rFonts w:hint="eastAsia" w:ascii="宋体" w:hAnsi="宋体" w:eastAsia="宋体" w:cs="宋体"/>
          <w:color w:val="auto"/>
          <w:szCs w:val="21"/>
          <w:highlight w:val="none"/>
        </w:rPr>
        <w:t>的无效</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的其他情形；</w:t>
      </w:r>
    </w:p>
    <w:p>
      <w:pPr>
        <w:spacing w:line="500" w:lineRule="exact"/>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参选文件</w:t>
      </w:r>
      <w:r>
        <w:rPr>
          <w:rFonts w:hint="eastAsia" w:ascii="宋体" w:hAnsi="宋体" w:eastAsia="宋体" w:cs="宋体"/>
          <w:color w:val="auto"/>
          <w:szCs w:val="21"/>
          <w:highlight w:val="none"/>
        </w:rPr>
        <w:t>是否符合</w:t>
      </w:r>
      <w:r>
        <w:rPr>
          <w:rFonts w:hint="eastAsia" w:ascii="宋体" w:hAnsi="宋体" w:eastAsia="宋体" w:cs="宋体"/>
          <w:color w:val="auto"/>
          <w:szCs w:val="21"/>
          <w:highlight w:val="none"/>
          <w:lang w:eastAsia="zh-CN"/>
        </w:rPr>
        <w:t>比选文件</w:t>
      </w:r>
      <w:r>
        <w:rPr>
          <w:rFonts w:hint="eastAsia" w:ascii="宋体" w:hAnsi="宋体" w:eastAsia="宋体" w:cs="宋体"/>
          <w:color w:val="auto"/>
          <w:szCs w:val="21"/>
          <w:highlight w:val="none"/>
        </w:rPr>
        <w:t>的要求。</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25.2、</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须按</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资格要求提供复印件或影印件或扫描件，并加盖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公章，否则投标无效。</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、报价评审：</w:t>
      </w:r>
      <w:r>
        <w:rPr>
          <w:rFonts w:hint="eastAsia" w:ascii="宋体" w:hAnsi="宋体" w:eastAsia="宋体" w:cs="Times New Roman"/>
          <w:color w:val="auto"/>
          <w:szCs w:val="21"/>
          <w:highlight w:val="none"/>
          <w:lang w:val="en-US" w:eastAsia="zh-CN"/>
        </w:rPr>
        <w:t>参选人投标费率</w:t>
      </w:r>
      <w:r>
        <w:rPr>
          <w:rFonts w:hint="eastAsia" w:ascii="宋体" w:hAnsi="宋体" w:eastAsia="宋体" w:cs="Times New Roman"/>
          <w:color w:val="auto"/>
          <w:szCs w:val="21"/>
          <w:highlight w:val="none"/>
        </w:rPr>
        <w:t>不得</w:t>
      </w:r>
      <w:r>
        <w:rPr>
          <w:rFonts w:hint="eastAsia" w:ascii="宋体" w:hAnsi="宋体" w:eastAsia="宋体" w:cs="Times New Roman"/>
          <w:color w:val="auto"/>
          <w:szCs w:val="21"/>
          <w:highlight w:val="none"/>
          <w:lang w:eastAsia="zh-CN"/>
        </w:rPr>
        <w:t>高于最高</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否则为无效报价，即报价评审不通过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投标无效</w:t>
      </w:r>
      <w:r>
        <w:rPr>
          <w:rFonts w:hint="eastAsia" w:ascii="宋体" w:hAnsi="宋体" w:eastAsia="宋体" w:cs="Times New Roman"/>
          <w:color w:val="auto"/>
          <w:szCs w:val="21"/>
          <w:highlight w:val="none"/>
        </w:rPr>
        <w:t>。</w:t>
      </w:r>
    </w:p>
    <w:p>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、报价中若货物</w:t>
      </w:r>
      <w:r>
        <w:rPr>
          <w:rFonts w:hint="eastAsia" w:ascii="宋体" w:hAnsi="宋体" w:eastAsia="宋体" w:cs="Times New Roman"/>
          <w:color w:val="auto"/>
          <w:szCs w:val="21"/>
          <w:highlight w:val="none"/>
          <w:lang w:val="en-US" w:eastAsia="zh-CN"/>
        </w:rPr>
        <w:t>投标费率</w:t>
      </w:r>
      <w:r>
        <w:rPr>
          <w:rFonts w:hint="eastAsia" w:ascii="宋体" w:hAnsi="宋体" w:eastAsia="宋体" w:cs="Times New Roman"/>
          <w:color w:val="auto"/>
          <w:szCs w:val="21"/>
          <w:highlight w:val="none"/>
        </w:rPr>
        <w:t>、货物</w:t>
      </w:r>
      <w:r>
        <w:rPr>
          <w:rFonts w:hint="eastAsia" w:ascii="宋体" w:hAnsi="宋体" w:eastAsia="宋体" w:cs="Times New Roman"/>
          <w:color w:val="auto"/>
          <w:szCs w:val="21"/>
          <w:highlight w:val="none"/>
          <w:lang w:val="en-US" w:eastAsia="zh-CN"/>
        </w:rPr>
        <w:t>投标费率表中</w:t>
      </w:r>
      <w:r>
        <w:rPr>
          <w:rFonts w:hint="eastAsia" w:ascii="宋体" w:hAnsi="宋体" w:eastAsia="宋体" w:cs="Times New Roman"/>
          <w:color w:val="auto"/>
          <w:szCs w:val="21"/>
          <w:highlight w:val="none"/>
        </w:rPr>
        <w:t>总</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参选报价函中</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三者不一致的，视为无效报价。</w:t>
      </w:r>
    </w:p>
    <w:p>
      <w:pPr>
        <w:widowControl/>
        <w:spacing w:line="48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、澄清有关问题：在评标期间，评委会有权以书面方式要求</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中含义不明确、对同类问题表述不一致或者有明显文字和计算错误的内容作必要的澄清、说明或补正。</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澄清、说明或补正应在评委会规定的时间内以书面方式进行，并不得超出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范围或者改变</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的实质性内容。澄清文件将作为</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内容的一部分。</w:t>
      </w:r>
    </w:p>
    <w:p>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25.</w:t>
      </w:r>
      <w:r>
        <w:rPr>
          <w:rFonts w:hint="eastAsia" w:ascii="宋体" w:hAnsi="宋体" w:eastAsia="宋体" w:cs="Times New Roman"/>
          <w:color w:val="auto"/>
          <w:szCs w:val="21"/>
          <w:highlight w:val="none"/>
          <w:lang w:val="en-US" w:eastAsia="zh-CN"/>
        </w:rPr>
        <w:t>6</w:t>
      </w:r>
      <w:r>
        <w:rPr>
          <w:rFonts w:hint="eastAsia" w:ascii="宋体" w:hAnsi="宋体" w:eastAsia="宋体" w:cs="Times New Roman"/>
          <w:color w:val="auto"/>
          <w:szCs w:val="21"/>
          <w:highlight w:val="none"/>
        </w:rPr>
        <w:t>、失信核查</w:t>
      </w:r>
    </w:p>
    <w:p>
      <w:pPr>
        <w:widowControl/>
        <w:spacing w:line="500" w:lineRule="exact"/>
        <w:ind w:firstLine="42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评标委员会对推荐为中标候选人的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是否被列入“信用中国、中国政府采购网”政府采购严重违法失信名单进行网上核查（网址：</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"http://www.creditchina.gov.cn/" </w:instrText>
      </w:r>
      <w:r>
        <w:rPr>
          <w:rFonts w:ascii="Times New Roman" w:hAnsi="Times New Roman" w:eastAsia="宋体" w:cs="Times New Roman"/>
          <w:color w:val="auto"/>
          <w:szCs w:val="24"/>
          <w:highlight w:val="none"/>
        </w:rPr>
        <w:fldChar w:fldCharType="separate"/>
      </w:r>
      <w:r>
        <w:rPr>
          <w:rStyle w:val="74"/>
          <w:rFonts w:hint="eastAsia" w:ascii="宋体" w:hAnsi="宋体" w:eastAsia="宋体" w:cs="Times New Roman"/>
          <w:color w:val="auto"/>
          <w:szCs w:val="21"/>
          <w:highlight w:val="none"/>
        </w:rPr>
        <w:t>http://www.creditchina.gov.cn/</w:t>
      </w:r>
      <w:r>
        <w:rPr>
          <w:rStyle w:val="74"/>
          <w:rFonts w:hint="eastAsia" w:ascii="宋体" w:hAnsi="宋体" w:eastAsia="宋体" w:cs="Times New Roman"/>
          <w:color w:val="auto"/>
          <w:szCs w:val="21"/>
          <w:highlight w:val="none"/>
        </w:rPr>
        <w:fldChar w:fldCharType="end"/>
      </w:r>
      <w:r>
        <w:rPr>
          <w:rFonts w:hint="eastAsia" w:ascii="宋体" w:hAnsi="宋体" w:eastAsia="宋体" w:cs="Times New Roman"/>
          <w:color w:val="auto"/>
          <w:szCs w:val="21"/>
          <w:highlight w:val="none"/>
        </w:rPr>
        <w:t>、</w:t>
      </w:r>
      <w:r>
        <w:rPr>
          <w:rFonts w:ascii="Times New Roman" w:hAnsi="Times New Roman" w:eastAsia="宋体" w:cs="Times New Roman"/>
          <w:color w:val="auto"/>
          <w:szCs w:val="24"/>
          <w:highlight w:val="none"/>
        </w:rPr>
        <w:fldChar w:fldCharType="begin"/>
      </w:r>
      <w:r>
        <w:rPr>
          <w:rFonts w:ascii="Times New Roman" w:hAnsi="Times New Roman" w:eastAsia="宋体" w:cs="Times New Roman"/>
          <w:color w:val="auto"/>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color w:val="auto"/>
          <w:szCs w:val="24"/>
          <w:highlight w:val="none"/>
        </w:rPr>
        <w:fldChar w:fldCharType="separate"/>
      </w:r>
      <w:r>
        <w:rPr>
          <w:rStyle w:val="74"/>
          <w:rFonts w:hint="eastAsia" w:ascii="宋体" w:hAnsi="Times New Roman" w:eastAsia="宋体" w:cs="Times New Roman"/>
          <w:color w:val="auto"/>
          <w:szCs w:val="21"/>
          <w:highlight w:val="none"/>
        </w:rPr>
        <w:t>http://www.ccgp.gov.cn/），</w:t>
      </w:r>
      <w:r>
        <w:rPr>
          <w:rStyle w:val="74"/>
          <w:rFonts w:hint="eastAsia" w:ascii="宋体" w:hAnsi="Times New Roman" w:eastAsia="宋体" w:cs="Times New Roman"/>
          <w:color w:val="auto"/>
          <w:szCs w:val="21"/>
          <w:highlight w:val="none"/>
          <w:u w:val="none"/>
        </w:rPr>
        <w:t>若核查存在</w:t>
      </w:r>
      <w:r>
        <w:rPr>
          <w:rStyle w:val="74"/>
          <w:rFonts w:hint="eastAsia" w:ascii="宋体" w:hAnsi="宋体" w:eastAsia="宋体" w:cs="Times New Roman"/>
          <w:color w:val="auto"/>
          <w:szCs w:val="21"/>
          <w:highlight w:val="none"/>
          <w:u w:val="none"/>
        </w:rPr>
        <w:t>政府采购严重违法</w:t>
      </w:r>
      <w:r>
        <w:rPr>
          <w:rStyle w:val="74"/>
          <w:rFonts w:hint="eastAsia" w:ascii="宋体" w:hAnsi="Times New Roman" w:eastAsia="宋体" w:cs="Times New Roman"/>
          <w:color w:val="auto"/>
          <w:szCs w:val="21"/>
          <w:highlight w:val="none"/>
          <w:u w:val="none"/>
        </w:rPr>
        <w:t>失信名单记录的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auto"/>
          <w:szCs w:val="21"/>
          <w:highlight w:val="none"/>
          <w:u w:val="none"/>
        </w:rPr>
        <w:t>不得将其推荐为中标候选人，依序递补，并再次对递补的</w:t>
      </w:r>
      <w:r>
        <w:rPr>
          <w:rStyle w:val="74"/>
          <w:rFonts w:hint="eastAsia" w:ascii="宋体" w:hAnsi="Times New Roman" w:eastAsia="宋体" w:cs="Times New Roman"/>
          <w:color w:val="auto"/>
          <w:szCs w:val="21"/>
          <w:highlight w:val="none"/>
          <w:u w:val="none"/>
          <w:lang w:eastAsia="zh-CN"/>
        </w:rPr>
        <w:t>参选人</w:t>
      </w:r>
      <w:r>
        <w:rPr>
          <w:rStyle w:val="74"/>
          <w:rFonts w:hint="eastAsia" w:ascii="宋体" w:hAnsi="Times New Roman" w:eastAsia="宋体" w:cs="Times New Roman"/>
          <w:color w:val="auto"/>
          <w:szCs w:val="21"/>
          <w:highlight w:val="none"/>
          <w:u w:val="none"/>
        </w:rPr>
        <w:t>进行核查。</w:t>
      </w:r>
      <w:r>
        <w:rPr>
          <w:rStyle w:val="74"/>
          <w:rFonts w:hint="eastAsia" w:ascii="宋体" w:hAnsi="Times New Roman" w:eastAsia="宋体" w:cs="Times New Roman"/>
          <w:color w:val="auto"/>
          <w:szCs w:val="21"/>
          <w:highlight w:val="none"/>
          <w:u w:val="none"/>
        </w:rPr>
        <w:fldChar w:fldCharType="end"/>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25.</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w:t>
      </w:r>
      <w:r>
        <w:rPr>
          <w:rFonts w:hint="eastAsia" w:ascii="宋体" w:hAnsi="宋体" w:eastAsia="宋体" w:cs="宋体"/>
          <w:color w:val="auto"/>
          <w:szCs w:val="21"/>
          <w:highlight w:val="none"/>
        </w:rPr>
        <w:t>确定中标候选人排序：评委会对通过</w:t>
      </w:r>
      <w:r>
        <w:rPr>
          <w:rFonts w:hint="eastAsia" w:ascii="宋体" w:hAnsi="宋体" w:eastAsia="宋体" w:cs="宋体"/>
          <w:color w:val="auto"/>
          <w:szCs w:val="21"/>
          <w:highlight w:val="none"/>
          <w:lang w:eastAsia="zh-CN"/>
        </w:rPr>
        <w:t>参选文件</w:t>
      </w:r>
      <w:r>
        <w:rPr>
          <w:rFonts w:hint="eastAsia" w:ascii="宋体" w:hAnsi="宋体" w:eastAsia="宋体" w:cs="宋体"/>
          <w:bCs/>
          <w:color w:val="auto"/>
          <w:szCs w:val="24"/>
          <w:highlight w:val="none"/>
        </w:rPr>
        <w:t>符合性审查</w:t>
      </w:r>
      <w:r>
        <w:rPr>
          <w:rFonts w:hint="eastAsia" w:ascii="宋体" w:hAnsi="宋体" w:eastAsia="宋体" w:cs="宋体"/>
          <w:color w:val="auto"/>
          <w:szCs w:val="21"/>
          <w:highlight w:val="none"/>
        </w:rPr>
        <w:t>、报价评审和失信核查的</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rPr>
        <w:t>，根据</w:t>
      </w:r>
      <w:r>
        <w:rPr>
          <w:rFonts w:hint="eastAsia" w:ascii="宋体" w:hAnsi="宋体" w:eastAsia="宋体" w:cs="宋体"/>
          <w:color w:val="auto"/>
          <w:szCs w:val="21"/>
          <w:highlight w:val="none"/>
          <w:lang w:val="en-US" w:eastAsia="zh-CN"/>
        </w:rPr>
        <w:t>有效投标费率</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低</w:t>
      </w:r>
      <w:r>
        <w:rPr>
          <w:rFonts w:hint="eastAsia" w:ascii="宋体" w:hAnsi="宋体" w:eastAsia="宋体" w:cs="宋体"/>
          <w:color w:val="auto"/>
          <w:szCs w:val="21"/>
          <w:highlight w:val="none"/>
        </w:rPr>
        <w:t>至</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rPr>
        <w:t>的顺序排列。若出现两家或两家以上</w:t>
      </w:r>
      <w:r>
        <w:rPr>
          <w:rFonts w:hint="eastAsia" w:ascii="宋体" w:hAnsi="宋体" w:eastAsia="宋体" w:cs="宋体"/>
          <w:color w:val="auto"/>
          <w:szCs w:val="21"/>
          <w:highlight w:val="none"/>
          <w:lang w:eastAsia="zh-CN"/>
        </w:rPr>
        <w:t>参选人</w:t>
      </w:r>
      <w:r>
        <w:rPr>
          <w:rFonts w:hint="eastAsia" w:ascii="宋体" w:hAnsi="宋体" w:eastAsia="宋体" w:cs="宋体"/>
          <w:color w:val="auto"/>
          <w:szCs w:val="21"/>
          <w:highlight w:val="none"/>
          <w:lang w:val="en-US" w:eastAsia="zh-CN"/>
        </w:rPr>
        <w:t>投标费率最低</w:t>
      </w:r>
      <w:r>
        <w:rPr>
          <w:rFonts w:hint="eastAsia" w:ascii="宋体" w:hAnsi="宋体" w:eastAsia="宋体" w:cs="宋体"/>
          <w:color w:val="auto"/>
          <w:szCs w:val="21"/>
          <w:highlight w:val="none"/>
        </w:rPr>
        <w:t>且相等，</w:t>
      </w:r>
      <w:r>
        <w:rPr>
          <w:rFonts w:hint="eastAsia" w:ascii="宋体" w:hAnsi="宋体" w:eastAsia="宋体" w:cs="Times New Roman"/>
          <w:color w:val="auto"/>
          <w:szCs w:val="21"/>
          <w:highlight w:val="none"/>
        </w:rPr>
        <w:t>则由</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采取现场随机抽取的方式确定</w:t>
      </w:r>
      <w:r>
        <w:rPr>
          <w:rFonts w:hint="eastAsia" w:ascii="宋体" w:hAnsi="宋体" w:eastAsia="宋体" w:cs="Times New Roman"/>
          <w:color w:val="auto"/>
          <w:szCs w:val="21"/>
          <w:highlight w:val="none"/>
          <w:lang w:val="en-US" w:eastAsia="zh-CN"/>
        </w:rPr>
        <w:t>成交</w:t>
      </w:r>
      <w:r>
        <w:rPr>
          <w:rFonts w:hint="eastAsia" w:ascii="宋体" w:hAnsi="宋体" w:eastAsia="宋体" w:cs="Times New Roman"/>
          <w:color w:val="auto"/>
          <w:szCs w:val="21"/>
          <w:highlight w:val="none"/>
        </w:rPr>
        <w:t>候选人排序。</w:t>
      </w:r>
    </w:p>
    <w:p>
      <w:pPr>
        <w:widowControl/>
        <w:spacing w:line="500" w:lineRule="exact"/>
        <w:jc w:val="left"/>
        <w:rPr>
          <w:rFonts w:ascii="宋体" w:hAnsi="宋体" w:eastAsia="宋体" w:cs="Times New Roman"/>
          <w:b/>
          <w:bCs/>
          <w:color w:val="auto"/>
          <w:szCs w:val="21"/>
          <w:highlight w:val="none"/>
        </w:rPr>
      </w:pPr>
      <w:r>
        <w:rPr>
          <w:rFonts w:hint="eastAsia" w:ascii="宋体" w:hAnsi="宋体" w:eastAsia="宋体" w:cs="Times New Roman"/>
          <w:color w:val="auto"/>
          <w:szCs w:val="21"/>
          <w:highlight w:val="none"/>
        </w:rPr>
        <w:t xml:space="preserve">    </w:t>
      </w:r>
      <w:r>
        <w:rPr>
          <w:rFonts w:hint="eastAsia" w:ascii="宋体" w:hAnsi="宋体" w:eastAsia="宋体" w:cs="Times New Roman"/>
          <w:b/>
          <w:bCs/>
          <w:color w:val="auto"/>
          <w:szCs w:val="21"/>
          <w:highlight w:val="none"/>
        </w:rPr>
        <w:t>26、开标评标异常情况处理</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26.1、在招标采购中，出现下列情况之一的，应予废标，采购单位重新组织采购：</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(1) 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不足</w:t>
      </w:r>
      <w:r>
        <w:rPr>
          <w:rFonts w:hint="eastAsia" w:ascii="宋体" w:hAnsi="宋体" w:eastAsia="宋体" w:cs="Times New Roman"/>
          <w:color w:val="auto"/>
          <w:szCs w:val="21"/>
          <w:highlight w:val="none"/>
          <w:lang w:eastAsia="zh-CN"/>
        </w:rPr>
        <w:t>2家</w:t>
      </w:r>
      <w:r>
        <w:rPr>
          <w:rFonts w:hint="eastAsia" w:ascii="宋体" w:hAnsi="宋体" w:eastAsia="宋体" w:cs="Times New Roman"/>
          <w:color w:val="auto"/>
          <w:szCs w:val="21"/>
          <w:highlight w:val="none"/>
        </w:rPr>
        <w:t>的；</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出现影响采购公正的违法、违规行为的；</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(3)</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w:t>
      </w:r>
      <w:r>
        <w:rPr>
          <w:rFonts w:hint="eastAsia" w:ascii="宋体" w:hAnsi="宋体" w:eastAsia="宋体" w:cs="Times New Roman"/>
          <w:color w:val="auto"/>
          <w:szCs w:val="21"/>
          <w:highlight w:val="none"/>
          <w:lang w:val="en-US" w:eastAsia="zh-CN"/>
        </w:rPr>
        <w:t>投标费率均高</w:t>
      </w:r>
      <w:r>
        <w:rPr>
          <w:rFonts w:hint="eastAsia" w:ascii="宋体" w:hAnsi="宋体" w:eastAsia="宋体" w:cs="Times New Roman"/>
          <w:color w:val="auto"/>
          <w:szCs w:val="21"/>
          <w:highlight w:val="none"/>
        </w:rPr>
        <w:t>于</w:t>
      </w:r>
      <w:r>
        <w:rPr>
          <w:rFonts w:hint="eastAsia" w:ascii="宋体" w:hAnsi="宋体" w:eastAsia="宋体" w:cs="Times New Roman"/>
          <w:color w:val="auto"/>
          <w:szCs w:val="21"/>
          <w:highlight w:val="none"/>
          <w:lang w:eastAsia="zh-CN"/>
        </w:rPr>
        <w:t>最高投标</w:t>
      </w:r>
      <w:r>
        <w:rPr>
          <w:rFonts w:hint="eastAsia" w:ascii="宋体" w:hAnsi="宋体" w:eastAsia="宋体" w:cs="Times New Roman"/>
          <w:color w:val="auto"/>
          <w:szCs w:val="21"/>
          <w:highlight w:val="none"/>
          <w:lang w:val="en-US" w:eastAsia="zh-CN"/>
        </w:rPr>
        <w:t>费率</w:t>
      </w:r>
      <w:r>
        <w:rPr>
          <w:rFonts w:hint="eastAsia" w:ascii="宋体" w:hAnsi="宋体" w:eastAsia="宋体" w:cs="Times New Roman"/>
          <w:color w:val="auto"/>
          <w:szCs w:val="21"/>
          <w:highlight w:val="none"/>
        </w:rPr>
        <w:t>的；</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rPr>
        <w:tab/>
      </w:r>
      <w:r>
        <w:rPr>
          <w:rFonts w:hint="eastAsia" w:ascii="宋体" w:hAnsi="宋体" w:eastAsia="宋体" w:cs="Times New Roman"/>
          <w:color w:val="auto"/>
          <w:szCs w:val="21"/>
          <w:highlight w:val="none"/>
        </w:rPr>
        <w:t>因重大变故，采购任务取消的。</w:t>
      </w:r>
    </w:p>
    <w:p>
      <w:pPr>
        <w:widowControl/>
        <w:spacing w:line="500" w:lineRule="exact"/>
        <w:ind w:firstLine="405"/>
        <w:jc w:val="left"/>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27、评标过程的保密性</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27.1、</w:t>
      </w:r>
      <w:bookmarkStart w:id="43" w:name="_Toc417655921"/>
      <w:bookmarkStart w:id="44" w:name="_Toc15032"/>
      <w:bookmarkStart w:id="45" w:name="_Toc418517858"/>
      <w:r>
        <w:rPr>
          <w:rFonts w:hint="eastAsia" w:ascii="宋体" w:hAnsi="宋体" w:eastAsia="宋体" w:cs="Times New Roman"/>
          <w:color w:val="auto"/>
          <w:szCs w:val="21"/>
          <w:highlight w:val="none"/>
        </w:rPr>
        <w:t>开标后，直到授予中标人合同止，凡是与</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审查、澄清、评价、比较以及授标建议等评审方面的情况，均不得向</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或其他无关的人员透露。</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27.2、在评标过程中，</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如向评委会成员施加任何影响，都将会导致其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被拒绝。</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27.3、中标人确定后，采购单位不对未中标人就评标过程以及未能中标原因做出任何解释。</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27.</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、中标通知书</w:t>
      </w:r>
      <w:bookmarkEnd w:id="43"/>
      <w:bookmarkEnd w:id="44"/>
      <w:bookmarkEnd w:id="45"/>
    </w:p>
    <w:p>
      <w:pPr>
        <w:widowControl/>
        <w:spacing w:before="0" w:beforeAutospacing="0" w:after="0" w:afterAutospacing="0" w:line="360" w:lineRule="auto"/>
        <w:ind w:firstLine="420" w:firstLineChars="200"/>
        <w:jc w:val="both"/>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jc w:val="both"/>
        <w:rPr>
          <w:rFonts w:ascii="Times New Roman" w:hAnsi="宋体" w:eastAsia="宋体" w:cs="宋体"/>
          <w:b/>
          <w:color w:val="auto"/>
          <w:szCs w:val="24"/>
          <w:highlight w:val="none"/>
        </w:rPr>
      </w:pPr>
      <w:bookmarkStart w:id="46" w:name="_Toc457998294"/>
      <w:bookmarkStart w:id="47" w:name="_Toc456882340"/>
      <w:bookmarkStart w:id="48" w:name="_Toc478821422"/>
      <w:bookmarkStart w:id="49" w:name="_Toc10586"/>
      <w:bookmarkStart w:id="50" w:name="_Toc433721697"/>
      <w:bookmarkStart w:id="51" w:name="_Toc10987"/>
      <w:bookmarkStart w:id="52" w:name="_Toc31095"/>
      <w:bookmarkStart w:id="53" w:name="_Toc19876"/>
      <w:r>
        <w:rPr>
          <w:rFonts w:ascii="Times New Roman" w:hAnsi="宋体" w:eastAsia="宋体" w:cs="宋体"/>
          <w:color w:val="auto"/>
          <w:szCs w:val="24"/>
          <w:highlight w:val="none"/>
        </w:rPr>
        <w:t>公示期满无异议，且未发现中标人在</w:t>
      </w:r>
      <w:r>
        <w:rPr>
          <w:rFonts w:hint="eastAsia" w:ascii="Times New Roman" w:hAnsi="宋体" w:eastAsia="宋体" w:cs="宋体"/>
          <w:color w:val="auto"/>
          <w:szCs w:val="24"/>
          <w:highlight w:val="none"/>
          <w:lang w:val="en-US" w:eastAsia="zh-CN"/>
        </w:rPr>
        <w:t>比选</w:t>
      </w:r>
      <w:r>
        <w:rPr>
          <w:rFonts w:ascii="Times New Roman" w:hAnsi="宋体" w:eastAsia="宋体" w:cs="宋体"/>
          <w:color w:val="auto"/>
          <w:szCs w:val="24"/>
          <w:highlight w:val="none"/>
        </w:rPr>
        <w:t>活动中有违法行为的，</w:t>
      </w:r>
      <w:r>
        <w:rPr>
          <w:rFonts w:hint="eastAsia" w:ascii="Times New Roman" w:hAnsi="宋体" w:eastAsia="宋体" w:cs="宋体"/>
          <w:color w:val="auto"/>
          <w:szCs w:val="24"/>
          <w:highlight w:val="none"/>
          <w:lang w:eastAsia="zh-CN"/>
        </w:rPr>
        <w:t>采购人</w:t>
      </w:r>
      <w:r>
        <w:rPr>
          <w:rFonts w:ascii="Times New Roman" w:hAnsi="宋体" w:eastAsia="宋体" w:cs="宋体"/>
          <w:color w:val="auto"/>
          <w:szCs w:val="24"/>
          <w:highlight w:val="none"/>
        </w:rPr>
        <w:t>将向中标人发出中标通知书。</w:t>
      </w:r>
      <w:bookmarkEnd w:id="46"/>
      <w:bookmarkEnd w:id="47"/>
      <w:bookmarkEnd w:id="48"/>
      <w:bookmarkEnd w:id="49"/>
      <w:bookmarkEnd w:id="50"/>
      <w:bookmarkEnd w:id="51"/>
      <w:bookmarkEnd w:id="52"/>
      <w:bookmarkEnd w:id="53"/>
    </w:p>
    <w:p>
      <w:pPr>
        <w:keepNext/>
        <w:keepLines/>
        <w:widowControl w:val="0"/>
        <w:autoSpaceDE w:val="0"/>
        <w:autoSpaceDN w:val="0"/>
        <w:adjustRightInd w:val="0"/>
        <w:spacing w:before="120" w:line="360" w:lineRule="auto"/>
        <w:jc w:val="center"/>
        <w:outlineLvl w:val="1"/>
        <w:rPr>
          <w:rFonts w:ascii="宋体" w:hAnsi="宋体" w:eastAsia="宋体" w:cs="Times New Roman"/>
          <w:b w:val="0"/>
          <w:bCs/>
          <w:color w:val="auto"/>
          <w:kern w:val="0"/>
          <w:sz w:val="32"/>
          <w:szCs w:val="21"/>
          <w:highlight w:val="none"/>
          <w:lang w:val="en-US" w:eastAsia="zh-CN" w:bidi="ar-SA"/>
        </w:rPr>
      </w:pPr>
      <w:bookmarkStart w:id="54" w:name="_Toc4481597"/>
      <w:r>
        <w:rPr>
          <w:rFonts w:hint="eastAsia" w:ascii="宋体" w:hAnsi="宋体" w:eastAsia="宋体" w:cs="Times New Roman"/>
          <w:b/>
          <w:bCs w:val="0"/>
          <w:color w:val="auto"/>
          <w:kern w:val="0"/>
          <w:sz w:val="32"/>
          <w:szCs w:val="21"/>
          <w:highlight w:val="none"/>
          <w:lang w:val="en-US" w:eastAsia="zh-CN" w:bidi="ar-SA"/>
        </w:rPr>
        <w:t>（七）</w:t>
      </w:r>
      <w:r>
        <w:rPr>
          <w:rFonts w:hint="eastAsia" w:ascii="宋体" w:hAnsi="宋体" w:eastAsia="宋体" w:cs="Times New Roman"/>
          <w:b/>
          <w:bCs/>
          <w:color w:val="auto"/>
          <w:kern w:val="0"/>
          <w:sz w:val="32"/>
          <w:szCs w:val="21"/>
          <w:highlight w:val="none"/>
          <w:lang w:val="en-US" w:eastAsia="zh-CN" w:bidi="ar-SA"/>
        </w:rPr>
        <w:t>合同授予</w:t>
      </w:r>
      <w:bookmarkEnd w:id="54"/>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w:t>
      </w:r>
      <w:bookmarkStart w:id="55" w:name="_Toc417655923"/>
      <w:bookmarkStart w:id="56" w:name="_Toc21358"/>
      <w:bookmarkStart w:id="57" w:name="_Toc418517860"/>
      <w:r>
        <w:rPr>
          <w:rFonts w:hint="eastAsia" w:ascii="宋体" w:hAnsi="宋体" w:eastAsia="宋体" w:cs="Times New Roman"/>
          <w:color w:val="auto"/>
          <w:szCs w:val="21"/>
          <w:highlight w:val="none"/>
        </w:rPr>
        <w:t>签订合同</w:t>
      </w:r>
      <w:bookmarkEnd w:id="55"/>
      <w:bookmarkEnd w:id="56"/>
      <w:bookmarkEnd w:id="57"/>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28.1、中标人的中标价即为合同价款。</w:t>
      </w:r>
    </w:p>
    <w:p>
      <w:pPr>
        <w:widowControl/>
        <w:spacing w:line="500" w:lineRule="exact"/>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    28.2、中标人在收到中标通知书起30天内，与</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签订合同。</w:t>
      </w:r>
    </w:p>
    <w:p>
      <w:pPr>
        <w:widowControl/>
        <w:spacing w:line="500" w:lineRule="exact"/>
        <w:ind w:firstLine="42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28.3、中标人（中标候选人）被取消中标资格的，</w:t>
      </w:r>
      <w:r>
        <w:rPr>
          <w:rFonts w:hint="eastAsia" w:ascii="宋体" w:hAnsi="宋体" w:eastAsia="宋体" w:cs="Times New Roman"/>
          <w:color w:val="auto"/>
          <w:szCs w:val="21"/>
          <w:highlight w:val="none"/>
          <w:lang w:eastAsia="zh-CN"/>
        </w:rPr>
        <w:t>采购人</w:t>
      </w:r>
      <w:r>
        <w:rPr>
          <w:rFonts w:hint="eastAsia" w:ascii="宋体" w:hAnsi="宋体" w:eastAsia="宋体" w:cs="Times New Roman"/>
          <w:color w:val="auto"/>
          <w:szCs w:val="21"/>
          <w:highlight w:val="none"/>
        </w:rPr>
        <w:t xml:space="preserve">可以按照评标委员会提出的中标候选人名单排序依次确定其他中标候选人为中标人，或重新组织采购。  </w:t>
      </w:r>
    </w:p>
    <w:p>
      <w:pPr>
        <w:widowControl/>
        <w:spacing w:line="500" w:lineRule="exact"/>
        <w:ind w:firstLine="420"/>
        <w:jc w:val="left"/>
        <w:rPr>
          <w:rFonts w:hint="eastAsia" w:ascii="宋体" w:hAnsi="宋体" w:eastAsia="宋体" w:cs="Times New Roman"/>
          <w:color w:val="auto"/>
          <w:szCs w:val="21"/>
          <w:highlight w:val="none"/>
        </w:rPr>
      </w:pPr>
    </w:p>
    <w:p>
      <w:pPr>
        <w:widowControl/>
        <w:spacing w:line="500" w:lineRule="exact"/>
        <w:ind w:firstLine="420"/>
        <w:jc w:val="left"/>
        <w:rPr>
          <w:rFonts w:hint="eastAsia" w:ascii="宋体" w:hAnsi="宋体" w:eastAsia="宋体" w:cs="Times New Roman"/>
          <w:color w:val="auto"/>
          <w:szCs w:val="21"/>
          <w:highlight w:val="none"/>
        </w:rPr>
      </w:pPr>
    </w:p>
    <w:p>
      <w:pPr>
        <w:widowControl/>
        <w:spacing w:line="500" w:lineRule="exact"/>
        <w:ind w:firstLine="420"/>
        <w:jc w:val="left"/>
        <w:rPr>
          <w:rFonts w:hint="eastAsia" w:ascii="宋体" w:hAnsi="宋体" w:eastAsia="宋体" w:cs="Times New Roman"/>
          <w:color w:val="auto"/>
          <w:szCs w:val="21"/>
          <w:highlight w:val="none"/>
        </w:rPr>
      </w:pPr>
    </w:p>
    <w:p>
      <w:pPr>
        <w:widowControl/>
        <w:spacing w:line="500" w:lineRule="exact"/>
        <w:ind w:firstLine="420"/>
        <w:jc w:val="left"/>
        <w:rPr>
          <w:rFonts w:hint="eastAsia" w:ascii="宋体" w:hAnsi="宋体" w:eastAsia="宋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Cs/>
          <w:color w:val="auto"/>
          <w:sz w:val="24"/>
          <w:szCs w:val="24"/>
          <w:highlight w:val="none"/>
        </w:rPr>
      </w:pPr>
    </w:p>
    <w:p>
      <w:pPr>
        <w:keepNext/>
        <w:keepLines/>
        <w:widowControl w:val="0"/>
        <w:numPr>
          <w:ilvl w:val="0"/>
          <w:numId w:val="0"/>
        </w:numPr>
        <w:spacing w:before="100" w:after="100"/>
        <w:ind w:left="1275" w:leftChars="0" w:hanging="1275" w:firstLineChars="0"/>
        <w:jc w:val="center"/>
        <w:outlineLvl w:val="0"/>
        <w:rPr>
          <w:rFonts w:hint="eastAsia" w:ascii="Times New Roman" w:hAnsi="Times New Roman" w:eastAsia="宋体" w:cs="Times New Roman"/>
          <w:bCs/>
          <w:color w:val="auto"/>
          <w:sz w:val="24"/>
          <w:szCs w:val="24"/>
          <w:highlight w:val="none"/>
        </w:rPr>
      </w:pPr>
      <w:bookmarkStart w:id="58" w:name="_Toc32325"/>
      <w:r>
        <w:rPr>
          <w:rFonts w:hint="default" w:ascii="黑体" w:hAnsi="Times New Roman" w:eastAsia="黑体" w:cs="Times New Roman"/>
          <w:b/>
          <w:color w:val="auto"/>
          <w:kern w:val="2"/>
          <w:sz w:val="28"/>
          <w:szCs w:val="28"/>
          <w:highlight w:val="none"/>
          <w:lang w:val="en-US" w:eastAsia="zh-CN" w:bidi="ar-SA"/>
        </w:rPr>
        <w:t>第</w:t>
      </w:r>
      <w:r>
        <w:rPr>
          <w:rFonts w:hint="eastAsia" w:ascii="黑体" w:hAnsi="Times New Roman" w:eastAsia="黑体" w:cs="Times New Roman"/>
          <w:b/>
          <w:color w:val="auto"/>
          <w:kern w:val="2"/>
          <w:sz w:val="28"/>
          <w:szCs w:val="28"/>
          <w:highlight w:val="none"/>
          <w:lang w:val="en-US" w:eastAsia="zh-CN" w:bidi="ar-SA"/>
        </w:rPr>
        <w:t>三</w:t>
      </w:r>
      <w:r>
        <w:rPr>
          <w:rFonts w:hint="default" w:ascii="黑体" w:hAnsi="Times New Roman" w:eastAsia="黑体" w:cs="Times New Roman"/>
          <w:b/>
          <w:color w:val="auto"/>
          <w:kern w:val="2"/>
          <w:sz w:val="28"/>
          <w:szCs w:val="28"/>
          <w:highlight w:val="none"/>
          <w:lang w:val="en-US" w:eastAsia="zh-CN" w:bidi="ar-SA"/>
        </w:rPr>
        <w:t>章</w:t>
      </w:r>
      <w:r>
        <w:rPr>
          <w:rFonts w:hint="eastAsia" w:ascii="Times New Roman" w:hAnsi="Times New Roman" w:eastAsia="宋体" w:cs="Times New Roman"/>
          <w:b/>
          <w:bCs/>
          <w:color w:val="auto"/>
          <w:kern w:val="44"/>
          <w:sz w:val="32"/>
          <w:szCs w:val="44"/>
          <w:highlight w:val="none"/>
          <w:lang w:val="en-US" w:eastAsia="zh-CN" w:bidi="ar-SA"/>
        </w:rPr>
        <w:t xml:space="preserve"> </w:t>
      </w:r>
      <w:r>
        <w:rPr>
          <w:rFonts w:hint="eastAsia" w:ascii="黑体" w:hAnsi="Times New Roman" w:eastAsia="黑体" w:cs="Times New Roman"/>
          <w:b/>
          <w:color w:val="auto"/>
          <w:kern w:val="2"/>
          <w:sz w:val="28"/>
          <w:szCs w:val="28"/>
          <w:highlight w:val="none"/>
          <w:lang w:val="en-US" w:eastAsia="zh-CN" w:bidi="ar-SA"/>
        </w:rPr>
        <w:t>评标方法和标准</w:t>
      </w:r>
      <w:bookmarkEnd w:id="58"/>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lang w:val="en-US" w:eastAsia="zh-CN"/>
        </w:rPr>
        <w:t>一</w:t>
      </w:r>
      <w:r>
        <w:rPr>
          <w:rFonts w:hint="eastAsia"/>
          <w:color w:val="auto"/>
          <w:sz w:val="24"/>
          <w:szCs w:val="24"/>
          <w:highlight w:val="none"/>
        </w:rPr>
        <w:t>、综合评分</w:t>
      </w:r>
      <w:r>
        <w:rPr>
          <w:rFonts w:hint="eastAsia"/>
          <w:color w:val="auto"/>
          <w:sz w:val="24"/>
          <w:szCs w:val="24"/>
          <w:highlight w:val="none"/>
          <w:lang w:val="en-US" w:eastAsia="zh-CN"/>
        </w:rPr>
        <w:t>法</w:t>
      </w:r>
      <w:r>
        <w:rPr>
          <w:rFonts w:hint="eastAsia"/>
          <w:color w:val="auto"/>
          <w:sz w:val="24"/>
          <w:szCs w:val="24"/>
          <w:highlight w:val="none"/>
        </w:rPr>
        <w:t>（100分）：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highlight w:val="none"/>
        </w:rPr>
      </w:pPr>
      <w:r>
        <w:rPr>
          <w:rFonts w:hint="eastAsia"/>
          <w:bCs/>
          <w:color w:val="auto"/>
          <w:sz w:val="24"/>
          <w:szCs w:val="24"/>
          <w:highlight w:val="none"/>
        </w:rPr>
        <w:t>各评委成员按下列评分项目进行评判，</w:t>
      </w:r>
      <w:r>
        <w:rPr>
          <w:rFonts w:hint="eastAsia"/>
          <w:snapToGrid w:val="0"/>
          <w:color w:val="auto"/>
          <w:kern w:val="0"/>
          <w:sz w:val="24"/>
          <w:szCs w:val="24"/>
          <w:highlight w:val="none"/>
        </w:rPr>
        <w:t>评选委员会各成员应当独立对每个有效参选人的投标情况进行评价、打分，然后汇总每个参选人每项评分因素的得分。各参选人的最终得分为所有评委评分的平均值（平均值计算精确至小数点后二位，小数点后第三位四舍五入）</w:t>
      </w:r>
      <w:r>
        <w:rPr>
          <w:rFonts w:hint="eastAsia"/>
          <w:color w:val="auto"/>
          <w:sz w:val="24"/>
          <w:szCs w:val="24"/>
          <w:highlight w:val="none"/>
          <w:lang w:val="zh-CN"/>
        </w:rPr>
        <w:t>。</w:t>
      </w:r>
    </w:p>
    <w:p>
      <w:pPr>
        <w:pStyle w:val="81"/>
        <w:rPr>
          <w:rFonts w:hint="eastAsia"/>
          <w:color w:val="auto"/>
          <w:highlight w:val="none"/>
        </w:rPr>
      </w:pPr>
    </w:p>
    <w:tbl>
      <w:tblPr>
        <w:tblStyle w:val="61"/>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267"/>
        <w:gridCol w:w="883"/>
        <w:gridCol w:w="6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blHeader/>
          <w:jc w:val="center"/>
        </w:trPr>
        <w:tc>
          <w:tcPr>
            <w:tcW w:w="823" w:type="dxa"/>
            <w:vAlign w:val="center"/>
          </w:tcPr>
          <w:p>
            <w:pPr>
              <w:rPr>
                <w:color w:val="auto"/>
                <w:sz w:val="24"/>
                <w:szCs w:val="24"/>
                <w:highlight w:val="none"/>
              </w:rPr>
            </w:pPr>
            <w:r>
              <w:rPr>
                <w:rFonts w:hint="eastAsia"/>
                <w:color w:val="auto"/>
                <w:sz w:val="24"/>
                <w:szCs w:val="24"/>
                <w:highlight w:val="none"/>
              </w:rPr>
              <w:t>类别</w:t>
            </w:r>
          </w:p>
        </w:tc>
        <w:tc>
          <w:tcPr>
            <w:tcW w:w="1267" w:type="dxa"/>
            <w:vAlign w:val="center"/>
          </w:tcPr>
          <w:p>
            <w:pPr>
              <w:rPr>
                <w:color w:val="auto"/>
                <w:sz w:val="24"/>
                <w:szCs w:val="24"/>
                <w:highlight w:val="none"/>
              </w:rPr>
            </w:pPr>
            <w:r>
              <w:rPr>
                <w:rFonts w:hint="eastAsia"/>
                <w:color w:val="auto"/>
                <w:sz w:val="24"/>
                <w:szCs w:val="24"/>
                <w:highlight w:val="none"/>
              </w:rPr>
              <w:t>评分因素</w:t>
            </w:r>
          </w:p>
        </w:tc>
        <w:tc>
          <w:tcPr>
            <w:tcW w:w="883" w:type="dxa"/>
            <w:vAlign w:val="center"/>
          </w:tcPr>
          <w:p>
            <w:pPr>
              <w:rPr>
                <w:color w:val="auto"/>
                <w:sz w:val="24"/>
                <w:szCs w:val="24"/>
                <w:highlight w:val="none"/>
              </w:rPr>
            </w:pPr>
            <w:r>
              <w:rPr>
                <w:rFonts w:hint="eastAsia"/>
                <w:color w:val="auto"/>
                <w:sz w:val="24"/>
                <w:szCs w:val="24"/>
                <w:highlight w:val="none"/>
              </w:rPr>
              <w:t>分值</w:t>
            </w:r>
          </w:p>
        </w:tc>
        <w:tc>
          <w:tcPr>
            <w:tcW w:w="6312" w:type="dxa"/>
            <w:vAlign w:val="center"/>
          </w:tcPr>
          <w:p>
            <w:pPr>
              <w:jc w:val="center"/>
              <w:rPr>
                <w:color w:val="auto"/>
                <w:sz w:val="24"/>
                <w:szCs w:val="24"/>
                <w:highlight w:val="none"/>
              </w:rPr>
            </w:pPr>
            <w:r>
              <w:rPr>
                <w:rFonts w:hint="eastAsia"/>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823" w:type="dxa"/>
            <w:vAlign w:val="center"/>
          </w:tcPr>
          <w:p>
            <w:pPr>
              <w:jc w:val="center"/>
              <w:rPr>
                <w:rFonts w:hint="eastAsia"/>
                <w:color w:val="auto"/>
                <w:sz w:val="24"/>
                <w:szCs w:val="24"/>
                <w:highlight w:val="none"/>
              </w:rPr>
            </w:pPr>
            <w:r>
              <w:rPr>
                <w:rFonts w:hint="eastAsia"/>
                <w:color w:val="auto"/>
                <w:sz w:val="24"/>
                <w:szCs w:val="24"/>
                <w:highlight w:val="none"/>
              </w:rPr>
              <w:t>1</w:t>
            </w:r>
          </w:p>
        </w:tc>
        <w:tc>
          <w:tcPr>
            <w:tcW w:w="1267" w:type="dxa"/>
            <w:vAlign w:val="center"/>
          </w:tcPr>
          <w:p>
            <w:pPr>
              <w:jc w:val="center"/>
              <w:rPr>
                <w:rFonts w:hint="eastAsia"/>
                <w:color w:val="auto"/>
                <w:sz w:val="24"/>
                <w:szCs w:val="24"/>
                <w:highlight w:val="none"/>
              </w:rPr>
            </w:pPr>
            <w:r>
              <w:rPr>
                <w:rFonts w:hint="eastAsia"/>
                <w:color w:val="auto"/>
                <w:sz w:val="24"/>
                <w:szCs w:val="24"/>
                <w:highlight w:val="none"/>
              </w:rPr>
              <w:t>证书</w:t>
            </w:r>
          </w:p>
        </w:tc>
        <w:tc>
          <w:tcPr>
            <w:tcW w:w="883" w:type="dxa"/>
            <w:vAlign w:val="center"/>
          </w:tcPr>
          <w:p>
            <w:pPr>
              <w:jc w:val="center"/>
              <w:rPr>
                <w:rFonts w:hint="eastAsia"/>
                <w:color w:val="auto"/>
                <w:sz w:val="24"/>
                <w:szCs w:val="24"/>
                <w:highlight w:val="none"/>
              </w:rPr>
            </w:pPr>
            <w:r>
              <w:rPr>
                <w:color w:val="auto"/>
                <w:sz w:val="24"/>
                <w:szCs w:val="24"/>
                <w:highlight w:val="none"/>
              </w:rPr>
              <w:t>11</w:t>
            </w:r>
            <w:r>
              <w:rPr>
                <w:rFonts w:hint="eastAsia"/>
                <w:color w:val="auto"/>
                <w:sz w:val="24"/>
                <w:szCs w:val="24"/>
                <w:highlight w:val="none"/>
              </w:rPr>
              <w:t>分</w:t>
            </w:r>
          </w:p>
        </w:tc>
        <w:tc>
          <w:tcPr>
            <w:tcW w:w="6312"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）供应商获得高新技术企业名称，得5分。</w:t>
            </w:r>
          </w:p>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）供应商获得C</w:t>
            </w:r>
            <w:r>
              <w:rPr>
                <w:color w:val="auto"/>
                <w:sz w:val="24"/>
                <w:szCs w:val="24"/>
                <w:highlight w:val="none"/>
              </w:rPr>
              <w:t>NAS</w:t>
            </w:r>
            <w:r>
              <w:rPr>
                <w:rFonts w:hint="eastAsia"/>
                <w:color w:val="auto"/>
                <w:sz w:val="24"/>
                <w:szCs w:val="24"/>
                <w:highlight w:val="none"/>
              </w:rPr>
              <w:t>认可的质量管理体系认证证书（I</w:t>
            </w:r>
            <w:r>
              <w:rPr>
                <w:color w:val="auto"/>
                <w:sz w:val="24"/>
                <w:szCs w:val="24"/>
                <w:highlight w:val="none"/>
              </w:rPr>
              <w:t>SO9001</w:t>
            </w:r>
            <w:r>
              <w:rPr>
                <w:rFonts w:hint="eastAsia"/>
                <w:color w:val="auto"/>
                <w:sz w:val="24"/>
                <w:szCs w:val="24"/>
                <w:highlight w:val="none"/>
              </w:rPr>
              <w:t>）</w:t>
            </w:r>
            <w:r>
              <w:rPr>
                <w:color w:val="auto"/>
                <w:sz w:val="24"/>
                <w:szCs w:val="24"/>
                <w:highlight w:val="none"/>
              </w:rPr>
              <w:t>,</w:t>
            </w:r>
            <w:r>
              <w:rPr>
                <w:rFonts w:hint="eastAsia"/>
                <w:color w:val="auto"/>
                <w:sz w:val="24"/>
                <w:szCs w:val="24"/>
                <w:highlight w:val="none"/>
              </w:rPr>
              <w:t>环境管理体系认证证书（</w:t>
            </w:r>
            <w:r>
              <w:rPr>
                <w:color w:val="auto"/>
                <w:sz w:val="24"/>
                <w:szCs w:val="24"/>
                <w:highlight w:val="none"/>
              </w:rPr>
              <w:t>ISO14001</w:t>
            </w:r>
            <w:r>
              <w:rPr>
                <w:rFonts w:hint="eastAsia"/>
                <w:color w:val="auto"/>
                <w:sz w:val="24"/>
                <w:szCs w:val="24"/>
                <w:highlight w:val="none"/>
              </w:rPr>
              <w:t>）</w:t>
            </w:r>
            <w:r>
              <w:rPr>
                <w:color w:val="auto"/>
                <w:sz w:val="24"/>
                <w:szCs w:val="24"/>
                <w:highlight w:val="none"/>
              </w:rPr>
              <w:t>,</w:t>
            </w:r>
            <w:r>
              <w:rPr>
                <w:rFonts w:hint="eastAsia"/>
                <w:color w:val="auto"/>
                <w:sz w:val="24"/>
                <w:szCs w:val="24"/>
                <w:highlight w:val="none"/>
              </w:rPr>
              <w:t>职业健康安全管理体系认证证书（</w:t>
            </w:r>
            <w:r>
              <w:rPr>
                <w:color w:val="auto"/>
                <w:sz w:val="24"/>
                <w:szCs w:val="24"/>
                <w:highlight w:val="none"/>
              </w:rPr>
              <w:t>ISO45001</w:t>
            </w:r>
            <w:r>
              <w:rPr>
                <w:rFonts w:hint="eastAsia"/>
                <w:color w:val="auto"/>
                <w:sz w:val="24"/>
                <w:szCs w:val="24"/>
                <w:highlight w:val="none"/>
              </w:rPr>
              <w:t>）且认证范围有校准，每提供一个得2分，总分</w:t>
            </w:r>
            <w:r>
              <w:rPr>
                <w:color w:val="auto"/>
                <w:sz w:val="24"/>
                <w:szCs w:val="24"/>
                <w:highlight w:val="none"/>
              </w:rPr>
              <w:t>6</w:t>
            </w:r>
            <w:r>
              <w:rPr>
                <w:rFonts w:hint="eastAsia"/>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color w:val="auto"/>
                <w:sz w:val="24"/>
                <w:szCs w:val="24"/>
                <w:highlight w:val="none"/>
                <w:lang w:eastAsia="zh-CN"/>
              </w:rPr>
            </w:pPr>
            <w:r>
              <w:rPr>
                <w:rFonts w:hint="eastAsia"/>
                <w:color w:val="auto"/>
                <w:sz w:val="24"/>
                <w:szCs w:val="24"/>
                <w:highlight w:val="none"/>
              </w:rPr>
              <w:t>注：</w:t>
            </w:r>
            <w:r>
              <w:rPr>
                <w:rFonts w:hint="eastAsia" w:ascii="Times New Roman" w:hAnsi="Times New Roman" w:eastAsia="宋体" w:cs="Times New Roman"/>
                <w:strike w:val="0"/>
                <w:dstrike w:val="0"/>
                <w:color w:val="auto"/>
                <w:sz w:val="24"/>
                <w:szCs w:val="24"/>
                <w:highlight w:val="none"/>
                <w:lang w:val="en-US" w:eastAsia="zh-CN"/>
              </w:rPr>
              <w:t>1.须</w:t>
            </w:r>
            <w:r>
              <w:rPr>
                <w:rFonts w:hint="eastAsia" w:ascii="Times New Roman" w:hAnsi="Times New Roman" w:eastAsia="宋体" w:cs="Times New Roman"/>
                <w:color w:val="auto"/>
                <w:sz w:val="24"/>
                <w:szCs w:val="24"/>
                <w:highlight w:val="none"/>
              </w:rPr>
              <w:t>提供证书复印件或扫描件或影印件并加盖供应商公章</w:t>
            </w:r>
            <w:r>
              <w:rPr>
                <w:rFonts w:hint="eastAsia" w:ascii="Times New Roman" w:hAnsi="Times New Roman" w:eastAsia="宋体" w:cs="Times New Roman"/>
                <w:color w:val="auto"/>
                <w:sz w:val="24"/>
                <w:szCs w:val="24"/>
                <w:highlight w:val="none"/>
                <w:lang w:eastAsia="zh-CN"/>
              </w:rPr>
              <w:t>，不提供不得分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ascii="Times New Roman" w:hAnsi="Times New Roman" w:eastAsia="宋体" w:cs="Times New Roman"/>
                <w:color w:val="auto"/>
                <w:sz w:val="24"/>
                <w:szCs w:val="24"/>
                <w:highlight w:val="none"/>
                <w:lang w:val="en-US" w:eastAsia="zh-CN"/>
              </w:rPr>
              <w:t>2.体系认证证书须提供在全国认证认可信息服务平台网站认证信息查询截图，不提供不得分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823" w:type="dxa"/>
            <w:vAlign w:val="center"/>
          </w:tcPr>
          <w:p>
            <w:pPr>
              <w:jc w:val="center"/>
              <w:rPr>
                <w:rFonts w:hint="eastAsia"/>
                <w:color w:val="auto"/>
                <w:sz w:val="24"/>
                <w:szCs w:val="24"/>
                <w:highlight w:val="none"/>
              </w:rPr>
            </w:pPr>
            <w:r>
              <w:rPr>
                <w:rFonts w:hint="eastAsia"/>
                <w:color w:val="auto"/>
                <w:sz w:val="24"/>
                <w:szCs w:val="24"/>
                <w:highlight w:val="none"/>
              </w:rPr>
              <w:t>2</w:t>
            </w:r>
          </w:p>
        </w:tc>
        <w:tc>
          <w:tcPr>
            <w:tcW w:w="1267" w:type="dxa"/>
            <w:vAlign w:val="center"/>
          </w:tcPr>
          <w:p>
            <w:pPr>
              <w:jc w:val="center"/>
              <w:rPr>
                <w:rFonts w:hint="eastAsia"/>
                <w:color w:val="auto"/>
                <w:sz w:val="24"/>
                <w:szCs w:val="24"/>
                <w:highlight w:val="none"/>
              </w:rPr>
            </w:pPr>
            <w:r>
              <w:rPr>
                <w:rFonts w:hint="eastAsia"/>
                <w:color w:val="auto"/>
                <w:sz w:val="24"/>
                <w:szCs w:val="24"/>
                <w:highlight w:val="none"/>
              </w:rPr>
              <w:t>供应商业绩</w:t>
            </w:r>
          </w:p>
        </w:tc>
        <w:tc>
          <w:tcPr>
            <w:tcW w:w="883" w:type="dxa"/>
            <w:vAlign w:val="center"/>
          </w:tcPr>
          <w:p>
            <w:pPr>
              <w:jc w:val="center"/>
              <w:rPr>
                <w:rFonts w:hint="eastAsia"/>
                <w:color w:val="auto"/>
                <w:sz w:val="24"/>
                <w:szCs w:val="24"/>
                <w:highlight w:val="none"/>
              </w:rPr>
            </w:pPr>
            <w:r>
              <w:rPr>
                <w:rFonts w:hint="eastAsia"/>
                <w:color w:val="auto"/>
                <w:sz w:val="24"/>
                <w:szCs w:val="24"/>
                <w:highlight w:val="none"/>
              </w:rPr>
              <w:t>1</w:t>
            </w:r>
            <w:r>
              <w:rPr>
                <w:color w:val="auto"/>
                <w:sz w:val="24"/>
                <w:szCs w:val="24"/>
                <w:highlight w:val="none"/>
              </w:rPr>
              <w:t>2</w:t>
            </w:r>
            <w:r>
              <w:rPr>
                <w:rFonts w:hint="eastAsia"/>
                <w:color w:val="auto"/>
                <w:sz w:val="24"/>
                <w:szCs w:val="24"/>
                <w:highlight w:val="none"/>
              </w:rPr>
              <w:t>分</w:t>
            </w:r>
          </w:p>
        </w:tc>
        <w:tc>
          <w:tcPr>
            <w:tcW w:w="6312"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除资格审查业绩以外</w:t>
            </w:r>
            <w:r>
              <w:rPr>
                <w:rFonts w:hint="eastAsia"/>
                <w:color w:val="auto"/>
                <w:sz w:val="24"/>
                <w:szCs w:val="24"/>
                <w:highlight w:val="none"/>
                <w:lang w:val="en-US" w:eastAsia="zh-CN"/>
              </w:rPr>
              <w:t>的业绩</w:t>
            </w:r>
            <w:r>
              <w:rPr>
                <w:rFonts w:hint="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lang w:val="en-US" w:eastAsia="zh-CN"/>
              </w:rPr>
              <w:t>供应商提供具有</w:t>
            </w:r>
            <w:r>
              <w:rPr>
                <w:rFonts w:hint="eastAsia"/>
                <w:color w:val="auto"/>
                <w:sz w:val="24"/>
                <w:szCs w:val="24"/>
                <w:highlight w:val="none"/>
              </w:rPr>
              <w:t>202</w:t>
            </w:r>
            <w:r>
              <w:rPr>
                <w:color w:val="auto"/>
                <w:sz w:val="24"/>
                <w:szCs w:val="24"/>
                <w:highlight w:val="none"/>
              </w:rPr>
              <w:t>1</w:t>
            </w:r>
            <w:r>
              <w:rPr>
                <w:rFonts w:hint="eastAsia"/>
                <w:color w:val="auto"/>
                <w:sz w:val="24"/>
                <w:szCs w:val="24"/>
                <w:highlight w:val="none"/>
              </w:rPr>
              <w:t>年1月1日以来，合同金额达到5万（含）以上的</w:t>
            </w:r>
            <w:r>
              <w:rPr>
                <w:rFonts w:hint="eastAsia"/>
                <w:color w:val="auto"/>
                <w:sz w:val="24"/>
                <w:szCs w:val="24"/>
                <w:highlight w:val="none"/>
                <w:u w:val="single"/>
              </w:rPr>
              <w:t>检验检测机构设备校准服务</w:t>
            </w:r>
            <w:r>
              <w:rPr>
                <w:rFonts w:hint="eastAsia"/>
                <w:color w:val="auto"/>
                <w:sz w:val="24"/>
                <w:szCs w:val="24"/>
                <w:highlight w:val="none"/>
              </w:rPr>
              <w:t>业绩（以合同签订时间和签订金额为准），每提供一项业绩得3分；满分1</w:t>
            </w:r>
            <w:r>
              <w:rPr>
                <w:color w:val="auto"/>
                <w:sz w:val="24"/>
                <w:szCs w:val="24"/>
                <w:highlight w:val="none"/>
              </w:rPr>
              <w:t>2</w:t>
            </w:r>
            <w:r>
              <w:rPr>
                <w:rFonts w:hint="eastAsia"/>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注：</w:t>
            </w:r>
            <w:r>
              <w:rPr>
                <w:rFonts w:hint="eastAsia"/>
                <w:color w:val="auto"/>
                <w:sz w:val="24"/>
                <w:szCs w:val="24"/>
                <w:highlight w:val="none"/>
                <w:lang w:val="en-US" w:eastAsia="zh-CN"/>
              </w:rPr>
              <w:t>1.</w:t>
            </w:r>
            <w:r>
              <w:rPr>
                <w:rFonts w:hint="eastAsia"/>
                <w:color w:val="auto"/>
                <w:sz w:val="24"/>
                <w:szCs w:val="24"/>
                <w:highlight w:val="none"/>
              </w:rPr>
              <w:t>响应文件中须提供业绩合同的复印件或扫描件或影印件、发票和转账记录并加盖供应商公章</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若合同中无法体现合同签订时间、项目类型等评审内容时，须同时提供业主单位（合同甲方）出具的证明材料加以明确说明，未提供或提供不全的不得分。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default" w:eastAsia="宋体"/>
                <w:color w:val="auto"/>
                <w:sz w:val="24"/>
                <w:szCs w:val="24"/>
                <w:highlight w:val="none"/>
                <w:lang w:val="en-US" w:eastAsia="zh-CN"/>
              </w:rPr>
            </w:pPr>
            <w:r>
              <w:rPr>
                <w:rFonts w:hint="eastAsia"/>
                <w:color w:val="auto"/>
                <w:sz w:val="24"/>
                <w:szCs w:val="24"/>
                <w:highlight w:val="none"/>
                <w:lang w:val="en-US" w:eastAsia="zh-CN"/>
              </w:rPr>
              <w:t>3.提供的项目业绩只计算评标分值对应的项目数量，按照排列顺序从首个业绩开始评审至对应数量，超出部分不进行评审。对应数量内业绩不符合比选文件要求不得分的，不再补充评审超出部分业绩。如：提供3个业绩即得满分的，按照投标文件排序评审第一、第二、第三项业绩，其余超出部分不再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23" w:type="dxa"/>
            <w:vAlign w:val="center"/>
          </w:tcPr>
          <w:p>
            <w:pPr>
              <w:jc w:val="center"/>
              <w:rPr>
                <w:rFonts w:hint="eastAsia"/>
                <w:color w:val="auto"/>
                <w:sz w:val="24"/>
                <w:szCs w:val="24"/>
                <w:highlight w:val="none"/>
              </w:rPr>
            </w:pPr>
            <w:r>
              <w:rPr>
                <w:rFonts w:hint="eastAsia"/>
                <w:color w:val="auto"/>
                <w:sz w:val="24"/>
                <w:szCs w:val="24"/>
                <w:highlight w:val="none"/>
              </w:rPr>
              <w:t>3</w:t>
            </w:r>
          </w:p>
        </w:tc>
        <w:tc>
          <w:tcPr>
            <w:tcW w:w="1267" w:type="dxa"/>
            <w:vAlign w:val="center"/>
          </w:tcPr>
          <w:p>
            <w:pPr>
              <w:jc w:val="center"/>
              <w:rPr>
                <w:rFonts w:hint="eastAsia"/>
                <w:color w:val="auto"/>
                <w:sz w:val="24"/>
                <w:szCs w:val="24"/>
                <w:highlight w:val="none"/>
              </w:rPr>
            </w:pPr>
            <w:r>
              <w:rPr>
                <w:rFonts w:hint="eastAsia"/>
                <w:color w:val="auto"/>
                <w:sz w:val="24"/>
                <w:szCs w:val="24"/>
                <w:highlight w:val="none"/>
              </w:rPr>
              <w:t>人员配备</w:t>
            </w:r>
          </w:p>
        </w:tc>
        <w:tc>
          <w:tcPr>
            <w:tcW w:w="883" w:type="dxa"/>
            <w:vAlign w:val="center"/>
          </w:tcPr>
          <w:p>
            <w:pPr>
              <w:jc w:val="center"/>
              <w:rPr>
                <w:rFonts w:hint="eastAsia"/>
                <w:color w:val="auto"/>
                <w:sz w:val="24"/>
                <w:szCs w:val="24"/>
                <w:highlight w:val="none"/>
              </w:rPr>
            </w:pPr>
            <w:r>
              <w:rPr>
                <w:color w:val="auto"/>
                <w:sz w:val="24"/>
                <w:szCs w:val="24"/>
                <w:highlight w:val="none"/>
              </w:rPr>
              <w:t>7</w:t>
            </w:r>
            <w:r>
              <w:rPr>
                <w:rFonts w:hint="eastAsia"/>
                <w:color w:val="auto"/>
                <w:sz w:val="24"/>
                <w:szCs w:val="24"/>
                <w:highlight w:val="none"/>
              </w:rPr>
              <w:t>分</w:t>
            </w:r>
          </w:p>
        </w:tc>
        <w:tc>
          <w:tcPr>
            <w:tcW w:w="6312"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（1）供应商缴纳社保人员不少于</w:t>
            </w:r>
            <w:r>
              <w:rPr>
                <w:color w:val="auto"/>
                <w:sz w:val="24"/>
                <w:szCs w:val="24"/>
                <w:highlight w:val="none"/>
              </w:rPr>
              <w:t>30</w:t>
            </w:r>
            <w:r>
              <w:rPr>
                <w:rFonts w:hint="eastAsia"/>
                <w:color w:val="auto"/>
                <w:sz w:val="24"/>
                <w:szCs w:val="24"/>
                <w:highlight w:val="none"/>
              </w:rPr>
              <w:t>人</w:t>
            </w:r>
            <w:r>
              <w:rPr>
                <w:rFonts w:hint="eastAsia"/>
                <w:color w:val="auto"/>
                <w:sz w:val="24"/>
                <w:szCs w:val="24"/>
                <w:highlight w:val="none"/>
                <w:lang w:eastAsia="zh-CN"/>
              </w:rPr>
              <w:t>的</w:t>
            </w:r>
            <w:r>
              <w:rPr>
                <w:rFonts w:hint="eastAsia"/>
                <w:color w:val="auto"/>
                <w:sz w:val="24"/>
                <w:szCs w:val="24"/>
                <w:highlight w:val="none"/>
              </w:rPr>
              <w:t>，得基本分</w:t>
            </w:r>
            <w:r>
              <w:rPr>
                <w:color w:val="auto"/>
                <w:sz w:val="24"/>
                <w:szCs w:val="24"/>
                <w:highlight w:val="none"/>
              </w:rPr>
              <w:t>3</w:t>
            </w:r>
            <w:r>
              <w:rPr>
                <w:rFonts w:hint="eastAsia"/>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（2）除资格审查人员要求</w:t>
            </w:r>
            <w:r>
              <w:rPr>
                <w:rFonts w:hint="eastAsia"/>
                <w:color w:val="auto"/>
                <w:sz w:val="24"/>
                <w:szCs w:val="24"/>
                <w:highlight w:val="none"/>
                <w:lang w:eastAsia="zh-CN"/>
              </w:rPr>
              <w:t>的</w:t>
            </w:r>
            <w:r>
              <w:rPr>
                <w:rFonts w:hint="eastAsia"/>
                <w:color w:val="auto"/>
                <w:sz w:val="24"/>
                <w:szCs w:val="24"/>
                <w:highlight w:val="none"/>
                <w:lang w:val="en-US" w:eastAsia="zh-CN"/>
              </w:rPr>
              <w:t>2人以</w:t>
            </w:r>
            <w:r>
              <w:rPr>
                <w:rFonts w:hint="eastAsia"/>
                <w:color w:val="auto"/>
                <w:sz w:val="24"/>
                <w:szCs w:val="24"/>
                <w:highlight w:val="none"/>
              </w:rPr>
              <w:t>外，每</w:t>
            </w:r>
            <w:r>
              <w:rPr>
                <w:rFonts w:hint="eastAsia"/>
                <w:color w:val="auto"/>
                <w:sz w:val="24"/>
                <w:szCs w:val="24"/>
                <w:highlight w:val="none"/>
                <w:lang w:val="en-US" w:eastAsia="zh-CN"/>
              </w:rPr>
              <w:t>多</w:t>
            </w:r>
            <w:r>
              <w:rPr>
                <w:rFonts w:hint="eastAsia"/>
                <w:color w:val="auto"/>
                <w:sz w:val="24"/>
                <w:szCs w:val="24"/>
                <w:highlight w:val="none"/>
              </w:rPr>
              <w:t>提供一个注册计量师，得</w:t>
            </w:r>
            <w:r>
              <w:rPr>
                <w:color w:val="auto"/>
                <w:sz w:val="24"/>
                <w:szCs w:val="24"/>
                <w:highlight w:val="none"/>
              </w:rPr>
              <w:t>1</w:t>
            </w:r>
            <w:r>
              <w:rPr>
                <w:rFonts w:hint="eastAsia"/>
                <w:color w:val="auto"/>
                <w:sz w:val="24"/>
                <w:szCs w:val="24"/>
                <w:highlight w:val="none"/>
              </w:rPr>
              <w:t>分，满分</w:t>
            </w:r>
            <w:r>
              <w:rPr>
                <w:color w:val="auto"/>
                <w:sz w:val="24"/>
                <w:szCs w:val="24"/>
                <w:highlight w:val="none"/>
              </w:rPr>
              <w:t>4</w:t>
            </w:r>
            <w:r>
              <w:rPr>
                <w:rFonts w:hint="eastAsia"/>
                <w:color w:val="auto"/>
                <w:sz w:val="24"/>
                <w:szCs w:val="24"/>
                <w:highlight w:val="none"/>
              </w:rPr>
              <w:t>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注：</w:t>
            </w:r>
            <w:r>
              <w:rPr>
                <w:rFonts w:hint="eastAsia"/>
                <w:color w:val="auto"/>
                <w:sz w:val="24"/>
                <w:szCs w:val="24"/>
                <w:highlight w:val="none"/>
                <w:lang w:val="en-US" w:eastAsia="zh-CN"/>
              </w:rPr>
              <w:t>1.</w:t>
            </w:r>
            <w:r>
              <w:rPr>
                <w:rFonts w:hint="eastAsia"/>
                <w:color w:val="auto"/>
                <w:sz w:val="24"/>
                <w:szCs w:val="24"/>
                <w:highlight w:val="none"/>
              </w:rPr>
              <w:t>响应文件中须提供</w:t>
            </w:r>
            <w:r>
              <w:rPr>
                <w:rFonts w:hint="eastAsia"/>
                <w:color w:val="auto"/>
                <w:sz w:val="24"/>
                <w:szCs w:val="24"/>
                <w:highlight w:val="none"/>
                <w:lang w:val="en-US" w:eastAsia="zh-CN"/>
              </w:rPr>
              <w:t>2024年1月1日起供应商为员工缴纳社保的证明复印件或扫描件或影印件并加盖供应商公章，否则不得分</w:t>
            </w:r>
            <w:r>
              <w:rPr>
                <w:rFonts w:hint="eastAsia"/>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响应文件中须提供注册计量师证书扫描件或影印件或复印件。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jc w:val="center"/>
        </w:trPr>
        <w:tc>
          <w:tcPr>
            <w:tcW w:w="823" w:type="dxa"/>
            <w:vAlign w:val="center"/>
          </w:tcPr>
          <w:p>
            <w:pPr>
              <w:jc w:val="center"/>
              <w:rPr>
                <w:rFonts w:hint="eastAsia"/>
                <w:color w:val="auto"/>
                <w:sz w:val="24"/>
                <w:szCs w:val="24"/>
                <w:highlight w:val="none"/>
              </w:rPr>
            </w:pPr>
            <w:r>
              <w:rPr>
                <w:rFonts w:hint="eastAsia"/>
                <w:color w:val="auto"/>
                <w:sz w:val="24"/>
                <w:szCs w:val="24"/>
                <w:highlight w:val="none"/>
              </w:rPr>
              <w:t>4</w:t>
            </w:r>
          </w:p>
        </w:tc>
        <w:tc>
          <w:tcPr>
            <w:tcW w:w="1267" w:type="dxa"/>
            <w:vAlign w:val="center"/>
          </w:tcPr>
          <w:p>
            <w:pPr>
              <w:jc w:val="center"/>
              <w:rPr>
                <w:rFonts w:hint="eastAsia"/>
                <w:color w:val="auto"/>
                <w:sz w:val="24"/>
                <w:szCs w:val="24"/>
                <w:highlight w:val="none"/>
              </w:rPr>
            </w:pPr>
            <w:r>
              <w:rPr>
                <w:rFonts w:hint="eastAsia"/>
                <w:color w:val="auto"/>
                <w:sz w:val="24"/>
                <w:szCs w:val="24"/>
                <w:highlight w:val="none"/>
              </w:rPr>
              <w:t>实验室面积</w:t>
            </w:r>
          </w:p>
        </w:tc>
        <w:tc>
          <w:tcPr>
            <w:tcW w:w="883" w:type="dxa"/>
            <w:vAlign w:val="center"/>
          </w:tcPr>
          <w:p>
            <w:pPr>
              <w:jc w:val="center"/>
              <w:rPr>
                <w:rFonts w:hint="eastAsia"/>
                <w:color w:val="auto"/>
                <w:sz w:val="24"/>
                <w:szCs w:val="24"/>
                <w:highlight w:val="none"/>
              </w:rPr>
            </w:pPr>
            <w:r>
              <w:rPr>
                <w:rFonts w:hint="eastAsia"/>
                <w:color w:val="auto"/>
                <w:sz w:val="24"/>
                <w:szCs w:val="24"/>
                <w:highlight w:val="none"/>
              </w:rPr>
              <w:t>10分</w:t>
            </w:r>
          </w:p>
        </w:tc>
        <w:tc>
          <w:tcPr>
            <w:tcW w:w="6312"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eastAsia="宋体"/>
                <w:color w:val="auto"/>
                <w:sz w:val="24"/>
                <w:szCs w:val="24"/>
                <w:highlight w:val="none"/>
                <w:lang w:val="en-US" w:eastAsia="zh-CN"/>
              </w:rPr>
            </w:pPr>
            <w:r>
              <w:rPr>
                <w:rFonts w:hint="eastAsia"/>
                <w:color w:val="auto"/>
                <w:sz w:val="24"/>
                <w:szCs w:val="24"/>
                <w:highlight w:val="none"/>
              </w:rPr>
              <w:t>评委根据参选文件</w:t>
            </w:r>
            <w:r>
              <w:rPr>
                <w:rFonts w:hint="eastAsia"/>
                <w:color w:val="auto"/>
                <w:sz w:val="24"/>
                <w:szCs w:val="24"/>
                <w:highlight w:val="none"/>
                <w:lang w:val="en-US" w:eastAsia="zh-CN"/>
              </w:rPr>
              <w:t>评审：</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lang w:val="en-US" w:eastAsia="zh-CN"/>
              </w:rPr>
              <w:t>1.</w:t>
            </w:r>
            <w:r>
              <w:rPr>
                <w:rFonts w:hint="eastAsia"/>
                <w:color w:val="auto"/>
                <w:sz w:val="24"/>
                <w:szCs w:val="24"/>
                <w:highlight w:val="none"/>
              </w:rPr>
              <w:t>总面积不低于600（不含）平方米，实验室面积不低于400（不含）平方，提供自有产权证书或租赁合同以得10分。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lang w:val="en-US" w:eastAsia="zh-CN"/>
              </w:rPr>
              <w:t>2.</w:t>
            </w:r>
            <w:r>
              <w:rPr>
                <w:rFonts w:hint="eastAsia"/>
                <w:color w:val="auto"/>
                <w:sz w:val="24"/>
                <w:szCs w:val="24"/>
                <w:highlight w:val="none"/>
              </w:rPr>
              <w:t>总面积</w:t>
            </w:r>
            <w:r>
              <w:rPr>
                <w:rFonts w:hint="eastAsia"/>
                <w:color w:val="auto"/>
                <w:sz w:val="24"/>
                <w:szCs w:val="24"/>
                <w:highlight w:val="none"/>
                <w:lang w:val="en-US" w:eastAsia="zh-CN"/>
              </w:rPr>
              <w:t>在600（含）~</w:t>
            </w:r>
            <w:r>
              <w:rPr>
                <w:rFonts w:hint="eastAsia"/>
                <w:color w:val="auto"/>
                <w:sz w:val="24"/>
                <w:szCs w:val="24"/>
                <w:highlight w:val="none"/>
              </w:rPr>
              <w:t>400（</w:t>
            </w:r>
            <w:r>
              <w:rPr>
                <w:rFonts w:hint="eastAsia"/>
                <w:color w:val="auto"/>
                <w:sz w:val="24"/>
                <w:szCs w:val="24"/>
                <w:highlight w:val="none"/>
                <w:lang w:val="en-US" w:eastAsia="zh-CN"/>
              </w:rPr>
              <w:t>不</w:t>
            </w:r>
            <w:r>
              <w:rPr>
                <w:rFonts w:hint="eastAsia"/>
                <w:color w:val="auto"/>
                <w:sz w:val="24"/>
                <w:szCs w:val="24"/>
                <w:highlight w:val="none"/>
              </w:rPr>
              <w:t>含）平方米，实验室面积</w:t>
            </w:r>
            <w:r>
              <w:rPr>
                <w:rFonts w:hint="eastAsia"/>
                <w:color w:val="auto"/>
                <w:sz w:val="24"/>
                <w:szCs w:val="24"/>
                <w:highlight w:val="none"/>
                <w:lang w:val="en-US" w:eastAsia="zh-CN"/>
              </w:rPr>
              <w:t>在400（含）~</w:t>
            </w:r>
            <w:r>
              <w:rPr>
                <w:rFonts w:hint="eastAsia"/>
                <w:color w:val="auto"/>
                <w:sz w:val="24"/>
                <w:szCs w:val="24"/>
                <w:highlight w:val="none"/>
              </w:rPr>
              <w:t>200</w:t>
            </w:r>
            <w:r>
              <w:rPr>
                <w:rFonts w:hint="eastAsia"/>
                <w:color w:val="auto"/>
                <w:sz w:val="24"/>
                <w:szCs w:val="24"/>
                <w:highlight w:val="none"/>
                <w:lang w:eastAsia="zh-CN"/>
              </w:rPr>
              <w:t>（</w:t>
            </w:r>
            <w:r>
              <w:rPr>
                <w:rFonts w:hint="eastAsia"/>
                <w:color w:val="auto"/>
                <w:sz w:val="24"/>
                <w:szCs w:val="24"/>
                <w:highlight w:val="none"/>
                <w:lang w:val="en-US" w:eastAsia="zh-CN"/>
              </w:rPr>
              <w:t>不含</w:t>
            </w:r>
            <w:r>
              <w:rPr>
                <w:rFonts w:hint="eastAsia"/>
                <w:color w:val="auto"/>
                <w:sz w:val="24"/>
                <w:szCs w:val="24"/>
                <w:highlight w:val="none"/>
                <w:lang w:eastAsia="zh-CN"/>
              </w:rPr>
              <w:t>）</w:t>
            </w:r>
            <w:r>
              <w:rPr>
                <w:rFonts w:hint="eastAsia"/>
                <w:color w:val="auto"/>
                <w:sz w:val="24"/>
                <w:szCs w:val="24"/>
                <w:highlight w:val="none"/>
              </w:rPr>
              <w:t>平方，提供自有产权证书或租赁合同以得6分.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总面积</w:t>
            </w:r>
            <w:r>
              <w:rPr>
                <w:rFonts w:hint="eastAsia"/>
                <w:color w:val="auto"/>
                <w:sz w:val="24"/>
                <w:szCs w:val="24"/>
                <w:highlight w:val="none"/>
                <w:lang w:val="en-US" w:eastAsia="zh-CN"/>
              </w:rPr>
              <w:t>在400</w:t>
            </w:r>
            <w:r>
              <w:rPr>
                <w:rFonts w:hint="eastAsia"/>
                <w:color w:val="auto"/>
                <w:sz w:val="24"/>
                <w:szCs w:val="24"/>
                <w:highlight w:val="none"/>
              </w:rPr>
              <w:t>（含）~300（不含）平方米，实验室面积在</w:t>
            </w:r>
            <w:r>
              <w:rPr>
                <w:rFonts w:hint="eastAsia"/>
                <w:color w:val="auto"/>
                <w:sz w:val="24"/>
                <w:szCs w:val="24"/>
                <w:highlight w:val="none"/>
                <w:lang w:val="en-US" w:eastAsia="zh-CN"/>
              </w:rPr>
              <w:t>200</w:t>
            </w:r>
            <w:r>
              <w:rPr>
                <w:rFonts w:hint="eastAsia"/>
                <w:color w:val="auto"/>
                <w:sz w:val="24"/>
                <w:szCs w:val="24"/>
                <w:highlight w:val="none"/>
              </w:rPr>
              <w:t>（含）~150（不含）平方，提供自有产权证书或租赁合同以得2分.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lang w:val="en-US" w:eastAsia="zh-CN"/>
              </w:rPr>
              <w:t>4.</w:t>
            </w:r>
            <w:r>
              <w:rPr>
                <w:rFonts w:hint="eastAsia"/>
                <w:color w:val="auto"/>
                <w:sz w:val="24"/>
                <w:szCs w:val="24"/>
                <w:highlight w:val="none"/>
              </w:rPr>
              <w:t>不提供不得分。</w:t>
            </w:r>
          </w:p>
          <w:p>
            <w:pPr>
              <w:pStyle w:val="81"/>
              <w:ind w:firstLine="420" w:firstLineChars="175"/>
              <w:rPr>
                <w:rFonts w:hint="eastAsia"/>
                <w:color w:val="auto"/>
                <w:sz w:val="24"/>
                <w:szCs w:val="24"/>
                <w:highlight w:val="none"/>
              </w:rPr>
            </w:pPr>
            <w:r>
              <w:rPr>
                <w:rFonts w:hint="eastAsia"/>
                <w:color w:val="auto"/>
                <w:sz w:val="24"/>
                <w:szCs w:val="24"/>
                <w:highlight w:val="none"/>
                <w:lang w:val="en-US" w:eastAsia="zh-CN"/>
              </w:rPr>
              <w:t>注：满分10分，多个实验室不重复计分，以最高分计。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0" w:hRule="atLeast"/>
          <w:jc w:val="center"/>
        </w:trPr>
        <w:tc>
          <w:tcPr>
            <w:tcW w:w="823" w:type="dxa"/>
            <w:vAlign w:val="center"/>
          </w:tcPr>
          <w:p>
            <w:pPr>
              <w:jc w:val="center"/>
              <w:rPr>
                <w:rFonts w:hint="eastAsia"/>
                <w:color w:val="auto"/>
                <w:sz w:val="24"/>
                <w:szCs w:val="24"/>
                <w:highlight w:val="none"/>
              </w:rPr>
            </w:pPr>
            <w:r>
              <w:rPr>
                <w:rFonts w:hint="eastAsia"/>
                <w:color w:val="auto"/>
                <w:sz w:val="24"/>
                <w:szCs w:val="24"/>
                <w:highlight w:val="none"/>
              </w:rPr>
              <w:t>5</w:t>
            </w:r>
          </w:p>
        </w:tc>
        <w:tc>
          <w:tcPr>
            <w:tcW w:w="1267" w:type="dxa"/>
            <w:vAlign w:val="center"/>
          </w:tcPr>
          <w:p>
            <w:pPr>
              <w:jc w:val="center"/>
              <w:rPr>
                <w:rFonts w:hint="eastAsia"/>
                <w:color w:val="auto"/>
                <w:sz w:val="24"/>
                <w:szCs w:val="24"/>
                <w:highlight w:val="none"/>
              </w:rPr>
            </w:pPr>
            <w:r>
              <w:rPr>
                <w:rFonts w:hint="eastAsia"/>
                <w:color w:val="auto"/>
                <w:sz w:val="24"/>
                <w:szCs w:val="24"/>
                <w:highlight w:val="none"/>
              </w:rPr>
              <w:t>服务方案</w:t>
            </w:r>
          </w:p>
        </w:tc>
        <w:tc>
          <w:tcPr>
            <w:tcW w:w="883" w:type="dxa"/>
            <w:vAlign w:val="center"/>
          </w:tcPr>
          <w:p>
            <w:pPr>
              <w:jc w:val="center"/>
              <w:rPr>
                <w:rFonts w:hint="eastAsia"/>
                <w:color w:val="auto"/>
                <w:sz w:val="24"/>
                <w:szCs w:val="24"/>
                <w:highlight w:val="none"/>
              </w:rPr>
            </w:pPr>
            <w:r>
              <w:rPr>
                <w:rFonts w:hint="eastAsia"/>
                <w:color w:val="auto"/>
                <w:sz w:val="24"/>
                <w:szCs w:val="24"/>
                <w:highlight w:val="none"/>
              </w:rPr>
              <w:t>40分</w:t>
            </w:r>
          </w:p>
        </w:tc>
        <w:tc>
          <w:tcPr>
            <w:tcW w:w="6312"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根据建设领域检验检测机构检定校准范围编制服务方案，评委从服务方案的组织架构设置、完整性、合理性、及时性、准确性以及服务承诺等进行综合评分。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（1）总体服务方案（10分）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评标委员会根据投标人提供的服务方案实施计划的科学性、全面性、合理性、可行性、针对性等进行综合评</w:t>
            </w:r>
            <w:r>
              <w:rPr>
                <w:rFonts w:hint="eastAsia"/>
                <w:color w:val="auto"/>
                <w:sz w:val="24"/>
                <w:szCs w:val="24"/>
                <w:highlight w:val="none"/>
                <w:lang w:val="en-US" w:eastAsia="zh-CN"/>
              </w:rPr>
              <w:t>分</w:t>
            </w:r>
            <w:r>
              <w:rPr>
                <w:rFonts w:hint="eastAsia"/>
                <w:color w:val="auto"/>
                <w:sz w:val="24"/>
                <w:szCs w:val="24"/>
                <w:highlight w:val="none"/>
              </w:rPr>
              <w:t>。优：7＜得分≤10分，良：4＜得分≤7 分，一般：0＜得分≤4 分，不提供不得分。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（2）服务重难点分析（10分）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评标委员会根据投标人提供的针对本次量值溯源服务项目重难点分析的科学性、全面性、合理性、可行性、针对性等进行综合评</w:t>
            </w:r>
            <w:r>
              <w:rPr>
                <w:rFonts w:hint="eastAsia" w:ascii="Times New Roman" w:eastAsia="宋体"/>
                <w:color w:val="auto"/>
                <w:sz w:val="24"/>
                <w:szCs w:val="24"/>
                <w:highlight w:val="none"/>
                <w:lang w:val="en-US" w:eastAsia="zh-CN"/>
              </w:rPr>
              <w:t>分</w:t>
            </w:r>
            <w:r>
              <w:rPr>
                <w:rFonts w:hint="eastAsia"/>
                <w:color w:val="auto"/>
                <w:sz w:val="24"/>
                <w:szCs w:val="24"/>
                <w:highlight w:val="none"/>
              </w:rPr>
              <w:t>。优：7＜得分≤10分，良：4＜得分≤7 分，一般：0＜得分≤4 分，不提供不得分。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（3）质量保证措施（10分）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评标委员会根据投标人提供的关于设备安全、服务及时性、证书时效性、证书有效性、参数符合性等方面的质量保障措施进行综合评</w:t>
            </w:r>
            <w:r>
              <w:rPr>
                <w:rFonts w:hint="eastAsia" w:ascii="Times New Roman" w:eastAsia="宋体"/>
                <w:color w:val="auto"/>
                <w:sz w:val="24"/>
                <w:szCs w:val="24"/>
                <w:highlight w:val="none"/>
                <w:lang w:val="en-US" w:eastAsia="zh-CN"/>
              </w:rPr>
              <w:t>分</w:t>
            </w:r>
            <w:r>
              <w:rPr>
                <w:rFonts w:hint="eastAsia"/>
                <w:color w:val="auto"/>
                <w:sz w:val="24"/>
                <w:szCs w:val="24"/>
                <w:highlight w:val="none"/>
              </w:rPr>
              <w:t>。优：7＜得分≤10分，良：4＜得分≤7 分，一般：0＜得分≤4 分，不提供不得分。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（4）增值服务方案（10分）</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根据招标人需求，提供必要的增值服务，最少应包含溯源确认、期间核查、内部审核等要素的培训及交流方案，评标委员会根据方案的科学性、合理性、可行性、针对性进行综合评</w:t>
            </w:r>
            <w:r>
              <w:rPr>
                <w:rFonts w:hint="eastAsia" w:ascii="Times New Roman" w:eastAsia="宋体"/>
                <w:color w:val="auto"/>
                <w:sz w:val="24"/>
                <w:szCs w:val="24"/>
                <w:highlight w:val="none"/>
                <w:lang w:val="en-US" w:eastAsia="zh-CN"/>
              </w:rPr>
              <w:t>分</w:t>
            </w:r>
            <w:r>
              <w:rPr>
                <w:rFonts w:hint="eastAsia"/>
                <w:color w:val="auto"/>
                <w:sz w:val="24"/>
                <w:szCs w:val="24"/>
                <w:highlight w:val="none"/>
              </w:rPr>
              <w:t>。优：7＜得分≤10分，良：4＜得分≤7 分，一般：0＜得分≤4 分，不提供不得分。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823" w:type="dxa"/>
            <w:vAlign w:val="center"/>
          </w:tcPr>
          <w:p>
            <w:pPr>
              <w:jc w:val="center"/>
              <w:rPr>
                <w:rFonts w:hint="eastAsia"/>
                <w:color w:val="auto"/>
                <w:sz w:val="24"/>
                <w:szCs w:val="24"/>
                <w:highlight w:val="none"/>
              </w:rPr>
            </w:pPr>
            <w:r>
              <w:rPr>
                <w:rFonts w:hint="eastAsia"/>
                <w:color w:val="auto"/>
                <w:sz w:val="24"/>
                <w:szCs w:val="24"/>
                <w:highlight w:val="none"/>
              </w:rPr>
              <w:t>6</w:t>
            </w:r>
          </w:p>
        </w:tc>
        <w:tc>
          <w:tcPr>
            <w:tcW w:w="1267" w:type="dxa"/>
            <w:vAlign w:val="center"/>
          </w:tcPr>
          <w:p>
            <w:pPr>
              <w:jc w:val="center"/>
              <w:rPr>
                <w:rFonts w:hint="eastAsia"/>
                <w:color w:val="auto"/>
                <w:sz w:val="24"/>
                <w:szCs w:val="24"/>
                <w:highlight w:val="none"/>
              </w:rPr>
            </w:pPr>
            <w:r>
              <w:rPr>
                <w:rFonts w:hint="eastAsia"/>
                <w:color w:val="auto"/>
                <w:sz w:val="24"/>
                <w:szCs w:val="24"/>
                <w:highlight w:val="none"/>
              </w:rPr>
              <w:t>价格分</w:t>
            </w:r>
          </w:p>
        </w:tc>
        <w:tc>
          <w:tcPr>
            <w:tcW w:w="883" w:type="dxa"/>
            <w:vAlign w:val="center"/>
          </w:tcPr>
          <w:p>
            <w:pPr>
              <w:jc w:val="center"/>
              <w:rPr>
                <w:rFonts w:hint="eastAsia"/>
                <w:color w:val="auto"/>
                <w:sz w:val="24"/>
                <w:szCs w:val="24"/>
                <w:highlight w:val="none"/>
              </w:rPr>
            </w:pPr>
            <w:r>
              <w:rPr>
                <w:rFonts w:hint="eastAsia"/>
                <w:color w:val="auto"/>
                <w:sz w:val="24"/>
                <w:szCs w:val="24"/>
                <w:highlight w:val="none"/>
              </w:rPr>
              <w:t>20分</w:t>
            </w:r>
          </w:p>
        </w:tc>
        <w:tc>
          <w:tcPr>
            <w:tcW w:w="6312" w:type="dxa"/>
            <w:vAlign w:val="center"/>
          </w:tcPr>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color w:val="auto"/>
                <w:sz w:val="24"/>
                <w:szCs w:val="24"/>
                <w:highlight w:val="none"/>
              </w:rPr>
              <w:t>价格分统一采用低价优先法，即满足</w:t>
            </w:r>
            <w:r>
              <w:rPr>
                <w:rFonts w:hint="eastAsia"/>
                <w:color w:val="auto"/>
                <w:sz w:val="24"/>
                <w:szCs w:val="24"/>
                <w:highlight w:val="none"/>
                <w:lang w:val="en-US" w:eastAsia="zh-CN"/>
              </w:rPr>
              <w:t>比选</w:t>
            </w:r>
            <w:r>
              <w:rPr>
                <w:rFonts w:hint="eastAsia"/>
                <w:color w:val="auto"/>
                <w:sz w:val="24"/>
                <w:szCs w:val="24"/>
                <w:highlight w:val="none"/>
              </w:rPr>
              <w:t>文件要求且报价最低的</w:t>
            </w:r>
            <w:r>
              <w:rPr>
                <w:rFonts w:hint="eastAsia"/>
                <w:color w:val="auto"/>
                <w:sz w:val="24"/>
                <w:szCs w:val="24"/>
                <w:highlight w:val="none"/>
                <w:lang w:val="en-US" w:eastAsia="zh-CN"/>
              </w:rPr>
              <w:t>有效</w:t>
            </w:r>
            <w:r>
              <w:rPr>
                <w:rFonts w:hint="eastAsia"/>
                <w:color w:val="auto"/>
                <w:sz w:val="24"/>
                <w:szCs w:val="24"/>
                <w:highlight w:val="none"/>
              </w:rPr>
              <w:t>报价为评标基准价，其价格分为满分20分。其他供应商</w:t>
            </w:r>
            <w:r>
              <w:rPr>
                <w:rFonts w:hint="eastAsia"/>
                <w:color w:val="auto"/>
                <w:sz w:val="24"/>
                <w:szCs w:val="24"/>
                <w:highlight w:val="none"/>
                <w:lang w:eastAsia="zh-CN"/>
              </w:rPr>
              <w:t>的</w:t>
            </w:r>
            <w:r>
              <w:rPr>
                <w:rFonts w:hint="eastAsia"/>
                <w:color w:val="auto"/>
                <w:sz w:val="24"/>
                <w:szCs w:val="24"/>
                <w:highlight w:val="none"/>
              </w:rPr>
              <w:t>评标</w:t>
            </w:r>
            <w:r>
              <w:rPr>
                <w:rFonts w:hint="eastAsia"/>
                <w:color w:val="auto"/>
                <w:sz w:val="24"/>
                <w:szCs w:val="24"/>
                <w:highlight w:val="none"/>
                <w:lang w:val="en-US" w:eastAsia="zh-CN"/>
              </w:rPr>
              <w:t>报</w:t>
            </w:r>
            <w:r>
              <w:rPr>
                <w:rFonts w:hint="eastAsia"/>
                <w:color w:val="auto"/>
                <w:sz w:val="24"/>
                <w:szCs w:val="24"/>
                <w:highlight w:val="none"/>
              </w:rPr>
              <w:t>价对应得分统一按照下列公式计算：</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imes New Roman" w:hAnsi="Times New Roman" w:eastAsia="宋体" w:cs="Times New Roman"/>
                <w:color w:val="auto"/>
                <w:sz w:val="24"/>
                <w:szCs w:val="24"/>
                <w:highlight w:val="none"/>
              </w:rPr>
            </w:pPr>
            <w:r>
              <w:rPr>
                <w:rFonts w:hint="eastAsia"/>
                <w:color w:val="auto"/>
                <w:sz w:val="24"/>
                <w:szCs w:val="24"/>
                <w:highlight w:val="none"/>
              </w:rPr>
              <w:t>评标价得分=（评标基准价/评标报价）×</w:t>
            </w:r>
            <w:r>
              <w:rPr>
                <w:rFonts w:hint="eastAsia"/>
                <w:color w:val="auto"/>
                <w:sz w:val="24"/>
                <w:szCs w:val="24"/>
                <w:highlight w:val="none"/>
                <w:lang w:val="en-US" w:eastAsia="zh-CN"/>
              </w:rPr>
              <w:t>2</w:t>
            </w:r>
            <w:r>
              <w:rPr>
                <w:rFonts w:hint="eastAsia"/>
                <w:color w:val="auto"/>
                <w:sz w:val="24"/>
                <w:szCs w:val="24"/>
                <w:highlight w:val="none"/>
              </w:rPr>
              <w:t>0％×100。</w:t>
            </w:r>
            <w:r>
              <w:rPr>
                <w:rFonts w:hint="eastAsia"/>
                <w:color w:val="auto"/>
                <w:sz w:val="24"/>
                <w:szCs w:val="24"/>
                <w:highlight w:val="none"/>
              </w:rPr>
              <w:br w:type="textWrapping"/>
            </w:r>
            <w:r>
              <w:rPr>
                <w:rFonts w:hint="eastAsia"/>
                <w:color w:val="auto"/>
                <w:sz w:val="24"/>
                <w:szCs w:val="24"/>
                <w:highlight w:val="none"/>
              </w:rPr>
              <w:t>评标基准价计算：通过商务及技术文件、报价文件初步评审的有效投标人最低评标价作为评标基准价。在评标过程中，评标委员会</w:t>
            </w:r>
            <w:r>
              <w:rPr>
                <w:rFonts w:hint="eastAsia" w:ascii="Times New Roman" w:hAnsi="Times New Roman" w:eastAsia="宋体" w:cs="Times New Roman"/>
                <w:color w:val="auto"/>
                <w:sz w:val="24"/>
                <w:szCs w:val="24"/>
                <w:highlight w:val="none"/>
              </w:rPr>
              <w:t>应对评标基准价进行复核，存在计算错误的应予以修正并在评标报告中作出说明。除此之外，评标基准价在整个评标期间保持不变，不随任何因素发生变化。</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color w:val="auto"/>
                <w:sz w:val="24"/>
                <w:szCs w:val="24"/>
                <w:highlight w:val="none"/>
              </w:rPr>
            </w:pPr>
            <w:r>
              <w:rPr>
                <w:rFonts w:hint="eastAsia" w:ascii="Times New Roman" w:hAnsi="Times New Roman" w:eastAsia="宋体" w:cs="Times New Roman"/>
                <w:color w:val="auto"/>
                <w:sz w:val="24"/>
                <w:szCs w:val="24"/>
                <w:highlight w:val="none"/>
              </w:rPr>
              <w:t>（报价分计算至小数点后第二位、小数点后第三位四舍五入）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2973" w:type="dxa"/>
            <w:gridSpan w:val="3"/>
            <w:vAlign w:val="center"/>
          </w:tcPr>
          <w:p>
            <w:pPr>
              <w:rPr>
                <w:rFonts w:hint="eastAsia"/>
                <w:color w:val="auto"/>
                <w:sz w:val="24"/>
                <w:szCs w:val="24"/>
                <w:highlight w:val="none"/>
              </w:rPr>
            </w:pPr>
            <w:r>
              <w:rPr>
                <w:rFonts w:hint="eastAsia"/>
                <w:color w:val="auto"/>
                <w:sz w:val="24"/>
                <w:szCs w:val="24"/>
                <w:highlight w:val="none"/>
              </w:rPr>
              <w:t>总分</w:t>
            </w:r>
          </w:p>
        </w:tc>
        <w:tc>
          <w:tcPr>
            <w:tcW w:w="6312" w:type="dxa"/>
            <w:vAlign w:val="center"/>
          </w:tcPr>
          <w:p>
            <w:pPr>
              <w:rPr>
                <w:rFonts w:hint="eastAsia"/>
                <w:color w:val="auto"/>
                <w:sz w:val="24"/>
                <w:szCs w:val="24"/>
                <w:highlight w:val="none"/>
              </w:rPr>
            </w:pPr>
            <w:r>
              <w:rPr>
                <w:rFonts w:hint="eastAsia"/>
                <w:color w:val="auto"/>
                <w:sz w:val="24"/>
                <w:szCs w:val="24"/>
                <w:highlight w:val="none"/>
              </w:rPr>
              <w:t>100分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备注：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w:t>
      </w:r>
      <w:r>
        <w:rPr>
          <w:rFonts w:hint="eastAsia"/>
          <w:color w:val="auto"/>
          <w:sz w:val="24"/>
          <w:szCs w:val="24"/>
          <w:highlight w:val="none"/>
          <w:lang w:val="en-US" w:eastAsia="zh-CN"/>
        </w:rPr>
        <w:t>1</w:t>
      </w:r>
      <w:r>
        <w:rPr>
          <w:rFonts w:hint="eastAsia"/>
          <w:color w:val="auto"/>
          <w:sz w:val="24"/>
          <w:szCs w:val="24"/>
          <w:highlight w:val="none"/>
        </w:rPr>
        <w:t>）以上评分汇总分精确至小数点后二位、小数点后第三位四舍五入。</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（2）</w:t>
      </w:r>
      <w:r>
        <w:rPr>
          <w:rFonts w:hint="eastAsia"/>
          <w:color w:val="auto"/>
          <w:sz w:val="24"/>
          <w:szCs w:val="24"/>
          <w:highlight w:val="none"/>
          <w:lang w:eastAsia="zh-CN"/>
        </w:rPr>
        <w:t>参选人</w:t>
      </w:r>
      <w:r>
        <w:rPr>
          <w:rFonts w:hint="eastAsia"/>
          <w:color w:val="auto"/>
          <w:sz w:val="24"/>
          <w:szCs w:val="24"/>
          <w:highlight w:val="none"/>
        </w:rPr>
        <w:t>提供的证明材料要能清晰反映评分的实质内容，如因材料模糊不清，导致评标委员会无法辨认的，评标委员会可以不予认可该材料，一切后果由</w:t>
      </w:r>
      <w:r>
        <w:rPr>
          <w:rFonts w:hint="eastAsia"/>
          <w:color w:val="auto"/>
          <w:sz w:val="24"/>
          <w:szCs w:val="24"/>
          <w:highlight w:val="none"/>
          <w:lang w:eastAsia="zh-CN"/>
        </w:rPr>
        <w:t>参选人</w:t>
      </w:r>
      <w:r>
        <w:rPr>
          <w:rFonts w:hint="eastAsia"/>
          <w:color w:val="auto"/>
          <w:sz w:val="24"/>
          <w:szCs w:val="24"/>
          <w:highlight w:val="none"/>
        </w:rPr>
        <w:t>自行承担。</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4"/>
          <w:szCs w:val="24"/>
          <w:highlight w:val="none"/>
        </w:rPr>
      </w:pPr>
      <w:r>
        <w:rPr>
          <w:rFonts w:hint="eastAsia"/>
          <w:color w:val="auto"/>
          <w:sz w:val="24"/>
          <w:szCs w:val="24"/>
          <w:highlight w:val="none"/>
        </w:rPr>
        <w:t>（3）以上评分项中要求</w:t>
      </w:r>
      <w:r>
        <w:rPr>
          <w:rFonts w:hint="eastAsia"/>
          <w:color w:val="auto"/>
          <w:sz w:val="24"/>
          <w:szCs w:val="24"/>
          <w:highlight w:val="none"/>
          <w:lang w:eastAsia="zh-CN"/>
        </w:rPr>
        <w:t>参选人</w:t>
      </w:r>
      <w:r>
        <w:rPr>
          <w:rFonts w:hint="eastAsia"/>
          <w:color w:val="auto"/>
          <w:sz w:val="24"/>
          <w:szCs w:val="24"/>
          <w:highlight w:val="none"/>
        </w:rPr>
        <w:t>提供的证明文件，</w:t>
      </w:r>
      <w:r>
        <w:rPr>
          <w:rFonts w:hint="eastAsia"/>
          <w:color w:val="auto"/>
          <w:sz w:val="24"/>
          <w:szCs w:val="24"/>
          <w:highlight w:val="none"/>
          <w:lang w:eastAsia="zh-CN"/>
        </w:rPr>
        <w:t>参选人</w:t>
      </w:r>
      <w:r>
        <w:rPr>
          <w:rFonts w:hint="eastAsia"/>
          <w:color w:val="auto"/>
          <w:sz w:val="24"/>
          <w:szCs w:val="24"/>
          <w:highlight w:val="none"/>
        </w:rPr>
        <w:t>提供证明文件的扫描件或复印件或影印件即可。</w:t>
      </w:r>
    </w:p>
    <w:bookmarkEnd w:id="3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snapToGrid w:val="0"/>
          <w:color w:val="auto"/>
          <w:kern w:val="0"/>
          <w:sz w:val="24"/>
          <w:szCs w:val="24"/>
          <w:highlight w:val="none"/>
        </w:rPr>
        <w:sectPr>
          <w:headerReference r:id="rId12" w:type="first"/>
          <w:footerReference r:id="rId14" w:type="first"/>
          <w:headerReference r:id="rId11" w:type="default"/>
          <w:footerReference r:id="rId13" w:type="default"/>
          <w:pgSz w:w="11906" w:h="16838"/>
          <w:pgMar w:top="1440" w:right="1587" w:bottom="1440" w:left="1587" w:header="851" w:footer="992" w:gutter="0"/>
          <w:pgBorders>
            <w:top w:val="none" w:sz="0" w:space="0"/>
            <w:left w:val="none" w:sz="0" w:space="0"/>
            <w:bottom w:val="none" w:sz="0" w:space="0"/>
            <w:right w:val="none" w:sz="0" w:space="0"/>
          </w:pgBorders>
          <w:pgNumType w:fmt="decimal" w:start="1"/>
          <w:cols w:space="0" w:num="1"/>
          <w:titlePg/>
          <w:rtlGutter w:val="0"/>
          <w:docGrid w:type="lines" w:linePitch="317" w:charSpace="0"/>
        </w:sectPr>
      </w:pPr>
    </w:p>
    <w:p>
      <w:pPr>
        <w:pStyle w:val="2"/>
        <w:keepNext/>
        <w:keepLines w:val="0"/>
        <w:pageBreakBefore w:val="0"/>
        <w:widowControl w:val="0"/>
        <w:kinsoku/>
        <w:wordWrap/>
        <w:overflowPunct/>
        <w:topLinePunct w:val="0"/>
        <w:autoSpaceDE/>
        <w:autoSpaceDN/>
        <w:bidi w:val="0"/>
        <w:adjustRightInd/>
        <w:snapToGrid/>
        <w:spacing w:before="160" w:beforeLines="50" w:after="160" w:afterLines="50"/>
        <w:ind w:firstLine="2817" w:firstLineChars="1002"/>
        <w:textAlignment w:val="auto"/>
        <w:rPr>
          <w:color w:val="auto"/>
          <w:kern w:val="2"/>
          <w:highlight w:val="none"/>
          <w:lang w:val="zh-CN"/>
        </w:rPr>
      </w:pPr>
      <w:bookmarkStart w:id="59" w:name="_Toc10569"/>
      <w:bookmarkStart w:id="60" w:name="_Toc11149"/>
      <w:bookmarkStart w:id="61" w:name="_Toc54941340"/>
      <w:r>
        <w:rPr>
          <w:rFonts w:hint="eastAsia"/>
          <w:color w:val="auto"/>
          <w:kern w:val="2"/>
          <w:highlight w:val="none"/>
          <w:lang w:val="en-US" w:eastAsia="zh-CN"/>
        </w:rPr>
        <w:t xml:space="preserve">第四章 </w:t>
      </w:r>
      <w:r>
        <w:rPr>
          <w:rFonts w:hint="eastAsia"/>
          <w:color w:val="auto"/>
          <w:kern w:val="2"/>
          <w:highlight w:val="none"/>
        </w:rPr>
        <w:t>服务需求及</w:t>
      </w:r>
      <w:r>
        <w:rPr>
          <w:rFonts w:hint="eastAsia"/>
          <w:color w:val="auto"/>
          <w:kern w:val="2"/>
          <w:highlight w:val="none"/>
          <w:lang w:val="zh-CN"/>
        </w:rPr>
        <w:t>技术要求</w:t>
      </w:r>
    </w:p>
    <w:p>
      <w:pPr>
        <w:pStyle w:val="423"/>
        <w:keepNext w:val="0"/>
        <w:keepLines w:val="0"/>
        <w:pageBreakBefore w:val="0"/>
        <w:widowControl w:val="0"/>
        <w:kinsoku/>
        <w:wordWrap/>
        <w:overflowPunct/>
        <w:topLinePunct w:val="0"/>
        <w:autoSpaceDE/>
        <w:autoSpaceDN/>
        <w:bidi w:val="0"/>
        <w:adjustRightInd/>
        <w:snapToGrid/>
        <w:spacing w:line="300" w:lineRule="auto"/>
        <w:textAlignment w:val="auto"/>
        <w:rPr>
          <w:color w:val="auto"/>
          <w:highlight w:val="none"/>
        </w:rPr>
      </w:pPr>
      <w:r>
        <w:rPr>
          <w:rFonts w:hint="eastAsia"/>
          <w:color w:val="auto"/>
          <w:highlight w:val="none"/>
        </w:rPr>
        <w:t>一、单</w:t>
      </w:r>
      <w:r>
        <w:rPr>
          <w:rFonts w:hint="eastAsia"/>
          <w:color w:val="auto"/>
          <w:highlight w:val="none"/>
          <w:lang w:val="en-US" w:eastAsia="zh-CN"/>
        </w:rPr>
        <w:t>项</w:t>
      </w:r>
      <w:r>
        <w:rPr>
          <w:rFonts w:hint="eastAsia"/>
          <w:color w:val="auto"/>
          <w:highlight w:val="none"/>
        </w:rPr>
        <w:t>固定价</w:t>
      </w:r>
    </w:p>
    <w:p>
      <w:pPr>
        <w:pStyle w:val="59"/>
        <w:keepNext w:val="0"/>
        <w:keepLines w:val="0"/>
        <w:pageBreakBefore w:val="0"/>
        <w:widowControl w:val="0"/>
        <w:kinsoku/>
        <w:wordWrap/>
        <w:overflowPunct/>
        <w:topLinePunct w:val="0"/>
        <w:autoSpaceDE/>
        <w:autoSpaceDN/>
        <w:bidi w:val="0"/>
        <w:adjustRightInd/>
        <w:snapToGrid/>
        <w:spacing w:line="300" w:lineRule="auto"/>
        <w:ind w:firstLine="240"/>
        <w:textAlignment w:val="auto"/>
        <w:rPr>
          <w:color w:val="auto"/>
          <w:highlight w:val="none"/>
        </w:rPr>
      </w:pPr>
      <w:r>
        <w:rPr>
          <w:rFonts w:hint="eastAsia"/>
          <w:color w:val="auto"/>
          <w:highlight w:val="none"/>
        </w:rPr>
        <w:t>成交人最终结算方式如下：</w:t>
      </w:r>
      <w:r>
        <w:rPr>
          <w:rFonts w:hint="eastAsia"/>
          <w:color w:val="auto"/>
          <w:highlight w:val="none"/>
          <w:lang w:val="en-US" w:eastAsia="zh-CN"/>
        </w:rPr>
        <w:t>固定价</w:t>
      </w:r>
      <w:r>
        <w:rPr>
          <w:rFonts w:hint="eastAsia"/>
          <w:color w:val="auto"/>
          <w:highlight w:val="none"/>
        </w:rPr>
        <w:t>×成交费率×实际结算数量=结算价格</w:t>
      </w:r>
    </w:p>
    <w:tbl>
      <w:tblPr>
        <w:tblStyle w:val="61"/>
        <w:tblW w:w="9181" w:type="dxa"/>
        <w:tblInd w:w="0" w:type="dxa"/>
        <w:tblLayout w:type="fixed"/>
        <w:tblCellMar>
          <w:top w:w="0" w:type="dxa"/>
          <w:left w:w="108" w:type="dxa"/>
          <w:bottom w:w="0" w:type="dxa"/>
          <w:right w:w="108" w:type="dxa"/>
        </w:tblCellMar>
      </w:tblPr>
      <w:tblGrid>
        <w:gridCol w:w="583"/>
        <w:gridCol w:w="1683"/>
        <w:gridCol w:w="1215"/>
        <w:gridCol w:w="1686"/>
        <w:gridCol w:w="1209"/>
        <w:gridCol w:w="825"/>
        <w:gridCol w:w="992"/>
        <w:gridCol w:w="988"/>
      </w:tblGrid>
      <w:tr>
        <w:tblPrEx>
          <w:tblCellMar>
            <w:top w:w="0" w:type="dxa"/>
            <w:left w:w="108" w:type="dxa"/>
            <w:bottom w:w="0" w:type="dxa"/>
            <w:right w:w="108" w:type="dxa"/>
          </w:tblCellMar>
        </w:tblPrEx>
        <w:trPr>
          <w:trHeight w:val="525" w:hRule="atLeast"/>
        </w:trPr>
        <w:tc>
          <w:tcPr>
            <w:tcW w:w="58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683"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仪器名称</w:t>
            </w:r>
          </w:p>
        </w:tc>
        <w:tc>
          <w:tcPr>
            <w:tcW w:w="121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规格型号</w:t>
            </w:r>
          </w:p>
        </w:tc>
        <w:tc>
          <w:tcPr>
            <w:tcW w:w="1686"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测量范围</w:t>
            </w:r>
          </w:p>
        </w:tc>
        <w:tc>
          <w:tcPr>
            <w:tcW w:w="120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准确度</w:t>
            </w:r>
          </w:p>
        </w:tc>
        <w:tc>
          <w:tcPr>
            <w:tcW w:w="82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溯源方式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检定/校准周期</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固定价（元）</w:t>
            </w:r>
          </w:p>
        </w:tc>
      </w:tr>
      <w:tr>
        <w:tblPrEx>
          <w:tblCellMar>
            <w:top w:w="0" w:type="dxa"/>
            <w:left w:w="108" w:type="dxa"/>
            <w:bottom w:w="0" w:type="dxa"/>
            <w:right w:w="108" w:type="dxa"/>
          </w:tblCellMar>
        </w:tblPrEx>
        <w:trPr>
          <w:trHeight w:val="52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红外线电热鼓风干燥箱</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101-4B</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电子天平</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JY2002</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（0-2000）g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0.01g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电子天平</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JA5003</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（0-500）g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电子天平</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JS15-01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（0-15）kg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大称量电子天平</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JS30-1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（0-30）kg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5"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环刀</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11"/>
                <w:kern w:val="0"/>
                <w:sz w:val="21"/>
                <w:szCs w:val="21"/>
                <w:highlight w:val="none"/>
              </w:rPr>
              <w:t>φ70*52mm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灌水法测定仪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GS-Ⅰ型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新标准土壤筛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（0.075-60）mm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（0.075-60）mm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土壤密度计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TM85</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甲种-5-50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数显式土壤液塑限联合测定仪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LG-100D</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（0-22）mm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多功能电动击实仪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CSK-Ⅵ</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72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多功能路面材料强度试验机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YZM-11E</w:t>
            </w: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11"/>
                <w:kern w:val="0"/>
                <w:sz w:val="21"/>
                <w:szCs w:val="21"/>
                <w:highlight w:val="none"/>
              </w:rPr>
              <w:t>压力传感器量程200kN (50kN可选）/位移传感器量程15mm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0.01kN/0.001mm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土壤收缩皿</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ø50mm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土壤比重瓶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土壤比重瓶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66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表面振动压实试验仪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BZYS-4212</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回弹模量测定仪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HM-1型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bl>
    <w:p>
      <w:pPr>
        <w:jc w:val="center"/>
        <w:rPr>
          <w:rFonts w:hint="eastAsia" w:ascii="宋体" w:hAnsi="宋体" w:eastAsia="宋体" w:cs="宋体"/>
          <w:color w:val="auto"/>
          <w:kern w:val="0"/>
          <w:sz w:val="21"/>
          <w:szCs w:val="21"/>
          <w:highlight w:val="none"/>
        </w:rPr>
        <w:sectPr>
          <w:footerReference r:id="rId16" w:type="first"/>
          <w:footerReference r:id="rId15" w:type="default"/>
          <w:pgSz w:w="11906" w:h="16838"/>
          <w:pgMar w:top="1440" w:right="1587" w:bottom="1440" w:left="1587" w:header="851" w:footer="992" w:gutter="0"/>
          <w:pgBorders>
            <w:top w:val="none" w:sz="0" w:space="0"/>
            <w:left w:val="none" w:sz="0" w:space="0"/>
            <w:bottom w:val="none" w:sz="0" w:space="0"/>
            <w:right w:val="none" w:sz="0" w:space="0"/>
          </w:pgBorders>
          <w:pgNumType w:fmt="decimal"/>
          <w:cols w:space="0" w:num="1"/>
          <w:titlePg/>
          <w:rtlGutter w:val="0"/>
          <w:docGrid w:type="lines" w:linePitch="317" w:charSpace="0"/>
        </w:sectPr>
      </w:pPr>
    </w:p>
    <w:tbl>
      <w:tblPr>
        <w:tblStyle w:val="61"/>
        <w:tblW w:w="9181" w:type="dxa"/>
        <w:tblInd w:w="0" w:type="dxa"/>
        <w:tblLayout w:type="fixed"/>
        <w:tblCellMar>
          <w:top w:w="0" w:type="dxa"/>
          <w:left w:w="108" w:type="dxa"/>
          <w:bottom w:w="0" w:type="dxa"/>
          <w:right w:w="108" w:type="dxa"/>
        </w:tblCellMar>
      </w:tblPr>
      <w:tblGrid>
        <w:gridCol w:w="583"/>
        <w:gridCol w:w="1683"/>
        <w:gridCol w:w="1215"/>
        <w:gridCol w:w="1686"/>
        <w:gridCol w:w="1209"/>
        <w:gridCol w:w="825"/>
        <w:gridCol w:w="992"/>
        <w:gridCol w:w="988"/>
      </w:tblGrid>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千分表</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0.001mm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土壤自由膨胀率测定仪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PZL-1型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电热恒温油浴锅</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HH-S</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11"/>
                <w:kern w:val="0"/>
                <w:sz w:val="21"/>
                <w:szCs w:val="21"/>
                <w:highlight w:val="none"/>
              </w:rPr>
              <w:t>室温+5℃～300℃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电动相对密度仪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JDM-1型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5mm圆孔筛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量土杯</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ø20mm* 32.8mm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标准手提重型击实仪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4.5kg</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CBR试模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ø152mm*170mm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无侧限抗压试模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ø50*50mm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无侧限抗压试模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ø150*150mm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温湿度计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-30-50℃ /20%-100%RH</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/5%RH</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新标准方孔石子筛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(0.075~90)mm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震击式标准振筛机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ZBSX-92A型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电子天平</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YE5001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（0-5000）g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电子计重台秤</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TCS-150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（0-150）kg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低温溢流水箱</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LDYL-111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容量筒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容量瓶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（0-2000）ml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针片状规准仪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(4.75~37.5) 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游标卡尺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Ⅰ型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（0-150）mm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0.02mm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石子压碎指标测定仪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压碎值试验仪</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细）</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Φ77mm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集料加速磨光机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JM-Ⅲ</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bl>
    <w:p>
      <w:pPr>
        <w:jc w:val="center"/>
        <w:rPr>
          <w:rFonts w:hint="eastAsia" w:ascii="宋体" w:hAnsi="宋体" w:eastAsia="宋体" w:cs="宋体"/>
          <w:color w:val="auto"/>
          <w:kern w:val="0"/>
          <w:sz w:val="21"/>
          <w:szCs w:val="21"/>
          <w:highlight w:val="none"/>
        </w:rPr>
        <w:sectPr>
          <w:footerReference r:id="rId18" w:type="first"/>
          <w:footerReference r:id="rId17" w:type="default"/>
          <w:pgSz w:w="11906" w:h="16838"/>
          <w:pgMar w:top="1440" w:right="1587" w:bottom="1440"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pPr>
    </w:p>
    <w:tbl>
      <w:tblPr>
        <w:tblStyle w:val="61"/>
        <w:tblW w:w="9181" w:type="dxa"/>
        <w:tblInd w:w="0" w:type="dxa"/>
        <w:tblLayout w:type="fixed"/>
        <w:tblCellMar>
          <w:top w:w="0" w:type="dxa"/>
          <w:left w:w="108" w:type="dxa"/>
          <w:bottom w:w="0" w:type="dxa"/>
          <w:right w:w="108" w:type="dxa"/>
        </w:tblCellMar>
      </w:tblPr>
      <w:tblGrid>
        <w:gridCol w:w="583"/>
        <w:gridCol w:w="1683"/>
        <w:gridCol w:w="1215"/>
        <w:gridCol w:w="1686"/>
        <w:gridCol w:w="1209"/>
        <w:gridCol w:w="825"/>
        <w:gridCol w:w="992"/>
        <w:gridCol w:w="988"/>
      </w:tblGrid>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摆式摩擦系数测定仪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BM-Ⅲ</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饱和面干试模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标准漏斗</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电动砂当量试验仪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SD-Ⅱ型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钢板尺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碱骨料测长仪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JH-320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碱骨料试验箱</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JKS型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碱骨料试模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11"/>
                <w:kern w:val="0"/>
                <w:sz w:val="21"/>
                <w:szCs w:val="21"/>
                <w:highlight w:val="none"/>
              </w:rPr>
              <w:t>25.4mm*25.4mm*285mm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数显集料软弱颗粒试验机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RH-10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（220-1200）N</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1N</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细集料亚甲蓝试验装置</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NSF-1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细集料棱角性测定仪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WX-2000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比重计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颗粒含量筛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石子压碎指标测定仪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Φ152mm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电子天平</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JA2003</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（0-200）g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0.001g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李氏比重瓶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0-1ml，18-24ml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水泥细度负压筛析仪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FSY-150B型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FSY-150水泥标准负压筛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0.045mm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FSY-150水泥标准负压筛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0.080mm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FSY-150水泥标准负压筛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0.075mm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全自动比表面积测定仪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FBT-9A型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秒表</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PC396</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(0-10)h</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0.01s</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维卡仪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（0-70）mm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水泥净浆搅拌机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NJ-160B型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雷氏夹测定仪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LD-50型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雷氏夹</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水泥砼恒温恒湿养护箱</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SHBY-40B型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 ，≥95%RH</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0.5℃,5.0%RH</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立式恒温水养护箱</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HBY-30型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水泥胶砂搅拌机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JJ-20F</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ZT-20F水泥胶砂振实台</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ZT-20F</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恒加载水泥抗折抗压试验机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YAW-300.10S</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300kN</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水泥稠度及凝结时间测定仪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水泥胶砂流动度测定仪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NLD-3型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测氯蒸馏装置</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CL-1型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氯离子含量快速测定仪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CLU-W</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胶砂试模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（40*40*160）mm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新标准方孔砂石筛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量水器</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110-170ml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新标准方孔砂石筛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150um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坍落度筒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数显维勃稠度仪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YDR-2</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混凝土磁力振动台</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HCZT-1型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直读式混凝土含气量测定仪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CA-3型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7000ml±50ml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ZC-1A型混凝土贯入阻力仪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ZC-1A型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抗压弹性模量试模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(150*150*300)mm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混凝土弹性模量测定仪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TM-Ⅱ</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混凝土抗渗仪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HP-4.0型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恒温恒湿养护控制仪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LDWS-100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 /0-100%RH</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 /2%RH</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单卧轴混凝土搅拌机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HJW-60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砂浆稠度仪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SC-145型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沉入深度: (0-145)mm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保水性试验仪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砂浆搅拌机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HX-15</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数显砂浆凝结时间测定仪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ZKS-100型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（0-100）N</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0.1N</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砂浆分层度仪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SF-27</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64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保温材料试验箱</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HBY-30型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(18-28)±2℃ ，(50-70)±5%RH</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±0.5℃,±3%RH</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混凝土收缩膨胀仪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HSP-540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自密实混凝土扩展度仪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KZD-1型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砼抗压试模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(150*150*150)mm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砼抗折试模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(150*150*550)mm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砂浆试模</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(70.7*70.7*70.7)mm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抗渗试模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(175*185*150)mm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泌水率筒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Φ186mm* 186mm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干缩性试模</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100mm*100mm*515mm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滤膜过滤器</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自动电位滴定仪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ZD-2A</w:t>
            </w: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spacing w:val="-6"/>
                <w:kern w:val="0"/>
                <w:sz w:val="21"/>
                <w:szCs w:val="21"/>
                <w:highlight w:val="none"/>
              </w:rPr>
            </w:pPr>
            <w:r>
              <w:rPr>
                <w:rFonts w:hint="eastAsia" w:ascii="宋体" w:hAnsi="宋体" w:cs="宋体"/>
                <w:color w:val="auto"/>
                <w:spacing w:val="-6"/>
                <w:kern w:val="0"/>
                <w:sz w:val="21"/>
                <w:szCs w:val="21"/>
                <w:highlight w:val="none"/>
                <w:lang w:val="en-US" w:eastAsia="zh-CN"/>
              </w:rPr>
              <w:t>(</w:t>
            </w:r>
            <w:r>
              <w:rPr>
                <w:rFonts w:hint="eastAsia" w:ascii="宋体" w:hAnsi="宋体" w:eastAsia="宋体" w:cs="宋体"/>
                <w:color w:val="auto"/>
                <w:spacing w:val="-6"/>
                <w:kern w:val="0"/>
                <w:sz w:val="21"/>
                <w:szCs w:val="21"/>
                <w:highlight w:val="none"/>
              </w:rPr>
              <w:t>0.00-14.00</w:t>
            </w:r>
            <w:r>
              <w:rPr>
                <w:rFonts w:hint="eastAsia" w:ascii="宋体" w:hAnsi="宋体" w:cs="宋体"/>
                <w:color w:val="auto"/>
                <w:spacing w:val="-6"/>
                <w:kern w:val="0"/>
                <w:sz w:val="21"/>
                <w:szCs w:val="21"/>
                <w:highlight w:val="none"/>
                <w:lang w:val="en-US" w:eastAsia="zh-CN"/>
              </w:rPr>
              <w:t>)</w:t>
            </w:r>
            <w:r>
              <w:rPr>
                <w:rFonts w:hint="eastAsia" w:ascii="宋体" w:hAnsi="宋体" w:eastAsia="宋体" w:cs="宋体"/>
                <w:color w:val="auto"/>
                <w:spacing w:val="-6"/>
                <w:kern w:val="0"/>
                <w:sz w:val="21"/>
                <w:szCs w:val="21"/>
                <w:highlight w:val="none"/>
              </w:rPr>
              <w:t>pH</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0.01pH</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电子天平</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JE502</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（0-500）g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0.01g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电子天平</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JE2001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（0-2000）g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电热恒温水箱</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HHW21-600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室温～65℃</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酸式滴定管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酸式滴定管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碱式滴定管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量筒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温度计</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（0-50）℃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温度计</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pacing w:val="-6"/>
                <w:kern w:val="0"/>
                <w:sz w:val="21"/>
                <w:szCs w:val="21"/>
                <w:highlight w:val="none"/>
              </w:rPr>
            </w:pPr>
            <w:r>
              <w:rPr>
                <w:rFonts w:hint="eastAsia" w:ascii="宋体" w:hAnsi="宋体" w:cs="宋体"/>
                <w:color w:val="auto"/>
                <w:spacing w:val="-6"/>
                <w:kern w:val="0"/>
                <w:sz w:val="21"/>
                <w:szCs w:val="21"/>
                <w:highlight w:val="none"/>
                <w:lang w:val="en-US" w:eastAsia="zh-CN"/>
              </w:rPr>
              <w:t>(</w:t>
            </w:r>
            <w:r>
              <w:rPr>
                <w:rFonts w:hint="eastAsia" w:ascii="宋体" w:hAnsi="宋体" w:eastAsia="宋体" w:cs="宋体"/>
                <w:color w:val="auto"/>
                <w:spacing w:val="-6"/>
                <w:kern w:val="0"/>
                <w:sz w:val="21"/>
                <w:szCs w:val="21"/>
                <w:highlight w:val="none"/>
              </w:rPr>
              <w:t>0-100）℃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竹节温度计</w:t>
            </w:r>
          </w:p>
        </w:tc>
        <w:tc>
          <w:tcPr>
            <w:tcW w:w="121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pacing w:val="-6"/>
                <w:kern w:val="0"/>
                <w:sz w:val="21"/>
                <w:szCs w:val="21"/>
                <w:highlight w:val="none"/>
              </w:rPr>
            </w:pPr>
            <w:r>
              <w:rPr>
                <w:rFonts w:hint="eastAsia" w:ascii="宋体" w:hAnsi="宋体" w:cs="宋体"/>
                <w:color w:val="auto"/>
                <w:spacing w:val="-6"/>
                <w:kern w:val="0"/>
                <w:sz w:val="21"/>
                <w:szCs w:val="21"/>
                <w:highlight w:val="none"/>
                <w:lang w:val="en-US" w:eastAsia="zh-CN"/>
              </w:rPr>
              <w:t>(</w:t>
            </w:r>
            <w:r>
              <w:rPr>
                <w:rFonts w:hint="eastAsia" w:ascii="宋体" w:hAnsi="宋体" w:eastAsia="宋体" w:cs="宋体"/>
                <w:color w:val="auto"/>
                <w:spacing w:val="-6"/>
                <w:kern w:val="0"/>
                <w:sz w:val="21"/>
                <w:szCs w:val="21"/>
                <w:highlight w:val="none"/>
              </w:rPr>
              <w:t>0-300)℃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比重瓶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磁力加热搅拌器</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CJJ78-1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锥形瓶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（0-200）ml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锥形瓶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锥形瓶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移液管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容量瓶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容量瓶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容量瓶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容量瓶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水泥游离氧化钙测定仪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Ca-5A型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刻度吸管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0.05ml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刻度吸管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称量瓶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50mm*30mm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微量滴定管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0.02ml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微量滴定管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单标线吸量管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分度吸量管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具塞量筒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1ml</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恒温水浴锅</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HH-6</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(室温+5~100)℃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移液管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电子万用炉</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1KW</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沥青比重瓶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25ml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(0-25)ml</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电子天平</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JA3003</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（0-300）g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0.001g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高低温恒温水浴</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HW-30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0℃-60℃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标准恒温水浴</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CF-B型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全自动沥青针入度仪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SZR-5</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电脑低温沥青延伸度试验仪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LYY-7A</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（0-1500）mm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沥青软化点试验仪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SYD-2806F</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-5℃-90℃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沥青旋转薄膜烘箱</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SYD-3061（82）</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(50-200)℃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真空减压毛细管粘度计仪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SYD-0620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4.2Pa·s～580000Pa·s</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全自动沥青高温清洗机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HTGQ-60L</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（0-1024）℃</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沥青闪点与燃点测定仪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SYD-3536A</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高级台式封闭电炉</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DL-Ⅰ-15</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标准检验筛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0.9mm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新标准方孔砂石筛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1.18mm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恒温冰箱</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BCD-180TMPS</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沥青标准黏度试验仪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SYD-0621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沥青恩格拉黏度试验仪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WNE-1A</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室温-90℃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乳化沥青电荷试验仪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SYD-0653</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乳化沥青存储稳定性试验仪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SYD-0656</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精密温度计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0-50）℃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标准检验筛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0.63mm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二等标准温度计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cs="宋体"/>
                <w:color w:val="auto"/>
                <w:spacing w:val="-23"/>
                <w:kern w:val="0"/>
                <w:sz w:val="21"/>
                <w:szCs w:val="21"/>
                <w:highlight w:val="none"/>
                <w:lang w:val="en-US" w:eastAsia="zh-CN"/>
              </w:rPr>
              <w:t>(</w:t>
            </w:r>
            <w:r>
              <w:rPr>
                <w:rFonts w:hint="eastAsia" w:ascii="宋体" w:hAnsi="宋体" w:eastAsia="宋体" w:cs="宋体"/>
                <w:color w:val="auto"/>
                <w:spacing w:val="-23"/>
                <w:kern w:val="0"/>
                <w:sz w:val="21"/>
                <w:szCs w:val="21"/>
                <w:highlight w:val="none"/>
              </w:rPr>
              <w:t>50-100)℃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（50-100)℃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温度计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0-50）℃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秒表</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PC396</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(0-10)h</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0.1s</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沥青混合料自动拌和机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BH-20型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恒温水浴</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CF-B型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室温-60℃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马歇尔电动击实仪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MDJ-11C</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马歇尔稳定度测定仪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LWD-3C</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eastAsia="宋体" w:cs="宋体"/>
                <w:color w:val="auto"/>
                <w:spacing w:val="-11"/>
                <w:kern w:val="0"/>
                <w:sz w:val="21"/>
                <w:szCs w:val="21"/>
                <w:highlight w:val="none"/>
              </w:rPr>
              <w:t>全自动沥青混合料离心式抽提仪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HLY-E</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eastAsia="宋体" w:cs="宋体"/>
                <w:color w:val="auto"/>
                <w:spacing w:val="-11"/>
                <w:kern w:val="0"/>
                <w:sz w:val="21"/>
                <w:szCs w:val="21"/>
                <w:highlight w:val="none"/>
              </w:rPr>
              <w:t>沥青混合料理论最大相对密度仪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LM-Ⅳ</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沥青混合料车辙试样成型机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HYCX-1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全自动沥青混合料车辙试验机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HYCZ-1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马歇尔试模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Φ101.6mm *87mm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手持式数字温度计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JM628</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（-50-400）℃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温度计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钢直尺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(0-500)mm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屏显式万能材料试验机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WEW-300B</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300kN</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屏显式万能材料试验机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WEW-1000B</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1000KN</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730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电子引伸计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YYU-25/100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0.5级</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电子引伸计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YYU-25/100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0.5级</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游标卡尺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0.02mm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电动钢筋标距仪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BJ5-10型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±0.03mm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钢筋正反向弯曲试验机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GW-40F</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Φ40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189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恒加载压力试验机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TSY-2000A</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(30-2000)KN</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865</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抗折试验夹具</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(150*150*550)mm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劈裂装置</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圆柱体、立方体</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钢尺50m</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eastAsia="宋体" w:cs="宋体"/>
                <w:color w:val="auto"/>
                <w:spacing w:val="-11"/>
                <w:kern w:val="0"/>
                <w:sz w:val="21"/>
                <w:szCs w:val="21"/>
                <w:highlight w:val="none"/>
              </w:rPr>
              <w:t>JGW-508-1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钢卷尺5m</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eastAsia="宋体" w:cs="宋体"/>
                <w:color w:val="auto"/>
                <w:spacing w:val="-11"/>
                <w:kern w:val="0"/>
                <w:sz w:val="21"/>
                <w:szCs w:val="21"/>
                <w:highlight w:val="none"/>
              </w:rPr>
              <w:t>GW-566-5W</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钢直尺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cs="宋体"/>
                <w:color w:val="auto"/>
                <w:spacing w:val="-11"/>
                <w:kern w:val="0"/>
                <w:sz w:val="21"/>
                <w:szCs w:val="21"/>
                <w:highlight w:val="none"/>
                <w:lang w:val="en-US" w:eastAsia="zh-CN"/>
              </w:rPr>
              <w:t>(</w:t>
            </w:r>
            <w:r>
              <w:rPr>
                <w:rFonts w:hint="eastAsia" w:ascii="宋体" w:hAnsi="宋体" w:eastAsia="宋体" w:cs="宋体"/>
                <w:color w:val="auto"/>
                <w:spacing w:val="-11"/>
                <w:kern w:val="0"/>
                <w:sz w:val="21"/>
                <w:szCs w:val="21"/>
                <w:highlight w:val="none"/>
              </w:rPr>
              <w:t>0-300）mm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（0-300）mm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游标卡尺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cs="宋体"/>
                <w:color w:val="auto"/>
                <w:spacing w:val="-11"/>
                <w:kern w:val="0"/>
                <w:sz w:val="21"/>
                <w:szCs w:val="21"/>
                <w:highlight w:val="none"/>
                <w:lang w:val="en-US" w:eastAsia="zh-CN"/>
              </w:rPr>
              <w:t>(</w:t>
            </w:r>
            <w:r>
              <w:rPr>
                <w:rFonts w:hint="eastAsia" w:ascii="宋体" w:hAnsi="宋体" w:eastAsia="宋体" w:cs="宋体"/>
                <w:color w:val="auto"/>
                <w:spacing w:val="-11"/>
                <w:kern w:val="0"/>
                <w:sz w:val="21"/>
                <w:szCs w:val="21"/>
                <w:highlight w:val="none"/>
              </w:rPr>
              <w:t>0-300）mm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（0-300）mm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0.02mm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百分表</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eastAsia="宋体" w:cs="宋体"/>
                <w:color w:val="auto"/>
                <w:spacing w:val="-11"/>
                <w:kern w:val="0"/>
                <w:sz w:val="21"/>
                <w:szCs w:val="21"/>
                <w:highlight w:val="none"/>
              </w:rPr>
              <w:t>（0-10）mm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灌砂筒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Φ150mm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灌砂筒</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Φ200mm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199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三米直尺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JZC-G2型（3m）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游标塞尺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JZC型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（0-15）mm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路面弯沉仪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WC3.6m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贝克曼梁</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5.4m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红外线测温仪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DLX-HC2501C</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（-50-480）℃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11"/>
                <w:kern w:val="0"/>
                <w:sz w:val="21"/>
                <w:szCs w:val="21"/>
                <w:highlight w:val="none"/>
              </w:rPr>
              <w:t>1.5%±1℃/±3℃</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摆式摩擦系数测定仪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BM-Ⅲ</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（0-150）BPN</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0.1BPN</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构造深度测试设备</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PS-1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轮胎气压计</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（10-10000）kPa</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200kPa</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沥青路面渗水系数测定仪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HDSS-2019</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智能电动铺砂仪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LD-138型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(0-400)mm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路面横断面尺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DMC3</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0-3.8m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1118"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坡度尺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JZC-B2型</w:t>
            </w:r>
          </w:p>
        </w:tc>
        <w:tc>
          <w:tcPr>
            <w:tcW w:w="1686"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17"/>
                <w:kern w:val="0"/>
                <w:sz w:val="20"/>
                <w:szCs w:val="20"/>
                <w:highlight w:val="none"/>
              </w:rPr>
              <w:t>130、-0、-130、（50、-90、-0、-90、-50）1分、-8分（0.5分刻度）、10%、12%、15%、18%、20%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野外荷载板测定仪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CBR-Y型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（0-60）</w:t>
            </w:r>
            <w:r>
              <w:rPr>
                <w:rFonts w:hint="eastAsia" w:ascii="宋体" w:hAnsi="宋体" w:cs="宋体"/>
                <w:color w:val="auto"/>
                <w:kern w:val="0"/>
                <w:sz w:val="21"/>
                <w:szCs w:val="21"/>
                <w:highlight w:val="none"/>
                <w:lang w:val="en-US" w:eastAsia="zh-CN"/>
              </w:rPr>
              <w:t>k</w:t>
            </w:r>
            <w:r>
              <w:rPr>
                <w:rFonts w:hint="eastAsia" w:ascii="宋体" w:hAnsi="宋体" w:eastAsia="宋体" w:cs="宋体"/>
                <w:color w:val="auto"/>
                <w:kern w:val="0"/>
                <w:sz w:val="21"/>
                <w:szCs w:val="21"/>
                <w:highlight w:val="none"/>
              </w:rPr>
              <w:t>N</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千斤顶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QYL10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落球模量测定仪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LQ-Ⅰ型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公路工程检测尺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JZC-D型（2m）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路基路面粘结性能检测仪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SK-L5</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（0-50）KN</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0.001KN</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数显深度尺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cs="宋体"/>
                <w:color w:val="auto"/>
                <w:spacing w:val="-6"/>
                <w:kern w:val="0"/>
                <w:sz w:val="21"/>
                <w:szCs w:val="21"/>
                <w:highlight w:val="none"/>
                <w:lang w:val="en-US" w:eastAsia="zh-CN"/>
              </w:rPr>
              <w:t>(</w:t>
            </w:r>
            <w:r>
              <w:rPr>
                <w:rFonts w:hint="eastAsia" w:ascii="宋体" w:hAnsi="宋体" w:eastAsia="宋体" w:cs="宋体"/>
                <w:color w:val="auto"/>
                <w:spacing w:val="-6"/>
                <w:kern w:val="0"/>
                <w:sz w:val="21"/>
                <w:szCs w:val="21"/>
                <w:highlight w:val="none"/>
              </w:rPr>
              <w:t>0-300</w:t>
            </w:r>
            <w:r>
              <w:rPr>
                <w:rFonts w:hint="eastAsia" w:ascii="宋体" w:hAnsi="宋体" w:cs="宋体"/>
                <w:color w:val="auto"/>
                <w:spacing w:val="-6"/>
                <w:kern w:val="0"/>
                <w:sz w:val="21"/>
                <w:szCs w:val="21"/>
                <w:highlight w:val="none"/>
                <w:lang w:val="en-US" w:eastAsia="zh-CN"/>
              </w:rPr>
              <w:t>)</w:t>
            </w:r>
            <w:r>
              <w:rPr>
                <w:rFonts w:hint="eastAsia" w:ascii="宋体" w:hAnsi="宋体" w:eastAsia="宋体" w:cs="宋体"/>
                <w:color w:val="auto"/>
                <w:spacing w:val="-6"/>
                <w:kern w:val="0"/>
                <w:sz w:val="21"/>
                <w:szCs w:val="21"/>
                <w:highlight w:val="none"/>
              </w:rPr>
              <w:t>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（0-300）mm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轻型动力触探仪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10kg</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重型动力触探仪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63.5kg</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十字板静力触探仪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CLD-3</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触探标贯两用仪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N635型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静载荷测试仪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ZBL-Q500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液压千斤顶</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DBZ-0.4</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spacing w:val="-11"/>
                <w:kern w:val="0"/>
                <w:sz w:val="21"/>
                <w:szCs w:val="21"/>
                <w:highlight w:val="none"/>
              </w:rPr>
              <w:t>双向超高压液压电动泵</w:t>
            </w:r>
            <w:r>
              <w:rPr>
                <w:rFonts w:hint="eastAsia" w:ascii="宋体" w:hAnsi="宋体" w:cs="宋体"/>
                <w:color w:val="auto"/>
                <w:spacing w:val="-11"/>
                <w:kern w:val="0"/>
                <w:sz w:val="21"/>
                <w:szCs w:val="21"/>
                <w:highlight w:val="none"/>
                <w:lang w:val="en-US" w:eastAsia="zh-CN"/>
              </w:rPr>
              <w:t>(</w:t>
            </w:r>
            <w:r>
              <w:rPr>
                <w:rFonts w:hint="eastAsia" w:ascii="宋体" w:hAnsi="宋体" w:eastAsia="宋体" w:cs="宋体"/>
                <w:color w:val="auto"/>
                <w:spacing w:val="-11"/>
                <w:kern w:val="0"/>
                <w:sz w:val="21"/>
                <w:szCs w:val="21"/>
                <w:highlight w:val="none"/>
              </w:rPr>
              <w:t>压力表</w:t>
            </w:r>
            <w:r>
              <w:rPr>
                <w:rFonts w:hint="eastAsia" w:ascii="宋体" w:hAnsi="宋体" w:cs="宋体"/>
                <w:color w:val="auto"/>
                <w:spacing w:val="-11"/>
                <w:kern w:val="0"/>
                <w:sz w:val="21"/>
                <w:szCs w:val="21"/>
                <w:highlight w:val="none"/>
                <w:lang w:val="en-US" w:eastAsia="zh-CN"/>
              </w:rPr>
              <w:t>)</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DBZ-0.4</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碳化深度测量仪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LR-TH10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225</w:t>
            </w:r>
          </w:p>
        </w:tc>
        <w:tc>
          <w:tcPr>
            <w:tcW w:w="1683"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探地雷达系统</w:t>
            </w:r>
          </w:p>
        </w:tc>
        <w:tc>
          <w:tcPr>
            <w:tcW w:w="1215"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M/186060099</w:t>
            </w:r>
          </w:p>
        </w:tc>
        <w:tc>
          <w:tcPr>
            <w:tcW w:w="1686"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single" w:color="auto" w:sz="4" w:space="0"/>
              <w:left w:val="nil"/>
              <w:bottom w:val="single" w:color="auto" w:sz="4" w:space="0"/>
              <w:right w:val="single" w:color="auto" w:sz="4" w:space="0"/>
            </w:tcBorders>
            <w:shd w:val="clear" w:color="000000"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w:t>
            </w:r>
          </w:p>
        </w:tc>
      </w:tr>
      <w:tr>
        <w:tblPrEx>
          <w:tblCellMar>
            <w:top w:w="0" w:type="dxa"/>
            <w:left w:w="108" w:type="dxa"/>
            <w:bottom w:w="0" w:type="dxa"/>
            <w:right w:w="108" w:type="dxa"/>
          </w:tblCellMar>
        </w:tblPrEx>
        <w:trPr>
          <w:trHeight w:val="522" w:hRule="atLeast"/>
        </w:trPr>
        <w:tc>
          <w:tcPr>
            <w:tcW w:w="583"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226</w:t>
            </w:r>
          </w:p>
        </w:tc>
        <w:tc>
          <w:tcPr>
            <w:tcW w:w="1683"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落锤式弯沉仪</w:t>
            </w:r>
          </w:p>
        </w:tc>
        <w:tc>
          <w:tcPr>
            <w:tcW w:w="1215"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SHN-FWD-MV</w:t>
            </w:r>
          </w:p>
        </w:tc>
        <w:tc>
          <w:tcPr>
            <w:tcW w:w="1686"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single" w:color="auto" w:sz="4" w:space="0"/>
              <w:left w:val="nil"/>
              <w:bottom w:val="single" w:color="auto" w:sz="4" w:space="0"/>
              <w:right w:val="single" w:color="auto" w:sz="4" w:space="0"/>
            </w:tcBorders>
            <w:shd w:val="clear" w:color="000000"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w:t>
            </w:r>
          </w:p>
        </w:tc>
      </w:tr>
      <w:tr>
        <w:tblPrEx>
          <w:tblCellMar>
            <w:top w:w="0" w:type="dxa"/>
            <w:left w:w="108" w:type="dxa"/>
            <w:bottom w:w="0" w:type="dxa"/>
            <w:right w:w="108" w:type="dxa"/>
          </w:tblCellMar>
        </w:tblPrEx>
        <w:trPr>
          <w:trHeight w:val="522" w:hRule="atLeast"/>
        </w:trPr>
        <w:tc>
          <w:tcPr>
            <w:tcW w:w="583" w:type="dxa"/>
            <w:tcBorders>
              <w:top w:val="single" w:color="auto" w:sz="4" w:space="0"/>
              <w:left w:val="single" w:color="auto" w:sz="4" w:space="0"/>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227</w:t>
            </w:r>
          </w:p>
        </w:tc>
        <w:tc>
          <w:tcPr>
            <w:tcW w:w="1683"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激光路面断面测试系统</w:t>
            </w:r>
          </w:p>
        </w:tc>
        <w:tc>
          <w:tcPr>
            <w:tcW w:w="1215"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SHN-SL-R</w:t>
            </w:r>
          </w:p>
        </w:tc>
        <w:tc>
          <w:tcPr>
            <w:tcW w:w="1686"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±250/500mm</w:t>
            </w:r>
          </w:p>
        </w:tc>
        <w:tc>
          <w:tcPr>
            <w:tcW w:w="1209"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＜0.5mm</w:t>
            </w:r>
          </w:p>
        </w:tc>
        <w:tc>
          <w:tcPr>
            <w:tcW w:w="825"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single" w:color="auto" w:sz="4" w:space="0"/>
              <w:left w:val="nil"/>
              <w:bottom w:val="single" w:color="auto" w:sz="4" w:space="0"/>
              <w:right w:val="single" w:color="auto" w:sz="4" w:space="0"/>
            </w:tcBorders>
            <w:shd w:val="clear" w:color="000000"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single" w:color="auto" w:sz="4" w:space="0"/>
              <w:left w:val="nil"/>
              <w:bottom w:val="single" w:color="auto" w:sz="4" w:space="0"/>
              <w:right w:val="single" w:color="auto" w:sz="4" w:space="0"/>
            </w:tcBorders>
            <w:shd w:val="clear" w:color="000000"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回弹仪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ZC3-A</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（0-60）MPa</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1MPa</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370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水平尺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eastAsia="宋体" w:cs="宋体"/>
                <w:color w:val="auto"/>
                <w:spacing w:val="-11"/>
                <w:kern w:val="0"/>
                <w:sz w:val="21"/>
                <w:szCs w:val="21"/>
                <w:highlight w:val="none"/>
              </w:rPr>
              <w:t>自动安平水准仪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eastAsia="宋体" w:cs="宋体"/>
                <w:color w:val="auto"/>
                <w:spacing w:val="-11"/>
                <w:kern w:val="0"/>
                <w:sz w:val="21"/>
                <w:szCs w:val="21"/>
                <w:highlight w:val="none"/>
              </w:rPr>
              <w:t>DSZ3-A32</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eastAsia="宋体" w:cs="宋体"/>
                <w:color w:val="auto"/>
                <w:spacing w:val="-11"/>
                <w:kern w:val="0"/>
                <w:sz w:val="21"/>
                <w:szCs w:val="21"/>
                <w:highlight w:val="none"/>
              </w:rPr>
              <w:t>全站仪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eastAsia="宋体" w:cs="宋体"/>
                <w:color w:val="auto"/>
                <w:spacing w:val="-11"/>
                <w:kern w:val="0"/>
                <w:sz w:val="21"/>
                <w:szCs w:val="21"/>
                <w:highlight w:val="none"/>
              </w:rPr>
              <w:t>RTS342R10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钢卷尺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电子水准仪（含因瓦尺）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EL302A</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多通道超声基桩检测仪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MC-6361</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基桩动测仪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ZBL-P8100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800</w:t>
            </w:r>
          </w:p>
        </w:tc>
      </w:tr>
      <w:tr>
        <w:tblPrEx>
          <w:tblCellMar>
            <w:top w:w="0" w:type="dxa"/>
            <w:left w:w="108" w:type="dxa"/>
            <w:bottom w:w="0" w:type="dxa"/>
            <w:right w:w="108" w:type="dxa"/>
          </w:tblCellMar>
        </w:tblPrEx>
        <w:trPr>
          <w:trHeight w:val="743"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1"/>
                <w:szCs w:val="21"/>
                <w:highlight w:val="none"/>
              </w:rPr>
              <w:t>裂缝综合测试仪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ZBL-F800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宽度≥5mm/深度（5-500）mm</w:t>
            </w:r>
          </w:p>
        </w:tc>
        <w:tc>
          <w:tcPr>
            <w:tcW w:w="1209"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pacing w:val="-11"/>
                <w:kern w:val="0"/>
                <w:sz w:val="21"/>
                <w:szCs w:val="21"/>
                <w:highlight w:val="none"/>
              </w:rPr>
              <w:t>宽度±0.02</w:t>
            </w:r>
            <w:r>
              <w:rPr>
                <w:rFonts w:hint="eastAsia" w:ascii="宋体" w:hAnsi="宋体" w:cs="宋体"/>
                <w:color w:val="auto"/>
                <w:spacing w:val="-11"/>
                <w:kern w:val="0"/>
                <w:sz w:val="21"/>
                <w:szCs w:val="21"/>
                <w:highlight w:val="none"/>
                <w:lang w:val="en-US" w:eastAsia="zh-CN"/>
              </w:rPr>
              <w:t xml:space="preserve"> </w:t>
            </w:r>
            <w:r>
              <w:rPr>
                <w:rFonts w:hint="eastAsia" w:ascii="宋体" w:hAnsi="宋体" w:eastAsia="宋体" w:cs="宋体"/>
                <w:color w:val="auto"/>
                <w:spacing w:val="-11"/>
                <w:kern w:val="0"/>
                <w:sz w:val="21"/>
                <w:szCs w:val="21"/>
                <w:highlight w:val="none"/>
              </w:rPr>
              <w:t>mm/深度±5mm或不大于±10%</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一体式钢筋检测仪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ZBL-R660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游标卡尺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cs="宋体"/>
                <w:color w:val="auto"/>
                <w:spacing w:val="-11"/>
                <w:kern w:val="0"/>
                <w:sz w:val="21"/>
                <w:szCs w:val="21"/>
                <w:highlight w:val="none"/>
                <w:lang w:val="en-US" w:eastAsia="zh-CN"/>
              </w:rPr>
              <w:t>(</w:t>
            </w:r>
            <w:r>
              <w:rPr>
                <w:rFonts w:hint="eastAsia" w:ascii="宋体" w:hAnsi="宋体" w:eastAsia="宋体" w:cs="宋体"/>
                <w:color w:val="auto"/>
                <w:spacing w:val="-11"/>
                <w:kern w:val="0"/>
                <w:sz w:val="21"/>
                <w:szCs w:val="21"/>
                <w:highlight w:val="none"/>
              </w:rPr>
              <w:t>0-300）mm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（0-300）mm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0.02mm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239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万能角度尺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17"/>
                <w:kern w:val="0"/>
                <w:sz w:val="21"/>
                <w:szCs w:val="21"/>
                <w:highlight w:val="none"/>
              </w:rPr>
              <w:t>（0-320）°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0-320°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2ˊ</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游标塞尺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0-15）mm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（0-15）mm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0.5mm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千分尺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0-25mm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0.001mm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超声波测厚仪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STT-110S</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（1-250）mm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eastAsia="宋体" w:cs="宋体"/>
                <w:color w:val="auto"/>
                <w:spacing w:val="-28"/>
                <w:kern w:val="0"/>
                <w:sz w:val="21"/>
                <w:szCs w:val="21"/>
                <w:highlight w:val="none"/>
              </w:rPr>
              <w:t>±</w:t>
            </w:r>
            <w:r>
              <w:rPr>
                <w:rFonts w:hint="eastAsia" w:ascii="宋体" w:hAnsi="宋体" w:cs="宋体"/>
                <w:color w:val="auto"/>
                <w:spacing w:val="0"/>
                <w:kern w:val="0"/>
                <w:sz w:val="21"/>
                <w:szCs w:val="21"/>
                <w:highlight w:val="none"/>
                <w:lang w:val="en-US" w:eastAsia="zh-CN"/>
              </w:rPr>
              <w:t>(</w:t>
            </w:r>
            <w:r>
              <w:rPr>
                <w:rFonts w:hint="eastAsia" w:ascii="宋体" w:hAnsi="宋体" w:eastAsia="宋体" w:cs="宋体"/>
                <w:color w:val="auto"/>
                <w:spacing w:val="0"/>
                <w:kern w:val="0"/>
                <w:sz w:val="21"/>
                <w:szCs w:val="21"/>
                <w:highlight w:val="none"/>
              </w:rPr>
              <w:t>1%H</w:t>
            </w:r>
            <w:r>
              <w:rPr>
                <w:rFonts w:hint="eastAsia" w:ascii="宋体" w:hAnsi="宋体" w:cs="宋体"/>
                <w:color w:val="auto"/>
                <w:spacing w:val="0"/>
                <w:kern w:val="0"/>
                <w:sz w:val="21"/>
                <w:szCs w:val="21"/>
                <w:highlight w:val="none"/>
                <w:lang w:val="en-US" w:eastAsia="zh-CN"/>
              </w:rPr>
              <w:t xml:space="preserve"> </w:t>
            </w:r>
            <w:r>
              <w:rPr>
                <w:rFonts w:hint="eastAsia" w:ascii="宋体" w:hAnsi="宋体" w:eastAsia="宋体" w:cs="宋体"/>
                <w:color w:val="auto"/>
                <w:spacing w:val="0"/>
                <w:kern w:val="0"/>
                <w:sz w:val="21"/>
                <w:szCs w:val="21"/>
                <w:highlight w:val="none"/>
              </w:rPr>
              <w:t>+0.1</w:t>
            </w:r>
            <w:r>
              <w:rPr>
                <w:rFonts w:hint="eastAsia" w:ascii="宋体" w:hAnsi="宋体" w:cs="宋体"/>
                <w:color w:val="auto"/>
                <w:spacing w:val="0"/>
                <w:kern w:val="0"/>
                <w:sz w:val="21"/>
                <w:szCs w:val="21"/>
                <w:highlight w:val="none"/>
                <w:lang w:val="en-US" w:eastAsia="zh-CN"/>
              </w:rPr>
              <w:t>)</w:t>
            </w:r>
            <w:r>
              <w:rPr>
                <w:rFonts w:hint="eastAsia" w:ascii="宋体" w:hAnsi="宋体" w:eastAsia="宋体" w:cs="宋体"/>
                <w:color w:val="auto"/>
                <w:spacing w:val="0"/>
                <w:kern w:val="0"/>
                <w:sz w:val="21"/>
                <w:szCs w:val="21"/>
                <w:highlight w:val="none"/>
              </w:rPr>
              <w:t>m</w:t>
            </w:r>
            <w:r>
              <w:rPr>
                <w:rFonts w:hint="eastAsia" w:ascii="宋体" w:hAnsi="宋体" w:eastAsia="宋体" w:cs="宋体"/>
                <w:color w:val="auto"/>
                <w:spacing w:val="-28"/>
                <w:kern w:val="0"/>
                <w:sz w:val="21"/>
                <w:szCs w:val="21"/>
                <w:highlight w:val="none"/>
              </w:rPr>
              <w:t>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1"/>
                <w:kern w:val="0"/>
                <w:sz w:val="21"/>
                <w:szCs w:val="21"/>
                <w:highlight w:val="none"/>
              </w:rPr>
            </w:pPr>
            <w:r>
              <w:rPr>
                <w:rFonts w:hint="eastAsia" w:ascii="宋体" w:hAnsi="宋体" w:eastAsia="宋体" w:cs="宋体"/>
                <w:color w:val="auto"/>
                <w:spacing w:val="-11"/>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涂层测厚仪(磁性、电涡流）</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STT-450S</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（0-1500）mm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11"/>
                <w:kern w:val="0"/>
                <w:sz w:val="21"/>
                <w:szCs w:val="21"/>
                <w:highlight w:val="none"/>
              </w:rPr>
              <w:t>标线厚度测定仪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STT-950A</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（0-12.7）mm</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0.01mm</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摆式摩擦系数测定仪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BM-Ⅲ</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（0-150）BPN</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0.1BPN</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逆反射标志测量仪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STT-101C</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(0-1999)  cd·lx</w:t>
            </w:r>
            <w:r>
              <w:rPr>
                <w:rFonts w:hint="eastAsia" w:ascii="宋体" w:hAnsi="宋体" w:eastAsia="宋体" w:cs="宋体"/>
                <w:color w:val="auto"/>
                <w:kern w:val="0"/>
                <w:sz w:val="21"/>
                <w:szCs w:val="21"/>
                <w:highlight w:val="none"/>
                <w:vertAlign w:val="superscript"/>
              </w:rPr>
              <w:t>-1</w:t>
            </w:r>
            <w:r>
              <w:rPr>
                <w:rFonts w:hint="eastAsia" w:ascii="宋体" w:hAnsi="宋体" w:eastAsia="宋体" w:cs="宋体"/>
                <w:color w:val="auto"/>
                <w:kern w:val="0"/>
                <w:sz w:val="21"/>
                <w:szCs w:val="21"/>
                <w:highlight w:val="none"/>
              </w:rPr>
              <w:t>·m</w:t>
            </w:r>
            <w:r>
              <w:rPr>
                <w:rFonts w:hint="eastAsia" w:ascii="宋体" w:hAnsi="宋体" w:eastAsia="宋体" w:cs="宋体"/>
                <w:color w:val="auto"/>
                <w:kern w:val="0"/>
                <w:sz w:val="21"/>
                <w:szCs w:val="21"/>
                <w:highlight w:val="none"/>
                <w:vertAlign w:val="superscript"/>
              </w:rPr>
              <w:t>-2</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0.1cd·lx</w:t>
            </w:r>
            <w:r>
              <w:rPr>
                <w:rFonts w:hint="eastAsia" w:ascii="宋体" w:hAnsi="宋体" w:eastAsia="宋体" w:cs="宋体"/>
                <w:color w:val="auto"/>
                <w:kern w:val="0"/>
                <w:sz w:val="21"/>
                <w:szCs w:val="21"/>
                <w:highlight w:val="none"/>
                <w:vertAlign w:val="superscript"/>
              </w:rPr>
              <w:t>-1</w:t>
            </w:r>
            <w:r>
              <w:rPr>
                <w:rFonts w:hint="eastAsia" w:ascii="宋体" w:hAnsi="宋体" w:eastAsia="宋体" w:cs="宋体"/>
                <w:color w:val="auto"/>
                <w:kern w:val="0"/>
                <w:sz w:val="21"/>
                <w:szCs w:val="21"/>
                <w:highlight w:val="none"/>
              </w:rPr>
              <w:t>·m</w:t>
            </w:r>
            <w:r>
              <w:rPr>
                <w:rFonts w:hint="eastAsia" w:ascii="宋体" w:hAnsi="宋体" w:eastAsia="宋体" w:cs="宋体"/>
                <w:color w:val="auto"/>
                <w:kern w:val="0"/>
                <w:sz w:val="21"/>
                <w:szCs w:val="21"/>
                <w:highlight w:val="none"/>
                <w:vertAlign w:val="superscript"/>
              </w:rPr>
              <w:t>-2</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逆反射标线测量仪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STT-301C</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(0.1-1999)mcd·lx</w:t>
            </w:r>
            <w:r>
              <w:rPr>
                <w:rFonts w:hint="eastAsia" w:ascii="宋体" w:hAnsi="宋体" w:eastAsia="宋体" w:cs="宋体"/>
                <w:color w:val="auto"/>
                <w:kern w:val="0"/>
                <w:sz w:val="21"/>
                <w:szCs w:val="21"/>
                <w:highlight w:val="none"/>
                <w:vertAlign w:val="superscript"/>
              </w:rPr>
              <w:t>-1</w:t>
            </w:r>
            <w:r>
              <w:rPr>
                <w:rFonts w:hint="eastAsia" w:ascii="宋体" w:hAnsi="宋体" w:eastAsia="宋体" w:cs="宋体"/>
                <w:color w:val="auto"/>
                <w:kern w:val="0"/>
                <w:sz w:val="21"/>
                <w:szCs w:val="21"/>
                <w:highlight w:val="none"/>
              </w:rPr>
              <w:t>·m</w:t>
            </w:r>
            <w:r>
              <w:rPr>
                <w:rFonts w:hint="eastAsia" w:ascii="宋体" w:hAnsi="宋体" w:eastAsia="宋体" w:cs="宋体"/>
                <w:color w:val="auto"/>
                <w:kern w:val="0"/>
                <w:sz w:val="21"/>
                <w:szCs w:val="21"/>
                <w:highlight w:val="none"/>
                <w:vertAlign w:val="superscript"/>
              </w:rPr>
              <w:t>-2</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0.1mcd·lx</w:t>
            </w:r>
            <w:r>
              <w:rPr>
                <w:rFonts w:hint="eastAsia" w:ascii="宋体" w:hAnsi="宋体" w:eastAsia="宋体" w:cs="宋体"/>
                <w:color w:val="auto"/>
                <w:kern w:val="0"/>
                <w:sz w:val="21"/>
                <w:szCs w:val="21"/>
                <w:highlight w:val="none"/>
                <w:vertAlign w:val="superscript"/>
              </w:rPr>
              <w:t>-1</w:t>
            </w:r>
            <w:r>
              <w:rPr>
                <w:rFonts w:hint="eastAsia" w:ascii="宋体" w:hAnsi="宋体" w:eastAsia="宋体" w:cs="宋体"/>
                <w:color w:val="auto"/>
                <w:kern w:val="0"/>
                <w:sz w:val="21"/>
                <w:szCs w:val="21"/>
                <w:highlight w:val="none"/>
              </w:rPr>
              <w:t>·m</w:t>
            </w:r>
            <w:r>
              <w:rPr>
                <w:rFonts w:hint="eastAsia" w:ascii="宋体" w:hAnsi="宋体" w:eastAsia="宋体" w:cs="宋体"/>
                <w:color w:val="auto"/>
                <w:kern w:val="0"/>
                <w:sz w:val="21"/>
                <w:szCs w:val="21"/>
                <w:highlight w:val="none"/>
                <w:vertAlign w:val="superscript"/>
              </w:rPr>
              <w:t>-2</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护栏立柱埋深检测仪</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HC-EDT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249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数显电砂浴</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DK-2</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6"/>
                <w:kern w:val="0"/>
                <w:sz w:val="21"/>
                <w:szCs w:val="21"/>
                <w:highlight w:val="none"/>
              </w:rPr>
              <w:t>FZ-31A型沸煮箱</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FZ-31A型</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室温～100℃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箱式电阻炉</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spacing w:val="-17"/>
                <w:kern w:val="0"/>
                <w:sz w:val="21"/>
                <w:szCs w:val="21"/>
                <w:highlight w:val="none"/>
              </w:rPr>
            </w:pPr>
            <w:r>
              <w:rPr>
                <w:rFonts w:hint="eastAsia" w:ascii="宋体" w:hAnsi="宋体" w:eastAsia="宋体" w:cs="宋体"/>
                <w:color w:val="auto"/>
                <w:spacing w:val="-17"/>
                <w:kern w:val="0"/>
                <w:sz w:val="21"/>
                <w:szCs w:val="21"/>
                <w:highlight w:val="none"/>
              </w:rPr>
              <w:t>SRJX-4-13A</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室温-1300℃</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spacing w:val="-11"/>
                <w:kern w:val="0"/>
                <w:sz w:val="21"/>
                <w:szCs w:val="21"/>
                <w:highlight w:val="none"/>
              </w:rPr>
              <w:t>压蒸釜（压力表）</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YZF-2A</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半年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洛杉矶磨耗试验机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MH-Ⅱ</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480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岩石切割机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DQ-4</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255</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双端面磨平机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SHM-200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256</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直角尺</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257</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低温试验箱</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DW-40</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258</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1.7mm方孔筛</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1.7mm</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259</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放大镜</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1025</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45X</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260</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电子天平</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JA2003</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（0-100）g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0.001g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261</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电子天平</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FA2004</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(0-200)g</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0.0001g</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262</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钢筋扫描仪校准试块</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HC-GYS4</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522"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263</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普通钢砧</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GZⅡ</w:t>
            </w: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检定</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300</w:t>
            </w:r>
          </w:p>
        </w:tc>
      </w:tr>
      <w:tr>
        <w:tblPrEx>
          <w:tblCellMar>
            <w:top w:w="0" w:type="dxa"/>
            <w:left w:w="108" w:type="dxa"/>
            <w:bottom w:w="0" w:type="dxa"/>
            <w:right w:w="108" w:type="dxa"/>
          </w:tblCellMar>
        </w:tblPrEx>
        <w:trPr>
          <w:trHeight w:val="480" w:hRule="atLeast"/>
        </w:trPr>
        <w:tc>
          <w:tcPr>
            <w:tcW w:w="583" w:type="dxa"/>
            <w:tcBorders>
              <w:top w:val="nil"/>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264</w:t>
            </w:r>
          </w:p>
        </w:tc>
        <w:tc>
          <w:tcPr>
            <w:tcW w:w="1683"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泥浆三件套</w:t>
            </w:r>
          </w:p>
        </w:tc>
        <w:tc>
          <w:tcPr>
            <w:tcW w:w="121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p>
        </w:tc>
        <w:tc>
          <w:tcPr>
            <w:tcW w:w="1686"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p>
        </w:tc>
        <w:tc>
          <w:tcPr>
            <w:tcW w:w="1209"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p>
        </w:tc>
        <w:tc>
          <w:tcPr>
            <w:tcW w:w="825"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校准</w:t>
            </w:r>
          </w:p>
        </w:tc>
        <w:tc>
          <w:tcPr>
            <w:tcW w:w="992" w:type="dxa"/>
            <w:tcBorders>
              <w:top w:val="nil"/>
              <w:left w:val="nil"/>
              <w:bottom w:val="single" w:color="auto" w:sz="4" w:space="0"/>
              <w:right w:val="single" w:color="auto" w:sz="4" w:space="0"/>
            </w:tcBorders>
            <w:shd w:val="clear" w:color="auto" w:fill="auto"/>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1年</w:t>
            </w:r>
          </w:p>
        </w:tc>
        <w:tc>
          <w:tcPr>
            <w:tcW w:w="988" w:type="dxa"/>
            <w:tcBorders>
              <w:top w:val="nil"/>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600</w:t>
            </w:r>
          </w:p>
        </w:tc>
      </w:tr>
    </w:tbl>
    <w:p>
      <w:pPr>
        <w:rPr>
          <w:color w:val="auto"/>
          <w:kern w:val="0"/>
          <w:highlight w:val="none"/>
        </w:rPr>
      </w:pPr>
    </w:p>
    <w:p>
      <w:pPr>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二、</w:t>
      </w:r>
      <w:r>
        <w:rPr>
          <w:rFonts w:hint="eastAsia" w:ascii="Times New Roman" w:hAnsi="Times New Roman" w:eastAsia="宋体" w:cs="Times New Roman"/>
          <w:b/>
          <w:bCs/>
          <w:color w:val="auto"/>
          <w:sz w:val="24"/>
          <w:szCs w:val="24"/>
          <w:highlight w:val="none"/>
        </w:rPr>
        <w:t>根据</w:t>
      </w:r>
      <w:r>
        <w:rPr>
          <w:rFonts w:hint="eastAsia" w:ascii="Times New Roman" w:hAnsi="Times New Roman" w:eastAsia="宋体" w:cs="Times New Roman"/>
          <w:b/>
          <w:bCs/>
          <w:color w:val="auto"/>
          <w:sz w:val="24"/>
          <w:szCs w:val="24"/>
          <w:highlight w:val="none"/>
          <w:lang w:val="en-US" w:eastAsia="zh-CN"/>
        </w:rPr>
        <w:t>成交人履行服务</w:t>
      </w:r>
      <w:r>
        <w:rPr>
          <w:rFonts w:hint="eastAsia" w:ascii="Times New Roman" w:hAnsi="Times New Roman" w:eastAsia="宋体" w:cs="Times New Roman"/>
          <w:b/>
          <w:bCs/>
          <w:color w:val="auto"/>
          <w:sz w:val="24"/>
          <w:szCs w:val="24"/>
          <w:highlight w:val="none"/>
        </w:rPr>
        <w:t>考核情况最多可以续签2年合同。</w:t>
      </w:r>
    </w:p>
    <w:p>
      <w:pPr>
        <w:rPr>
          <w:rFonts w:hint="eastAsia" w:ascii="Times New Roman" w:hAnsi="Times New Roman" w:eastAsia="宋体" w:cs="Times New Roman"/>
          <w:b/>
          <w:bCs/>
          <w:color w:val="auto"/>
          <w:sz w:val="24"/>
          <w:szCs w:val="24"/>
          <w:highlight w:val="none"/>
        </w:rPr>
      </w:pPr>
    </w:p>
    <w:p>
      <w:pPr>
        <w:numPr>
          <w:ilvl w:val="0"/>
          <w:numId w:val="8"/>
        </w:numPr>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供应商应保证检定/校准证书质量，若资质认定评审及相关主管部门检查时发生证书有误或不符合相关技术要求，供应商有义务免费重新检定或校准并出具检定或校准证书。若发生超资质校准服务，并对我单位造成不良影响，由供应商承担相应经济及法律责任。</w:t>
      </w:r>
    </w:p>
    <w:p>
      <w:pPr>
        <w:numPr>
          <w:ilvl w:val="0"/>
          <w:numId w:val="0"/>
        </w:numPr>
        <w:rPr>
          <w:rFonts w:hint="eastAsia" w:ascii="Times New Roman" w:hAnsi="Times New Roman" w:eastAsia="宋体" w:cs="Times New Roman"/>
          <w:b/>
          <w:bCs/>
          <w:color w:val="auto"/>
          <w:sz w:val="24"/>
          <w:szCs w:val="24"/>
          <w:highlight w:val="none"/>
        </w:rPr>
      </w:pPr>
    </w:p>
    <w:p>
      <w:pPr>
        <w:numPr>
          <w:ilvl w:val="0"/>
          <w:numId w:val="8"/>
        </w:numPr>
        <w:ind w:left="0" w:leftChars="0" w:firstLine="0" w:firstLineChars="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rPr>
        <w:t>参选人检定校准服务能力范围含本单位所需检定、校准仪器设备，若存在超资质范围，可进行外包校准服务，但外包单位必须具备相应检定、校准资质能力，资质同时报我单位备案，费用统一由承担本项目供应商负责支付，外包检定、校准费用包含在本次报价范围内。</w:t>
      </w:r>
    </w:p>
    <w:p>
      <w:pPr>
        <w:numPr>
          <w:ilvl w:val="0"/>
          <w:numId w:val="0"/>
        </w:numPr>
        <w:ind w:leftChars="0"/>
        <w:rPr>
          <w:rFonts w:hint="eastAsia" w:ascii="Times New Roman" w:hAnsi="Times New Roman" w:eastAsia="宋体" w:cs="Times New Roman"/>
          <w:b/>
          <w:bCs/>
          <w:color w:val="auto"/>
          <w:sz w:val="24"/>
          <w:szCs w:val="24"/>
          <w:highlight w:val="none"/>
        </w:rPr>
      </w:pPr>
    </w:p>
    <w:p>
      <w:pPr>
        <w:numPr>
          <w:ilvl w:val="0"/>
          <w:numId w:val="8"/>
        </w:numPr>
        <w:ind w:left="0" w:leftChars="0" w:firstLine="0" w:firstLineChars="0"/>
        <w:rPr>
          <w:rFonts w:hint="eastAsia" w:ascii="Times New Roman" w:hAnsi="Times New Roman" w:eastAsia="宋体" w:cs="Times New Roman"/>
          <w:b/>
          <w:bCs/>
          <w:color w:val="auto"/>
          <w:sz w:val="24"/>
          <w:szCs w:val="24"/>
          <w:highlight w:val="none"/>
        </w:rPr>
      </w:pPr>
      <w:r>
        <w:rPr>
          <w:rFonts w:hint="eastAsia" w:ascii="Times New Roman" w:hAnsi="Times New Roman" w:eastAsia="宋体" w:cs="Times New Roman"/>
          <w:b/>
          <w:bCs/>
          <w:color w:val="auto"/>
          <w:sz w:val="24"/>
          <w:szCs w:val="24"/>
          <w:highlight w:val="none"/>
          <w:lang w:val="en-US" w:eastAsia="zh-CN"/>
        </w:rPr>
        <w:t>供应商应在安徽省内设有标准化实验室，并获得实验室认可证书，并满足采购人计量校准参数需求。</w:t>
      </w:r>
    </w:p>
    <w:p>
      <w:pPr>
        <w:rPr>
          <w:color w:val="auto"/>
          <w:highlight w:val="none"/>
        </w:rPr>
      </w:pPr>
      <w:r>
        <w:rPr>
          <w:rFonts w:hint="eastAsia"/>
          <w:color w:val="auto"/>
          <w:highlight w:val="none"/>
        </w:rPr>
        <w:br w:type="page"/>
      </w:r>
    </w:p>
    <w:p>
      <w:pPr>
        <w:pStyle w:val="2"/>
        <w:spacing w:before="312" w:after="312"/>
        <w:ind w:firstLine="3382"/>
        <w:rPr>
          <w:rFonts w:ascii="宋体" w:eastAsia="宋体" w:cs="宋体"/>
          <w:color w:val="auto"/>
          <w:highlight w:val="none"/>
        </w:rPr>
      </w:pPr>
      <w:r>
        <w:rPr>
          <w:rFonts w:hint="eastAsia"/>
          <w:color w:val="auto"/>
          <w:kern w:val="2"/>
          <w:highlight w:val="none"/>
        </w:rPr>
        <w:t>第四章</w:t>
      </w:r>
      <w:bookmarkStart w:id="62" w:name="_Toc10479"/>
      <w:bookmarkStart w:id="63" w:name="_Toc476584431"/>
      <w:r>
        <w:rPr>
          <w:rFonts w:hint="eastAsia"/>
          <w:color w:val="auto"/>
          <w:kern w:val="2"/>
          <w:highlight w:val="none"/>
        </w:rPr>
        <w:t xml:space="preserve"> 合同主要条款</w:t>
      </w:r>
      <w:bookmarkEnd w:id="59"/>
      <w:bookmarkEnd w:id="60"/>
      <w:bookmarkEnd w:id="61"/>
      <w:bookmarkEnd w:id="62"/>
      <w:bookmarkEnd w:id="63"/>
    </w:p>
    <w:p>
      <w:pPr>
        <w:tabs>
          <w:tab w:val="left" w:pos="3640"/>
        </w:tabs>
        <w:autoSpaceDE w:val="0"/>
        <w:autoSpaceDN w:val="0"/>
        <w:spacing w:line="680" w:lineRule="exact"/>
        <w:jc w:val="both"/>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甲方（采购人）：</w:t>
      </w:r>
      <w:r>
        <w:rPr>
          <w:rFonts w:ascii="宋体" w:hAnsi="宋体" w:eastAsia="宋体" w:cs="宋体"/>
          <w:color w:val="auto"/>
          <w:sz w:val="24"/>
          <w:szCs w:val="20"/>
          <w:highlight w:val="none"/>
          <w:u w:val="single"/>
        </w:rPr>
        <w:t xml:space="preserve">                           </w:t>
      </w:r>
    </w:p>
    <w:p>
      <w:pPr>
        <w:tabs>
          <w:tab w:val="left" w:pos="3640"/>
        </w:tabs>
        <w:autoSpaceDE w:val="0"/>
        <w:autoSpaceDN w:val="0"/>
        <w:spacing w:line="680" w:lineRule="exact"/>
        <w:jc w:val="both"/>
        <w:rPr>
          <w:rFonts w:ascii="宋体" w:hAnsi="宋体" w:eastAsia="宋体" w:cs="宋体"/>
          <w:color w:val="auto"/>
          <w:sz w:val="24"/>
          <w:szCs w:val="20"/>
          <w:highlight w:val="none"/>
          <w:u w:val="single"/>
        </w:rPr>
      </w:pPr>
      <w:r>
        <w:rPr>
          <w:rFonts w:hint="eastAsia" w:ascii="宋体" w:hAnsi="宋体" w:eastAsia="宋体" w:cs="宋体"/>
          <w:color w:val="auto"/>
          <w:sz w:val="24"/>
          <w:szCs w:val="20"/>
          <w:highlight w:val="none"/>
        </w:rPr>
        <w:t>乙方（成交人）：</w:t>
      </w:r>
      <w:r>
        <w:rPr>
          <w:rFonts w:ascii="宋体" w:hAnsi="宋体" w:eastAsia="宋体" w:cs="宋体"/>
          <w:color w:val="auto"/>
          <w:sz w:val="24"/>
          <w:szCs w:val="20"/>
          <w:highlight w:val="none"/>
          <w:u w:val="single"/>
        </w:rPr>
        <w:t xml:space="preserve">                           </w:t>
      </w:r>
    </w:p>
    <w:p>
      <w:pPr>
        <w:tabs>
          <w:tab w:val="left" w:pos="3640"/>
        </w:tabs>
        <w:autoSpaceDE w:val="0"/>
        <w:autoSpaceDN w:val="0"/>
        <w:spacing w:line="680" w:lineRule="exact"/>
        <w:ind w:firstLine="480" w:firstLineChars="200"/>
        <w:jc w:val="both"/>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根据《中华人民共和国民法典》及</w:t>
      </w:r>
      <w:r>
        <w:rPr>
          <w:rFonts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比选文件，甲、</w:t>
      </w:r>
      <w:r>
        <w:rPr>
          <w:rFonts w:hint="eastAsia" w:ascii="宋体" w:hAnsi="宋体" w:eastAsia="宋体" w:cs="Times New Roman"/>
          <w:color w:val="auto"/>
          <w:spacing w:val="-1"/>
          <w:sz w:val="24"/>
          <w:szCs w:val="20"/>
          <w:highlight w:val="none"/>
        </w:rPr>
        <w:t>乙</w:t>
      </w:r>
      <w:r>
        <w:rPr>
          <w:rFonts w:hint="eastAsia" w:ascii="宋体" w:hAnsi="宋体" w:eastAsia="宋体" w:cs="宋体"/>
          <w:color w:val="auto"/>
          <w:sz w:val="24"/>
          <w:szCs w:val="20"/>
          <w:highlight w:val="none"/>
        </w:rPr>
        <w:t>双方经协商一致，签订如下合同条款，并共同遵守。</w:t>
      </w:r>
    </w:p>
    <w:p>
      <w:pPr>
        <w:tabs>
          <w:tab w:val="left" w:pos="3640"/>
        </w:tabs>
        <w:autoSpaceDE w:val="0"/>
        <w:autoSpaceDN w:val="0"/>
        <w:spacing w:line="360" w:lineRule="auto"/>
        <w:ind w:firstLine="422" w:firstLineChars="200"/>
        <w:jc w:val="both"/>
        <w:rPr>
          <w:rFonts w:ascii="宋体" w:hAnsi="宋体" w:eastAsia="宋体" w:cs="宋体"/>
          <w:b/>
          <w:color w:val="auto"/>
          <w:szCs w:val="21"/>
          <w:highlight w:val="none"/>
        </w:rPr>
      </w:pPr>
      <w:r>
        <w:rPr>
          <w:rFonts w:hint="eastAsia" w:ascii="宋体" w:hAnsi="宋体" w:eastAsia="宋体" w:cs="宋体"/>
          <w:b/>
          <w:color w:val="auto"/>
          <w:szCs w:val="21"/>
          <w:highlight w:val="none"/>
        </w:rPr>
        <w:t>一、货物名称、生产厂家、品牌、数量及金额</w:t>
      </w:r>
    </w:p>
    <w:tbl>
      <w:tblPr>
        <w:tblStyle w:val="61"/>
        <w:tblW w:w="92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724"/>
        <w:gridCol w:w="832"/>
        <w:gridCol w:w="2477"/>
        <w:gridCol w:w="1515"/>
        <w:gridCol w:w="19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商品</w:t>
            </w:r>
            <w:r>
              <w:rPr>
                <w:rFonts w:hint="eastAsia" w:ascii="宋体" w:hAnsi="宋体" w:eastAsia="宋体" w:cs="宋体"/>
                <w:color w:val="auto"/>
                <w:szCs w:val="21"/>
                <w:highlight w:val="none"/>
              </w:rPr>
              <w:t>名称</w:t>
            </w: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24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b w:val="0"/>
                <w:bCs w:val="0"/>
                <w:i w:val="0"/>
                <w:iCs w:val="0"/>
                <w:color w:val="auto"/>
                <w:kern w:val="0"/>
                <w:sz w:val="22"/>
                <w:szCs w:val="22"/>
                <w:highlight w:val="none"/>
                <w:u w:val="none"/>
                <w:lang w:val="en-US" w:eastAsia="zh-CN" w:bidi="ar"/>
              </w:rPr>
              <w:t>型号/参数</w:t>
            </w: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单价（元）</w:t>
            </w: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小计</w:t>
            </w:r>
            <w:r>
              <w:rPr>
                <w:rFonts w:hint="eastAsia" w:ascii="宋体" w:hAnsi="宋体" w:eastAsia="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4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4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4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4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4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4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4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pacing w:val="-4"/>
                <w:szCs w:val="21"/>
                <w:highlight w:val="none"/>
              </w:rPr>
            </w:pPr>
          </w:p>
        </w:tc>
        <w:tc>
          <w:tcPr>
            <w:tcW w:w="17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832"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247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1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9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3" w:hRule="exact"/>
          <w:jc w:val="center"/>
        </w:trPr>
        <w:tc>
          <w:tcPr>
            <w:tcW w:w="928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Cs w:val="21"/>
                <w:highlight w:val="none"/>
              </w:rPr>
            </w:pPr>
            <w:r>
              <w:rPr>
                <w:rFonts w:hint="eastAsia" w:ascii="宋体" w:hAnsi="宋体" w:eastAsia="宋体" w:cs="宋体"/>
                <w:color w:val="auto"/>
                <w:szCs w:val="21"/>
                <w:highlight w:val="none"/>
              </w:rPr>
              <w:t>总价：</w:t>
            </w:r>
          </w:p>
          <w:p>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Cs w:val="21"/>
                <w:highlight w:val="none"/>
              </w:rPr>
            </w:pPr>
          </w:p>
          <w:p>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Cs w:val="21"/>
                <w:highlight w:val="none"/>
              </w:rPr>
            </w:pPr>
          </w:p>
          <w:p>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Cs w:val="21"/>
                <w:highlight w:val="none"/>
              </w:rPr>
            </w:pPr>
          </w:p>
          <w:p>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Cs w:val="21"/>
                <w:highlight w:val="none"/>
              </w:rPr>
            </w:pPr>
          </w:p>
          <w:p>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Cs w:val="21"/>
                <w:highlight w:val="none"/>
              </w:rPr>
            </w:pPr>
          </w:p>
          <w:p>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Cs w:val="21"/>
                <w:highlight w:val="none"/>
              </w:rPr>
            </w:pPr>
          </w:p>
        </w:tc>
      </w:tr>
    </w:tbl>
    <w:p>
      <w:pPr>
        <w:tabs>
          <w:tab w:val="left" w:pos="3640"/>
        </w:tabs>
        <w:autoSpaceDE w:val="0"/>
        <w:autoSpaceDN w:val="0"/>
        <w:spacing w:line="360" w:lineRule="auto"/>
        <w:ind w:firstLine="454" w:firstLineChars="200"/>
        <w:jc w:val="both"/>
        <w:rPr>
          <w:rFonts w:ascii="宋体" w:hAnsi="宋体" w:eastAsia="宋体" w:cs="宋体"/>
          <w:b/>
          <w:color w:val="auto"/>
          <w:spacing w:val="8"/>
          <w:szCs w:val="21"/>
          <w:highlight w:val="none"/>
        </w:rPr>
      </w:pPr>
      <w:r>
        <w:rPr>
          <w:rFonts w:hint="eastAsia" w:ascii="宋体" w:hAnsi="宋体" w:eastAsia="宋体" w:cs="宋体"/>
          <w:b/>
          <w:color w:val="auto"/>
          <w:spacing w:val="8"/>
          <w:szCs w:val="21"/>
          <w:highlight w:val="none"/>
        </w:rPr>
        <w:t>本合同所列货物首先须满足比选文件要求，其次与成交人的参选文件一致。</w:t>
      </w:r>
    </w:p>
    <w:p>
      <w:pPr>
        <w:tabs>
          <w:tab w:val="left" w:pos="3640"/>
        </w:tabs>
        <w:autoSpaceDE w:val="0"/>
        <w:autoSpaceDN w:val="0"/>
        <w:spacing w:line="360" w:lineRule="auto"/>
        <w:ind w:firstLine="454" w:firstLineChars="200"/>
        <w:jc w:val="both"/>
        <w:rPr>
          <w:rFonts w:ascii="宋体" w:hAnsi="宋体" w:eastAsia="宋体" w:cs="宋体"/>
          <w:color w:val="auto"/>
          <w:spacing w:val="8"/>
          <w:szCs w:val="21"/>
          <w:highlight w:val="none"/>
        </w:rPr>
      </w:pPr>
      <w:r>
        <w:rPr>
          <w:rFonts w:hint="eastAsia" w:ascii="宋体" w:hAnsi="宋体" w:eastAsia="宋体" w:cs="宋体"/>
          <w:b/>
          <w:color w:val="auto"/>
          <w:spacing w:val="8"/>
          <w:szCs w:val="21"/>
          <w:highlight w:val="none"/>
        </w:rPr>
        <w:t>二、保修及售后服务</w:t>
      </w:r>
      <w:r>
        <w:rPr>
          <w:rFonts w:hint="eastAsia" w:ascii="宋体" w:hAnsi="宋体" w:eastAsia="宋体" w:cs="宋体"/>
          <w:color w:val="auto"/>
          <w:spacing w:val="8"/>
          <w:szCs w:val="21"/>
          <w:highlight w:val="none"/>
        </w:rPr>
        <w:t>：依据商品的保修条款、售后服务条款，比选文件另有要求的从其</w:t>
      </w:r>
      <w:r>
        <w:rPr>
          <w:rFonts w:hint="eastAsia" w:ascii="宋体" w:hAnsi="宋体" w:eastAsia="宋体" w:cs="宋体"/>
          <w:color w:val="auto"/>
          <w:szCs w:val="21"/>
          <w:highlight w:val="none"/>
        </w:rPr>
        <w:t>约定</w:t>
      </w:r>
      <w:r>
        <w:rPr>
          <w:rFonts w:hint="eastAsia" w:ascii="宋体" w:hAnsi="宋体" w:eastAsia="宋体" w:cs="宋体"/>
          <w:color w:val="auto"/>
          <w:spacing w:val="8"/>
          <w:szCs w:val="21"/>
          <w:highlight w:val="none"/>
        </w:rPr>
        <w:t>。</w:t>
      </w:r>
    </w:p>
    <w:p>
      <w:pPr>
        <w:tabs>
          <w:tab w:val="left" w:pos="3640"/>
        </w:tabs>
        <w:autoSpaceDE w:val="0"/>
        <w:autoSpaceDN w:val="0"/>
        <w:spacing w:line="360" w:lineRule="auto"/>
        <w:ind w:firstLine="422" w:firstLineChars="200"/>
        <w:jc w:val="both"/>
        <w:rPr>
          <w:rFonts w:ascii="宋体" w:hAnsi="宋体" w:eastAsia="宋体" w:cs="宋体"/>
          <w:b/>
          <w:color w:val="auto"/>
          <w:szCs w:val="21"/>
          <w:highlight w:val="none"/>
        </w:rPr>
      </w:pPr>
      <w:r>
        <w:rPr>
          <w:rFonts w:hint="eastAsia" w:ascii="宋体" w:hAnsi="宋体" w:eastAsia="宋体" w:cs="宋体"/>
          <w:b/>
          <w:color w:val="auto"/>
          <w:szCs w:val="21"/>
          <w:highlight w:val="none"/>
        </w:rPr>
        <w:t>三、交货、安装、调试期：</w:t>
      </w:r>
      <w:r>
        <w:rPr>
          <w:rFonts w:hint="eastAsia" w:ascii="宋体" w:hAnsi="宋体" w:eastAsia="宋体" w:cs="宋体"/>
          <w:b/>
          <w:color w:val="auto"/>
          <w:szCs w:val="21"/>
          <w:highlight w:val="none"/>
          <w:u w:val="single"/>
        </w:rPr>
        <w:t xml:space="preserve">                                                           </w:t>
      </w:r>
    </w:p>
    <w:p>
      <w:pPr>
        <w:tabs>
          <w:tab w:val="left" w:pos="3640"/>
        </w:tabs>
        <w:autoSpaceDE w:val="0"/>
        <w:autoSpaceDN w:val="0"/>
        <w:spacing w:line="360" w:lineRule="auto"/>
        <w:ind w:firstLine="422" w:firstLineChars="200"/>
        <w:jc w:val="both"/>
        <w:rPr>
          <w:rFonts w:ascii="宋体" w:hAnsi="宋体" w:eastAsia="宋体" w:cs="宋体"/>
          <w:b/>
          <w:color w:val="auto"/>
          <w:szCs w:val="21"/>
          <w:highlight w:val="none"/>
        </w:rPr>
      </w:pPr>
      <w:r>
        <w:rPr>
          <w:rFonts w:hint="eastAsia" w:ascii="宋体" w:hAnsi="宋体" w:eastAsia="宋体" w:cs="宋体"/>
          <w:b/>
          <w:color w:val="auto"/>
          <w:szCs w:val="21"/>
          <w:highlight w:val="none"/>
        </w:rPr>
        <w:t>四、交货地点：</w:t>
      </w:r>
      <w:r>
        <w:rPr>
          <w:rFonts w:hint="eastAsia" w:ascii="宋体" w:hAnsi="宋体" w:eastAsia="宋体" w:cs="宋体"/>
          <w:b/>
          <w:color w:val="auto"/>
          <w:szCs w:val="21"/>
          <w:highlight w:val="none"/>
          <w:u w:val="single"/>
        </w:rPr>
        <w:t xml:space="preserve">                                                                    </w:t>
      </w:r>
    </w:p>
    <w:p>
      <w:pPr>
        <w:tabs>
          <w:tab w:val="left" w:pos="3640"/>
        </w:tabs>
        <w:autoSpaceDE w:val="0"/>
        <w:autoSpaceDN w:val="0"/>
        <w:spacing w:line="360" w:lineRule="auto"/>
        <w:ind w:firstLine="422" w:firstLineChars="200"/>
        <w:jc w:val="both"/>
        <w:rPr>
          <w:rFonts w:ascii="宋体" w:hAnsi="宋体" w:eastAsia="宋体" w:cs="宋体"/>
          <w:b/>
          <w:color w:val="auto"/>
          <w:szCs w:val="20"/>
          <w:highlight w:val="none"/>
        </w:rPr>
      </w:pPr>
      <w:r>
        <w:rPr>
          <w:rFonts w:hint="eastAsia" w:ascii="宋体" w:hAnsi="宋体" w:eastAsia="宋体" w:cs="宋体"/>
          <w:b/>
          <w:color w:val="auto"/>
          <w:szCs w:val="21"/>
          <w:highlight w:val="none"/>
        </w:rPr>
        <w:t>五、</w:t>
      </w:r>
      <w:r>
        <w:rPr>
          <w:rFonts w:hint="eastAsia" w:ascii="宋体" w:hAnsi="宋体" w:eastAsia="宋体" w:cs="宋体"/>
          <w:b/>
          <w:color w:val="auto"/>
          <w:szCs w:val="20"/>
          <w:highlight w:val="none"/>
        </w:rPr>
        <w:t>验　　收：</w:t>
      </w:r>
      <w:r>
        <w:rPr>
          <w:rFonts w:hint="eastAsia" w:ascii="宋体" w:hAnsi="宋体" w:eastAsia="宋体" w:cs="宋体"/>
          <w:bCs/>
          <w:color w:val="auto"/>
          <w:szCs w:val="20"/>
          <w:highlight w:val="none"/>
          <w:u w:val="single"/>
        </w:rPr>
        <w:t xml:space="preserve">                                                                    </w:t>
      </w:r>
    </w:p>
    <w:p>
      <w:pPr>
        <w:spacing w:line="360" w:lineRule="auto"/>
        <w:ind w:firstLine="422" w:firstLineChars="200"/>
        <w:jc w:val="both"/>
        <w:rPr>
          <w:rFonts w:ascii="宋体" w:hAnsi="宋体" w:eastAsia="宋体" w:cs="宋体"/>
          <w:color w:val="auto"/>
          <w:szCs w:val="21"/>
          <w:highlight w:val="none"/>
        </w:rPr>
      </w:pPr>
      <w:r>
        <w:rPr>
          <w:rFonts w:hint="eastAsia" w:ascii="宋体" w:hAnsi="宋体" w:eastAsia="宋体" w:cs="宋体"/>
          <w:b/>
          <w:color w:val="auto"/>
          <w:szCs w:val="21"/>
          <w:highlight w:val="none"/>
        </w:rPr>
        <w:t>六、付款方式：</w:t>
      </w:r>
      <w:r>
        <w:rPr>
          <w:rFonts w:hint="eastAsia" w:ascii="宋体" w:hAnsi="宋体" w:eastAsia="宋体" w:cs="宋体"/>
          <w:b/>
          <w:color w:val="auto"/>
          <w:szCs w:val="21"/>
          <w:highlight w:val="none"/>
          <w:u w:val="single"/>
        </w:rPr>
        <w:t xml:space="preserve">                                                                     </w:t>
      </w:r>
    </w:p>
    <w:p>
      <w:pPr>
        <w:spacing w:line="360" w:lineRule="auto"/>
        <w:ind w:firstLine="422" w:firstLineChars="200"/>
        <w:jc w:val="both"/>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七、履约保证金退还：</w:t>
      </w:r>
      <w:r>
        <w:rPr>
          <w:rFonts w:hint="eastAsia" w:ascii="宋体" w:hAnsi="宋体" w:eastAsia="宋体" w:cs="宋体"/>
          <w:b/>
          <w:color w:val="auto"/>
          <w:szCs w:val="21"/>
          <w:highlight w:val="none"/>
          <w:lang w:val="en-US" w:eastAsia="zh-CN"/>
        </w:rPr>
        <w:t>/</w:t>
      </w:r>
    </w:p>
    <w:p>
      <w:pPr>
        <w:spacing w:line="360" w:lineRule="auto"/>
        <w:ind w:firstLine="454" w:firstLineChars="200"/>
        <w:jc w:val="both"/>
        <w:rPr>
          <w:rFonts w:ascii="宋体" w:hAnsi="宋体" w:eastAsia="宋体" w:cs="宋体"/>
          <w:b/>
          <w:color w:val="auto"/>
          <w:szCs w:val="21"/>
          <w:highlight w:val="none"/>
        </w:rPr>
      </w:pPr>
      <w:r>
        <w:rPr>
          <w:rFonts w:hint="eastAsia" w:ascii="宋体" w:hAnsi="宋体" w:eastAsia="宋体" w:cs="宋体"/>
          <w:b/>
          <w:color w:val="auto"/>
          <w:spacing w:val="8"/>
          <w:szCs w:val="21"/>
          <w:highlight w:val="none"/>
        </w:rPr>
        <w:t>八、</w:t>
      </w:r>
      <w:r>
        <w:rPr>
          <w:rFonts w:hint="eastAsia" w:ascii="宋体" w:hAnsi="宋体" w:eastAsia="宋体" w:cs="宋体"/>
          <w:b/>
          <w:color w:val="auto"/>
          <w:szCs w:val="21"/>
          <w:highlight w:val="none"/>
        </w:rPr>
        <w:t>违约责任</w:t>
      </w:r>
    </w:p>
    <w:p>
      <w:pPr>
        <w:tabs>
          <w:tab w:val="left" w:pos="3640"/>
        </w:tabs>
        <w:autoSpaceDE w:val="0"/>
        <w:autoSpaceDN w:val="0"/>
        <w:spacing w:line="360" w:lineRule="auto"/>
        <w:ind w:firstLine="452" w:firstLineChars="200"/>
        <w:jc w:val="both"/>
        <w:rPr>
          <w:rFonts w:ascii="宋体" w:hAnsi="宋体" w:eastAsia="宋体" w:cs="宋体"/>
          <w:b/>
          <w:color w:val="auto"/>
          <w:szCs w:val="21"/>
          <w:highlight w:val="none"/>
        </w:rPr>
      </w:pPr>
      <w:r>
        <w:rPr>
          <w:rFonts w:hint="eastAsia" w:ascii="宋体" w:hAnsi="宋体" w:eastAsia="宋体" w:cs="宋体"/>
          <w:color w:val="auto"/>
          <w:spacing w:val="8"/>
          <w:szCs w:val="21"/>
          <w:highlight w:val="none"/>
        </w:rPr>
        <w:t>1、买方无正当理由拒收货物，买方向卖方偿付货款总值的</w:t>
      </w:r>
      <w:r>
        <w:rPr>
          <w:rFonts w:hint="eastAsia" w:ascii="宋体" w:hAnsi="宋体" w:eastAsia="宋体" w:cs="宋体"/>
          <w:color w:val="auto"/>
          <w:spacing w:val="8"/>
          <w:szCs w:val="21"/>
          <w:highlight w:val="none"/>
          <w:u w:val="single"/>
        </w:rPr>
        <w:t xml:space="preserve">   /  </w:t>
      </w:r>
      <w:r>
        <w:rPr>
          <w:rFonts w:hint="eastAsia" w:ascii="宋体" w:hAnsi="宋体" w:eastAsia="宋体" w:cs="宋体"/>
          <w:color w:val="auto"/>
          <w:spacing w:val="8"/>
          <w:szCs w:val="21"/>
          <w:highlight w:val="none"/>
        </w:rPr>
        <w:t>％的违约金；</w:t>
      </w:r>
    </w:p>
    <w:p>
      <w:pPr>
        <w:tabs>
          <w:tab w:val="left" w:pos="3640"/>
        </w:tabs>
        <w:autoSpaceDE w:val="0"/>
        <w:autoSpaceDN w:val="0"/>
        <w:spacing w:line="360" w:lineRule="auto"/>
        <w:ind w:firstLine="452" w:firstLineChars="200"/>
        <w:jc w:val="both"/>
        <w:rPr>
          <w:rFonts w:ascii="宋体" w:hAnsi="宋体" w:eastAsia="宋体" w:cs="宋体"/>
          <w:b/>
          <w:color w:val="auto"/>
          <w:szCs w:val="21"/>
          <w:highlight w:val="none"/>
        </w:rPr>
      </w:pPr>
      <w:r>
        <w:rPr>
          <w:rFonts w:hint="eastAsia" w:ascii="宋体" w:hAnsi="宋体" w:eastAsia="宋体" w:cs="宋体"/>
          <w:color w:val="auto"/>
          <w:spacing w:val="8"/>
          <w:szCs w:val="21"/>
          <w:highlight w:val="none"/>
        </w:rPr>
        <w:t>2、买方无正当理由逾期付货款的，买方向卖方每日偿付</w:t>
      </w:r>
      <w:r>
        <w:rPr>
          <w:rFonts w:hint="eastAsia" w:ascii="宋体" w:hAnsi="宋体" w:eastAsia="宋体" w:cs="宋体"/>
          <w:color w:val="auto"/>
          <w:spacing w:val="8"/>
          <w:szCs w:val="21"/>
          <w:highlight w:val="none"/>
          <w:u w:val="single"/>
        </w:rPr>
        <w:t xml:space="preserve">   /  </w:t>
      </w:r>
      <w:r>
        <w:rPr>
          <w:rFonts w:hint="eastAsia" w:ascii="宋体" w:hAnsi="宋体" w:eastAsia="宋体" w:cs="宋体"/>
          <w:color w:val="auto"/>
          <w:spacing w:val="8"/>
          <w:szCs w:val="21"/>
          <w:highlight w:val="none"/>
        </w:rPr>
        <w:t>‰的违约金；</w:t>
      </w:r>
    </w:p>
    <w:p>
      <w:pPr>
        <w:tabs>
          <w:tab w:val="left" w:pos="3640"/>
        </w:tabs>
        <w:autoSpaceDE w:val="0"/>
        <w:autoSpaceDN w:val="0"/>
        <w:spacing w:line="360" w:lineRule="auto"/>
        <w:ind w:firstLine="452" w:firstLineChars="200"/>
        <w:jc w:val="both"/>
        <w:rPr>
          <w:rFonts w:ascii="宋体" w:hAnsi="宋体" w:eastAsia="宋体" w:cs="宋体"/>
          <w:b/>
          <w:color w:val="auto"/>
          <w:szCs w:val="21"/>
          <w:highlight w:val="none"/>
        </w:rPr>
      </w:pPr>
      <w:r>
        <w:rPr>
          <w:rFonts w:hint="eastAsia" w:ascii="宋体" w:hAnsi="宋体" w:eastAsia="宋体" w:cs="宋体"/>
          <w:color w:val="auto"/>
          <w:spacing w:val="8"/>
          <w:szCs w:val="21"/>
          <w:highlight w:val="none"/>
        </w:rPr>
        <w:t>3、卖方不能交付货物的，卖方向买方支付货款总值</w:t>
      </w:r>
      <w:r>
        <w:rPr>
          <w:rFonts w:hint="eastAsia" w:ascii="宋体" w:hAnsi="宋体" w:eastAsia="宋体" w:cs="宋体"/>
          <w:color w:val="auto"/>
          <w:spacing w:val="8"/>
          <w:szCs w:val="21"/>
          <w:highlight w:val="none"/>
          <w:u w:val="single"/>
        </w:rPr>
        <w:t xml:space="preserve">   /   </w:t>
      </w:r>
      <w:r>
        <w:rPr>
          <w:rFonts w:hint="eastAsia" w:ascii="宋体" w:hAnsi="宋体" w:eastAsia="宋体" w:cs="宋体"/>
          <w:color w:val="auto"/>
          <w:spacing w:val="8"/>
          <w:szCs w:val="21"/>
          <w:highlight w:val="none"/>
        </w:rPr>
        <w:t>％的违约金；</w:t>
      </w:r>
    </w:p>
    <w:p>
      <w:pPr>
        <w:tabs>
          <w:tab w:val="left" w:pos="3640"/>
        </w:tabs>
        <w:autoSpaceDE w:val="0"/>
        <w:autoSpaceDN w:val="0"/>
        <w:spacing w:line="360" w:lineRule="auto"/>
        <w:ind w:firstLine="452" w:firstLineChars="200"/>
        <w:jc w:val="both"/>
        <w:rPr>
          <w:rFonts w:ascii="宋体" w:hAnsi="宋体" w:eastAsia="宋体" w:cs="宋体"/>
          <w:b/>
          <w:color w:val="auto"/>
          <w:szCs w:val="21"/>
          <w:highlight w:val="none"/>
        </w:rPr>
      </w:pPr>
      <w:r>
        <w:rPr>
          <w:rFonts w:hint="eastAsia" w:ascii="宋体" w:hAnsi="宋体" w:eastAsia="宋体" w:cs="宋体"/>
          <w:color w:val="auto"/>
          <w:spacing w:val="8"/>
          <w:szCs w:val="21"/>
          <w:highlight w:val="none"/>
        </w:rPr>
        <w:t>4、卖方逾期交付货物的，卖方向买方每日偿付货款总值的</w:t>
      </w:r>
      <w:r>
        <w:rPr>
          <w:rFonts w:hint="eastAsia" w:ascii="宋体" w:hAnsi="宋体" w:eastAsia="宋体" w:cs="宋体"/>
          <w:color w:val="auto"/>
          <w:spacing w:val="8"/>
          <w:szCs w:val="21"/>
          <w:highlight w:val="none"/>
          <w:u w:val="single"/>
        </w:rPr>
        <w:t xml:space="preserve">   /  </w:t>
      </w:r>
      <w:r>
        <w:rPr>
          <w:rFonts w:hint="eastAsia" w:ascii="宋体" w:hAnsi="宋体" w:eastAsia="宋体" w:cs="宋体"/>
          <w:color w:val="auto"/>
          <w:spacing w:val="8"/>
          <w:szCs w:val="21"/>
          <w:highlight w:val="none"/>
        </w:rPr>
        <w:t>‰的违约金。</w:t>
      </w:r>
    </w:p>
    <w:p>
      <w:pPr>
        <w:spacing w:line="360" w:lineRule="auto"/>
        <w:ind w:left="-178" w:leftChars="-85" w:firstLine="583" w:firstLineChars="257"/>
        <w:jc w:val="both"/>
        <w:rPr>
          <w:rFonts w:ascii="宋体" w:hAnsi="宋体" w:eastAsia="宋体" w:cs="宋体"/>
          <w:b/>
          <w:color w:val="auto"/>
          <w:spacing w:val="8"/>
          <w:szCs w:val="21"/>
          <w:highlight w:val="none"/>
        </w:rPr>
      </w:pPr>
      <w:r>
        <w:rPr>
          <w:rFonts w:hint="eastAsia" w:ascii="宋体" w:hAnsi="宋体" w:eastAsia="宋体" w:cs="宋体"/>
          <w:b/>
          <w:color w:val="auto"/>
          <w:spacing w:val="8"/>
          <w:szCs w:val="21"/>
          <w:highlight w:val="none"/>
        </w:rPr>
        <w:t>九、解决合同纠纷方式</w:t>
      </w:r>
    </w:p>
    <w:p>
      <w:pPr>
        <w:spacing w:line="680" w:lineRule="exact"/>
        <w:ind w:firstLine="452" w:firstLineChars="200"/>
        <w:jc w:val="both"/>
        <w:rPr>
          <w:rFonts w:ascii="宋体" w:hAnsi="宋体" w:eastAsia="宋体" w:cs="宋体"/>
          <w:color w:val="auto"/>
          <w:spacing w:val="8"/>
          <w:szCs w:val="21"/>
          <w:highlight w:val="none"/>
        </w:rPr>
      </w:pPr>
      <w:r>
        <w:rPr>
          <w:rFonts w:hint="eastAsia" w:ascii="宋体" w:hAnsi="宋体" w:eastAsia="宋体" w:cs="宋体"/>
          <w:color w:val="auto"/>
          <w:spacing w:val="8"/>
          <w:szCs w:val="21"/>
          <w:highlight w:val="none"/>
        </w:rPr>
        <w:t>本合同如发生纠纷，甲乙双方应当及时协商解决，协商不成时，按以下第（②）项方式处理：①根据《中华人民共和国仲裁法》的规定向</w:t>
      </w:r>
      <w:r>
        <w:rPr>
          <w:rFonts w:hint="eastAsia" w:ascii="宋体" w:hAnsi="宋体" w:eastAsia="宋体" w:cs="宋体"/>
          <w:color w:val="auto"/>
          <w:spacing w:val="8"/>
          <w:szCs w:val="21"/>
          <w:highlight w:val="none"/>
          <w:u w:val="single"/>
        </w:rPr>
        <w:t>安庆仲裁委员会</w:t>
      </w:r>
      <w:r>
        <w:rPr>
          <w:rFonts w:hint="eastAsia" w:ascii="宋体" w:hAnsi="宋体" w:eastAsia="宋体" w:cs="宋体"/>
          <w:color w:val="auto"/>
          <w:spacing w:val="8"/>
          <w:szCs w:val="21"/>
          <w:highlight w:val="none"/>
        </w:rPr>
        <w:t>申请仲裁。②向</w:t>
      </w:r>
      <w:r>
        <w:rPr>
          <w:rFonts w:hint="eastAsia" w:ascii="宋体" w:hAnsi="宋体" w:eastAsia="宋体" w:cs="宋体"/>
          <w:color w:val="auto"/>
          <w:spacing w:val="8"/>
          <w:szCs w:val="21"/>
          <w:highlight w:val="none"/>
          <w:u w:val="single"/>
          <w:lang w:val="en-US" w:eastAsia="zh-CN"/>
        </w:rPr>
        <w:t>合同履行地</w:t>
      </w:r>
      <w:r>
        <w:rPr>
          <w:rFonts w:hint="eastAsia" w:ascii="宋体" w:hAnsi="宋体" w:eastAsia="宋体" w:cs="宋体"/>
          <w:color w:val="auto"/>
          <w:spacing w:val="8"/>
          <w:szCs w:val="21"/>
          <w:highlight w:val="none"/>
        </w:rPr>
        <w:t>人民法院起诉。</w:t>
      </w:r>
    </w:p>
    <w:p>
      <w:pPr>
        <w:spacing w:line="680" w:lineRule="exact"/>
        <w:ind w:firstLine="454" w:firstLineChars="200"/>
        <w:jc w:val="both"/>
        <w:rPr>
          <w:rFonts w:ascii="宋体" w:hAnsi="宋体" w:eastAsia="宋体" w:cs="宋体"/>
          <w:b/>
          <w:color w:val="auto"/>
          <w:sz w:val="24"/>
          <w:szCs w:val="20"/>
          <w:highlight w:val="none"/>
        </w:rPr>
      </w:pPr>
      <w:r>
        <w:rPr>
          <w:rFonts w:hint="eastAsia" w:ascii="宋体" w:hAnsi="宋体" w:eastAsia="宋体" w:cs="宋体"/>
          <w:b/>
          <w:color w:val="auto"/>
          <w:spacing w:val="8"/>
          <w:szCs w:val="21"/>
          <w:highlight w:val="none"/>
        </w:rPr>
        <w:t>十、</w:t>
      </w:r>
      <w:r>
        <w:rPr>
          <w:rFonts w:hint="eastAsia" w:ascii="宋体" w:hAnsi="宋体" w:eastAsia="宋体" w:cs="宋体"/>
          <w:b/>
          <w:color w:val="auto"/>
          <w:szCs w:val="21"/>
          <w:highlight w:val="none"/>
        </w:rPr>
        <w:t>本合同组成及解释先后顺序：</w:t>
      </w:r>
      <w:r>
        <w:rPr>
          <w:rFonts w:hint="eastAsia" w:ascii="宋体" w:hAnsi="宋体" w:eastAsia="宋体" w:cs="宋体"/>
          <w:color w:val="auto"/>
          <w:spacing w:val="8"/>
          <w:szCs w:val="21"/>
          <w:highlight w:val="none"/>
          <w:u w:val="single"/>
        </w:rPr>
        <w:t>1、成交通知书；2、比选文件；3、本合同文本；4、成交人的参选文件；5、其他补充约定事项。</w:t>
      </w:r>
    </w:p>
    <w:p>
      <w:pPr>
        <w:tabs>
          <w:tab w:val="left" w:pos="3640"/>
        </w:tabs>
        <w:autoSpaceDE w:val="0"/>
        <w:autoSpaceDN w:val="0"/>
        <w:spacing w:line="680" w:lineRule="exact"/>
        <w:ind w:firstLine="808" w:firstLineChars="337"/>
        <w:jc w:val="both"/>
        <w:rPr>
          <w:rFonts w:ascii="宋体" w:hAnsi="宋体" w:eastAsia="宋体" w:cs="宋体"/>
          <w:color w:val="auto"/>
          <w:sz w:val="24"/>
          <w:szCs w:val="20"/>
          <w:highlight w:val="none"/>
        </w:rPr>
      </w:pPr>
      <w:r>
        <w:rPr>
          <w:rFonts w:ascii="宋体" w:hAnsi="宋体" w:eastAsia="宋体" w:cs="宋体"/>
          <w:color w:val="auto"/>
          <w:sz w:val="24"/>
          <w:szCs w:val="20"/>
          <w:highlight w:val="none"/>
        </w:rPr>
        <w:t xml:space="preserve">甲  </w:t>
      </w:r>
      <w:r>
        <w:rPr>
          <w:rFonts w:hint="eastAsia" w:ascii="宋体" w:hAnsi="宋体" w:eastAsia="宋体" w:cs="宋体"/>
          <w:color w:val="auto"/>
          <w:sz w:val="24"/>
          <w:szCs w:val="20"/>
          <w:highlight w:val="none"/>
        </w:rPr>
        <w:t>方</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（采购人）</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乙</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方</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（成交人）</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jc w:val="both"/>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（盖章）：</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（盖章）：</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jc w:val="both"/>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法人代表：</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法人代表：</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jc w:val="both"/>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联系人：</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联系人：</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jc w:val="both"/>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地址：</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地址：</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jc w:val="both"/>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电话：</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电话：</w:t>
      </w:r>
      <w:r>
        <w:rPr>
          <w:rFonts w:ascii="宋体" w:hAnsi="宋体" w:eastAsia="宋体" w:cs="宋体"/>
          <w:color w:val="auto"/>
          <w:sz w:val="24"/>
          <w:szCs w:val="20"/>
          <w:highlight w:val="none"/>
          <w:u w:val="single"/>
        </w:rPr>
        <w:t xml:space="preserve">                      </w:t>
      </w:r>
      <w:r>
        <w:rPr>
          <w:rFonts w:ascii="宋体" w:hAnsi="宋体" w:eastAsia="宋体" w:cs="宋体"/>
          <w:color w:val="auto"/>
          <w:sz w:val="24"/>
          <w:szCs w:val="20"/>
          <w:highlight w:val="none"/>
        </w:rPr>
        <w:t xml:space="preserve">   </w:t>
      </w:r>
    </w:p>
    <w:p>
      <w:pPr>
        <w:tabs>
          <w:tab w:val="left" w:pos="3640"/>
        </w:tabs>
        <w:autoSpaceDE w:val="0"/>
        <w:autoSpaceDN w:val="0"/>
        <w:spacing w:line="680" w:lineRule="exact"/>
        <w:ind w:firstLine="808" w:firstLineChars="337"/>
        <w:jc w:val="both"/>
        <w:rPr>
          <w:rFonts w:ascii="宋体" w:hAnsi="宋体" w:eastAsia="宋体" w:cs="宋体"/>
          <w:color w:val="auto"/>
          <w:sz w:val="24"/>
          <w:szCs w:val="20"/>
          <w:highlight w:val="none"/>
        </w:rPr>
      </w:pPr>
      <w:r>
        <w:rPr>
          <w:rFonts w:hint="eastAsia" w:ascii="宋体" w:hAnsi="宋体" w:eastAsia="宋体" w:cs="宋体"/>
          <w:color w:val="auto"/>
          <w:sz w:val="24"/>
          <w:szCs w:val="20"/>
          <w:highlight w:val="none"/>
        </w:rPr>
        <w:t>年</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月</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日</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 xml:space="preserve">            年</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月</w:t>
      </w:r>
      <w:r>
        <w:rPr>
          <w:rFonts w:ascii="宋体" w:hAnsi="宋体" w:eastAsia="宋体" w:cs="宋体"/>
          <w:color w:val="auto"/>
          <w:sz w:val="24"/>
          <w:szCs w:val="20"/>
          <w:highlight w:val="none"/>
        </w:rPr>
        <w:t xml:space="preserve">    </w:t>
      </w:r>
      <w:r>
        <w:rPr>
          <w:rFonts w:hint="eastAsia" w:ascii="宋体" w:hAnsi="宋体" w:eastAsia="宋体" w:cs="宋体"/>
          <w:color w:val="auto"/>
          <w:sz w:val="24"/>
          <w:szCs w:val="20"/>
          <w:highlight w:val="none"/>
        </w:rPr>
        <w:t>日</w:t>
      </w:r>
      <w:r>
        <w:rPr>
          <w:rFonts w:ascii="宋体" w:hAnsi="宋体" w:eastAsia="宋体" w:cs="宋体"/>
          <w:color w:val="auto"/>
          <w:sz w:val="24"/>
          <w:szCs w:val="20"/>
          <w:highlight w:val="none"/>
        </w:rPr>
        <w:t xml:space="preserve">                   </w:t>
      </w:r>
    </w:p>
    <w:p>
      <w:pPr>
        <w:snapToGrid w:val="0"/>
        <w:spacing w:line="680" w:lineRule="exact"/>
        <w:ind w:firstLine="808" w:firstLineChars="337"/>
        <w:jc w:val="both"/>
        <w:rPr>
          <w:rFonts w:ascii="宋体" w:hAnsi="宋体" w:eastAsia="宋体" w:cs="宋体"/>
          <w:color w:val="auto"/>
          <w:sz w:val="24"/>
          <w:szCs w:val="20"/>
          <w:highlight w:val="none"/>
        </w:rPr>
      </w:pPr>
    </w:p>
    <w:p>
      <w:pPr>
        <w:spacing w:line="680" w:lineRule="exact"/>
        <w:jc w:val="center"/>
        <w:rPr>
          <w:rFonts w:ascii="Times New Roman" w:hAnsi="Times New Roman" w:eastAsia="宋体" w:cs="Times New Roman"/>
          <w:b/>
          <w:color w:val="auto"/>
          <w:sz w:val="24"/>
          <w:szCs w:val="20"/>
          <w:highlight w:val="none"/>
        </w:rPr>
      </w:pPr>
      <w:r>
        <w:rPr>
          <w:rFonts w:hint="eastAsia" w:ascii="Times New Roman" w:hAnsi="Times New Roman" w:eastAsia="宋体" w:cs="Times New Roman"/>
          <w:b/>
          <w:color w:val="auto"/>
          <w:sz w:val="24"/>
          <w:szCs w:val="20"/>
          <w:highlight w:val="none"/>
        </w:rPr>
        <w:t>注：本合同仅为参考文本，合同签订双方可根据项目的具体要求进行修订</w:t>
      </w:r>
    </w:p>
    <w:p>
      <w:pPr>
        <w:pStyle w:val="2"/>
        <w:ind w:left="0" w:leftChars="0" w:firstLine="0" w:firstLineChars="0"/>
        <w:jc w:val="center"/>
        <w:rPr>
          <w:rFonts w:hint="eastAsia" w:ascii="Arial" w:hAnsi="Arial" w:eastAsia="黑体" w:cs="Times New Roman"/>
          <w:b/>
          <w:bCs w:val="0"/>
          <w:color w:val="auto"/>
          <w:kern w:val="2"/>
          <w:sz w:val="32"/>
          <w:szCs w:val="32"/>
          <w:highlight w:val="none"/>
          <w:lang w:val="en-US" w:eastAsia="zh-CN" w:bidi="ar-SA"/>
        </w:rPr>
      </w:pPr>
      <w:r>
        <w:rPr>
          <w:rFonts w:hint="eastAsia" w:ascii="Arial" w:hAnsi="Arial" w:eastAsia="黑体" w:cs="Times New Roman"/>
          <w:b/>
          <w:bCs w:val="0"/>
          <w:color w:val="auto"/>
          <w:kern w:val="2"/>
          <w:sz w:val="32"/>
          <w:szCs w:val="32"/>
          <w:highlight w:val="none"/>
          <w:lang w:val="en-US" w:eastAsia="zh-CN" w:bidi="ar-SA"/>
        </w:rPr>
        <w:t>第五章  参选文件格式</w:t>
      </w:r>
    </w:p>
    <w:p>
      <w:pPr>
        <w:spacing w:line="360" w:lineRule="auto"/>
        <w:jc w:val="center"/>
        <w:rPr>
          <w:rFonts w:hint="eastAsia" w:ascii="仿宋" w:hAnsi="仿宋" w:eastAsia="仿宋"/>
          <w:b/>
          <w:color w:val="auto"/>
          <w:spacing w:val="20"/>
          <w:sz w:val="36"/>
          <w:szCs w:val="36"/>
          <w:highlight w:val="none"/>
          <w:u w:val="single"/>
        </w:rPr>
      </w:pPr>
    </w:p>
    <w:p>
      <w:pPr>
        <w:spacing w:line="360" w:lineRule="auto"/>
        <w:jc w:val="center"/>
        <w:rPr>
          <w:rFonts w:ascii="仿宋" w:hAnsi="仿宋" w:eastAsia="仿宋"/>
          <w:b/>
          <w:color w:val="auto"/>
          <w:spacing w:val="20"/>
          <w:sz w:val="36"/>
          <w:szCs w:val="36"/>
          <w:highlight w:val="none"/>
        </w:rPr>
      </w:pPr>
      <w:r>
        <w:rPr>
          <w:rFonts w:hint="eastAsia"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900" w:lineRule="auto"/>
        <w:jc w:val="center"/>
        <w:rPr>
          <w:rFonts w:hint="eastAsia" w:ascii="宋体" w:hAnsi="宋体"/>
          <w:b/>
          <w:color w:val="auto"/>
          <w:sz w:val="96"/>
          <w:szCs w:val="72"/>
          <w:highlight w:val="none"/>
          <w:lang w:val="en-US" w:eastAsia="zh-CN"/>
        </w:rPr>
      </w:pPr>
      <w:r>
        <w:rPr>
          <w:rFonts w:hint="eastAsia" w:ascii="宋体" w:hAnsi="宋体"/>
          <w:b/>
          <w:color w:val="auto"/>
          <w:sz w:val="96"/>
          <w:szCs w:val="72"/>
          <w:highlight w:val="none"/>
          <w:lang w:val="en-US" w:eastAsia="zh-CN"/>
        </w:rPr>
        <w:t>参</w:t>
      </w:r>
    </w:p>
    <w:p>
      <w:pPr>
        <w:spacing w:line="900" w:lineRule="auto"/>
        <w:jc w:val="center"/>
        <w:rPr>
          <w:rFonts w:hint="eastAsia" w:ascii="宋体" w:hAnsi="宋体" w:eastAsia="宋体"/>
          <w:b/>
          <w:color w:val="auto"/>
          <w:sz w:val="96"/>
          <w:szCs w:val="72"/>
          <w:highlight w:val="none"/>
          <w:lang w:eastAsia="zh-CN"/>
        </w:rPr>
      </w:pPr>
      <w:r>
        <w:rPr>
          <w:rFonts w:hint="eastAsia" w:ascii="宋体" w:hAnsi="宋体"/>
          <w:b/>
          <w:color w:val="auto"/>
          <w:sz w:val="96"/>
          <w:szCs w:val="72"/>
          <w:highlight w:val="none"/>
          <w:lang w:val="en-US" w:eastAsia="zh-CN"/>
        </w:rPr>
        <w:t>选</w:t>
      </w:r>
    </w:p>
    <w:p>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文</w:t>
      </w:r>
    </w:p>
    <w:p>
      <w:pPr>
        <w:spacing w:line="900" w:lineRule="auto"/>
        <w:jc w:val="center"/>
        <w:rPr>
          <w:rFonts w:ascii="宋体" w:hAnsi="宋体"/>
          <w:b/>
          <w:color w:val="auto"/>
          <w:sz w:val="96"/>
          <w:szCs w:val="72"/>
          <w:highlight w:val="none"/>
        </w:rPr>
      </w:pPr>
      <w:r>
        <w:rPr>
          <w:rFonts w:hint="eastAsia" w:ascii="宋体" w:hAnsi="宋体"/>
          <w:b/>
          <w:color w:val="auto"/>
          <w:sz w:val="96"/>
          <w:szCs w:val="72"/>
          <w:highlight w:val="none"/>
        </w:rPr>
        <w:t>件</w:t>
      </w:r>
    </w:p>
    <w:p>
      <w:pPr>
        <w:spacing w:line="360" w:lineRule="auto"/>
        <w:rPr>
          <w:rFonts w:ascii="宋体" w:hAnsi="宋体"/>
          <w:color w:val="auto"/>
          <w:sz w:val="24"/>
          <w:highlight w:val="none"/>
        </w:rPr>
      </w:pPr>
    </w:p>
    <w:p>
      <w:pPr>
        <w:spacing w:line="360" w:lineRule="auto"/>
        <w:ind w:firstLine="148" w:firstLineChars="49"/>
        <w:rPr>
          <w:rFonts w:ascii="宋体" w:hAnsi="宋体"/>
          <w:b/>
          <w:color w:val="auto"/>
          <w:sz w:val="30"/>
          <w:szCs w:val="30"/>
          <w:highlight w:val="none"/>
        </w:rPr>
      </w:pPr>
      <w:r>
        <w:rPr>
          <w:rFonts w:hint="eastAsia" w:ascii="宋体" w:hAnsi="宋体"/>
          <w:b/>
          <w:color w:val="auto"/>
          <w:sz w:val="30"/>
          <w:szCs w:val="30"/>
          <w:highlight w:val="none"/>
          <w:lang w:eastAsia="zh-CN"/>
        </w:rPr>
        <w:t>采购人</w:t>
      </w:r>
      <w:r>
        <w:rPr>
          <w:rFonts w:hint="eastAsia" w:ascii="宋体" w:hAnsi="宋体"/>
          <w:b/>
          <w:color w:val="auto"/>
          <w:sz w:val="30"/>
          <w:szCs w:val="30"/>
          <w:highlight w:val="none"/>
        </w:rPr>
        <w:t xml:space="preserve">名称： </w:t>
      </w:r>
      <w:r>
        <w:rPr>
          <w:rFonts w:hint="eastAsia" w:ascii="宋体" w:hAnsi="宋体"/>
          <w:b/>
          <w:color w:val="auto"/>
          <w:sz w:val="30"/>
          <w:szCs w:val="30"/>
          <w:highlight w:val="none"/>
          <w:u w:val="single"/>
        </w:rPr>
        <w:t xml:space="preserve">                                             </w:t>
      </w:r>
    </w:p>
    <w:p>
      <w:pPr>
        <w:spacing w:line="360" w:lineRule="auto"/>
        <w:rPr>
          <w:rFonts w:ascii="宋体" w:hAnsi="宋体"/>
          <w:b/>
          <w:color w:val="auto"/>
          <w:sz w:val="30"/>
          <w:szCs w:val="30"/>
          <w:highlight w:val="none"/>
        </w:rPr>
      </w:pPr>
    </w:p>
    <w:p>
      <w:pPr>
        <w:spacing w:line="360" w:lineRule="auto"/>
        <w:ind w:firstLine="148" w:firstLineChars="49"/>
        <w:rPr>
          <w:rFonts w:ascii="宋体" w:hAnsi="宋体"/>
          <w:b/>
          <w:color w:val="auto"/>
          <w:sz w:val="30"/>
          <w:szCs w:val="30"/>
          <w:highlight w:val="none"/>
        </w:rPr>
      </w:pPr>
      <w:r>
        <w:rPr>
          <w:rFonts w:hint="eastAsia" w:ascii="宋体" w:hAnsi="宋体"/>
          <w:b/>
          <w:color w:val="auto"/>
          <w:sz w:val="30"/>
          <w:szCs w:val="30"/>
          <w:highlight w:val="none"/>
          <w:lang w:eastAsia="zh-CN"/>
        </w:rPr>
        <w:t>参选人</w:t>
      </w:r>
      <w:r>
        <w:rPr>
          <w:rFonts w:hint="eastAsia" w:ascii="宋体" w:hAnsi="宋体"/>
          <w:b/>
          <w:color w:val="auto"/>
          <w:sz w:val="30"/>
          <w:szCs w:val="30"/>
          <w:highlight w:val="none"/>
        </w:rPr>
        <w:t xml:space="preserve">名称： </w:t>
      </w:r>
      <w:r>
        <w:rPr>
          <w:rFonts w:hint="eastAsia" w:ascii="宋体" w:hAnsi="宋体"/>
          <w:b/>
          <w:color w:val="auto"/>
          <w:sz w:val="30"/>
          <w:szCs w:val="30"/>
          <w:highlight w:val="none"/>
          <w:u w:val="single"/>
        </w:rPr>
        <w:t xml:space="preserve">                                  （加盖公章）</w:t>
      </w:r>
    </w:p>
    <w:p>
      <w:pPr>
        <w:spacing w:line="360" w:lineRule="auto"/>
        <w:rPr>
          <w:rFonts w:ascii="宋体" w:hAnsi="宋体"/>
          <w:b/>
          <w:color w:val="auto"/>
          <w:sz w:val="30"/>
          <w:szCs w:val="30"/>
          <w:highlight w:val="none"/>
        </w:rPr>
      </w:pPr>
    </w:p>
    <w:p>
      <w:pPr>
        <w:spacing w:line="360" w:lineRule="auto"/>
        <w:ind w:firstLine="148" w:firstLineChars="49"/>
        <w:jc w:val="left"/>
        <w:rPr>
          <w:rFonts w:ascii="宋体" w:hAnsi="宋体"/>
          <w:b/>
          <w:color w:val="auto"/>
          <w:sz w:val="30"/>
          <w:szCs w:val="30"/>
          <w:highlight w:val="none"/>
        </w:rPr>
      </w:pPr>
      <w:r>
        <w:rPr>
          <w:rFonts w:hint="eastAsia" w:ascii="宋体" w:hAnsi="宋体"/>
          <w:b/>
          <w:color w:val="auto"/>
          <w:sz w:val="30"/>
          <w:szCs w:val="30"/>
          <w:highlight w:val="none"/>
        </w:rPr>
        <w:t>法定代表人</w:t>
      </w:r>
      <w:r>
        <w:rPr>
          <w:rFonts w:hint="eastAsia" w:ascii="宋体" w:hAnsi="宋体"/>
          <w:b/>
          <w:color w:val="auto"/>
          <w:sz w:val="30"/>
          <w:szCs w:val="30"/>
          <w:highlight w:val="none"/>
          <w:lang w:val="en-US" w:eastAsia="zh-CN"/>
        </w:rPr>
        <w:t>或</w:t>
      </w:r>
      <w:r>
        <w:rPr>
          <w:rFonts w:hint="eastAsia" w:ascii="宋体" w:hAnsi="宋体"/>
          <w:b/>
          <w:color w:val="auto"/>
          <w:sz w:val="30"/>
          <w:szCs w:val="30"/>
          <w:highlight w:val="none"/>
        </w:rPr>
        <w:t>个体工商户经营者或授权委托人：</w:t>
      </w:r>
      <w:r>
        <w:rPr>
          <w:rFonts w:hint="eastAsia" w:ascii="宋体" w:hAnsi="宋体"/>
          <w:b/>
          <w:color w:val="auto"/>
          <w:sz w:val="30"/>
          <w:szCs w:val="30"/>
          <w:highlight w:val="none"/>
          <w:u w:val="single"/>
        </w:rPr>
        <w:t xml:space="preserve">    (签字或盖章)</w:t>
      </w:r>
    </w:p>
    <w:p>
      <w:pPr>
        <w:spacing w:line="360" w:lineRule="auto"/>
        <w:rPr>
          <w:rFonts w:ascii="仿宋_GB2312" w:eastAsia="仿宋_GB2312"/>
          <w:color w:val="auto"/>
          <w:sz w:val="30"/>
          <w:szCs w:val="30"/>
          <w:highlight w:val="none"/>
        </w:rPr>
      </w:pPr>
    </w:p>
    <w:p>
      <w:pPr>
        <w:spacing w:line="360" w:lineRule="auto"/>
        <w:rPr>
          <w:rFonts w:ascii="仿宋_GB2312" w:eastAsia="仿宋_GB2312"/>
          <w:color w:val="auto"/>
          <w:sz w:val="30"/>
          <w:szCs w:val="30"/>
          <w:highlight w:val="none"/>
        </w:rPr>
      </w:pPr>
    </w:p>
    <w:p>
      <w:pPr>
        <w:spacing w:line="360" w:lineRule="auto"/>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日</w:t>
      </w:r>
    </w:p>
    <w:p>
      <w:pPr>
        <w:pStyle w:val="81"/>
        <w:spacing w:before="156"/>
        <w:ind w:left="0" w:leftChars="0" w:firstLine="0" w:firstLineChars="0"/>
        <w:rPr>
          <w:color w:val="auto"/>
          <w:highlight w:val="none"/>
        </w:rPr>
      </w:pPr>
    </w:p>
    <w:p>
      <w:pPr>
        <w:jc w:val="center"/>
        <w:rPr>
          <w:color w:val="auto"/>
          <w:sz w:val="32"/>
          <w:szCs w:val="32"/>
          <w:highlight w:val="none"/>
        </w:rPr>
      </w:pPr>
      <w:r>
        <w:rPr>
          <w:rFonts w:hint="eastAsia"/>
          <w:color w:val="auto"/>
          <w:sz w:val="32"/>
          <w:szCs w:val="32"/>
          <w:highlight w:val="none"/>
        </w:rPr>
        <w:t>目录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r>
        <w:rPr>
          <w:rFonts w:hint="eastAsia"/>
          <w:color w:val="auto"/>
          <w:highlight w:val="none"/>
        </w:rPr>
        <w:t>一、参选报价函</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二、投票费率表</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三、相关证明文件</w:t>
      </w:r>
    </w:p>
    <w:p>
      <w:pPr>
        <w:pStyle w:val="81"/>
        <w:spacing w:before="156"/>
        <w:ind w:left="0" w:leftChars="0" w:firstLine="0" w:firstLineChars="0"/>
        <w:rPr>
          <w:color w:val="auto"/>
          <w:highlight w:val="none"/>
        </w:rPr>
      </w:pPr>
    </w:p>
    <w:p>
      <w:pPr>
        <w:rPr>
          <w:color w:val="auto"/>
          <w:highlight w:val="none"/>
        </w:rPr>
      </w:pPr>
    </w:p>
    <w:p>
      <w:pPr>
        <w:rPr>
          <w:color w:val="auto"/>
          <w:highlight w:val="none"/>
        </w:rPr>
      </w:pPr>
    </w:p>
    <w:p>
      <w:pPr>
        <w:rPr>
          <w:color w:val="auto"/>
          <w:highlight w:val="none"/>
        </w:rPr>
      </w:pPr>
      <w:r>
        <w:rPr>
          <w:color w:val="auto"/>
          <w:highlight w:val="none"/>
        </w:rPr>
        <w:br w:type="page"/>
      </w:r>
    </w:p>
    <w:p>
      <w:pPr>
        <w:pStyle w:val="3"/>
        <w:rPr>
          <w:color w:val="auto"/>
          <w:highlight w:val="none"/>
        </w:rPr>
      </w:pPr>
      <w:bookmarkStart w:id="64" w:name="_Toc4481601"/>
      <w:bookmarkStart w:id="65" w:name="_Toc13905"/>
      <w:r>
        <w:rPr>
          <w:rFonts w:hint="eastAsia"/>
          <w:color w:val="auto"/>
          <w:highlight w:val="none"/>
        </w:rPr>
        <w:t>一</w:t>
      </w:r>
      <w:bookmarkEnd w:id="64"/>
      <w:bookmarkEnd w:id="65"/>
      <w:r>
        <w:rPr>
          <w:rFonts w:hint="eastAsia"/>
          <w:color w:val="auto"/>
          <w:highlight w:val="none"/>
        </w:rPr>
        <w:t>、参选报价函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rFonts w:hint="eastAsia"/>
          <w:color w:val="auto"/>
          <w:highlight w:val="none"/>
        </w:rPr>
        <w:t>致：安徽路达工程检测有限责任公司</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highlight w:val="none"/>
        </w:rPr>
      </w:pPr>
      <w:r>
        <w:rPr>
          <w:rFonts w:hint="eastAsia"/>
          <w:color w:val="auto"/>
          <w:highlight w:val="none"/>
        </w:rPr>
        <w:t>1、根据贵方比选公告，我方决定参加贵方组织的</w:t>
      </w:r>
      <w:r>
        <w:rPr>
          <w:rFonts w:hint="eastAsia"/>
          <w:color w:val="auto"/>
          <w:highlight w:val="none"/>
          <w:u w:val="single"/>
        </w:rPr>
        <w:t>安徽路达工程检测有限责任公司本部及工地试验室仪器检定校准服务</w:t>
      </w:r>
      <w:r>
        <w:rPr>
          <w:rFonts w:hint="eastAsia"/>
          <w:color w:val="auto"/>
          <w:highlight w:val="none"/>
        </w:rPr>
        <w:t>项目的招标采购活动。我方授权</w:t>
      </w:r>
      <w:r>
        <w:rPr>
          <w:rFonts w:hint="eastAsia"/>
          <w:color w:val="auto"/>
          <w:highlight w:val="none"/>
          <w:u w:val="single"/>
        </w:rPr>
        <w:t xml:space="preserve">        </w:t>
      </w:r>
      <w:r>
        <w:rPr>
          <w:rFonts w:hint="eastAsia"/>
          <w:color w:val="auto"/>
          <w:highlight w:val="none"/>
        </w:rPr>
        <w:t>(姓名和职务)代表我方（参选人的名称）全权处理本项目参选的有关事宜。</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highlight w:val="none"/>
          <w:u w:val="single"/>
        </w:rPr>
      </w:pPr>
      <w:r>
        <w:rPr>
          <w:rFonts w:hint="eastAsia"/>
          <w:color w:val="auto"/>
          <w:highlight w:val="none"/>
        </w:rPr>
        <w:t>2、我方愿意按照比选文件规定的各项要求，向采购人提供所需的检定校准服务，参选报价为费率（大写）</w:t>
      </w:r>
      <w:r>
        <w:rPr>
          <w:rFonts w:hint="eastAsia"/>
          <w:color w:val="auto"/>
          <w:highlight w:val="none"/>
          <w:u w:val="single"/>
        </w:rPr>
        <w:t xml:space="preserve">百分之              </w:t>
      </w:r>
      <w:r>
        <w:rPr>
          <w:rFonts w:hint="eastAsia"/>
          <w:color w:val="auto"/>
          <w:highlight w:val="none"/>
        </w:rPr>
        <w:t>(小写)</w:t>
      </w:r>
      <w:r>
        <w:rPr>
          <w:rFonts w:hint="eastAsia"/>
          <w:color w:val="auto"/>
          <w:highlight w:val="none"/>
          <w:u w:val="single"/>
        </w:rPr>
        <w:t xml:space="preserve">              %</w:t>
      </w:r>
      <w:r>
        <w:rPr>
          <w:rFonts w:hint="eastAsia"/>
          <w:color w:val="auto"/>
          <w:highlight w:val="none"/>
        </w:rPr>
        <w:t>。</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highlight w:val="none"/>
        </w:rPr>
      </w:pPr>
      <w:r>
        <w:rPr>
          <w:rFonts w:hint="eastAsia"/>
          <w:color w:val="auto"/>
          <w:highlight w:val="none"/>
        </w:rPr>
        <w:t>3、一旦我方中标，我方将严格履行合同规定的责任和义务，保证该项目的服务期为自合同签订之日起</w:t>
      </w:r>
      <w:r>
        <w:rPr>
          <w:rFonts w:hint="eastAsia"/>
          <w:color w:val="auto"/>
          <w:highlight w:val="none"/>
          <w:u w:val="single"/>
        </w:rPr>
        <w:t>1年，根据考核情况可以续签2年。</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highlight w:val="none"/>
        </w:rPr>
      </w:pPr>
      <w:r>
        <w:rPr>
          <w:rFonts w:hint="eastAsia"/>
          <w:color w:val="auto"/>
          <w:highlight w:val="none"/>
        </w:rPr>
        <w:t>4、我方保证按照本项目比选文件要求提交参选文件。</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color w:val="auto"/>
          <w:highlight w:val="none"/>
        </w:rPr>
      </w:pPr>
      <w:r>
        <w:rPr>
          <w:rFonts w:hint="eastAsia"/>
          <w:color w:val="auto"/>
          <w:highlight w:val="none"/>
        </w:rPr>
        <w:t>5、我方愿意提供贵方可能另外要求的、与参选有关的文件资料，并保证我方已提供和将要提供的文件是真实的、准确的。</w:t>
      </w:r>
    </w:p>
    <w:p>
      <w:pPr>
        <w:pStyle w:val="30"/>
        <w:ind w:left="0" w:leftChars="0" w:firstLine="420" w:firstLineChars="200"/>
        <w:rPr>
          <w:color w:val="auto"/>
          <w:highlight w:val="none"/>
        </w:rPr>
      </w:pPr>
    </w:p>
    <w:p>
      <w:pPr>
        <w:pStyle w:val="30"/>
        <w:rPr>
          <w:color w:val="auto"/>
          <w:highlight w:val="none"/>
        </w:rPr>
      </w:pP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704"/>
        <w:textAlignment w:val="auto"/>
        <w:rPr>
          <w:color w:val="auto"/>
          <w:highlight w:val="none"/>
          <w:u w:val="single"/>
        </w:rPr>
      </w:pPr>
      <w:r>
        <w:rPr>
          <w:rFonts w:hint="eastAsia"/>
          <w:color w:val="auto"/>
          <w:highlight w:val="none"/>
        </w:rPr>
        <w:t>参</w:t>
      </w:r>
      <w:r>
        <w:rPr>
          <w:rFonts w:hint="eastAsia"/>
          <w:color w:val="auto"/>
          <w:highlight w:val="none"/>
          <w:lang w:val="en-US" w:eastAsia="zh-CN"/>
        </w:rPr>
        <w:t xml:space="preserve"> </w:t>
      </w:r>
      <w:r>
        <w:rPr>
          <w:rFonts w:hint="eastAsia"/>
          <w:color w:val="auto"/>
          <w:highlight w:val="none"/>
        </w:rPr>
        <w:t>选</w:t>
      </w:r>
      <w:r>
        <w:rPr>
          <w:rFonts w:hint="eastAsia"/>
          <w:color w:val="auto"/>
          <w:highlight w:val="none"/>
          <w:lang w:val="en-US" w:eastAsia="zh-CN"/>
        </w:rPr>
        <w:t xml:space="preserve"> </w:t>
      </w:r>
      <w:r>
        <w:rPr>
          <w:rFonts w:hint="eastAsia"/>
          <w:color w:val="auto"/>
          <w:highlight w:val="none"/>
        </w:rPr>
        <w:t>人</w:t>
      </w:r>
      <w:r>
        <w:rPr>
          <w:color w:val="auto"/>
          <w:highlight w:val="none"/>
        </w:rPr>
        <w:t>：</w:t>
      </w:r>
      <w:r>
        <w:rPr>
          <w:color w:val="auto"/>
          <w:highlight w:val="none"/>
          <w:u w:val="single"/>
        </w:rPr>
        <w:t xml:space="preserve">            （盖章）</w:t>
      </w:r>
      <w:r>
        <w:rPr>
          <w:rFonts w:hint="eastAsia"/>
          <w:color w:val="auto"/>
          <w:highlight w:val="none"/>
          <w:u w:val="single"/>
          <w:lang w:val="en-US" w:eastAsia="zh-CN"/>
        </w:rPr>
        <w:t xml:space="preserve">              </w:t>
      </w:r>
      <w:r>
        <w:rPr>
          <w:color w:val="auto"/>
          <w:highlight w:val="none"/>
          <w:u w:val="single"/>
        </w:rPr>
        <w:t xml:space="preserve"> </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704"/>
        <w:textAlignment w:val="auto"/>
        <w:rPr>
          <w:color w:val="auto"/>
          <w:highlight w:val="none"/>
          <w:u w:val="single"/>
        </w:rPr>
      </w:pPr>
      <w:r>
        <w:rPr>
          <w:color w:val="auto"/>
          <w:highlight w:val="none"/>
        </w:rPr>
        <w:t>单位地址：</w:t>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ab/>
      </w:r>
      <w:r>
        <w:rPr>
          <w:color w:val="auto"/>
          <w:highlight w:val="none"/>
          <w:u w:val="single"/>
        </w:rPr>
        <w:t xml:space="preserve"> </w:t>
      </w:r>
      <w:r>
        <w:rPr>
          <w:rFonts w:hint="eastAsia"/>
          <w:color w:val="auto"/>
          <w:highlight w:val="none"/>
          <w:u w:val="single"/>
          <w:lang w:val="en-US" w:eastAsia="zh-CN"/>
        </w:rPr>
        <w:t xml:space="preserve">     </w:t>
      </w:r>
      <w:r>
        <w:rPr>
          <w:color w:val="auto"/>
          <w:highlight w:val="none"/>
          <w:u w:val="single"/>
        </w:rPr>
        <w:t xml:space="preserve">     </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704"/>
        <w:textAlignment w:val="auto"/>
        <w:rPr>
          <w:color w:val="auto"/>
          <w:highlight w:val="none"/>
          <w:u w:val="single"/>
        </w:rPr>
      </w:pPr>
      <w:r>
        <w:rPr>
          <w:rFonts w:hint="eastAsia"/>
          <w:color w:val="auto"/>
          <w:highlight w:val="none"/>
        </w:rPr>
        <w:t>法定代表人或授权委托人</w:t>
      </w:r>
      <w:r>
        <w:rPr>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（签字或盖章）</w:t>
      </w: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704"/>
        <w:textAlignment w:val="auto"/>
        <w:rPr>
          <w:color w:val="auto"/>
          <w:highlight w:val="none"/>
        </w:rPr>
      </w:pPr>
    </w:p>
    <w:p>
      <w:pPr>
        <w:pStyle w:val="30"/>
        <w:keepNext w:val="0"/>
        <w:keepLines w:val="0"/>
        <w:pageBreakBefore w:val="0"/>
        <w:widowControl w:val="0"/>
        <w:kinsoku/>
        <w:wordWrap/>
        <w:overflowPunct/>
        <w:topLinePunct w:val="0"/>
        <w:autoSpaceDE/>
        <w:autoSpaceDN/>
        <w:bidi w:val="0"/>
        <w:adjustRightInd/>
        <w:snapToGrid/>
        <w:spacing w:line="360" w:lineRule="auto"/>
        <w:ind w:left="0" w:leftChars="0" w:firstLine="3578" w:firstLineChars="1704"/>
        <w:textAlignment w:val="auto"/>
        <w:rPr>
          <w:color w:val="auto"/>
          <w:highlight w:val="none"/>
        </w:rPr>
      </w:pPr>
      <w:r>
        <w:rPr>
          <w:color w:val="auto"/>
          <w:highlight w:val="none"/>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highlight w:val="none"/>
        </w:rPr>
      </w:pPr>
      <w:r>
        <w:rPr>
          <w:color w:val="auto"/>
          <w:highlight w:val="none"/>
        </w:rPr>
        <w:br w:type="page"/>
      </w:r>
    </w:p>
    <w:p>
      <w:pPr>
        <w:pStyle w:val="3"/>
        <w:rPr>
          <w:color w:val="auto"/>
          <w:highlight w:val="none"/>
        </w:rPr>
      </w:pPr>
      <w:bookmarkStart w:id="66" w:name="_Toc4481602"/>
      <w:bookmarkStart w:id="67" w:name="_Toc12161"/>
      <w:r>
        <w:rPr>
          <w:rFonts w:hint="eastAsia"/>
          <w:color w:val="auto"/>
          <w:highlight w:val="none"/>
        </w:rPr>
        <w:t>二、投标费率表</w:t>
      </w:r>
      <w:bookmarkEnd w:id="66"/>
      <w:bookmarkEnd w:id="67"/>
    </w:p>
    <w:p>
      <w:pPr>
        <w:widowControl w:val="0"/>
        <w:spacing w:before="100" w:beforeAutospacing="1" w:after="100" w:afterAutospacing="1" w:line="440" w:lineRule="exact"/>
        <w:ind w:left="357" w:hanging="357"/>
        <w:rPr>
          <w:rFonts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 xml:space="preserve">项目名称：   </w:t>
      </w:r>
    </w:p>
    <w:tbl>
      <w:tblPr>
        <w:tblStyle w:val="61"/>
        <w:tblW w:w="7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725"/>
        <w:gridCol w:w="2901"/>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66" w:type="dxa"/>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序号</w:t>
            </w:r>
          </w:p>
        </w:tc>
        <w:tc>
          <w:tcPr>
            <w:tcW w:w="1725" w:type="dxa"/>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仪器名称</w:t>
            </w:r>
          </w:p>
        </w:tc>
        <w:tc>
          <w:tcPr>
            <w:tcW w:w="2901" w:type="dxa"/>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溯源方式</w:t>
            </w:r>
          </w:p>
        </w:tc>
        <w:tc>
          <w:tcPr>
            <w:tcW w:w="1465" w:type="dxa"/>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66" w:type="dxa"/>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1</w:t>
            </w:r>
          </w:p>
        </w:tc>
        <w:tc>
          <w:tcPr>
            <w:tcW w:w="1725" w:type="dxa"/>
            <w:vAlign w:val="center"/>
          </w:tcPr>
          <w:p>
            <w:pPr>
              <w:jc w:val="center"/>
              <w:rPr>
                <w:rFonts w:ascii="Times New Roman" w:hAnsi="Times New Roman" w:eastAsia="宋体" w:cs="Times New Roman"/>
                <w:color w:val="auto"/>
                <w:highlight w:val="none"/>
              </w:rPr>
            </w:pPr>
          </w:p>
        </w:tc>
        <w:tc>
          <w:tcPr>
            <w:tcW w:w="2901" w:type="dxa"/>
            <w:vAlign w:val="center"/>
          </w:tcPr>
          <w:p>
            <w:pPr>
              <w:jc w:val="center"/>
              <w:rPr>
                <w:rFonts w:ascii="Times New Roman" w:hAnsi="Times New Roman" w:eastAsia="宋体" w:cs="Times New Roman"/>
                <w:color w:val="auto"/>
                <w:highlight w:val="none"/>
              </w:rPr>
            </w:pPr>
          </w:p>
        </w:tc>
        <w:tc>
          <w:tcPr>
            <w:tcW w:w="1465" w:type="dxa"/>
            <w:vMerge w:val="restart"/>
            <w:vAlign w:val="center"/>
          </w:tcPr>
          <w:p>
            <w:pPr>
              <w:jc w:val="center"/>
              <w:rPr>
                <w:rFonts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66" w:type="dxa"/>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2</w:t>
            </w:r>
          </w:p>
        </w:tc>
        <w:tc>
          <w:tcPr>
            <w:tcW w:w="1725" w:type="dxa"/>
            <w:vAlign w:val="center"/>
          </w:tcPr>
          <w:p>
            <w:pPr>
              <w:jc w:val="center"/>
              <w:rPr>
                <w:rFonts w:ascii="Times New Roman" w:hAnsi="Times New Roman" w:eastAsia="宋体" w:cs="Times New Roman"/>
                <w:color w:val="auto"/>
                <w:highlight w:val="none"/>
              </w:rPr>
            </w:pPr>
          </w:p>
        </w:tc>
        <w:tc>
          <w:tcPr>
            <w:tcW w:w="2901" w:type="dxa"/>
            <w:vAlign w:val="center"/>
          </w:tcPr>
          <w:p>
            <w:pPr>
              <w:jc w:val="center"/>
              <w:rPr>
                <w:rFonts w:ascii="Times New Roman" w:hAnsi="Times New Roman" w:eastAsia="宋体" w:cs="Times New Roman"/>
                <w:color w:val="auto"/>
                <w:highlight w:val="none"/>
              </w:rPr>
            </w:pPr>
          </w:p>
        </w:tc>
        <w:tc>
          <w:tcPr>
            <w:tcW w:w="1465" w:type="dxa"/>
            <w:vMerge w:val="continue"/>
            <w:vAlign w:val="center"/>
          </w:tcPr>
          <w:p>
            <w:pPr>
              <w:jc w:val="center"/>
              <w:rPr>
                <w:rFonts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66" w:type="dxa"/>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3</w:t>
            </w:r>
          </w:p>
        </w:tc>
        <w:tc>
          <w:tcPr>
            <w:tcW w:w="1725" w:type="dxa"/>
            <w:vAlign w:val="center"/>
          </w:tcPr>
          <w:p>
            <w:pPr>
              <w:jc w:val="center"/>
              <w:rPr>
                <w:rFonts w:ascii="Times New Roman" w:hAnsi="Times New Roman" w:eastAsia="宋体" w:cs="Times New Roman"/>
                <w:color w:val="auto"/>
                <w:highlight w:val="none"/>
              </w:rPr>
            </w:pPr>
          </w:p>
        </w:tc>
        <w:tc>
          <w:tcPr>
            <w:tcW w:w="2901" w:type="dxa"/>
            <w:vAlign w:val="center"/>
          </w:tcPr>
          <w:p>
            <w:pPr>
              <w:jc w:val="center"/>
              <w:rPr>
                <w:rFonts w:ascii="Times New Roman" w:hAnsi="Times New Roman" w:eastAsia="宋体" w:cs="Times New Roman"/>
                <w:color w:val="auto"/>
                <w:highlight w:val="none"/>
              </w:rPr>
            </w:pPr>
          </w:p>
        </w:tc>
        <w:tc>
          <w:tcPr>
            <w:tcW w:w="1465" w:type="dxa"/>
            <w:vMerge w:val="continue"/>
            <w:vAlign w:val="center"/>
          </w:tcPr>
          <w:p>
            <w:pPr>
              <w:jc w:val="center"/>
              <w:rPr>
                <w:rFonts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66" w:type="dxa"/>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4</w:t>
            </w:r>
          </w:p>
        </w:tc>
        <w:tc>
          <w:tcPr>
            <w:tcW w:w="1725" w:type="dxa"/>
            <w:vAlign w:val="center"/>
          </w:tcPr>
          <w:p>
            <w:pPr>
              <w:jc w:val="center"/>
              <w:rPr>
                <w:rFonts w:ascii="Times New Roman" w:hAnsi="Times New Roman" w:eastAsia="宋体" w:cs="Times New Roman"/>
                <w:color w:val="auto"/>
                <w:highlight w:val="none"/>
              </w:rPr>
            </w:pPr>
          </w:p>
        </w:tc>
        <w:tc>
          <w:tcPr>
            <w:tcW w:w="2901" w:type="dxa"/>
            <w:vAlign w:val="center"/>
          </w:tcPr>
          <w:p>
            <w:pPr>
              <w:jc w:val="center"/>
              <w:rPr>
                <w:rFonts w:ascii="Times New Roman" w:hAnsi="Times New Roman" w:eastAsia="宋体" w:cs="Times New Roman"/>
                <w:color w:val="auto"/>
                <w:highlight w:val="none"/>
              </w:rPr>
            </w:pPr>
          </w:p>
        </w:tc>
        <w:tc>
          <w:tcPr>
            <w:tcW w:w="1465" w:type="dxa"/>
            <w:vMerge w:val="continue"/>
            <w:vAlign w:val="center"/>
          </w:tcPr>
          <w:p>
            <w:pPr>
              <w:jc w:val="center"/>
              <w:rPr>
                <w:rFonts w:ascii="Times New Roman" w:hAnsi="Times New Roman" w:eastAsia="宋体"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066" w:type="dxa"/>
            <w:vAlign w:val="center"/>
          </w:tcPr>
          <w:p>
            <w:pPr>
              <w:jc w:val="center"/>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5</w:t>
            </w:r>
          </w:p>
        </w:tc>
        <w:tc>
          <w:tcPr>
            <w:tcW w:w="1725" w:type="dxa"/>
            <w:vAlign w:val="center"/>
          </w:tcPr>
          <w:p>
            <w:pPr>
              <w:jc w:val="center"/>
              <w:rPr>
                <w:rFonts w:ascii="Times New Roman" w:hAnsi="Times New Roman" w:eastAsia="宋体" w:cs="Times New Roman"/>
                <w:color w:val="auto"/>
                <w:highlight w:val="none"/>
              </w:rPr>
            </w:pPr>
          </w:p>
        </w:tc>
        <w:tc>
          <w:tcPr>
            <w:tcW w:w="2901" w:type="dxa"/>
            <w:vAlign w:val="center"/>
          </w:tcPr>
          <w:p>
            <w:pPr>
              <w:jc w:val="center"/>
              <w:rPr>
                <w:rFonts w:ascii="Times New Roman" w:hAnsi="Times New Roman" w:eastAsia="宋体" w:cs="Times New Roman"/>
                <w:color w:val="auto"/>
                <w:highlight w:val="none"/>
              </w:rPr>
            </w:pPr>
          </w:p>
        </w:tc>
        <w:tc>
          <w:tcPr>
            <w:tcW w:w="1465" w:type="dxa"/>
            <w:vMerge w:val="continue"/>
            <w:vAlign w:val="center"/>
          </w:tcPr>
          <w:p>
            <w:pPr>
              <w:jc w:val="center"/>
              <w:rPr>
                <w:rFonts w:ascii="Times New Roman" w:hAnsi="Times New Roman" w:eastAsia="宋体" w:cs="Times New Roman"/>
                <w:color w:val="auto"/>
                <w:highlight w:val="none"/>
              </w:rPr>
            </w:pPr>
          </w:p>
        </w:tc>
      </w:tr>
    </w:tbl>
    <w:p>
      <w:pPr>
        <w:widowControl w:val="0"/>
        <w:spacing w:before="100" w:beforeAutospacing="1" w:after="100" w:afterAutospacing="1" w:line="440" w:lineRule="exact"/>
        <w:ind w:left="357" w:hanging="357"/>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注：1、最终结算方式为：固定价×成交费率×实际结算数量=结算价格</w:t>
      </w:r>
    </w:p>
    <w:p>
      <w:pPr>
        <w:widowControl w:val="0"/>
        <w:spacing w:before="100" w:beforeAutospacing="1" w:after="100" w:afterAutospacing="1" w:line="440" w:lineRule="exact"/>
        <w:ind w:left="420" w:leftChars="200" w:firstLine="63" w:firstLineChars="30"/>
        <w:rPr>
          <w:rFonts w:hint="default" w:ascii="Times New Roman" w:hAnsi="Times New Roman" w:eastAsia="宋体" w:cs="Times New Roman"/>
          <w:color w:val="auto"/>
          <w:kern w:val="2"/>
          <w:sz w:val="21"/>
          <w:szCs w:val="21"/>
          <w:highlight w:val="none"/>
          <w:lang w:val="en-US" w:eastAsia="zh-CN" w:bidi="ar-SA"/>
        </w:rPr>
      </w:pPr>
      <w:r>
        <w:rPr>
          <w:rFonts w:hint="eastAsia" w:ascii="Times New Roman" w:hAnsi="Times New Roman" w:eastAsia="宋体" w:cs="Times New Roman"/>
          <w:color w:val="auto"/>
          <w:kern w:val="2"/>
          <w:sz w:val="21"/>
          <w:szCs w:val="21"/>
          <w:highlight w:val="none"/>
          <w:lang w:val="en-US" w:eastAsia="zh-CN" w:bidi="ar-SA"/>
        </w:rPr>
        <w:t>2、本次所有投标货物单价为 服务需求及技术要求中“单项固定价表中”固定价，供货过程中不予</w:t>
      </w:r>
      <w:r>
        <w:rPr>
          <w:rFonts w:hint="eastAsia" w:cs="Times New Roman"/>
          <w:color w:val="auto"/>
          <w:kern w:val="2"/>
          <w:sz w:val="21"/>
          <w:szCs w:val="21"/>
          <w:highlight w:val="none"/>
          <w:lang w:val="en-US" w:eastAsia="zh-CN" w:bidi="ar-SA"/>
        </w:rPr>
        <w:t>调整。</w:t>
      </w:r>
    </w:p>
    <w:p>
      <w:pPr>
        <w:pStyle w:val="113"/>
        <w:rPr>
          <w:color w:val="auto"/>
          <w:highlight w:val="none"/>
        </w:rPr>
      </w:pPr>
    </w:p>
    <w:p>
      <w:pPr>
        <w:pStyle w:val="113"/>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400"/>
        <w:textAlignment w:val="auto"/>
        <w:rPr>
          <w:rFonts w:hint="default" w:eastAsia="宋体"/>
          <w:color w:val="auto"/>
          <w:highlight w:val="none"/>
          <w:u w:val="single"/>
          <w:lang w:val="en-US" w:eastAsia="zh-CN"/>
        </w:rPr>
      </w:pPr>
      <w:r>
        <w:rPr>
          <w:rFonts w:hint="eastAsia"/>
          <w:color w:val="auto"/>
          <w:highlight w:val="none"/>
        </w:rPr>
        <w:t>参</w:t>
      </w:r>
      <w:r>
        <w:rPr>
          <w:rFonts w:hint="eastAsia"/>
          <w:color w:val="auto"/>
          <w:highlight w:val="none"/>
          <w:lang w:val="en-US" w:eastAsia="zh-CN"/>
        </w:rPr>
        <w:t xml:space="preserve">  </w:t>
      </w:r>
      <w:r>
        <w:rPr>
          <w:rFonts w:hint="eastAsia"/>
          <w:color w:val="auto"/>
          <w:highlight w:val="none"/>
        </w:rPr>
        <w:t>选</w:t>
      </w:r>
      <w:r>
        <w:rPr>
          <w:rFonts w:hint="eastAsia"/>
          <w:color w:val="auto"/>
          <w:highlight w:val="none"/>
          <w:lang w:val="en-US" w:eastAsia="zh-CN"/>
        </w:rPr>
        <w:t xml:space="preserve">  </w:t>
      </w:r>
      <w:r>
        <w:rPr>
          <w:rFonts w:hint="eastAsia"/>
          <w:color w:val="auto"/>
          <w:highlight w:val="none"/>
        </w:rPr>
        <w:t>人：</w:t>
      </w:r>
      <w:r>
        <w:rPr>
          <w:rFonts w:hint="eastAsia"/>
          <w:color w:val="auto"/>
          <w:highlight w:val="none"/>
          <w:u w:val="single"/>
        </w:rPr>
        <w:t xml:space="preserve">          </w:t>
      </w:r>
      <w:r>
        <w:rPr>
          <w:rFonts w:hint="eastAsia"/>
          <w:color w:val="auto"/>
          <w:highlight w:val="none"/>
          <w:u w:val="single"/>
          <w:lang w:val="en-US" w:eastAsia="zh-CN"/>
        </w:rPr>
        <w:t xml:space="preserve"> </w:t>
      </w:r>
      <w:r>
        <w:rPr>
          <w:rFonts w:hint="eastAsia"/>
          <w:color w:val="auto"/>
          <w:highlight w:val="none"/>
          <w:u w:val="single"/>
        </w:rPr>
        <w:t xml:space="preserve">  （盖章）</w:t>
      </w:r>
      <w:r>
        <w:rPr>
          <w:rFonts w:hint="eastAsia"/>
          <w:color w:val="auto"/>
          <w:highlight w:val="none"/>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400"/>
        <w:textAlignment w:val="auto"/>
        <w:rPr>
          <w:color w:val="auto"/>
          <w:highlight w:val="none"/>
        </w:rPr>
      </w:pPr>
      <w:r>
        <w:rPr>
          <w:rFonts w:hint="eastAsia"/>
          <w:color w:val="auto"/>
          <w:highlight w:val="none"/>
        </w:rPr>
        <w:t xml:space="preserve">法定代表人或授权委托人： </w:t>
      </w:r>
      <w:r>
        <w:rPr>
          <w:rFonts w:hint="eastAsia"/>
          <w:color w:val="auto"/>
          <w:highlight w:val="none"/>
          <w:u w:val="single"/>
        </w:rPr>
        <w:t xml:space="preserve">                   </w:t>
      </w:r>
      <w:r>
        <w:rPr>
          <w:rFonts w:hint="eastAsia"/>
          <w:color w:val="auto"/>
          <w:highlight w:val="none"/>
        </w:rPr>
        <w:t>（签字或盖章）</w:t>
      </w:r>
    </w:p>
    <w:p>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400"/>
        <w:textAlignment w:val="auto"/>
        <w:rPr>
          <w:color w:val="auto"/>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2940" w:firstLineChars="1400"/>
        <w:textAlignment w:val="auto"/>
        <w:rPr>
          <w:color w:val="auto"/>
          <w:highlight w:val="none"/>
        </w:rPr>
      </w:pPr>
      <w:r>
        <w:rPr>
          <w:rFonts w:hint="eastAsia"/>
          <w:color w:val="auto"/>
          <w:highlight w:val="none"/>
        </w:rPr>
        <w:t>日  期：             年         月 　     日</w:t>
      </w:r>
    </w:p>
    <w:p>
      <w:pPr>
        <w:ind w:left="0" w:leftChars="0" w:firstLine="3998" w:firstLineChars="1904"/>
        <w:rPr>
          <w:color w:val="auto"/>
          <w:highlight w:val="none"/>
        </w:rPr>
      </w:pPr>
      <w:r>
        <w:rPr>
          <w:color w:val="auto"/>
          <w:highlight w:val="none"/>
        </w:rPr>
        <w:br w:type="page"/>
      </w:r>
    </w:p>
    <w:p>
      <w:pPr>
        <w:keepNext/>
        <w:keepLines/>
        <w:widowControl w:val="0"/>
        <w:numPr>
          <w:ilvl w:val="0"/>
          <w:numId w:val="0"/>
        </w:numPr>
        <w:autoSpaceDE w:val="0"/>
        <w:autoSpaceDN w:val="0"/>
        <w:adjustRightInd w:val="0"/>
        <w:spacing w:before="120" w:line="360" w:lineRule="auto"/>
        <w:ind w:left="0" w:leftChars="0" w:firstLine="0" w:firstLineChars="0"/>
        <w:jc w:val="center"/>
        <w:outlineLvl w:val="1"/>
        <w:rPr>
          <w:rFonts w:hint="eastAsia" w:ascii="Arial" w:hAnsi="Arial" w:eastAsia="宋体" w:cs="Times New Roman"/>
          <w:b/>
          <w:color w:val="auto"/>
          <w:kern w:val="0"/>
          <w:sz w:val="32"/>
          <w:szCs w:val="20"/>
          <w:highlight w:val="none"/>
          <w:lang w:val="en-US" w:eastAsia="zh-CN" w:bidi="ar-SA"/>
        </w:rPr>
      </w:pPr>
      <w:bookmarkStart w:id="68" w:name="_Toc22272"/>
      <w:bookmarkStart w:id="69" w:name="_Toc4481606"/>
      <w:r>
        <w:rPr>
          <w:rFonts w:hint="eastAsia" w:ascii="Arial" w:hAnsi="Arial" w:eastAsia="宋体" w:cs="Times New Roman"/>
          <w:b/>
          <w:color w:val="auto"/>
          <w:kern w:val="0"/>
          <w:sz w:val="32"/>
          <w:szCs w:val="20"/>
          <w:highlight w:val="none"/>
          <w:lang w:val="en-US" w:eastAsia="zh-CN" w:bidi="ar-SA"/>
        </w:rPr>
        <w:t>三、相关证明文件</w:t>
      </w:r>
      <w:bookmarkEnd w:id="68"/>
      <w:bookmarkEnd w:id="69"/>
    </w:p>
    <w:p>
      <w:pPr>
        <w:pStyle w:val="5"/>
        <w:pageBreakBefore w:val="0"/>
        <w:widowControl w:val="0"/>
        <w:kinsoku/>
        <w:overflowPunct/>
        <w:topLinePunct w:val="0"/>
        <w:autoSpaceDE/>
        <w:autoSpaceDN/>
        <w:bidi w:val="0"/>
        <w:adjustRightInd/>
        <w:snapToGrid/>
        <w:spacing w:line="300" w:lineRule="auto"/>
        <w:textAlignment w:val="auto"/>
        <w:rPr>
          <w:color w:val="auto"/>
          <w:highlight w:val="none"/>
          <w:bdr w:val="single" w:color="auto" w:sz="4" w:space="0"/>
        </w:rPr>
      </w:pPr>
    </w:p>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highlight w:val="none"/>
        </w:rPr>
      </w:pPr>
      <w:r>
        <w:rPr>
          <w:rFonts w:cs="宋体"/>
          <w:color w:val="auto"/>
          <w:highlight w:val="none"/>
        </w:rPr>
        <w:t>1</w:t>
      </w:r>
      <w:r>
        <w:rPr>
          <w:rFonts w:hint="eastAsia" w:cs="宋体"/>
          <w:color w:val="auto"/>
          <w:highlight w:val="none"/>
        </w:rPr>
        <w:t>、</w:t>
      </w:r>
      <w:r>
        <w:rPr>
          <w:rFonts w:hint="eastAsia"/>
          <w:color w:val="auto"/>
          <w:highlight w:val="none"/>
        </w:rPr>
        <w:t>营业执照副本复印件；</w:t>
      </w:r>
    </w:p>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highlight w:val="none"/>
        </w:rPr>
      </w:pPr>
      <w:r>
        <w:rPr>
          <w:color w:val="auto"/>
          <w:highlight w:val="none"/>
        </w:rPr>
        <w:t>2</w:t>
      </w:r>
      <w:r>
        <w:rPr>
          <w:rFonts w:hint="eastAsia"/>
          <w:color w:val="auto"/>
          <w:highlight w:val="none"/>
        </w:rPr>
        <w:t>、税务登记证副本复印件；（如为三证合一的，只需提供三证合一的营业执照复印件）</w:t>
      </w:r>
    </w:p>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highlight w:val="none"/>
        </w:rPr>
      </w:pPr>
      <w:r>
        <w:rPr>
          <w:rFonts w:hint="eastAsia"/>
          <w:color w:val="auto"/>
          <w:highlight w:val="none"/>
        </w:rPr>
        <w:t>3、法定代表人身份证明书（格式见附件）及其有效二代居民身份证；</w:t>
      </w:r>
    </w:p>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highlight w:val="none"/>
        </w:rPr>
      </w:pPr>
      <w:r>
        <w:rPr>
          <w:rFonts w:hint="eastAsia"/>
          <w:color w:val="auto"/>
          <w:highlight w:val="none"/>
        </w:rPr>
        <w:t>4、法定代表人授权委托书（格式见附件）及委托代理人有效二代居民身份证，若法定代表人本人参与比选则不需此件；</w:t>
      </w:r>
    </w:p>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highlight w:val="none"/>
        </w:rPr>
      </w:pPr>
      <w:r>
        <w:rPr>
          <w:rFonts w:hint="eastAsia"/>
          <w:color w:val="auto"/>
          <w:highlight w:val="none"/>
        </w:rPr>
        <w:t>5、参选人资质证书复印件；</w:t>
      </w:r>
    </w:p>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highlight w:val="none"/>
        </w:rPr>
      </w:pPr>
      <w:r>
        <w:rPr>
          <w:rFonts w:hint="eastAsia"/>
          <w:color w:val="auto"/>
          <w:highlight w:val="none"/>
        </w:rPr>
        <w:t>6.参选人业绩证明材料；</w:t>
      </w:r>
    </w:p>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highlight w:val="none"/>
        </w:rPr>
      </w:pPr>
      <w:r>
        <w:rPr>
          <w:rFonts w:hint="eastAsia"/>
          <w:color w:val="auto"/>
          <w:highlight w:val="none"/>
        </w:rPr>
        <w:t>7、参选人人员配备一览表（格式自拟，需附人员相关资格证书</w:t>
      </w:r>
      <w:r>
        <w:rPr>
          <w:rFonts w:hint="eastAsia"/>
          <w:color w:val="auto"/>
          <w:highlight w:val="none"/>
          <w:lang w:eastAsia="zh-CN"/>
        </w:rPr>
        <w:t>、</w:t>
      </w:r>
      <w:r>
        <w:rPr>
          <w:rFonts w:hint="eastAsia"/>
          <w:color w:val="auto"/>
          <w:highlight w:val="none"/>
          <w:lang w:val="en-US" w:eastAsia="zh-CN"/>
        </w:rPr>
        <w:t>社保证明等</w:t>
      </w:r>
      <w:r>
        <w:rPr>
          <w:rFonts w:hint="eastAsia"/>
          <w:color w:val="auto"/>
          <w:highlight w:val="none"/>
        </w:rPr>
        <w:t>）；</w:t>
      </w:r>
    </w:p>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highlight w:val="none"/>
        </w:rPr>
      </w:pPr>
      <w:r>
        <w:rPr>
          <w:rFonts w:hint="eastAsia"/>
          <w:color w:val="auto"/>
          <w:highlight w:val="none"/>
        </w:rPr>
        <w:t>8、参选人实验室面积证明材料；</w:t>
      </w:r>
    </w:p>
    <w:p>
      <w:pPr>
        <w:keepNext w:val="0"/>
        <w:keepLines w:val="0"/>
        <w:pageBreakBefore w:val="0"/>
        <w:widowControl w:val="0"/>
        <w:kinsoku/>
        <w:wordWrap/>
        <w:overflowPunct/>
        <w:topLinePunct w:val="0"/>
        <w:autoSpaceDE/>
        <w:autoSpaceDN/>
        <w:bidi w:val="0"/>
        <w:adjustRightInd/>
        <w:snapToGrid/>
        <w:spacing w:line="300" w:lineRule="auto"/>
        <w:textAlignment w:val="auto"/>
        <w:rPr>
          <w:color w:val="auto"/>
          <w:kern w:val="0"/>
          <w:highlight w:val="none"/>
        </w:rPr>
      </w:pPr>
      <w:r>
        <w:rPr>
          <w:rFonts w:hint="eastAsia"/>
          <w:color w:val="auto"/>
          <w:kern w:val="0"/>
          <w:highlight w:val="none"/>
        </w:rPr>
        <w:t>9、服务方案；</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color w:val="auto"/>
          <w:szCs w:val="21"/>
          <w:highlight w:val="none"/>
        </w:rPr>
      </w:pPr>
      <w:r>
        <w:rPr>
          <w:rFonts w:hint="eastAsia"/>
          <w:color w:val="auto"/>
          <w:kern w:val="0"/>
          <w:highlight w:val="none"/>
        </w:rPr>
        <w:t>10、</w:t>
      </w:r>
      <w:r>
        <w:rPr>
          <w:rFonts w:hint="eastAsia" w:ascii="宋体" w:hAnsi="宋体"/>
          <w:color w:val="auto"/>
          <w:szCs w:val="21"/>
          <w:highlight w:val="none"/>
        </w:rPr>
        <w:t>其他涉及评分要求的材料或参选人认为需要提供的其他材料。</w:t>
      </w:r>
    </w:p>
    <w:p>
      <w:pPr>
        <w:pageBreakBefore w:val="0"/>
        <w:widowControl w:val="0"/>
        <w:kinsoku/>
        <w:overflowPunct/>
        <w:topLinePunct w:val="0"/>
        <w:autoSpaceDE/>
        <w:autoSpaceDN/>
        <w:bidi w:val="0"/>
        <w:adjustRightInd/>
        <w:snapToGrid/>
        <w:spacing w:line="300" w:lineRule="auto"/>
        <w:textAlignment w:val="auto"/>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pStyle w:val="81"/>
        <w:spacing w:before="156"/>
        <w:ind w:firstLine="350"/>
        <w:rPr>
          <w:color w:val="auto"/>
          <w:highlight w:val="none"/>
        </w:rPr>
      </w:pPr>
    </w:p>
    <w:p>
      <w:pPr>
        <w:pStyle w:val="81"/>
        <w:spacing w:before="156"/>
        <w:ind w:firstLine="350"/>
        <w:rPr>
          <w:color w:val="auto"/>
          <w:highlight w:val="none"/>
        </w:rPr>
      </w:pPr>
    </w:p>
    <w:p>
      <w:pPr>
        <w:pStyle w:val="81"/>
        <w:spacing w:before="156"/>
        <w:ind w:firstLine="350"/>
        <w:rPr>
          <w:color w:val="auto"/>
          <w:highlight w:val="none"/>
        </w:rPr>
      </w:pPr>
    </w:p>
    <w:p>
      <w:pPr>
        <w:pStyle w:val="81"/>
        <w:spacing w:before="156"/>
        <w:ind w:firstLine="350"/>
        <w:rPr>
          <w:color w:val="auto"/>
          <w:highlight w:val="none"/>
        </w:rPr>
      </w:pPr>
    </w:p>
    <w:p>
      <w:pPr>
        <w:pStyle w:val="81"/>
        <w:spacing w:before="156"/>
        <w:ind w:firstLine="350"/>
        <w:rPr>
          <w:color w:val="auto"/>
          <w:highlight w:val="none"/>
        </w:rPr>
      </w:pPr>
    </w:p>
    <w:p>
      <w:pPr>
        <w:pStyle w:val="81"/>
        <w:spacing w:before="156"/>
        <w:ind w:firstLine="350"/>
        <w:rPr>
          <w:color w:val="auto"/>
          <w:highlight w:val="none"/>
        </w:rPr>
      </w:pPr>
    </w:p>
    <w:p>
      <w:pPr>
        <w:rPr>
          <w:color w:val="auto"/>
          <w:kern w:val="0"/>
          <w:highlight w:val="none"/>
        </w:rPr>
      </w:pPr>
    </w:p>
    <w:p>
      <w:pPr>
        <w:rPr>
          <w:color w:val="auto"/>
          <w:kern w:val="0"/>
          <w:highlight w:val="none"/>
        </w:rPr>
      </w:pPr>
    </w:p>
    <w:p>
      <w:pPr>
        <w:spacing w:line="360"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4"/>
          <w:highlight w:val="none"/>
        </w:rPr>
        <w:t>附件：</w:t>
      </w:r>
    </w:p>
    <w:p>
      <w:pPr>
        <w:spacing w:line="360" w:lineRule="auto"/>
        <w:ind w:firstLine="413" w:firstLineChars="196"/>
        <w:jc w:val="center"/>
        <w:rPr>
          <w:rFonts w:hint="eastAsia" w:ascii="宋体" w:hAnsi="宋体" w:eastAsia="宋体" w:cs="宋体"/>
          <w:b/>
          <w:color w:val="auto"/>
          <w:szCs w:val="21"/>
          <w:highlight w:val="none"/>
        </w:rPr>
      </w:pPr>
    </w:p>
    <w:p>
      <w:pPr>
        <w:spacing w:line="360" w:lineRule="auto"/>
        <w:ind w:firstLine="413" w:firstLineChars="196"/>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法定代表人身份证明书</w:t>
      </w:r>
    </w:p>
    <w:p>
      <w:pPr>
        <w:wordWrap w:val="0"/>
        <w:adjustRightInd w:val="0"/>
        <w:snapToGrid w:val="0"/>
        <w:spacing w:line="360" w:lineRule="auto"/>
        <w:ind w:firstLine="420" w:firstLineChars="200"/>
        <w:jc w:val="both"/>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参选人名称：</w:t>
      </w:r>
      <w:r>
        <w:rPr>
          <w:rFonts w:hint="eastAsia" w:ascii="宋体" w:hAnsi="宋体" w:eastAsia="宋体" w:cs="宋体"/>
          <w:color w:val="auto"/>
          <w:szCs w:val="21"/>
          <w:highlight w:val="none"/>
          <w:u w:val="single"/>
        </w:rPr>
        <w:t xml:space="preserve">                    </w:t>
      </w:r>
    </w:p>
    <w:p>
      <w:pPr>
        <w:wordWrap w:val="0"/>
        <w:adjustRightInd w:val="0"/>
        <w:snapToGrid w:val="0"/>
        <w:spacing w:line="360" w:lineRule="auto"/>
        <w:ind w:firstLine="420" w:firstLineChars="200"/>
        <w:jc w:val="both"/>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单位性质：</w:t>
      </w:r>
      <w:r>
        <w:rPr>
          <w:rFonts w:hint="eastAsia" w:ascii="宋体" w:hAnsi="宋体" w:eastAsia="宋体" w:cs="宋体"/>
          <w:color w:val="auto"/>
          <w:szCs w:val="21"/>
          <w:highlight w:val="none"/>
          <w:u w:val="single"/>
        </w:rPr>
        <w:t xml:space="preserve">                     </w:t>
      </w:r>
    </w:p>
    <w:p>
      <w:pPr>
        <w:wordWrap w:val="0"/>
        <w:adjustRightInd w:val="0"/>
        <w:snapToGrid w:val="0"/>
        <w:spacing w:line="360" w:lineRule="auto"/>
        <w:ind w:firstLine="420" w:firstLineChars="200"/>
        <w:jc w:val="both"/>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u w:val="single"/>
        </w:rPr>
        <w:t xml:space="preserve">                   </w:t>
      </w:r>
    </w:p>
    <w:p>
      <w:pPr>
        <w:wordWrap w:val="0"/>
        <w:adjustRightInd w:val="0"/>
        <w:snapToGrid w:val="0"/>
        <w:spacing w:line="360" w:lineRule="auto"/>
        <w:ind w:firstLine="420" w:firstLineChars="200"/>
        <w:jc w:val="both"/>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p>
    <w:p>
      <w:pPr>
        <w:wordWrap w:val="0"/>
        <w:adjustRightInd w:val="0"/>
        <w:snapToGrid w:val="0"/>
        <w:spacing w:line="360" w:lineRule="auto"/>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w:t>
      </w:r>
    </w:p>
    <w:p>
      <w:pPr>
        <w:wordWrap w:val="0"/>
        <w:adjustRightInd w:val="0"/>
        <w:snapToGrid w:val="0"/>
        <w:spacing w:line="360" w:lineRule="auto"/>
        <w:ind w:firstLine="411" w:firstLineChars="196"/>
        <w:jc w:val="both"/>
        <w:rPr>
          <w:rFonts w:ascii="Times New Roman" w:hAnsi="宋体" w:eastAsia="宋体" w:cs="Times New Roman"/>
          <w:color w:val="auto"/>
          <w:szCs w:val="21"/>
          <w:highlight w:val="none"/>
        </w:rPr>
      </w:pPr>
      <w:r>
        <w:rPr>
          <w:rFonts w:hint="eastAsia" w:ascii="Times New Roman" w:hAnsi="宋体" w:eastAsia="宋体" w:cs="Times New Roman"/>
          <w:color w:val="auto"/>
          <w:szCs w:val="21"/>
          <w:highlight w:val="none"/>
        </w:rPr>
        <w:t>联系方式（移动电话）：</w:t>
      </w:r>
      <w:r>
        <w:rPr>
          <w:rFonts w:hint="eastAsia" w:ascii="Times New Roman" w:hAnsi="宋体" w:eastAsia="宋体" w:cs="Times New Roman"/>
          <w:color w:val="auto"/>
          <w:szCs w:val="21"/>
          <w:highlight w:val="none"/>
          <w:u w:val="single"/>
        </w:rPr>
        <w:t xml:space="preserve">                 </w:t>
      </w:r>
    </w:p>
    <w:p>
      <w:pPr>
        <w:wordWrap w:val="0"/>
        <w:adjustRightInd w:val="0"/>
        <w:snapToGrid w:val="0"/>
        <w:spacing w:line="360" w:lineRule="auto"/>
        <w:ind w:firstLine="420" w:firstLineChars="200"/>
        <w:jc w:val="both"/>
        <w:rPr>
          <w:rFonts w:ascii="宋体" w:hAnsi="Times New Roman" w:eastAsia="宋体" w:cs="宋体"/>
          <w:color w:val="auto"/>
          <w:szCs w:val="21"/>
          <w:highlight w:val="non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pPr>
        <w:wordWrap w:val="0"/>
        <w:adjustRightInd w:val="0"/>
        <w:snapToGrid w:val="0"/>
        <w:spacing w:line="360" w:lineRule="auto"/>
        <w:ind w:firstLine="411" w:firstLineChars="196"/>
        <w:jc w:val="both"/>
        <w:rPr>
          <w:rFonts w:ascii="宋体" w:hAnsi="Times New Roman" w:eastAsia="宋体" w:cs="宋体"/>
          <w:color w:val="auto"/>
          <w:szCs w:val="21"/>
          <w:highlight w:val="none"/>
        </w:rPr>
      </w:pPr>
      <w:r>
        <w:rPr>
          <w:rFonts w:hint="eastAsia" w:ascii="宋体" w:hAnsi="宋体" w:eastAsia="宋体" w:cs="宋体"/>
          <w:color w:val="auto"/>
          <w:szCs w:val="21"/>
          <w:highlight w:val="none"/>
        </w:rPr>
        <w:t>特此证明。</w:t>
      </w:r>
    </w:p>
    <w:p>
      <w:pPr>
        <w:wordWrap w:val="0"/>
        <w:adjustRightInd w:val="0"/>
        <w:snapToGrid w:val="0"/>
        <w:spacing w:line="360" w:lineRule="auto"/>
        <w:ind w:firstLine="4137" w:firstLineChars="1970"/>
        <w:jc w:val="both"/>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（盖单位章）</w:t>
      </w:r>
    </w:p>
    <w:p>
      <w:pPr>
        <w:wordWrap w:val="0"/>
        <w:adjustRightInd w:val="0"/>
        <w:snapToGrid w:val="0"/>
        <w:spacing w:line="360" w:lineRule="auto"/>
        <w:ind w:right="360" w:firstLine="4851" w:firstLineChars="2310"/>
        <w:jc w:val="right"/>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 年  月  日</w:t>
      </w:r>
    </w:p>
    <w:p>
      <w:pPr>
        <w:widowControl w:val="0"/>
        <w:spacing w:beforeLines="50" w:after="10"/>
        <w:ind w:left="0" w:leftChars="0" w:firstLine="0" w:firstLineChars="0"/>
        <w:jc w:val="left"/>
        <w:rPr>
          <w:rFonts w:ascii="Times New Roman" w:hAnsi="Times New Roman" w:eastAsia="宋体" w:cs="Times New Roman"/>
          <w:color w:val="auto"/>
          <w:kern w:val="2"/>
          <w:sz w:val="21"/>
          <w:szCs w:val="24"/>
          <w:highlight w:val="none"/>
          <w:lang w:val="en-US" w:eastAsia="zh-CN" w:bidi="ar-SA"/>
        </w:rPr>
      </w:pPr>
    </w:p>
    <w:p>
      <w:pPr>
        <w:wordWrap w:val="0"/>
        <w:spacing w:line="360" w:lineRule="auto"/>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法定代表人授权委托书</w:t>
      </w:r>
    </w:p>
    <w:p>
      <w:pPr>
        <w:wordWrap w:val="0"/>
        <w:spacing w:line="360" w:lineRule="auto"/>
        <w:ind w:firstLine="420" w:firstLineChars="200"/>
        <w:jc w:val="both"/>
        <w:rPr>
          <w:rFonts w:ascii="宋体" w:hAnsi="Times New Roman" w:eastAsia="宋体" w:cs="宋体"/>
          <w:color w:val="auto"/>
          <w:szCs w:val="21"/>
          <w:highlight w:val="none"/>
        </w:rPr>
      </w:pPr>
      <w:r>
        <w:rPr>
          <w:rFonts w:hint="eastAsia" w:ascii="宋体" w:hAnsi="宋体" w:eastAsia="宋体" w:cs="宋体"/>
          <w:color w:val="auto"/>
          <w:szCs w:val="21"/>
          <w:highlight w:val="none"/>
        </w:rPr>
        <w:t>本人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（参选人名称）的法定代表人，现委托</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（姓名）为我方委托代理人。委托代理人根据授权，以我方名义签署、澄清、说明、补正、提交、撤回、修改</w:t>
      </w:r>
      <w:r>
        <w:rPr>
          <w:rFonts w:hint="eastAsia" w:ascii="宋体" w:hAnsi="宋体" w:eastAsia="宋体" w:cs="宋体"/>
          <w:color w:val="auto"/>
          <w:szCs w:val="21"/>
          <w:highlight w:val="none"/>
          <w:u w:val="single"/>
        </w:rPr>
        <w:t>安徽路达工程检测有限责任公司本部及工地试验室仪器检定校准服务</w:t>
      </w:r>
      <w:r>
        <w:rPr>
          <w:rFonts w:hint="eastAsia" w:ascii="宋体" w:hAnsi="宋体" w:eastAsia="宋体" w:cs="宋体"/>
          <w:color w:val="auto"/>
          <w:szCs w:val="21"/>
          <w:highlight w:val="none"/>
          <w:u w:val="none"/>
          <w:lang w:val="en-US" w:eastAsia="zh-CN"/>
        </w:rPr>
        <w:t>项目</w:t>
      </w:r>
      <w:r>
        <w:rPr>
          <w:rFonts w:hint="eastAsia" w:ascii="宋体" w:hAnsi="宋体" w:eastAsia="宋体" w:cs="宋体"/>
          <w:color w:val="auto"/>
          <w:szCs w:val="21"/>
          <w:highlight w:val="none"/>
          <w:u w:val="none"/>
        </w:rPr>
        <w:t>参</w:t>
      </w:r>
      <w:r>
        <w:rPr>
          <w:rFonts w:hint="eastAsia" w:ascii="宋体" w:hAnsi="宋体" w:eastAsia="宋体" w:cs="宋体"/>
          <w:color w:val="auto"/>
          <w:szCs w:val="21"/>
          <w:highlight w:val="none"/>
        </w:rPr>
        <w:t>选文件、签订合同等一切事宜，其法律后果由我方承担。</w:t>
      </w:r>
    </w:p>
    <w:p>
      <w:pPr>
        <w:wordWrap w:val="0"/>
        <w:spacing w:line="360" w:lineRule="auto"/>
        <w:ind w:firstLine="420" w:firstLineChars="200"/>
        <w:jc w:val="both"/>
        <w:rPr>
          <w:rFonts w:ascii="宋体" w:hAnsi="Times New Roman" w:eastAsia="宋体" w:cs="宋体"/>
          <w:color w:val="auto"/>
          <w:szCs w:val="21"/>
          <w:highlight w:val="none"/>
        </w:rPr>
      </w:pPr>
      <w:r>
        <w:rPr>
          <w:rFonts w:hint="eastAsia" w:ascii="宋体" w:hAnsi="宋体" w:eastAsia="宋体" w:cs="宋体"/>
          <w:color w:val="auto"/>
          <w:szCs w:val="21"/>
          <w:highlight w:val="none"/>
        </w:rPr>
        <w:t>委托期限：</w:t>
      </w:r>
      <w:r>
        <w:rPr>
          <w:rFonts w:hint="eastAsia" w:ascii="宋体" w:hAnsi="宋体" w:eastAsia="宋体" w:cs="宋体"/>
          <w:color w:val="auto"/>
          <w:szCs w:val="21"/>
          <w:highlight w:val="none"/>
          <w:u w:val="single"/>
        </w:rPr>
        <w:t xml:space="preserve">              </w:t>
      </w:r>
    </w:p>
    <w:p>
      <w:pPr>
        <w:wordWrap w:val="0"/>
        <w:spacing w:line="360" w:lineRule="auto"/>
        <w:ind w:firstLine="420" w:firstLineChars="200"/>
        <w:jc w:val="both"/>
        <w:rPr>
          <w:rFonts w:ascii="宋体" w:hAnsi="Times New Roman" w:eastAsia="宋体" w:cs="宋体"/>
          <w:color w:val="auto"/>
          <w:szCs w:val="21"/>
          <w:highlight w:val="none"/>
        </w:rPr>
      </w:pPr>
      <w:r>
        <w:rPr>
          <w:rFonts w:hint="eastAsia" w:ascii="宋体" w:hAnsi="宋体" w:eastAsia="宋体" w:cs="宋体"/>
          <w:color w:val="auto"/>
          <w:szCs w:val="21"/>
          <w:highlight w:val="none"/>
        </w:rPr>
        <w:t>委托代理人无转委托权，特此委托。</w:t>
      </w:r>
    </w:p>
    <w:p>
      <w:pPr>
        <w:wordWrap w:val="0"/>
        <w:spacing w:line="360" w:lineRule="auto"/>
        <w:ind w:firstLine="420" w:firstLineChars="200"/>
        <w:jc w:val="both"/>
        <w:rPr>
          <w:rFonts w:ascii="宋体" w:hAnsi="Times New Roman" w:eastAsia="宋体" w:cs="宋体"/>
          <w:color w:val="auto"/>
          <w:szCs w:val="21"/>
          <w:highlight w:val="none"/>
          <w:u w:val="single"/>
        </w:rPr>
      </w:pPr>
      <w:r>
        <w:rPr>
          <w:rFonts w:hint="eastAsia" w:ascii="宋体" w:hAnsi="宋体" w:eastAsia="宋体" w:cs="宋体"/>
          <w:color w:val="auto"/>
          <w:szCs w:val="21"/>
          <w:highlight w:val="none"/>
        </w:rPr>
        <w:t>委托代理人：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性别：</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年龄：</w:t>
      </w:r>
      <w:r>
        <w:rPr>
          <w:rFonts w:ascii="宋体" w:hAnsi="宋体" w:eastAsia="宋体" w:cs="宋体"/>
          <w:color w:val="auto"/>
          <w:szCs w:val="21"/>
          <w:highlight w:val="none"/>
        </w:rPr>
        <w:t>_______</w:t>
      </w:r>
    </w:p>
    <w:p>
      <w:pPr>
        <w:wordWrap w:val="0"/>
        <w:spacing w:line="360" w:lineRule="auto"/>
        <w:ind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职务：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wordWrap w:val="0"/>
        <w:spacing w:line="360" w:lineRule="auto"/>
        <w:ind w:firstLine="420" w:firstLineChars="200"/>
        <w:jc w:val="both"/>
        <w:rPr>
          <w:rFonts w:ascii="Times New Roman" w:hAnsi="宋体" w:eastAsia="宋体" w:cs="Times New Roman"/>
          <w:color w:val="auto"/>
          <w:szCs w:val="21"/>
          <w:highlight w:val="none"/>
        </w:rPr>
      </w:pPr>
      <w:r>
        <w:rPr>
          <w:rFonts w:hint="eastAsia" w:ascii="宋体" w:hAnsi="宋体" w:eastAsia="宋体" w:cs="宋体"/>
          <w:color w:val="auto"/>
          <w:szCs w:val="21"/>
          <w:highlight w:val="none"/>
        </w:rPr>
        <w:t>联系方</w:t>
      </w:r>
      <w:r>
        <w:rPr>
          <w:rFonts w:hint="eastAsia" w:ascii="Times New Roman" w:hAnsi="宋体" w:eastAsia="宋体" w:cs="Times New Roman"/>
          <w:color w:val="auto"/>
          <w:szCs w:val="21"/>
          <w:highlight w:val="none"/>
        </w:rPr>
        <w:t>式（移动电话）</w:t>
      </w:r>
      <w:r>
        <w:rPr>
          <w:rFonts w:hint="eastAsia" w:ascii="宋体" w:hAnsi="宋体" w:eastAsia="宋体" w:cs="宋体"/>
          <w:color w:val="auto"/>
          <w:szCs w:val="21"/>
          <w:highlight w:val="none"/>
        </w:rPr>
        <w:t>：</w:t>
      </w:r>
      <w:r>
        <w:rPr>
          <w:rFonts w:hint="eastAsia" w:ascii="Times New Roman" w:hAnsi="宋体" w:eastAsia="宋体" w:cs="Times New Roman"/>
          <w:color w:val="auto"/>
          <w:szCs w:val="21"/>
          <w:highlight w:val="none"/>
          <w:u w:val="single"/>
        </w:rPr>
        <w:t xml:space="preserve">                   </w:t>
      </w:r>
    </w:p>
    <w:p>
      <w:pPr>
        <w:wordWrap w:val="0"/>
        <w:spacing w:line="360" w:lineRule="auto"/>
        <w:ind w:firstLine="420" w:firstLineChars="200"/>
        <w:jc w:val="both"/>
        <w:rPr>
          <w:rFonts w:ascii="宋体" w:hAnsi="宋体" w:eastAsia="宋体" w:cs="宋体"/>
          <w:color w:val="auto"/>
          <w:szCs w:val="21"/>
          <w:highlight w:val="none"/>
          <w:u w:val="single"/>
        </w:rPr>
      </w:pPr>
      <w:r>
        <w:rPr>
          <w:rFonts w:hint="eastAsia" w:ascii="Times New Roman" w:hAnsi="宋体" w:eastAsia="宋体" w:cs="Times New Roman"/>
          <w:color w:val="auto"/>
          <w:szCs w:val="21"/>
          <w:highlight w:val="none"/>
        </w:rPr>
        <w:t>电子邮箱：</w:t>
      </w:r>
      <w:r>
        <w:rPr>
          <w:rFonts w:hint="eastAsia" w:ascii="Times New Roman" w:hAnsi="宋体" w:eastAsia="宋体" w:cs="Times New Roman"/>
          <w:color w:val="auto"/>
          <w:szCs w:val="21"/>
          <w:highlight w:val="none"/>
          <w:u w:val="single"/>
        </w:rPr>
        <w:t xml:space="preserve">               </w:t>
      </w:r>
    </w:p>
    <w:p>
      <w:pPr>
        <w:wordWrap w:val="0"/>
        <w:spacing w:line="360" w:lineRule="auto"/>
        <w:ind w:firstLine="420" w:firstLineChars="200"/>
        <w:jc w:val="both"/>
        <w:rPr>
          <w:rFonts w:ascii="宋体" w:hAnsi="Times New Roman" w:eastAsia="宋体" w:cs="宋体"/>
          <w:color w:val="auto"/>
          <w:szCs w:val="21"/>
          <w:highlight w:val="none"/>
        </w:rPr>
      </w:pPr>
      <w:r>
        <w:rPr>
          <w:rFonts w:hint="eastAsia" w:ascii="宋体" w:hAnsi="宋体" w:eastAsia="宋体" w:cs="宋体"/>
          <w:color w:val="auto"/>
          <w:szCs w:val="21"/>
          <w:highlight w:val="none"/>
        </w:rPr>
        <w:t>参选人：</w:t>
      </w:r>
      <w:r>
        <w:rPr>
          <w:rFonts w:hint="eastAsia" w:ascii="宋体" w:hAnsi="宋体" w:eastAsia="宋体" w:cs="宋体"/>
          <w:color w:val="auto"/>
          <w:szCs w:val="21"/>
          <w:highlight w:val="none"/>
          <w:u w:val="single"/>
        </w:rPr>
        <w:t xml:space="preserve">                   （盖章）</w:t>
      </w:r>
    </w:p>
    <w:p>
      <w:pPr>
        <w:wordWrap w:val="0"/>
        <w:spacing w:line="360" w:lineRule="auto"/>
        <w:ind w:firstLine="420" w:firstLineChars="200"/>
        <w:jc w:val="both"/>
        <w:rPr>
          <w:rFonts w:ascii="宋体" w:hAnsi="Times New Roman"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w:t>
      </w:r>
      <w:r>
        <w:rPr>
          <w:rFonts w:hint="eastAsia" w:ascii="Times New Roman" w:hAnsi="宋体" w:eastAsia="宋体" w:cs="宋体"/>
          <w:color w:val="auto"/>
          <w:szCs w:val="24"/>
          <w:highlight w:val="none"/>
          <w:u w:val="single"/>
        </w:rPr>
        <w:t>签字或</w:t>
      </w:r>
      <w:r>
        <w:rPr>
          <w:rFonts w:hint="eastAsia" w:ascii="宋体" w:hAnsi="宋体" w:eastAsia="宋体" w:cs="宋体"/>
          <w:color w:val="auto"/>
          <w:szCs w:val="21"/>
          <w:highlight w:val="none"/>
          <w:u w:val="single"/>
        </w:rPr>
        <w:t>盖章）</w:t>
      </w:r>
    </w:p>
    <w:p>
      <w:pPr>
        <w:wordWrap w:val="0"/>
        <w:spacing w:line="360" w:lineRule="auto"/>
        <w:ind w:right="480" w:firstLine="420" w:firstLineChars="200"/>
        <w:jc w:val="both"/>
        <w:rPr>
          <w:rFonts w:ascii="宋体" w:hAnsi="宋体" w:eastAsia="宋体" w:cs="宋体"/>
          <w:color w:val="auto"/>
          <w:szCs w:val="21"/>
          <w:highlight w:val="none"/>
        </w:rPr>
      </w:pPr>
      <w:r>
        <w:rPr>
          <w:rFonts w:hint="eastAsia" w:ascii="宋体" w:hAnsi="宋体" w:eastAsia="宋体" w:cs="宋体"/>
          <w:color w:val="auto"/>
          <w:szCs w:val="21"/>
          <w:highlight w:val="none"/>
        </w:rPr>
        <w:t>授权委托日期：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pPr>
    </w:p>
    <w:sectPr>
      <w:footerReference r:id="rId19" w:type="default"/>
      <w:pgSz w:w="11906" w:h="16838"/>
      <w:pgMar w:top="1440" w:right="1587" w:bottom="1440" w:left="1587" w:header="851" w:footer="992" w:gutter="0"/>
      <w:pgBorders>
        <w:top w:val="none" w:sz="0" w:space="0"/>
        <w:left w:val="none" w:sz="0" w:space="0"/>
        <w:bottom w:val="none" w:sz="0" w:space="0"/>
        <w:right w:val="none" w:sz="0" w:space="0"/>
      </w:pgBorders>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roma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rPr>
        <w:rStyle w:val="66"/>
      </w:rPr>
    </w:pPr>
    <w:r>
      <w:fldChar w:fldCharType="begin"/>
    </w:r>
    <w:r>
      <w:rPr>
        <w:rStyle w:val="66"/>
      </w:rPr>
      <w:instrText xml:space="preserve">PAGE  </w:instrText>
    </w:r>
    <w:r>
      <w:fldChar w:fldCharType="separate"/>
    </w:r>
    <w:r>
      <w:rPr>
        <w:rStyle w:val="66"/>
      </w:rPr>
      <w:t>1</w:t>
    </w:r>
    <w:r>
      <w:fldChar w:fldCharType="end"/>
    </w:r>
  </w:p>
  <w:p>
    <w:pPr>
      <w:pStyle w:val="3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sdtPr>
    <w:sdtContent>
      <w:p>
        <w:pPr>
          <w:pStyle w:val="37"/>
        </w:pPr>
        <w:r>
          <w:fldChar w:fldCharType="begin"/>
        </w:r>
        <w:r>
          <w:instrText xml:space="preserve">PAGE   \* MERGEFORMAT</w:instrText>
        </w:r>
        <w:r>
          <w:fldChar w:fldCharType="separate"/>
        </w:r>
        <w:r>
          <w:rPr>
            <w:lang w:val="zh-CN"/>
          </w:rPr>
          <w:t>1</w:t>
        </w:r>
        <w:r>
          <w:rPr>
            <w:lang w:val="zh-CN"/>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442570493"/>
                          </w:sdtPr>
                          <w:sdtContent>
                            <w:p>
                              <w:pPr>
                                <w:pStyle w:val="37"/>
                              </w:pPr>
                              <w:r>
                                <w:fldChar w:fldCharType="begin"/>
                              </w:r>
                              <w:r>
                                <w:instrText xml:space="preserve">PAGE   \* MERGEFORMAT</w:instrText>
                              </w:r>
                              <w:r>
                                <w:fldChar w:fldCharType="separate"/>
                              </w:r>
                              <w:r>
                                <w:rPr>
                                  <w:lang w:val="zh-CN"/>
                                </w:rPr>
                                <w:t>32</w:t>
                              </w:r>
                              <w:r>
                                <w:rPr>
                                  <w:lang w:val="zh-CN"/>
                                </w:rPr>
                                <w:fldChar w:fldCharType="end"/>
                              </w:r>
                            </w:p>
                          </w:sdtContent>
                        </w:sdt>
                        <w:p>
                          <w:pPr>
                            <w:pStyle w:val="81"/>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wyEg+cBAADHAwAADgAAAGRycy9lMm9Eb2MueG1srVNLbtswEN0XyB0I&#10;7mMpD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nDISD5wEAAMcD&#10;AAAOAAAAAAAAAAEAIAAAAB4BAABkcnMvZTJvRG9jLnhtbFBLBQYAAAAABgAGAFkBAAB3BQAAAAA=&#10;">
              <v:fill on="f" focussize="0,0"/>
              <v:stroke on="f"/>
              <v:imagedata o:title=""/>
              <o:lock v:ext="edit" aspectratio="f"/>
              <v:textbox inset="0mm,0mm,0mm,0mm" style="mso-fit-shape-to-text:t;">
                <w:txbxContent>
                  <w:sdt>
                    <w:sdtPr>
                      <w:id w:val="1442570493"/>
                    </w:sdtPr>
                    <w:sdtContent>
                      <w:p>
                        <w:pPr>
                          <w:pStyle w:val="37"/>
                        </w:pPr>
                        <w:r>
                          <w:fldChar w:fldCharType="begin"/>
                        </w:r>
                        <w:r>
                          <w:instrText xml:space="preserve">PAGE   \* MERGEFORMAT</w:instrText>
                        </w:r>
                        <w:r>
                          <w:fldChar w:fldCharType="separate"/>
                        </w:r>
                        <w:r>
                          <w:rPr>
                            <w:lang w:val="zh-CN"/>
                          </w:rPr>
                          <w:t>32</w:t>
                        </w:r>
                        <w:r>
                          <w:rPr>
                            <w:lang w:val="zh-CN"/>
                          </w:rPr>
                          <w:fldChar w:fldCharType="end"/>
                        </w:r>
                      </w:p>
                    </w:sdtContent>
                  </w:sdt>
                  <w:p>
                    <w:pPr>
                      <w:pStyle w:val="8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535"/>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left" w:pos="38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442570493"/>
                          </w:sdtPr>
                          <w:sdtContent>
                            <w:p>
                              <w:pPr>
                                <w:pStyle w:val="37"/>
                              </w:pPr>
                            </w:p>
                          </w:sdtContent>
                        </w:sdt>
                        <w:p>
                          <w:pPr>
                            <w:pStyle w:val="81"/>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sdt>
                    <w:sdtPr>
                      <w:id w:val="1442570493"/>
                    </w:sdtPr>
                    <w:sdtContent>
                      <w:p>
                        <w:pPr>
                          <w:pStyle w:val="37"/>
                        </w:pPr>
                      </w:p>
                    </w:sdtContent>
                  </w:sdt>
                  <w:p>
                    <w:pPr>
                      <w:pStyle w:val="8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sdt>
                          <w:sdtPr>
                            <w:id w:val="1683079808"/>
                          </w:sdtPr>
                          <w:sdtContent>
                            <w:p>
                              <w:pPr>
                                <w:pStyle w:val="37"/>
                              </w:pPr>
                              <w:r>
                                <w:fldChar w:fldCharType="begin"/>
                              </w:r>
                              <w:r>
                                <w:instrText xml:space="preserve">PAGE   \* MERGEFORMAT</w:instrText>
                              </w:r>
                              <w:r>
                                <w:fldChar w:fldCharType="separate"/>
                              </w:r>
                              <w:r>
                                <w:rPr>
                                  <w:lang w:val="zh-CN"/>
                                </w:rPr>
                                <w:t>1</w:t>
                              </w:r>
                              <w:r>
                                <w:rPr>
                                  <w:lang w:val="zh-CN"/>
                                </w:rPr>
                                <w:fldChar w:fldCharType="end"/>
                              </w:r>
                            </w:p>
                          </w:sdtContent>
                        </w:sdt>
                        <w:p>
                          <w:pPr>
                            <w:pStyle w:val="81"/>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fill on="f" focussize="0,0"/>
              <v:stroke on="f"/>
              <v:imagedata o:title=""/>
              <o:lock v:ext="edit" aspectratio="f"/>
              <v:textbox inset="0mm,0mm,0mm,0mm" style="mso-fit-shape-to-text:t;">
                <w:txbxContent>
                  <w:sdt>
                    <w:sdtPr>
                      <w:id w:val="1683079808"/>
                    </w:sdtPr>
                    <w:sdtContent>
                      <w:p>
                        <w:pPr>
                          <w:pStyle w:val="37"/>
                        </w:pPr>
                        <w:r>
                          <w:fldChar w:fldCharType="begin"/>
                        </w:r>
                        <w:r>
                          <w:instrText xml:space="preserve">PAGE   \* MERGEFORMAT</w:instrText>
                        </w:r>
                        <w:r>
                          <w:fldChar w:fldCharType="separate"/>
                        </w:r>
                        <w:r>
                          <w:rPr>
                            <w:lang w:val="zh-CN"/>
                          </w:rPr>
                          <w:t>1</w:t>
                        </w:r>
                        <w:r>
                          <w:rPr>
                            <w:lang w:val="zh-CN"/>
                          </w:rPr>
                          <w:fldChar w:fldCharType="end"/>
                        </w:r>
                      </w:p>
                    </w:sdtContent>
                  </w:sdt>
                  <w:p>
                    <w:pPr>
                      <w:pStyle w:val="8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left" w:pos="388"/>
        <w:tab w:val="clear" w:pos="4153"/>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442570493"/>
                          </w:sdtPr>
                          <w:sdtContent>
                            <w:p>
                              <w:pPr>
                                <w:pStyle w:val="37"/>
                              </w:pPr>
                              <w:r>
                                <w:fldChar w:fldCharType="begin"/>
                              </w:r>
                              <w:r>
                                <w:instrText xml:space="preserve">PAGE   \* MERGEFORMAT</w:instrText>
                              </w:r>
                              <w:r>
                                <w:fldChar w:fldCharType="separate"/>
                              </w:r>
                              <w:r>
                                <w:rPr>
                                  <w:lang w:val="zh-CN"/>
                                </w:rPr>
                                <w:t>32</w:t>
                              </w:r>
                              <w:r>
                                <w:rPr>
                                  <w:lang w:val="zh-CN"/>
                                </w:rPr>
                                <w:fldChar w:fldCharType="end"/>
                              </w:r>
                            </w:p>
                          </w:sdtContent>
                        </w:sdt>
                        <w:p>
                          <w:pPr>
                            <w:pStyle w:val="81"/>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fNsd0BAADAAwAADgAAAGRycy9lMm9Eb2MueG1srVPNjtMwEL4j8Q6W&#10;7zTZHlAVNV0tVIuQECAtPIDrOI0l/8kzbVIeAN6AExfuPFefg7GTdJflsoe9JOPx+Jvv+zxeXw/W&#10;sKOKoL2r+dWi5Ew56Rvt9jX/+uX21YozQOEaYbxTNT8p4Nebly/WfajU0nfeNCoyAnFQ9aHmHWKo&#10;igJkp6yAhQ/K0WbroxVIy7gvmih6QremWJbl66L3sQnRSwVA2e24ySfE+BRA37Zaqq2XB6scjqhR&#10;GYEkCTodgG8y27ZVEj+1LShkpuakFPOXmlC8S99isxbVPorQaTlREE+h8EiTFdpR0wvUVqBgh6j/&#10;g7JaRg++xYX0thiFZEdIxVX5yJu7TgSVtZDVEC6mw/PByo/Hz5HphiaBLHHC0o2ff/44//pz/v2d&#10;UY4M6gNUVHcXqBKHN36g4jkPlEy6hzba9CdFjPYJ63SxVw3IZDq0Wq5WJW1J2psXhF/cHw8R8J3y&#10;lqWg5pHuL9sqjh8Ax9K5JHVz/lYbk+/QuH8ShJkyReI+ckwRDrthErTzzYn00EOgPp2P3zjraQxq&#10;7mjqOTPvHblMXHEO4hzs5kA4SQdrjpyN4VscJ+sQot53edYSKQg3BySmWUCiMfae2NHFZgumIUyT&#10;83Cdq+4f3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mHzbHdAQAAwAMAAA4AAAAAAAAA&#10;AQAgAAAAHgEAAGRycy9lMm9Eb2MueG1sUEsFBgAAAAAGAAYAWQEAAG0FAAAAAA==&#10;">
              <v:fill on="f" focussize="0,0"/>
              <v:stroke on="f"/>
              <v:imagedata o:title=""/>
              <o:lock v:ext="edit" aspectratio="f"/>
              <v:textbox inset="0mm,0mm,0mm,0mm" style="mso-fit-shape-to-text:t;">
                <w:txbxContent>
                  <w:sdt>
                    <w:sdtPr>
                      <w:id w:val="1442570493"/>
                    </w:sdtPr>
                    <w:sdtContent>
                      <w:p>
                        <w:pPr>
                          <w:pStyle w:val="37"/>
                        </w:pPr>
                        <w:r>
                          <w:fldChar w:fldCharType="begin"/>
                        </w:r>
                        <w:r>
                          <w:instrText xml:space="preserve">PAGE   \* MERGEFORMAT</w:instrText>
                        </w:r>
                        <w:r>
                          <w:fldChar w:fldCharType="separate"/>
                        </w:r>
                        <w:r>
                          <w:rPr>
                            <w:lang w:val="zh-CN"/>
                          </w:rPr>
                          <w:t>32</w:t>
                        </w:r>
                        <w:r>
                          <w:rPr>
                            <w:lang w:val="zh-CN"/>
                          </w:rPr>
                          <w:fldChar w:fldCharType="end"/>
                        </w:r>
                      </w:p>
                    </w:sdtContent>
                  </w:sdt>
                  <w:p>
                    <w:pPr>
                      <w:pStyle w:val="81"/>
                    </w:pP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683079808"/>
                          </w:sdtPr>
                          <w:sdtContent>
                            <w:p>
                              <w:pPr>
                                <w:pStyle w:val="37"/>
                              </w:pPr>
                              <w:r>
                                <w:fldChar w:fldCharType="begin"/>
                              </w:r>
                              <w:r>
                                <w:instrText xml:space="preserve">PAGE   \* MERGEFORMAT</w:instrText>
                              </w:r>
                              <w:r>
                                <w:fldChar w:fldCharType="separate"/>
                              </w:r>
                              <w:r>
                                <w:rPr>
                                  <w:lang w:val="zh-CN"/>
                                </w:rPr>
                                <w:t>1</w:t>
                              </w:r>
                              <w:r>
                                <w:rPr>
                                  <w:lang w:val="zh-CN"/>
                                </w:rPr>
                                <w:fldChar w:fldCharType="end"/>
                              </w:r>
                            </w:p>
                          </w:sdtContent>
                        </w:sdt>
                        <w:p>
                          <w:pPr>
                            <w:pStyle w:val="81"/>
                          </w:pP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gXkN0BAADAAwAADgAAAGRycy9lMm9Eb2MueG1srVPNjtMwEL4j8Q6W&#10;7zRpD6iKmq6AahESAqSFB3Adp7HkP824TcoDwBtw4sKd5+pzMHaS7rJc9sAlGc+Mv5nvm/HmZrCG&#10;nRSg9q7my0XJmXLSN9odav7l8+2LNWcYhWuE8U7V/KyQ32yfP9v0oVIr33nTKGAE4rDqQ827GENV&#10;FCg7ZQUufFCOgq0HKyId4VA0IHpCt6ZYleXLovfQBPBSIZJ3Nwb5hAhPAfRtq6XaeXm0ysURFZQR&#10;kShhpwPybe62bZWMH9sWVWSm5sQ05i8VIXufvsV2I6oDiNBpObUgntLCI05WaEdFr1A7EQU7gv4H&#10;ymoJHn0bF9LbYiSSFSEWy/KRNnedCCpzIakxXEXH/wcrP5w+AdMNbcKSMycsTfzy4/vl5+/Lr2+M&#10;fCRQH7CivLtAmXF47QdKnv1IzsR7aMGmPzFiFCd5z1d51RCZTJfWq/W6pJCk2Hwg/OL+egCMb5W3&#10;LBk1B5pfllWc3mMcU+eUVM35W21MnqFxfzkIM3mK1PvYY7LisB8mQnvfnIkPPQSq03n4yllPa1Bz&#10;R1vPmXnnSOW0MbMBs7GfDeEkXax55Gw038Rxs44B9KHLu5aawvDqGKnTTCC1MdaeuqPBZgmmJUyb&#10;8/Ccs+4f3v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K7YF5DdAQAAwAMAAA4AAAAAAAAA&#10;AQAgAAAAHgEAAGRycy9lMm9Eb2MueG1sUEsFBgAAAAAGAAYAWQEAAG0FAAAAAA==&#10;">
              <v:fill on="f" focussize="0,0"/>
              <v:stroke on="f"/>
              <v:imagedata o:title=""/>
              <o:lock v:ext="edit" aspectratio="f"/>
              <v:textbox inset="0mm,0mm,0mm,0mm" style="mso-fit-shape-to-text:t;">
                <w:txbxContent>
                  <w:sdt>
                    <w:sdtPr>
                      <w:id w:val="1683079808"/>
                    </w:sdtPr>
                    <w:sdtContent>
                      <w:p>
                        <w:pPr>
                          <w:pStyle w:val="37"/>
                        </w:pPr>
                        <w:r>
                          <w:fldChar w:fldCharType="begin"/>
                        </w:r>
                        <w:r>
                          <w:instrText xml:space="preserve">PAGE   \* MERGEFORMAT</w:instrText>
                        </w:r>
                        <w:r>
                          <w:fldChar w:fldCharType="separate"/>
                        </w:r>
                        <w:r>
                          <w:rPr>
                            <w:lang w:val="zh-CN"/>
                          </w:rPr>
                          <w:t>1</w:t>
                        </w:r>
                        <w:r>
                          <w:rPr>
                            <w:lang w:val="zh-CN"/>
                          </w:rPr>
                          <w:fldChar w:fldCharType="end"/>
                        </w:r>
                      </w:p>
                    </w:sdtContent>
                  </w:sdt>
                  <w:p>
                    <w:pPr>
                      <w:pStyle w:val="81"/>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IAVecBAADHAwAADgAAAGRycy9lMm9Eb2MueG1srVNLbtswEN0XyB0I&#10;7mMpBt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ryix3ODAj79+Hn//Pf75&#10;Qa6SPJ0PFUbdeYyL/XvX49JM9wEvE+u+AZP+yIegH8U9nMSVfSQiJS3mi0WJLoG+6YD4xVO6hxA/&#10;SmdIMhgFnF4Wle8/hziETiGpmnW3Sus8QW1Jx+i7y/ll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OAgBV5wEAAMcD&#10;AAAOAAAAAAAAAAEAIAAAAB4BAABkcnMvZTJvRG9jLnhtbFBLBQYAAAAABgAGAFkBAAB3BQ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B6MOYBAADHAwAADgAAAGRycy9lMm9Eb2MueG1srVNLbtswEN0X6B0I&#10;7mspBhKogumgrZGgQNEWSHIAmqIsAvyBHFtyD9DeoKtuuu+5fI4MKckp0k0W3UhDzsybeW+Gq+vB&#10;aHKQISpnGb1YlJRIK1yj7I7Rh/ubNxUlEbhtuHZWMnqUkV6vX79a9b6WS9c53chAEMTGuveMdgC+&#10;LoooOml4XDgvLTpbFwwHPIZd0QTeI7rRxbIsr4rehcYHJ2SMeLsZnXRCDC8BdG2rhNw4sTfSwoga&#10;pOaAlGKnfKTr3G3bSgFf2jZKIJpRZAr5i0XQ3qZvsV7xehe475SYWuAvaeEZJ8OVxaJnqA0HTvZB&#10;/QNllAguuhYWwpliJJIVQRYX5TNt7jruZeaCUkd/Fj3+P1jx+fA1ENUwimO33ODATz9/nH79Of3+&#10;TqokT+9jjVF3HuNgeO8GXJr5PuJlYj20waQ/8iHoR3GPZ3HlAESkpGpZVSW6BPrmA+IXT+k+RLiV&#10;zpBkMBpwellUfvgUYQydQ1I1626U1nmC2pKe0beXy8uccPYguLZYI5EYm00WDNthYrZ1zRGJ4XvA&#10;gp0L3yjpcRsYtbj8lOiPFsVOizMbYTa2s8GtwERGgZLR/ADjgu19ULsur1xqN/p3e8CWM5PUxlh7&#10;6g7nm7WYdjEt0N/nHPX0/ta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CrQejDmAQAAxwMA&#10;AA4AAAAAAAAAAQAgAAAAHgEAAGRycy9lMm9Eb2MueG1sUEsFBgAAAAAGAAYAWQEAAHYFA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JIHc+YBAADHAwAADgAAAGRycy9lMm9Eb2MueG1srVPBjtMwEL0j8Q+W&#10;7zTZSou6UdMVUC1CQoC08AGu4zSWbI81dpuUD4A/4MSFO9/V72DsJF20XPbAJRl7Zt7MezNe3w7W&#10;sKPCoMHV/GpRcqachEa7fc2/fL57seIsROEaYcCpmp9U4Leb58/Wva/UEjowjUJGIC5Uva95F6Ov&#10;iiLITlkRFuCVI2cLaEWkI+6LBkVP6NYUy7J8WfSAjUeQKgS63Y5OPiHiUwChbbVUW5AHq1wcUVEZ&#10;EYlS6LQPfJO7bVsl48e2DSoyU3NiGvOXipC9S99isxbVHoXvtJxaEE9p4REnK7SjoheorYiCHVD/&#10;A2W1RAjQxoUEW4xEsiLE4qp8pM19J7zKXEjq4C+ih/8HKz8cPyHTTc1vOHPC0sDPP76ff/4+//rG&#10;bpI8vQ8VRd17iovDaxhoaeb7QJeJ9dCiTX/iw8hP4p4u4qohMpmSVsvVqiSXJN98IPziId1jiG8V&#10;WJaMmiNNL4sqju9DHEPnkFTNwZ02Jk/QONYThevldU64eAjcOKqRSIzNJisOu2FitoPmRMToPVDB&#10;DvArZz1tQ80dLT9n5p0jsdPizAbOxm42hJOUWPPI2Wi+ieOCHTzqfZdXLrUb/KtDpJYzk9TGWHvq&#10;juabtZh2MS3Q3+cc9fD+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CCSB3PmAQAAxwMA&#10;AA4AAAAAAAAAAQAgAAAAHgEAAGRycy9lMm9Eb2MueG1sUEsFBgAAAAAGAAYAWQEAAHYFAAAAAA==&#10;">
              <v:fill on="f" focussize="0,0"/>
              <v:stroke on="f"/>
              <v:imagedata o:title=""/>
              <o:lock v:ext="edit" aspectratio="f"/>
              <v:textbox inset="0mm,0mm,0mm,0mm" style="mso-fit-shape-to-text:t;">
                <w:txbxContent>
                  <w:p>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lang w:val="en-US" w:eastAsia="zh-CN"/>
      </w:rPr>
      <w:t xml:space="preserve">                         </w:t>
    </w:r>
    <w:r>
      <w:rPr>
        <w:rFonts w:hint="eastAsia"/>
      </w:rPr>
      <w:t>安徽路达工程检测有限责任公司本部及工地试验室仪器检定校准服务</w:t>
    </w:r>
    <w:r>
      <w:rPr>
        <w:rFonts w:hint="eastAsia"/>
        <w:lang w:val="en-US" w:eastAsia="zh-CN"/>
      </w:rPr>
      <w:t>项目</w:t>
    </w:r>
    <w:r>
      <w:rPr>
        <w:rFonts w:hint="eastAsia"/>
      </w:rPr>
      <w:t>比选文件</w: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lang w:val="en-US" w:eastAsia="zh-CN"/>
      </w:rPr>
      <w:t xml:space="preserve">                        </w:t>
    </w:r>
    <w:r>
      <w:rPr>
        <w:rFonts w:hint="eastAsia"/>
      </w:rPr>
      <w:t>安徽路达工程检测有限责任公司本部及工地试验室仪器检定校准服务</w:t>
    </w:r>
    <w:r>
      <w:rPr>
        <w:rFonts w:hint="eastAsia"/>
        <w:lang w:val="en-US" w:eastAsia="zh-CN"/>
      </w:rPr>
      <w:t>项目</w:t>
    </w:r>
    <w:r>
      <w:rPr>
        <w:rFonts w:hint="eastAsia"/>
      </w:rPr>
      <w:t>比选文件</w:t>
    </w: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lang w:val="en-US" w:eastAsia="zh-CN"/>
      </w:rPr>
      <w:t xml:space="preserve">                         </w:t>
    </w:r>
    <w:r>
      <w:rPr>
        <w:rFonts w:hint="eastAsia"/>
      </w:rPr>
      <w:t>安徽路达工程检测有限责任公司本部及工地试验室仪器检定校准服务</w:t>
    </w:r>
    <w:r>
      <w:rPr>
        <w:rFonts w:hint="eastAsia"/>
        <w:lang w:val="en-US" w:eastAsia="zh-CN"/>
      </w:rPr>
      <w:t>项目</w:t>
    </w:r>
    <w:r>
      <w:rPr>
        <w:rFonts w:hint="eastAsia"/>
      </w:rPr>
      <w:t>比选文件</w: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C3CD3"/>
    <w:multiLevelType w:val="singleLevel"/>
    <w:tmpl w:val="C4BC3CD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bullet"/>
      <w:pStyle w:val="337"/>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00000002"/>
    <w:multiLevelType w:val="singleLevel"/>
    <w:tmpl w:val="00000002"/>
    <w:lvl w:ilvl="0" w:tentative="0">
      <w:start w:val="1"/>
      <w:numFmt w:val="bullet"/>
      <w:pStyle w:val="365"/>
      <w:lvlText w:val=""/>
      <w:lvlJc w:val="left"/>
      <w:pPr>
        <w:tabs>
          <w:tab w:val="left" w:pos="360"/>
        </w:tabs>
        <w:ind w:left="360" w:hanging="360"/>
      </w:pPr>
      <w:rPr>
        <w:rFonts w:hint="default" w:ascii="Symbol" w:hAnsi="Symbol"/>
      </w:rPr>
    </w:lvl>
  </w:abstractNum>
  <w:abstractNum w:abstractNumId="3">
    <w:nsid w:val="00000011"/>
    <w:multiLevelType w:val="multilevel"/>
    <w:tmpl w:val="00000011"/>
    <w:lvl w:ilvl="0" w:tentative="0">
      <w:start w:val="1"/>
      <w:numFmt w:val="decimal"/>
      <w:pStyle w:val="352"/>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0"/>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4">
    <w:nsid w:val="028647BB"/>
    <w:multiLevelType w:val="singleLevel"/>
    <w:tmpl w:val="028647BB"/>
    <w:lvl w:ilvl="0" w:tentative="0">
      <w:start w:val="2"/>
      <w:numFmt w:val="chineseCounting"/>
      <w:suff w:val="space"/>
      <w:lvlText w:val="第%1章"/>
      <w:lvlJc w:val="left"/>
      <w:rPr>
        <w:rFonts w:hint="eastAsia"/>
      </w:rPr>
    </w:lvl>
  </w:abstractNum>
  <w:abstractNum w:abstractNumId="5">
    <w:nsid w:val="24366283"/>
    <w:multiLevelType w:val="multilevel"/>
    <w:tmpl w:val="24366283"/>
    <w:lvl w:ilvl="0" w:tentative="0">
      <w:start w:val="1"/>
      <w:numFmt w:val="decimal"/>
      <w:pStyle w:val="357"/>
      <w:lvlText w:val="%1"/>
      <w:lvlJc w:val="left"/>
      <w:pPr>
        <w:tabs>
          <w:tab w:val="left" w:pos="567"/>
        </w:tabs>
        <w:ind w:left="567" w:hanging="567"/>
      </w:pPr>
      <w:rPr>
        <w:rFonts w:hint="eastAsia" w:cs="Times New Roman"/>
      </w:rPr>
    </w:lvl>
    <w:lvl w:ilvl="1" w:tentative="0">
      <w:start w:val="1"/>
      <w:numFmt w:val="decimal"/>
      <w:pStyle w:val="354"/>
      <w:lvlText w:val="%1.%2"/>
      <w:lvlJc w:val="left"/>
      <w:pPr>
        <w:tabs>
          <w:tab w:val="left" w:pos="1004"/>
        </w:tabs>
        <w:ind w:left="567" w:hanging="283"/>
      </w:pPr>
      <w:rPr>
        <w:rFonts w:hint="eastAsia" w:cs="Times New Roman"/>
      </w:rPr>
    </w:lvl>
    <w:lvl w:ilvl="2" w:tentative="0">
      <w:start w:val="1"/>
      <w:numFmt w:val="decimal"/>
      <w:pStyle w:val="353"/>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6">
    <w:nsid w:val="55ABEB53"/>
    <w:multiLevelType w:val="singleLevel"/>
    <w:tmpl w:val="55ABEB53"/>
    <w:lvl w:ilvl="0" w:tentative="0">
      <w:start w:val="3"/>
      <w:numFmt w:val="chineseCounting"/>
      <w:suff w:val="nothing"/>
      <w:lvlText w:val="%1、"/>
      <w:lvlJc w:val="left"/>
      <w:rPr>
        <w:rFonts w:hint="eastAsia"/>
      </w:rPr>
    </w:lvl>
  </w:abstractNum>
  <w:abstractNum w:abstractNumId="7">
    <w:nsid w:val="59D0A1BC"/>
    <w:multiLevelType w:val="singleLevel"/>
    <w:tmpl w:val="59D0A1BC"/>
    <w:lvl w:ilvl="0" w:tentative="0">
      <w:start w:val="4"/>
      <w:numFmt w:val="decimal"/>
      <w:suff w:val="nothing"/>
      <w:lvlText w:val="(%1)"/>
      <w:lvlJc w:val="left"/>
    </w:lvl>
  </w:abstractNum>
  <w:num w:numId="1">
    <w:abstractNumId w:val="0"/>
  </w:num>
  <w:num w:numId="2">
    <w:abstractNumId w:val="1"/>
  </w:num>
  <w:num w:numId="3">
    <w:abstractNumId w:val="3"/>
  </w:num>
  <w:num w:numId="4">
    <w:abstractNumId w:val="5"/>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5MDkzMWFiYmQ1ZTkxOGJhMmRhMjQ2ODZkNzRiOGIifQ=="/>
    <w:docVar w:name="KSO_WPS_MARK_KEY" w:val="19f3d28c-ef09-4bf5-b005-15ecf7a0c683"/>
  </w:docVars>
  <w:rsids>
    <w:rsidRoot w:val="00172A27"/>
    <w:rsid w:val="00001913"/>
    <w:rsid w:val="00010694"/>
    <w:rsid w:val="000217F8"/>
    <w:rsid w:val="00022F69"/>
    <w:rsid w:val="000235B5"/>
    <w:rsid w:val="0002413E"/>
    <w:rsid w:val="00024F9F"/>
    <w:rsid w:val="00035C5B"/>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0651"/>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3847"/>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46408"/>
    <w:rsid w:val="00655CF6"/>
    <w:rsid w:val="00660ECC"/>
    <w:rsid w:val="006729F3"/>
    <w:rsid w:val="006878F0"/>
    <w:rsid w:val="00693ACE"/>
    <w:rsid w:val="006A479F"/>
    <w:rsid w:val="006B1B74"/>
    <w:rsid w:val="006B3D08"/>
    <w:rsid w:val="006B43C0"/>
    <w:rsid w:val="006C09C6"/>
    <w:rsid w:val="006C6A6D"/>
    <w:rsid w:val="006D61A6"/>
    <w:rsid w:val="006E68C8"/>
    <w:rsid w:val="006F557B"/>
    <w:rsid w:val="006F7843"/>
    <w:rsid w:val="007116B2"/>
    <w:rsid w:val="007218F9"/>
    <w:rsid w:val="00721FCA"/>
    <w:rsid w:val="007230C0"/>
    <w:rsid w:val="00723B64"/>
    <w:rsid w:val="00723F5C"/>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03C"/>
    <w:rsid w:val="007E3CD9"/>
    <w:rsid w:val="007E72C3"/>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577A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0C0D"/>
    <w:rsid w:val="00933B4D"/>
    <w:rsid w:val="00936F7B"/>
    <w:rsid w:val="0093793B"/>
    <w:rsid w:val="00945DA5"/>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AF5FC8"/>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1BC0"/>
    <w:rsid w:val="00BA2710"/>
    <w:rsid w:val="00BA6247"/>
    <w:rsid w:val="00BA791D"/>
    <w:rsid w:val="00BB3AA7"/>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17893"/>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566"/>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375861"/>
    <w:rsid w:val="01527EDF"/>
    <w:rsid w:val="01535EB9"/>
    <w:rsid w:val="0191681C"/>
    <w:rsid w:val="019E06E3"/>
    <w:rsid w:val="01FD0DAF"/>
    <w:rsid w:val="02060261"/>
    <w:rsid w:val="022E6257"/>
    <w:rsid w:val="02555ED9"/>
    <w:rsid w:val="02B14DC7"/>
    <w:rsid w:val="02F94AB6"/>
    <w:rsid w:val="0319408F"/>
    <w:rsid w:val="032717F3"/>
    <w:rsid w:val="037261AB"/>
    <w:rsid w:val="0383243B"/>
    <w:rsid w:val="038F71C9"/>
    <w:rsid w:val="03935BFE"/>
    <w:rsid w:val="03B66504"/>
    <w:rsid w:val="03B70FA8"/>
    <w:rsid w:val="03B81543"/>
    <w:rsid w:val="03EF1A15"/>
    <w:rsid w:val="03EF27C8"/>
    <w:rsid w:val="03F1273F"/>
    <w:rsid w:val="04197674"/>
    <w:rsid w:val="041E3B9F"/>
    <w:rsid w:val="044D094D"/>
    <w:rsid w:val="046441B2"/>
    <w:rsid w:val="048F1B7F"/>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8E01C6F"/>
    <w:rsid w:val="091F0FEF"/>
    <w:rsid w:val="093164D8"/>
    <w:rsid w:val="09521B8C"/>
    <w:rsid w:val="095F36DA"/>
    <w:rsid w:val="0983332C"/>
    <w:rsid w:val="09A278BC"/>
    <w:rsid w:val="09E919F8"/>
    <w:rsid w:val="0A256191"/>
    <w:rsid w:val="0A762256"/>
    <w:rsid w:val="0A933E5C"/>
    <w:rsid w:val="0AB614DF"/>
    <w:rsid w:val="0AC91212"/>
    <w:rsid w:val="0AD53626"/>
    <w:rsid w:val="0AD96F7B"/>
    <w:rsid w:val="0B024FEC"/>
    <w:rsid w:val="0B0C4C00"/>
    <w:rsid w:val="0B1E73EC"/>
    <w:rsid w:val="0B244FB8"/>
    <w:rsid w:val="0B245CDE"/>
    <w:rsid w:val="0B3023B0"/>
    <w:rsid w:val="0B656974"/>
    <w:rsid w:val="0BA92DF2"/>
    <w:rsid w:val="0BBA70A3"/>
    <w:rsid w:val="0C210BDA"/>
    <w:rsid w:val="0C4E7E44"/>
    <w:rsid w:val="0C601702"/>
    <w:rsid w:val="0C665C1C"/>
    <w:rsid w:val="0D587134"/>
    <w:rsid w:val="0D844B1B"/>
    <w:rsid w:val="0DB02216"/>
    <w:rsid w:val="0DEE4BEB"/>
    <w:rsid w:val="0E0E5A47"/>
    <w:rsid w:val="0E1A3B33"/>
    <w:rsid w:val="0E513821"/>
    <w:rsid w:val="0E59465B"/>
    <w:rsid w:val="0E6574A4"/>
    <w:rsid w:val="0F051BB9"/>
    <w:rsid w:val="0F323C9D"/>
    <w:rsid w:val="0F8E2325"/>
    <w:rsid w:val="0FD35E8A"/>
    <w:rsid w:val="0FE95356"/>
    <w:rsid w:val="10745ABA"/>
    <w:rsid w:val="108005C5"/>
    <w:rsid w:val="10AB3F70"/>
    <w:rsid w:val="10C63759"/>
    <w:rsid w:val="113668A2"/>
    <w:rsid w:val="114D7560"/>
    <w:rsid w:val="1161187F"/>
    <w:rsid w:val="11717F0E"/>
    <w:rsid w:val="11A8682E"/>
    <w:rsid w:val="12914286"/>
    <w:rsid w:val="129B5577"/>
    <w:rsid w:val="12B654AE"/>
    <w:rsid w:val="12BF6C3A"/>
    <w:rsid w:val="12E945CE"/>
    <w:rsid w:val="13057218"/>
    <w:rsid w:val="131F3FC3"/>
    <w:rsid w:val="132C1DDC"/>
    <w:rsid w:val="133236CD"/>
    <w:rsid w:val="133E598E"/>
    <w:rsid w:val="13682AD5"/>
    <w:rsid w:val="137B5074"/>
    <w:rsid w:val="140631C3"/>
    <w:rsid w:val="14211A7C"/>
    <w:rsid w:val="142D3EB0"/>
    <w:rsid w:val="143310E5"/>
    <w:rsid w:val="14764964"/>
    <w:rsid w:val="14771CDF"/>
    <w:rsid w:val="147C0B64"/>
    <w:rsid w:val="14964B92"/>
    <w:rsid w:val="14C557AE"/>
    <w:rsid w:val="155362A8"/>
    <w:rsid w:val="15A34C73"/>
    <w:rsid w:val="15AE7982"/>
    <w:rsid w:val="15B34F99"/>
    <w:rsid w:val="15C745A0"/>
    <w:rsid w:val="15CD45BF"/>
    <w:rsid w:val="15E070C3"/>
    <w:rsid w:val="15E24861"/>
    <w:rsid w:val="15FF4448"/>
    <w:rsid w:val="16473933"/>
    <w:rsid w:val="16766FAA"/>
    <w:rsid w:val="168669B4"/>
    <w:rsid w:val="16A910FE"/>
    <w:rsid w:val="16BA21D7"/>
    <w:rsid w:val="16C32FBA"/>
    <w:rsid w:val="172907FA"/>
    <w:rsid w:val="17653798"/>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BE3042"/>
    <w:rsid w:val="19DB4ABE"/>
    <w:rsid w:val="1A3C1123"/>
    <w:rsid w:val="1A475CB0"/>
    <w:rsid w:val="1A6159EB"/>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6325C6"/>
    <w:rsid w:val="1CC318B8"/>
    <w:rsid w:val="1CC41839"/>
    <w:rsid w:val="1CED005C"/>
    <w:rsid w:val="1D3A5FA0"/>
    <w:rsid w:val="1D6F5C49"/>
    <w:rsid w:val="1D835251"/>
    <w:rsid w:val="1E156B8A"/>
    <w:rsid w:val="1E335D6C"/>
    <w:rsid w:val="1E494C39"/>
    <w:rsid w:val="1E550BE9"/>
    <w:rsid w:val="1E94348E"/>
    <w:rsid w:val="1F016D75"/>
    <w:rsid w:val="1F0B25BC"/>
    <w:rsid w:val="1F220E88"/>
    <w:rsid w:val="1F63494D"/>
    <w:rsid w:val="1F8A50B6"/>
    <w:rsid w:val="1F927BDC"/>
    <w:rsid w:val="1FBE507D"/>
    <w:rsid w:val="1FD020F8"/>
    <w:rsid w:val="1FE20707"/>
    <w:rsid w:val="1FE64182"/>
    <w:rsid w:val="200C3C23"/>
    <w:rsid w:val="20281ADB"/>
    <w:rsid w:val="20325D43"/>
    <w:rsid w:val="20CA3EEF"/>
    <w:rsid w:val="20E406FC"/>
    <w:rsid w:val="20F52170"/>
    <w:rsid w:val="213C22E6"/>
    <w:rsid w:val="213D2165"/>
    <w:rsid w:val="217C0935"/>
    <w:rsid w:val="21DE339D"/>
    <w:rsid w:val="21DE779E"/>
    <w:rsid w:val="21E07C0E"/>
    <w:rsid w:val="21FC40FE"/>
    <w:rsid w:val="22276873"/>
    <w:rsid w:val="22851AFF"/>
    <w:rsid w:val="22943AF1"/>
    <w:rsid w:val="22C56F28"/>
    <w:rsid w:val="230961F8"/>
    <w:rsid w:val="230D47B1"/>
    <w:rsid w:val="23445819"/>
    <w:rsid w:val="23456B9C"/>
    <w:rsid w:val="234E00AF"/>
    <w:rsid w:val="237D20DD"/>
    <w:rsid w:val="237F6C4B"/>
    <w:rsid w:val="238B5CC6"/>
    <w:rsid w:val="2399026C"/>
    <w:rsid w:val="23CD2AB0"/>
    <w:rsid w:val="23E2675E"/>
    <w:rsid w:val="23ED5B9A"/>
    <w:rsid w:val="242B66E0"/>
    <w:rsid w:val="246036F7"/>
    <w:rsid w:val="24B46637"/>
    <w:rsid w:val="25276E09"/>
    <w:rsid w:val="252D4FEE"/>
    <w:rsid w:val="254A62EC"/>
    <w:rsid w:val="255B6AB3"/>
    <w:rsid w:val="25B53949"/>
    <w:rsid w:val="26103D41"/>
    <w:rsid w:val="2623548B"/>
    <w:rsid w:val="262461E3"/>
    <w:rsid w:val="267A330E"/>
    <w:rsid w:val="26CB1A16"/>
    <w:rsid w:val="26CF7759"/>
    <w:rsid w:val="270C3BDB"/>
    <w:rsid w:val="2719399B"/>
    <w:rsid w:val="273977AC"/>
    <w:rsid w:val="27420CF5"/>
    <w:rsid w:val="27854579"/>
    <w:rsid w:val="27C76EF3"/>
    <w:rsid w:val="27CE1D61"/>
    <w:rsid w:val="27E70E9B"/>
    <w:rsid w:val="282F4953"/>
    <w:rsid w:val="28332399"/>
    <w:rsid w:val="284877C3"/>
    <w:rsid w:val="285A0BC7"/>
    <w:rsid w:val="28BD335E"/>
    <w:rsid w:val="293B4D0E"/>
    <w:rsid w:val="294C32E2"/>
    <w:rsid w:val="29657F00"/>
    <w:rsid w:val="29AB159E"/>
    <w:rsid w:val="29AE7D3A"/>
    <w:rsid w:val="29D0219D"/>
    <w:rsid w:val="29D77EF3"/>
    <w:rsid w:val="29E51041"/>
    <w:rsid w:val="29F20600"/>
    <w:rsid w:val="2A391286"/>
    <w:rsid w:val="2A4F4886"/>
    <w:rsid w:val="2ABA427C"/>
    <w:rsid w:val="2B143B98"/>
    <w:rsid w:val="2B3F2753"/>
    <w:rsid w:val="2B406EFF"/>
    <w:rsid w:val="2B720822"/>
    <w:rsid w:val="2BAE19C7"/>
    <w:rsid w:val="2BB87E35"/>
    <w:rsid w:val="2BCE32E3"/>
    <w:rsid w:val="2C067B37"/>
    <w:rsid w:val="2C5379A3"/>
    <w:rsid w:val="2C974875"/>
    <w:rsid w:val="2CAD335C"/>
    <w:rsid w:val="2CF33FC6"/>
    <w:rsid w:val="2CFD4778"/>
    <w:rsid w:val="2D216834"/>
    <w:rsid w:val="2D4F1E09"/>
    <w:rsid w:val="2D6D14C1"/>
    <w:rsid w:val="2DC42A84"/>
    <w:rsid w:val="2DE60E0D"/>
    <w:rsid w:val="2DF751F3"/>
    <w:rsid w:val="2E891740"/>
    <w:rsid w:val="2EA953B6"/>
    <w:rsid w:val="2ED75A9F"/>
    <w:rsid w:val="2EFC4E63"/>
    <w:rsid w:val="2F4D56BE"/>
    <w:rsid w:val="2F5842D0"/>
    <w:rsid w:val="2F7F5907"/>
    <w:rsid w:val="2FA13062"/>
    <w:rsid w:val="30055F99"/>
    <w:rsid w:val="303035A7"/>
    <w:rsid w:val="303D02A2"/>
    <w:rsid w:val="314B586D"/>
    <w:rsid w:val="317C0BC3"/>
    <w:rsid w:val="31BA0EA5"/>
    <w:rsid w:val="31CB3665"/>
    <w:rsid w:val="31CE0296"/>
    <w:rsid w:val="31DA771B"/>
    <w:rsid w:val="32034DFD"/>
    <w:rsid w:val="3240150B"/>
    <w:rsid w:val="32902492"/>
    <w:rsid w:val="32A45F3D"/>
    <w:rsid w:val="32A82827"/>
    <w:rsid w:val="32B53456"/>
    <w:rsid w:val="33111653"/>
    <w:rsid w:val="334A479D"/>
    <w:rsid w:val="33641B20"/>
    <w:rsid w:val="33751688"/>
    <w:rsid w:val="33CF29A4"/>
    <w:rsid w:val="33EA26BA"/>
    <w:rsid w:val="34193CA8"/>
    <w:rsid w:val="34196205"/>
    <w:rsid w:val="34425A0E"/>
    <w:rsid w:val="344F2ED9"/>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817C51"/>
    <w:rsid w:val="39A405D1"/>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42613F"/>
    <w:rsid w:val="3F542383"/>
    <w:rsid w:val="3F835F13"/>
    <w:rsid w:val="3F9D520F"/>
    <w:rsid w:val="3FA96891"/>
    <w:rsid w:val="3FAC01DF"/>
    <w:rsid w:val="3FDE3B17"/>
    <w:rsid w:val="3FE12CBD"/>
    <w:rsid w:val="3FF73B50"/>
    <w:rsid w:val="409A021C"/>
    <w:rsid w:val="40CB0356"/>
    <w:rsid w:val="416A0352"/>
    <w:rsid w:val="41747D82"/>
    <w:rsid w:val="4258398A"/>
    <w:rsid w:val="42586A54"/>
    <w:rsid w:val="42B26B5F"/>
    <w:rsid w:val="42B4172C"/>
    <w:rsid w:val="42ED4D97"/>
    <w:rsid w:val="42F51E9D"/>
    <w:rsid w:val="431412A9"/>
    <w:rsid w:val="43210EE4"/>
    <w:rsid w:val="436274D2"/>
    <w:rsid w:val="43C63BD6"/>
    <w:rsid w:val="441E71D2"/>
    <w:rsid w:val="445241CE"/>
    <w:rsid w:val="44A83362"/>
    <w:rsid w:val="44C9432E"/>
    <w:rsid w:val="44FD397C"/>
    <w:rsid w:val="452913FC"/>
    <w:rsid w:val="45AD6A5F"/>
    <w:rsid w:val="45F75F2C"/>
    <w:rsid w:val="45F85A36"/>
    <w:rsid w:val="4618037D"/>
    <w:rsid w:val="46212B20"/>
    <w:rsid w:val="464C6002"/>
    <w:rsid w:val="46944856"/>
    <w:rsid w:val="46BC2BD8"/>
    <w:rsid w:val="46D36999"/>
    <w:rsid w:val="472E158C"/>
    <w:rsid w:val="473954E9"/>
    <w:rsid w:val="477A116A"/>
    <w:rsid w:val="478B2DD0"/>
    <w:rsid w:val="479C6D8B"/>
    <w:rsid w:val="47C50090"/>
    <w:rsid w:val="47DB5B06"/>
    <w:rsid w:val="47E80223"/>
    <w:rsid w:val="47EE4E56"/>
    <w:rsid w:val="47F97336"/>
    <w:rsid w:val="480706A9"/>
    <w:rsid w:val="48160B49"/>
    <w:rsid w:val="482173AE"/>
    <w:rsid w:val="4860600B"/>
    <w:rsid w:val="488B4B77"/>
    <w:rsid w:val="48B7790B"/>
    <w:rsid w:val="48E549E9"/>
    <w:rsid w:val="49033566"/>
    <w:rsid w:val="492E2E2E"/>
    <w:rsid w:val="492E43F8"/>
    <w:rsid w:val="49394063"/>
    <w:rsid w:val="4A0977B8"/>
    <w:rsid w:val="4A1D0657"/>
    <w:rsid w:val="4A317C5F"/>
    <w:rsid w:val="4A7933B4"/>
    <w:rsid w:val="4ADB4211"/>
    <w:rsid w:val="4ADD7DE7"/>
    <w:rsid w:val="4AEF7951"/>
    <w:rsid w:val="4AFD5D93"/>
    <w:rsid w:val="4B367F93"/>
    <w:rsid w:val="4B6067C3"/>
    <w:rsid w:val="4B6E3924"/>
    <w:rsid w:val="4BA12BC2"/>
    <w:rsid w:val="4BBE0575"/>
    <w:rsid w:val="4BE5149F"/>
    <w:rsid w:val="4BFC24EE"/>
    <w:rsid w:val="4BFE5973"/>
    <w:rsid w:val="4C224242"/>
    <w:rsid w:val="4C3D1913"/>
    <w:rsid w:val="4C40385D"/>
    <w:rsid w:val="4C485734"/>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63D0A"/>
    <w:rsid w:val="4FC26BC9"/>
    <w:rsid w:val="4FE53EE9"/>
    <w:rsid w:val="502C0328"/>
    <w:rsid w:val="505059C1"/>
    <w:rsid w:val="507111E9"/>
    <w:rsid w:val="50744D49"/>
    <w:rsid w:val="50827466"/>
    <w:rsid w:val="508302FA"/>
    <w:rsid w:val="50A10CF0"/>
    <w:rsid w:val="50D73662"/>
    <w:rsid w:val="50F73284"/>
    <w:rsid w:val="50F97086"/>
    <w:rsid w:val="512B026F"/>
    <w:rsid w:val="51542485"/>
    <w:rsid w:val="51A34050"/>
    <w:rsid w:val="51AB5F03"/>
    <w:rsid w:val="51BA2F76"/>
    <w:rsid w:val="52320A18"/>
    <w:rsid w:val="529A036B"/>
    <w:rsid w:val="53063385"/>
    <w:rsid w:val="53412BBB"/>
    <w:rsid w:val="53500FF5"/>
    <w:rsid w:val="53530C46"/>
    <w:rsid w:val="53B611D5"/>
    <w:rsid w:val="53CB255A"/>
    <w:rsid w:val="53EB29D5"/>
    <w:rsid w:val="5418171E"/>
    <w:rsid w:val="54240A2E"/>
    <w:rsid w:val="54635240"/>
    <w:rsid w:val="54A07538"/>
    <w:rsid w:val="551D56FC"/>
    <w:rsid w:val="554671C6"/>
    <w:rsid w:val="556D1D67"/>
    <w:rsid w:val="561D553B"/>
    <w:rsid w:val="562D6C09"/>
    <w:rsid w:val="56321E1B"/>
    <w:rsid w:val="56982E14"/>
    <w:rsid w:val="56A774E2"/>
    <w:rsid w:val="57213788"/>
    <w:rsid w:val="57366542"/>
    <w:rsid w:val="575D5514"/>
    <w:rsid w:val="57793128"/>
    <w:rsid w:val="57831D16"/>
    <w:rsid w:val="579F706F"/>
    <w:rsid w:val="57D528CD"/>
    <w:rsid w:val="57E227D2"/>
    <w:rsid w:val="57EE22E8"/>
    <w:rsid w:val="57FA3D86"/>
    <w:rsid w:val="581F559B"/>
    <w:rsid w:val="58236478"/>
    <w:rsid w:val="588E54CA"/>
    <w:rsid w:val="58922210"/>
    <w:rsid w:val="58A9755A"/>
    <w:rsid w:val="58AE5938"/>
    <w:rsid w:val="590C3FF5"/>
    <w:rsid w:val="59407F54"/>
    <w:rsid w:val="597E1677"/>
    <w:rsid w:val="59823E17"/>
    <w:rsid w:val="59851D75"/>
    <w:rsid w:val="59937919"/>
    <w:rsid w:val="59FF543B"/>
    <w:rsid w:val="5A317655"/>
    <w:rsid w:val="5A3572F7"/>
    <w:rsid w:val="5A386DE8"/>
    <w:rsid w:val="5A635C5A"/>
    <w:rsid w:val="5AD81D9A"/>
    <w:rsid w:val="5ADC209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CD40915"/>
    <w:rsid w:val="5D530D5F"/>
    <w:rsid w:val="5DA707E9"/>
    <w:rsid w:val="5DB70229"/>
    <w:rsid w:val="5DE11544"/>
    <w:rsid w:val="5DEE3CCB"/>
    <w:rsid w:val="5DF21B98"/>
    <w:rsid w:val="5E1216FE"/>
    <w:rsid w:val="5E575A76"/>
    <w:rsid w:val="5E60690D"/>
    <w:rsid w:val="5E68756F"/>
    <w:rsid w:val="5E7F77FB"/>
    <w:rsid w:val="5EB804F7"/>
    <w:rsid w:val="5F2B6984"/>
    <w:rsid w:val="5F6150CD"/>
    <w:rsid w:val="5F6D7533"/>
    <w:rsid w:val="5F987E63"/>
    <w:rsid w:val="5FC06140"/>
    <w:rsid w:val="5FCB28E4"/>
    <w:rsid w:val="5FCF7853"/>
    <w:rsid w:val="5FD52766"/>
    <w:rsid w:val="5FE5531C"/>
    <w:rsid w:val="60384AA2"/>
    <w:rsid w:val="60BA6EBD"/>
    <w:rsid w:val="610417D1"/>
    <w:rsid w:val="61236998"/>
    <w:rsid w:val="614F7E1C"/>
    <w:rsid w:val="61706E67"/>
    <w:rsid w:val="617B022B"/>
    <w:rsid w:val="61B42238"/>
    <w:rsid w:val="62233ED9"/>
    <w:rsid w:val="62247EF5"/>
    <w:rsid w:val="62CF4061"/>
    <w:rsid w:val="636A0F97"/>
    <w:rsid w:val="637C5F97"/>
    <w:rsid w:val="63F41F58"/>
    <w:rsid w:val="63F76584"/>
    <w:rsid w:val="644C3BBB"/>
    <w:rsid w:val="64F32289"/>
    <w:rsid w:val="65303E16"/>
    <w:rsid w:val="654752D4"/>
    <w:rsid w:val="65965996"/>
    <w:rsid w:val="659730E5"/>
    <w:rsid w:val="65C82F60"/>
    <w:rsid w:val="65CE0D2C"/>
    <w:rsid w:val="65DF280D"/>
    <w:rsid w:val="663E0D58"/>
    <w:rsid w:val="66846410"/>
    <w:rsid w:val="66A24F5B"/>
    <w:rsid w:val="66A6332B"/>
    <w:rsid w:val="671F6E1E"/>
    <w:rsid w:val="67453492"/>
    <w:rsid w:val="67621960"/>
    <w:rsid w:val="67E71B6D"/>
    <w:rsid w:val="67FF20E2"/>
    <w:rsid w:val="68306BC4"/>
    <w:rsid w:val="688073EB"/>
    <w:rsid w:val="68842FD3"/>
    <w:rsid w:val="689C2C37"/>
    <w:rsid w:val="68A2014F"/>
    <w:rsid w:val="68C43E52"/>
    <w:rsid w:val="68F55EA4"/>
    <w:rsid w:val="690B1A91"/>
    <w:rsid w:val="69201173"/>
    <w:rsid w:val="692B215E"/>
    <w:rsid w:val="698E432E"/>
    <w:rsid w:val="69D41F5D"/>
    <w:rsid w:val="6A9040D6"/>
    <w:rsid w:val="6AC50223"/>
    <w:rsid w:val="6AD26CD2"/>
    <w:rsid w:val="6B016D82"/>
    <w:rsid w:val="6B2D6EEB"/>
    <w:rsid w:val="6B5F5D4D"/>
    <w:rsid w:val="6B685053"/>
    <w:rsid w:val="6BAF4A30"/>
    <w:rsid w:val="6BC06C3D"/>
    <w:rsid w:val="6C3D5F2F"/>
    <w:rsid w:val="6C6770B8"/>
    <w:rsid w:val="6C71768C"/>
    <w:rsid w:val="6CA125CA"/>
    <w:rsid w:val="6CB22DA1"/>
    <w:rsid w:val="6CC03E6D"/>
    <w:rsid w:val="6CD363C3"/>
    <w:rsid w:val="6CD526FE"/>
    <w:rsid w:val="6D3451EC"/>
    <w:rsid w:val="6D610D8F"/>
    <w:rsid w:val="6D8855DB"/>
    <w:rsid w:val="6DDD6736"/>
    <w:rsid w:val="6DE360A7"/>
    <w:rsid w:val="6DEE5CE3"/>
    <w:rsid w:val="6E245261"/>
    <w:rsid w:val="6E2D3C69"/>
    <w:rsid w:val="6E674604"/>
    <w:rsid w:val="6E720E9C"/>
    <w:rsid w:val="6EA57E47"/>
    <w:rsid w:val="6EB736CD"/>
    <w:rsid w:val="6ECE2BD2"/>
    <w:rsid w:val="6ED468F0"/>
    <w:rsid w:val="6EFF182A"/>
    <w:rsid w:val="6F011A46"/>
    <w:rsid w:val="6F33171B"/>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756B0D"/>
    <w:rsid w:val="717F5B7A"/>
    <w:rsid w:val="71866233"/>
    <w:rsid w:val="719721EE"/>
    <w:rsid w:val="71DA1240"/>
    <w:rsid w:val="71EF48DF"/>
    <w:rsid w:val="725400DF"/>
    <w:rsid w:val="7270363A"/>
    <w:rsid w:val="72955F39"/>
    <w:rsid w:val="72CE4767"/>
    <w:rsid w:val="72D20B62"/>
    <w:rsid w:val="73157CD7"/>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5778E6"/>
    <w:rsid w:val="75A153E9"/>
    <w:rsid w:val="75A44ED9"/>
    <w:rsid w:val="75C16B30"/>
    <w:rsid w:val="75DC08C0"/>
    <w:rsid w:val="75F565F2"/>
    <w:rsid w:val="75FA6B3E"/>
    <w:rsid w:val="764F12E9"/>
    <w:rsid w:val="76530DD9"/>
    <w:rsid w:val="76712F73"/>
    <w:rsid w:val="7672338B"/>
    <w:rsid w:val="767D7F65"/>
    <w:rsid w:val="76856640"/>
    <w:rsid w:val="76A809F9"/>
    <w:rsid w:val="76C31579"/>
    <w:rsid w:val="77494B12"/>
    <w:rsid w:val="77566863"/>
    <w:rsid w:val="77575CD8"/>
    <w:rsid w:val="776E39F1"/>
    <w:rsid w:val="77A70D03"/>
    <w:rsid w:val="77C35511"/>
    <w:rsid w:val="77C67389"/>
    <w:rsid w:val="77CE573C"/>
    <w:rsid w:val="77DA51F2"/>
    <w:rsid w:val="78593AF3"/>
    <w:rsid w:val="787A3E9B"/>
    <w:rsid w:val="787B5781"/>
    <w:rsid w:val="78B76110"/>
    <w:rsid w:val="78C733B9"/>
    <w:rsid w:val="79250FDE"/>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BB0959"/>
    <w:rsid w:val="7BCE0366"/>
    <w:rsid w:val="7BDA3403"/>
    <w:rsid w:val="7BEB0B45"/>
    <w:rsid w:val="7C030BAC"/>
    <w:rsid w:val="7C556F2D"/>
    <w:rsid w:val="7CB579CC"/>
    <w:rsid w:val="7D1868D9"/>
    <w:rsid w:val="7D24527D"/>
    <w:rsid w:val="7D27773C"/>
    <w:rsid w:val="7D3356C7"/>
    <w:rsid w:val="7D422172"/>
    <w:rsid w:val="7D4713B5"/>
    <w:rsid w:val="7D5976B6"/>
    <w:rsid w:val="7D825846"/>
    <w:rsid w:val="7DA07E94"/>
    <w:rsid w:val="7DA16F04"/>
    <w:rsid w:val="7E2D0162"/>
    <w:rsid w:val="7E321CD4"/>
    <w:rsid w:val="7EA3546E"/>
    <w:rsid w:val="7EB33EA8"/>
    <w:rsid w:val="7ED6280D"/>
    <w:rsid w:val="7F1C70BC"/>
    <w:rsid w:val="7F4406D0"/>
    <w:rsid w:val="7FC93E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宋体" w:cs="Times New Roman"/>
      <w:kern w:val="2"/>
      <w:sz w:val="21"/>
      <w:lang w:val="en-US" w:eastAsia="zh-CN" w:bidi="ar-SA"/>
    </w:rPr>
  </w:style>
  <w:style w:type="paragraph" w:styleId="2">
    <w:name w:val="heading 1"/>
    <w:basedOn w:val="1"/>
    <w:next w:val="1"/>
    <w:link w:val="84"/>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4"/>
    <w:link w:val="85"/>
    <w:autoRedefine/>
    <w:qFormat/>
    <w:uiPriority w:val="0"/>
    <w:pPr>
      <w:keepNext/>
      <w:keepLines/>
      <w:spacing w:before="120" w:after="120" w:line="360" w:lineRule="exact"/>
      <w:jc w:val="center"/>
      <w:outlineLvl w:val="1"/>
    </w:pPr>
    <w:rPr>
      <w:rFonts w:ascii="宋体" w:hAnsi="宋体"/>
      <w:b/>
      <w:sz w:val="24"/>
      <w:szCs w:val="24"/>
    </w:rPr>
  </w:style>
  <w:style w:type="paragraph" w:styleId="5">
    <w:name w:val="heading 3"/>
    <w:basedOn w:val="1"/>
    <w:next w:val="1"/>
    <w:link w:val="86"/>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6">
    <w:name w:val="heading 4"/>
    <w:basedOn w:val="1"/>
    <w:next w:val="1"/>
    <w:link w:val="87"/>
    <w:autoRedefine/>
    <w:qFormat/>
    <w:uiPriority w:val="0"/>
    <w:pPr>
      <w:keepNext/>
      <w:keepLines/>
      <w:spacing w:before="120" w:after="120"/>
      <w:outlineLvl w:val="3"/>
    </w:pPr>
    <w:rPr>
      <w:rFonts w:ascii="Arial" w:hAnsi="Arial" w:eastAsia="黑体"/>
      <w:b/>
      <w:sz w:val="20"/>
    </w:rPr>
  </w:style>
  <w:style w:type="paragraph" w:styleId="7">
    <w:name w:val="heading 5"/>
    <w:basedOn w:val="1"/>
    <w:next w:val="4"/>
    <w:link w:val="8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8">
    <w:name w:val="heading 6"/>
    <w:basedOn w:val="1"/>
    <w:next w:val="1"/>
    <w:link w:val="89"/>
    <w:autoRedefine/>
    <w:qFormat/>
    <w:uiPriority w:val="0"/>
    <w:pPr>
      <w:keepNext/>
      <w:keepLines/>
      <w:spacing w:before="240" w:after="64" w:line="319" w:lineRule="auto"/>
      <w:outlineLvl w:val="5"/>
    </w:pPr>
    <w:rPr>
      <w:rFonts w:ascii="Arial" w:hAnsi="Arial" w:eastAsia="黑体"/>
      <w:b/>
      <w:bCs/>
      <w:sz w:val="24"/>
      <w:szCs w:val="24"/>
    </w:rPr>
  </w:style>
  <w:style w:type="paragraph" w:styleId="9">
    <w:name w:val="heading 7"/>
    <w:basedOn w:val="1"/>
    <w:next w:val="1"/>
    <w:link w:val="90"/>
    <w:autoRedefine/>
    <w:qFormat/>
    <w:uiPriority w:val="0"/>
    <w:pPr>
      <w:keepNext/>
      <w:keepLines/>
      <w:spacing w:before="240" w:after="64" w:line="319" w:lineRule="auto"/>
      <w:outlineLvl w:val="6"/>
    </w:pPr>
    <w:rPr>
      <w:b/>
      <w:bCs/>
      <w:sz w:val="24"/>
      <w:szCs w:val="24"/>
    </w:rPr>
  </w:style>
  <w:style w:type="paragraph" w:styleId="10">
    <w:name w:val="heading 8"/>
    <w:basedOn w:val="1"/>
    <w:next w:val="1"/>
    <w:link w:val="91"/>
    <w:autoRedefine/>
    <w:qFormat/>
    <w:uiPriority w:val="0"/>
    <w:pPr>
      <w:keepNext/>
      <w:keepLines/>
      <w:spacing w:before="240" w:after="64" w:line="319" w:lineRule="auto"/>
      <w:outlineLvl w:val="7"/>
    </w:pPr>
    <w:rPr>
      <w:rFonts w:ascii="Arial" w:hAnsi="Arial" w:eastAsia="黑体"/>
      <w:sz w:val="24"/>
      <w:szCs w:val="24"/>
    </w:rPr>
  </w:style>
  <w:style w:type="paragraph" w:styleId="11">
    <w:name w:val="heading 9"/>
    <w:basedOn w:val="1"/>
    <w:next w:val="1"/>
    <w:link w:val="92"/>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style>
  <w:style w:type="paragraph" w:styleId="12">
    <w:name w:val="List 3"/>
    <w:basedOn w:val="1"/>
    <w:autoRedefine/>
    <w:qFormat/>
    <w:uiPriority w:val="0"/>
    <w:pPr>
      <w:ind w:left="1260" w:hanging="420"/>
    </w:pPr>
  </w:style>
  <w:style w:type="paragraph" w:styleId="13">
    <w:name w:val="toc 7"/>
    <w:basedOn w:val="1"/>
    <w:next w:val="1"/>
    <w:autoRedefine/>
    <w:qFormat/>
    <w:uiPriority w:val="0"/>
    <w:pPr>
      <w:ind w:left="1260"/>
    </w:pPr>
    <w:rPr>
      <w:sz w:val="18"/>
    </w:rPr>
  </w:style>
  <w:style w:type="paragraph" w:styleId="14">
    <w:name w:val="List Number 2"/>
    <w:basedOn w:val="1"/>
    <w:autoRedefine/>
    <w:qFormat/>
    <w:uiPriority w:val="0"/>
    <w:pPr>
      <w:tabs>
        <w:tab w:val="left" w:pos="1440"/>
      </w:tabs>
      <w:spacing w:line="360" w:lineRule="auto"/>
      <w:ind w:left="1440" w:hanging="1440"/>
    </w:pPr>
    <w:rPr>
      <w:sz w:val="24"/>
      <w:szCs w:val="24"/>
    </w:rPr>
  </w:style>
  <w:style w:type="paragraph" w:styleId="15">
    <w:name w:val="index 8"/>
    <w:basedOn w:val="1"/>
    <w:next w:val="1"/>
    <w:autoRedefine/>
    <w:qFormat/>
    <w:uiPriority w:val="0"/>
    <w:pPr>
      <w:ind w:left="2940"/>
    </w:pPr>
  </w:style>
  <w:style w:type="paragraph" w:styleId="16">
    <w:name w:val="List Number"/>
    <w:basedOn w:val="1"/>
    <w:autoRedefine/>
    <w:qFormat/>
    <w:uiPriority w:val="0"/>
    <w:pPr>
      <w:tabs>
        <w:tab w:val="left" w:pos="2952"/>
      </w:tabs>
      <w:ind w:left="2952" w:hanging="432"/>
    </w:pPr>
    <w:rPr>
      <w:szCs w:val="24"/>
    </w:rPr>
  </w:style>
  <w:style w:type="paragraph" w:styleId="17">
    <w:name w:val="index 5"/>
    <w:basedOn w:val="1"/>
    <w:next w:val="1"/>
    <w:autoRedefine/>
    <w:qFormat/>
    <w:uiPriority w:val="0"/>
    <w:pPr>
      <w:ind w:left="1680"/>
    </w:pPr>
  </w:style>
  <w:style w:type="paragraph" w:styleId="18">
    <w:name w:val="Document Map"/>
    <w:basedOn w:val="1"/>
    <w:link w:val="93"/>
    <w:autoRedefine/>
    <w:qFormat/>
    <w:uiPriority w:val="0"/>
    <w:pPr>
      <w:shd w:val="clear" w:color="auto" w:fill="000080"/>
    </w:pPr>
    <w:rPr>
      <w:rFonts w:ascii="宋体"/>
      <w:sz w:val="18"/>
      <w:szCs w:val="18"/>
    </w:rPr>
  </w:style>
  <w:style w:type="paragraph" w:styleId="19">
    <w:name w:val="annotation text"/>
    <w:basedOn w:val="1"/>
    <w:link w:val="94"/>
    <w:autoRedefine/>
    <w:qFormat/>
    <w:uiPriority w:val="99"/>
    <w:rPr>
      <w:sz w:val="20"/>
    </w:rPr>
  </w:style>
  <w:style w:type="paragraph" w:styleId="20">
    <w:name w:val="index 6"/>
    <w:basedOn w:val="1"/>
    <w:next w:val="1"/>
    <w:autoRedefine/>
    <w:qFormat/>
    <w:uiPriority w:val="0"/>
    <w:pPr>
      <w:ind w:left="2100"/>
    </w:pPr>
  </w:style>
  <w:style w:type="paragraph" w:styleId="21">
    <w:name w:val="Salutation"/>
    <w:basedOn w:val="1"/>
    <w:next w:val="1"/>
    <w:link w:val="95"/>
    <w:autoRedefine/>
    <w:qFormat/>
    <w:uiPriority w:val="0"/>
    <w:rPr>
      <w:rFonts w:ascii="仿宋_GB2312" w:eastAsia="仿宋_GB2312"/>
      <w:sz w:val="20"/>
    </w:rPr>
  </w:style>
  <w:style w:type="paragraph" w:styleId="22">
    <w:name w:val="Body Text 3"/>
    <w:basedOn w:val="1"/>
    <w:link w:val="96"/>
    <w:autoRedefine/>
    <w:qFormat/>
    <w:uiPriority w:val="0"/>
    <w:rPr>
      <w:rFonts w:ascii="仿宋_GB2312" w:hAnsi="Arial" w:eastAsia="仿宋_GB2312"/>
      <w:sz w:val="20"/>
    </w:rPr>
  </w:style>
  <w:style w:type="paragraph" w:styleId="23">
    <w:name w:val="Body Text"/>
    <w:basedOn w:val="1"/>
    <w:next w:val="1"/>
    <w:link w:val="97"/>
    <w:autoRedefine/>
    <w:qFormat/>
    <w:uiPriority w:val="0"/>
    <w:rPr>
      <w:rFonts w:ascii="楷体_GB2312" w:hAnsi="Arial" w:eastAsia="楷体_GB2312"/>
      <w:sz w:val="20"/>
    </w:rPr>
  </w:style>
  <w:style w:type="paragraph" w:styleId="24">
    <w:name w:val="Body Text Indent"/>
    <w:basedOn w:val="1"/>
    <w:next w:val="25"/>
    <w:link w:val="83"/>
    <w:autoRedefine/>
    <w:qFormat/>
    <w:uiPriority w:val="0"/>
    <w:pPr>
      <w:ind w:firstLine="645"/>
    </w:pPr>
    <w:rPr>
      <w:sz w:val="20"/>
    </w:rPr>
  </w:style>
  <w:style w:type="paragraph" w:styleId="25">
    <w:name w:val="envelope return"/>
    <w:basedOn w:val="1"/>
    <w:autoRedefine/>
    <w:unhideWhenUsed/>
    <w:qFormat/>
    <w:uiPriority w:val="99"/>
    <w:pPr>
      <w:snapToGrid w:val="0"/>
    </w:pPr>
    <w:rPr>
      <w:rFonts w:hint="eastAsia" w:ascii="Arial" w:hAnsi="Arial"/>
    </w:rPr>
  </w:style>
  <w:style w:type="paragraph" w:styleId="26">
    <w:name w:val="List Bullet 2"/>
    <w:basedOn w:val="1"/>
    <w:autoRedefine/>
    <w:semiHidden/>
    <w:unhideWhenUsed/>
    <w:qFormat/>
    <w:uiPriority w:val="99"/>
    <w:pPr>
      <w:numPr>
        <w:ilvl w:val="0"/>
        <w:numId w:val="1"/>
      </w:numPr>
    </w:p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pPr>
    <w:rPr>
      <w:sz w:val="18"/>
    </w:rPr>
  </w:style>
  <w:style w:type="paragraph" w:styleId="29">
    <w:name w:val="toc 3"/>
    <w:basedOn w:val="1"/>
    <w:next w:val="1"/>
    <w:autoRedefine/>
    <w:qFormat/>
    <w:uiPriority w:val="39"/>
    <w:pPr>
      <w:ind w:left="420"/>
      <w:jc w:val="center"/>
    </w:pPr>
    <w:rPr>
      <w:sz w:val="32"/>
      <w:szCs w:val="32"/>
    </w:rPr>
  </w:style>
  <w:style w:type="paragraph" w:styleId="30">
    <w:name w:val="Plain Text"/>
    <w:basedOn w:val="1"/>
    <w:link w:val="98"/>
    <w:autoRedefine/>
    <w:qFormat/>
    <w:uiPriority w:val="99"/>
    <w:rPr>
      <w:rFonts w:ascii="宋体" w:hAnsi="Courier New" w:cs="Courier New"/>
      <w:szCs w:val="21"/>
    </w:rPr>
  </w:style>
  <w:style w:type="paragraph" w:styleId="31">
    <w:name w:val="toc 8"/>
    <w:basedOn w:val="1"/>
    <w:next w:val="1"/>
    <w:autoRedefine/>
    <w:qFormat/>
    <w:uiPriority w:val="0"/>
    <w:pPr>
      <w:ind w:left="1470"/>
    </w:pPr>
    <w:rPr>
      <w:sz w:val="18"/>
    </w:rPr>
  </w:style>
  <w:style w:type="paragraph" w:styleId="32">
    <w:name w:val="index 3"/>
    <w:basedOn w:val="1"/>
    <w:next w:val="1"/>
    <w:autoRedefine/>
    <w:qFormat/>
    <w:uiPriority w:val="0"/>
    <w:pPr>
      <w:ind w:left="840"/>
    </w:pPr>
  </w:style>
  <w:style w:type="paragraph" w:styleId="33">
    <w:name w:val="Date"/>
    <w:basedOn w:val="1"/>
    <w:next w:val="1"/>
    <w:link w:val="99"/>
    <w:autoRedefine/>
    <w:qFormat/>
    <w:uiPriority w:val="0"/>
    <w:pPr>
      <w:ind w:left="100" w:leftChars="2500"/>
    </w:pPr>
    <w:rPr>
      <w:sz w:val="20"/>
    </w:rPr>
  </w:style>
  <w:style w:type="paragraph" w:styleId="34">
    <w:name w:val="Body Text Indent 2"/>
    <w:basedOn w:val="1"/>
    <w:link w:val="100"/>
    <w:autoRedefine/>
    <w:qFormat/>
    <w:uiPriority w:val="0"/>
    <w:pPr>
      <w:ind w:left="630" w:firstLine="645"/>
    </w:pPr>
    <w:rPr>
      <w:sz w:val="20"/>
    </w:rPr>
  </w:style>
  <w:style w:type="paragraph" w:styleId="35">
    <w:name w:val="endnote text"/>
    <w:basedOn w:val="1"/>
    <w:link w:val="101"/>
    <w:autoRedefine/>
    <w:qFormat/>
    <w:uiPriority w:val="0"/>
    <w:pPr>
      <w:snapToGrid w:val="0"/>
    </w:pPr>
    <w:rPr>
      <w:kern w:val="0"/>
      <w:sz w:val="24"/>
      <w:szCs w:val="24"/>
    </w:rPr>
  </w:style>
  <w:style w:type="paragraph" w:styleId="36">
    <w:name w:val="Balloon Text"/>
    <w:basedOn w:val="1"/>
    <w:link w:val="102"/>
    <w:autoRedefine/>
    <w:qFormat/>
    <w:uiPriority w:val="0"/>
    <w:rPr>
      <w:sz w:val="18"/>
      <w:szCs w:val="18"/>
    </w:rPr>
  </w:style>
  <w:style w:type="paragraph" w:styleId="37">
    <w:name w:val="footer"/>
    <w:basedOn w:val="1"/>
    <w:link w:val="103"/>
    <w:autoRedefine/>
    <w:qFormat/>
    <w:uiPriority w:val="99"/>
    <w:pPr>
      <w:tabs>
        <w:tab w:val="center" w:pos="4153"/>
        <w:tab w:val="right" w:pos="8306"/>
      </w:tabs>
      <w:snapToGrid w:val="0"/>
    </w:pPr>
    <w:rPr>
      <w:sz w:val="18"/>
      <w:szCs w:val="18"/>
    </w:rPr>
  </w:style>
  <w:style w:type="paragraph" w:styleId="38">
    <w:name w:val="header"/>
    <w:basedOn w:val="1"/>
    <w:link w:val="104"/>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05"/>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pPr>
    <w:rPr>
      <w:b/>
      <w:caps/>
      <w:sz w:val="20"/>
    </w:rPr>
  </w:style>
  <w:style w:type="paragraph" w:styleId="41">
    <w:name w:val="toc 4"/>
    <w:basedOn w:val="1"/>
    <w:next w:val="1"/>
    <w:autoRedefine/>
    <w:qFormat/>
    <w:uiPriority w:val="0"/>
    <w:pPr>
      <w:ind w:left="630"/>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106"/>
    <w:autoRedefine/>
    <w:qFormat/>
    <w:uiPriority w:val="0"/>
    <w:pPr>
      <w:widowControl/>
      <w:spacing w:after="600" w:line="276" w:lineRule="auto"/>
    </w:pPr>
    <w:rPr>
      <w:rFonts w:ascii="Cambria" w:hAnsi="Cambria"/>
      <w:i/>
      <w:iCs/>
      <w:spacing w:val="13"/>
      <w:kern w:val="0"/>
      <w:sz w:val="24"/>
      <w:szCs w:val="24"/>
      <w:lang w:eastAsia="en-US"/>
    </w:rPr>
  </w:style>
  <w:style w:type="paragraph" w:styleId="45">
    <w:name w:val="footnote text"/>
    <w:basedOn w:val="1"/>
    <w:link w:val="107"/>
    <w:autoRedefine/>
    <w:qFormat/>
    <w:uiPriority w:val="0"/>
    <w:pPr>
      <w:snapToGrid w:val="0"/>
    </w:pPr>
    <w:rPr>
      <w:sz w:val="18"/>
      <w:szCs w:val="18"/>
    </w:rPr>
  </w:style>
  <w:style w:type="paragraph" w:styleId="46">
    <w:name w:val="toc 6"/>
    <w:basedOn w:val="1"/>
    <w:next w:val="1"/>
    <w:autoRedefine/>
    <w:qFormat/>
    <w:uiPriority w:val="0"/>
    <w:pPr>
      <w:ind w:left="1050"/>
    </w:pPr>
    <w:rPr>
      <w:sz w:val="18"/>
    </w:rPr>
  </w:style>
  <w:style w:type="paragraph" w:styleId="47">
    <w:name w:val="Body Text Indent 3"/>
    <w:basedOn w:val="1"/>
    <w:link w:val="108"/>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pPr>
    <w:rPr>
      <w:smallCaps/>
      <w:sz w:val="20"/>
    </w:rPr>
  </w:style>
  <w:style w:type="paragraph" w:styleId="52">
    <w:name w:val="toc 9"/>
    <w:basedOn w:val="1"/>
    <w:next w:val="1"/>
    <w:autoRedefine/>
    <w:qFormat/>
    <w:uiPriority w:val="0"/>
    <w:pPr>
      <w:ind w:left="1680"/>
    </w:pPr>
    <w:rPr>
      <w:sz w:val="18"/>
    </w:rPr>
  </w:style>
  <w:style w:type="paragraph" w:styleId="53">
    <w:name w:val="Body Text 2"/>
    <w:basedOn w:val="1"/>
    <w:link w:val="109"/>
    <w:autoRedefine/>
    <w:qFormat/>
    <w:uiPriority w:val="0"/>
    <w:pPr>
      <w:widowControl/>
      <w:jc w:val="center"/>
    </w:pPr>
    <w:rPr>
      <w:rFonts w:ascii="楷体_GB2312" w:eastAsia="楷体_GB2312"/>
      <w:sz w:val="20"/>
    </w:rPr>
  </w:style>
  <w:style w:type="paragraph" w:styleId="54">
    <w:name w:val="HTML Preformatted"/>
    <w:basedOn w:val="1"/>
    <w:link w:val="11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link w:val="82"/>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19"/>
    <w:next w:val="19"/>
    <w:link w:val="111"/>
    <w:autoRedefine/>
    <w:qFormat/>
    <w:uiPriority w:val="0"/>
    <w:rPr>
      <w:b/>
      <w:bCs/>
    </w:rPr>
  </w:style>
  <w:style w:type="paragraph" w:styleId="59">
    <w:name w:val="Body Text First Indent"/>
    <w:basedOn w:val="23"/>
    <w:link w:val="112"/>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99"/>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模板普通正文"/>
    <w:basedOn w:val="24"/>
    <w:autoRedefine/>
    <w:qFormat/>
    <w:uiPriority w:val="0"/>
    <w:pPr>
      <w:spacing w:beforeLines="50" w:after="10"/>
      <w:ind w:firstLine="490" w:firstLineChars="175"/>
    </w:pPr>
  </w:style>
  <w:style w:type="character" w:customStyle="1" w:styleId="82">
    <w:name w:val="标题 Char"/>
    <w:basedOn w:val="63"/>
    <w:link w:val="57"/>
    <w:autoRedefine/>
    <w:qFormat/>
    <w:uiPriority w:val="0"/>
    <w:rPr>
      <w:rFonts w:ascii="Cambria" w:hAnsi="Cambria" w:eastAsia="宋体" w:cs="Times New Roman"/>
      <w:b/>
      <w:bCs/>
      <w:sz w:val="32"/>
      <w:szCs w:val="32"/>
    </w:rPr>
  </w:style>
  <w:style w:type="character" w:customStyle="1" w:styleId="83">
    <w:name w:val="正文文本缩进 Char1"/>
    <w:basedOn w:val="63"/>
    <w:link w:val="24"/>
    <w:autoRedefine/>
    <w:qFormat/>
    <w:uiPriority w:val="0"/>
    <w:rPr>
      <w:rFonts w:ascii="Times New Roman" w:hAnsi="Times New Roman"/>
      <w:kern w:val="2"/>
      <w:sz w:val="21"/>
    </w:rPr>
  </w:style>
  <w:style w:type="character" w:customStyle="1" w:styleId="84">
    <w:name w:val="标题 1 Char"/>
    <w:basedOn w:val="63"/>
    <w:link w:val="2"/>
    <w:autoRedefine/>
    <w:qFormat/>
    <w:uiPriority w:val="0"/>
    <w:rPr>
      <w:rFonts w:ascii="黑体" w:hAnsi="Times New Roman" w:eastAsia="黑体" w:cs="Times New Roman"/>
      <w:b/>
      <w:kern w:val="44"/>
      <w:sz w:val="28"/>
      <w:szCs w:val="28"/>
    </w:rPr>
  </w:style>
  <w:style w:type="character" w:customStyle="1" w:styleId="85">
    <w:name w:val="标题 2 Char"/>
    <w:basedOn w:val="63"/>
    <w:link w:val="3"/>
    <w:autoRedefine/>
    <w:qFormat/>
    <w:uiPriority w:val="0"/>
    <w:rPr>
      <w:rFonts w:ascii="宋体" w:hAnsi="宋体" w:eastAsia="宋体" w:cs="Times New Roman"/>
      <w:b/>
      <w:sz w:val="24"/>
      <w:szCs w:val="24"/>
    </w:rPr>
  </w:style>
  <w:style w:type="character" w:customStyle="1" w:styleId="86">
    <w:name w:val="标题 3 Char1"/>
    <w:basedOn w:val="63"/>
    <w:link w:val="5"/>
    <w:autoRedefine/>
    <w:qFormat/>
    <w:uiPriority w:val="0"/>
    <w:rPr>
      <w:rFonts w:ascii="宋体" w:hAnsi="宋体" w:eastAsia="宋体"/>
      <w:b/>
      <w:sz w:val="21"/>
      <w:shd w:val="clear" w:color="auto" w:fill="FFFFFF"/>
    </w:rPr>
  </w:style>
  <w:style w:type="character" w:customStyle="1" w:styleId="87">
    <w:name w:val="标题 4 Char"/>
    <w:basedOn w:val="63"/>
    <w:link w:val="6"/>
    <w:autoRedefine/>
    <w:qFormat/>
    <w:uiPriority w:val="0"/>
    <w:rPr>
      <w:rFonts w:ascii="Arial" w:hAnsi="Arial" w:eastAsia="黑体" w:cs="Times New Roman"/>
      <w:b/>
      <w:sz w:val="20"/>
      <w:szCs w:val="20"/>
    </w:rPr>
  </w:style>
  <w:style w:type="character" w:customStyle="1" w:styleId="88">
    <w:name w:val="标题 5 Char"/>
    <w:basedOn w:val="63"/>
    <w:link w:val="7"/>
    <w:autoRedefine/>
    <w:qFormat/>
    <w:uiPriority w:val="0"/>
    <w:rPr>
      <w:rFonts w:ascii="黑体" w:hAnsi="Times New Roman" w:eastAsia="黑体" w:cs="Times New Roman"/>
      <w:b/>
      <w:color w:val="000000"/>
      <w:kern w:val="0"/>
      <w:sz w:val="20"/>
      <w:szCs w:val="20"/>
    </w:rPr>
  </w:style>
  <w:style w:type="character" w:customStyle="1" w:styleId="89">
    <w:name w:val="标题 6 Char"/>
    <w:basedOn w:val="63"/>
    <w:link w:val="8"/>
    <w:autoRedefine/>
    <w:qFormat/>
    <w:uiPriority w:val="0"/>
    <w:rPr>
      <w:rFonts w:ascii="Arial" w:hAnsi="Arial" w:eastAsia="黑体" w:cs="Times New Roman"/>
      <w:b/>
      <w:bCs/>
      <w:sz w:val="24"/>
      <w:szCs w:val="24"/>
    </w:rPr>
  </w:style>
  <w:style w:type="character" w:customStyle="1" w:styleId="90">
    <w:name w:val="标题 7 Char"/>
    <w:basedOn w:val="63"/>
    <w:link w:val="9"/>
    <w:autoRedefine/>
    <w:qFormat/>
    <w:uiPriority w:val="0"/>
    <w:rPr>
      <w:rFonts w:ascii="Times New Roman" w:hAnsi="Times New Roman" w:eastAsia="宋体" w:cs="Times New Roman"/>
      <w:b/>
      <w:bCs/>
      <w:sz w:val="24"/>
      <w:szCs w:val="24"/>
    </w:rPr>
  </w:style>
  <w:style w:type="character" w:customStyle="1" w:styleId="91">
    <w:name w:val="标题 8 Char"/>
    <w:basedOn w:val="63"/>
    <w:link w:val="10"/>
    <w:autoRedefine/>
    <w:qFormat/>
    <w:uiPriority w:val="0"/>
    <w:rPr>
      <w:rFonts w:ascii="Arial" w:hAnsi="Arial" w:eastAsia="黑体" w:cs="Times New Roman"/>
      <w:sz w:val="24"/>
      <w:szCs w:val="24"/>
    </w:rPr>
  </w:style>
  <w:style w:type="character" w:customStyle="1" w:styleId="92">
    <w:name w:val="标题 9 Char"/>
    <w:basedOn w:val="63"/>
    <w:link w:val="11"/>
    <w:autoRedefine/>
    <w:qFormat/>
    <w:uiPriority w:val="0"/>
    <w:rPr>
      <w:rFonts w:ascii="Arial" w:hAnsi="Arial" w:eastAsia="黑体" w:cs="Times New Roman"/>
      <w:sz w:val="21"/>
      <w:szCs w:val="21"/>
    </w:rPr>
  </w:style>
  <w:style w:type="character" w:customStyle="1" w:styleId="93">
    <w:name w:val="文档结构图 Char1"/>
    <w:basedOn w:val="63"/>
    <w:link w:val="18"/>
    <w:autoRedefine/>
    <w:qFormat/>
    <w:uiPriority w:val="0"/>
    <w:rPr>
      <w:rFonts w:ascii="Times New Roman" w:hAnsi="Times New Roman"/>
      <w:kern w:val="2"/>
      <w:sz w:val="16"/>
      <w:szCs w:val="0"/>
    </w:rPr>
  </w:style>
  <w:style w:type="character" w:customStyle="1" w:styleId="94">
    <w:name w:val="批注文字 Char"/>
    <w:basedOn w:val="63"/>
    <w:link w:val="19"/>
    <w:autoRedefine/>
    <w:qFormat/>
    <w:uiPriority w:val="99"/>
    <w:rPr>
      <w:rFonts w:ascii="Times New Roman" w:hAnsi="Times New Roman" w:eastAsia="宋体" w:cs="Times New Roman"/>
      <w:sz w:val="20"/>
      <w:szCs w:val="20"/>
    </w:rPr>
  </w:style>
  <w:style w:type="character" w:customStyle="1" w:styleId="95">
    <w:name w:val="称呼 Char"/>
    <w:basedOn w:val="63"/>
    <w:link w:val="21"/>
    <w:autoRedefine/>
    <w:qFormat/>
    <w:uiPriority w:val="0"/>
    <w:rPr>
      <w:rFonts w:ascii="仿宋_GB2312" w:hAnsi="Times New Roman" w:eastAsia="仿宋_GB2312" w:cs="Times New Roman"/>
      <w:sz w:val="20"/>
      <w:szCs w:val="20"/>
    </w:rPr>
  </w:style>
  <w:style w:type="character" w:customStyle="1" w:styleId="96">
    <w:name w:val="正文文本 3 Char"/>
    <w:basedOn w:val="63"/>
    <w:link w:val="22"/>
    <w:autoRedefine/>
    <w:qFormat/>
    <w:uiPriority w:val="0"/>
    <w:rPr>
      <w:rFonts w:ascii="仿宋_GB2312" w:hAnsi="Arial" w:eastAsia="仿宋_GB2312" w:cs="Times New Roman"/>
      <w:sz w:val="20"/>
      <w:szCs w:val="20"/>
    </w:rPr>
  </w:style>
  <w:style w:type="character" w:customStyle="1" w:styleId="97">
    <w:name w:val="正文文本 Char"/>
    <w:basedOn w:val="63"/>
    <w:link w:val="23"/>
    <w:autoRedefine/>
    <w:qFormat/>
    <w:uiPriority w:val="0"/>
    <w:rPr>
      <w:rFonts w:ascii="楷体_GB2312" w:hAnsi="Arial" w:eastAsia="楷体_GB2312" w:cs="Times New Roman"/>
      <w:sz w:val="20"/>
      <w:szCs w:val="20"/>
    </w:rPr>
  </w:style>
  <w:style w:type="character" w:customStyle="1" w:styleId="98">
    <w:name w:val="纯文本 Char2"/>
    <w:basedOn w:val="63"/>
    <w:link w:val="30"/>
    <w:autoRedefine/>
    <w:qFormat/>
    <w:uiPriority w:val="99"/>
    <w:rPr>
      <w:rFonts w:ascii="宋体" w:hAnsi="Courier New" w:cs="Courier New"/>
      <w:kern w:val="2"/>
      <w:sz w:val="21"/>
      <w:szCs w:val="21"/>
    </w:rPr>
  </w:style>
  <w:style w:type="character" w:customStyle="1" w:styleId="99">
    <w:name w:val="日期 Char"/>
    <w:basedOn w:val="63"/>
    <w:link w:val="33"/>
    <w:autoRedefine/>
    <w:qFormat/>
    <w:uiPriority w:val="0"/>
    <w:rPr>
      <w:rFonts w:ascii="Times New Roman" w:hAnsi="Times New Roman" w:eastAsia="宋体" w:cs="Times New Roman"/>
      <w:sz w:val="20"/>
      <w:szCs w:val="20"/>
    </w:rPr>
  </w:style>
  <w:style w:type="character" w:customStyle="1" w:styleId="100">
    <w:name w:val="正文文本缩进 2 Char"/>
    <w:basedOn w:val="63"/>
    <w:link w:val="34"/>
    <w:autoRedefine/>
    <w:qFormat/>
    <w:uiPriority w:val="0"/>
    <w:rPr>
      <w:rFonts w:ascii="Times New Roman" w:hAnsi="Times New Roman" w:eastAsia="宋体" w:cs="Times New Roman"/>
      <w:sz w:val="20"/>
      <w:szCs w:val="20"/>
    </w:rPr>
  </w:style>
  <w:style w:type="character" w:customStyle="1" w:styleId="101">
    <w:name w:val="尾注文本 Char"/>
    <w:basedOn w:val="63"/>
    <w:link w:val="35"/>
    <w:autoRedefine/>
    <w:qFormat/>
    <w:uiPriority w:val="0"/>
    <w:rPr>
      <w:rFonts w:ascii="Times New Roman" w:hAnsi="Times New Roman" w:eastAsia="宋体" w:cs="Times New Roman"/>
      <w:kern w:val="0"/>
      <w:sz w:val="24"/>
      <w:szCs w:val="24"/>
    </w:rPr>
  </w:style>
  <w:style w:type="character" w:customStyle="1" w:styleId="102">
    <w:name w:val="批注框文本 Char"/>
    <w:basedOn w:val="63"/>
    <w:link w:val="36"/>
    <w:autoRedefine/>
    <w:qFormat/>
    <w:uiPriority w:val="0"/>
    <w:rPr>
      <w:rFonts w:ascii="Times New Roman" w:hAnsi="Times New Roman" w:eastAsia="宋体" w:cs="Times New Roman"/>
      <w:sz w:val="18"/>
      <w:szCs w:val="18"/>
    </w:rPr>
  </w:style>
  <w:style w:type="character" w:customStyle="1" w:styleId="103">
    <w:name w:val="页脚 Char"/>
    <w:basedOn w:val="63"/>
    <w:link w:val="37"/>
    <w:autoRedefine/>
    <w:qFormat/>
    <w:uiPriority w:val="99"/>
    <w:rPr>
      <w:rFonts w:cs="Times New Roman"/>
      <w:sz w:val="18"/>
      <w:szCs w:val="18"/>
    </w:rPr>
  </w:style>
  <w:style w:type="character" w:customStyle="1" w:styleId="104">
    <w:name w:val="页眉 Char"/>
    <w:basedOn w:val="63"/>
    <w:link w:val="38"/>
    <w:autoRedefine/>
    <w:qFormat/>
    <w:uiPriority w:val="99"/>
    <w:rPr>
      <w:rFonts w:cs="Times New Roman"/>
      <w:sz w:val="18"/>
      <w:szCs w:val="18"/>
    </w:rPr>
  </w:style>
  <w:style w:type="character" w:customStyle="1" w:styleId="105">
    <w:name w:val="签名 Char"/>
    <w:basedOn w:val="63"/>
    <w:link w:val="39"/>
    <w:autoRedefine/>
    <w:qFormat/>
    <w:uiPriority w:val="0"/>
    <w:rPr>
      <w:rFonts w:ascii="Times New Roman" w:hAnsi="Times New Roman" w:eastAsia="仿宋_GB2312" w:cs="Times New Roman"/>
      <w:kern w:val="0"/>
      <w:sz w:val="20"/>
      <w:szCs w:val="20"/>
    </w:rPr>
  </w:style>
  <w:style w:type="character" w:customStyle="1" w:styleId="106">
    <w:name w:val="副标题 Char"/>
    <w:basedOn w:val="63"/>
    <w:link w:val="44"/>
    <w:autoRedefine/>
    <w:qFormat/>
    <w:uiPriority w:val="0"/>
    <w:rPr>
      <w:rFonts w:ascii="Cambria" w:hAnsi="Cambria" w:eastAsia="宋体" w:cs="Times New Roman"/>
      <w:i/>
      <w:iCs/>
      <w:spacing w:val="13"/>
      <w:kern w:val="0"/>
      <w:sz w:val="24"/>
      <w:szCs w:val="24"/>
      <w:lang w:eastAsia="en-US"/>
    </w:rPr>
  </w:style>
  <w:style w:type="character" w:customStyle="1" w:styleId="107">
    <w:name w:val="脚注文本 Char"/>
    <w:basedOn w:val="63"/>
    <w:link w:val="45"/>
    <w:autoRedefine/>
    <w:qFormat/>
    <w:uiPriority w:val="0"/>
    <w:rPr>
      <w:rFonts w:ascii="Times New Roman" w:hAnsi="Times New Roman" w:eastAsia="宋体" w:cs="Times New Roman"/>
      <w:sz w:val="18"/>
      <w:szCs w:val="18"/>
    </w:rPr>
  </w:style>
  <w:style w:type="character" w:customStyle="1" w:styleId="108">
    <w:name w:val="正文文本缩进 3 Char"/>
    <w:basedOn w:val="63"/>
    <w:link w:val="47"/>
    <w:autoRedefine/>
    <w:qFormat/>
    <w:uiPriority w:val="0"/>
    <w:rPr>
      <w:rFonts w:ascii="Times New Roman" w:hAnsi="Times New Roman" w:eastAsia="宋体" w:cs="Times New Roman"/>
      <w:sz w:val="16"/>
      <w:szCs w:val="16"/>
    </w:rPr>
  </w:style>
  <w:style w:type="character" w:customStyle="1" w:styleId="109">
    <w:name w:val="正文文本 2 Char"/>
    <w:basedOn w:val="63"/>
    <w:link w:val="53"/>
    <w:autoRedefine/>
    <w:qFormat/>
    <w:uiPriority w:val="0"/>
    <w:rPr>
      <w:rFonts w:ascii="楷体_GB2312" w:hAnsi="Times New Roman" w:eastAsia="楷体_GB2312" w:cs="Times New Roman"/>
      <w:sz w:val="20"/>
      <w:szCs w:val="20"/>
    </w:rPr>
  </w:style>
  <w:style w:type="character" w:customStyle="1" w:styleId="110">
    <w:name w:val="HTML 预设格式 Char1"/>
    <w:basedOn w:val="63"/>
    <w:link w:val="54"/>
    <w:autoRedefine/>
    <w:qFormat/>
    <w:uiPriority w:val="0"/>
    <w:rPr>
      <w:rFonts w:ascii="Courier New" w:hAnsi="Courier New" w:cs="Courier New"/>
      <w:kern w:val="2"/>
    </w:rPr>
  </w:style>
  <w:style w:type="character" w:customStyle="1" w:styleId="111">
    <w:name w:val="批注主题 Char"/>
    <w:basedOn w:val="94"/>
    <w:link w:val="58"/>
    <w:autoRedefine/>
    <w:qFormat/>
    <w:uiPriority w:val="0"/>
    <w:rPr>
      <w:rFonts w:ascii="Times New Roman" w:hAnsi="Times New Roman" w:eastAsia="宋体" w:cs="Times New Roman"/>
      <w:b/>
      <w:bCs/>
      <w:sz w:val="20"/>
      <w:szCs w:val="20"/>
    </w:rPr>
  </w:style>
  <w:style w:type="character" w:customStyle="1" w:styleId="112">
    <w:name w:val="正文首行缩进 Char"/>
    <w:basedOn w:val="97"/>
    <w:link w:val="59"/>
    <w:autoRedefine/>
    <w:qFormat/>
    <w:uiPriority w:val="0"/>
    <w:rPr>
      <w:rFonts w:ascii="Times New Roman" w:hAnsi="Times New Roman" w:eastAsia="宋体" w:cs="Times New Roman"/>
      <w:sz w:val="24"/>
      <w:szCs w:val="24"/>
    </w:rPr>
  </w:style>
  <w:style w:type="paragraph" w:customStyle="1" w:styleId="11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114">
    <w:name w:val="页脚 Char1"/>
    <w:basedOn w:val="63"/>
    <w:autoRedefine/>
    <w:qFormat/>
    <w:uiPriority w:val="0"/>
    <w:rPr>
      <w:rFonts w:cs="Times New Roman"/>
      <w:kern w:val="2"/>
      <w:sz w:val="18"/>
      <w:szCs w:val="18"/>
    </w:rPr>
  </w:style>
  <w:style w:type="character" w:customStyle="1" w:styleId="115">
    <w:name w:val="Body Text Indent 2 Char"/>
    <w:autoRedefine/>
    <w:qFormat/>
    <w:uiPriority w:val="0"/>
    <w:rPr>
      <w:rFonts w:ascii="Arial" w:hAnsi="Arial" w:eastAsia="仿宋_GB2312"/>
      <w:sz w:val="32"/>
    </w:rPr>
  </w:style>
  <w:style w:type="character" w:customStyle="1" w:styleId="116">
    <w:name w:val="Body Text Indent 3 Char1"/>
    <w:basedOn w:val="63"/>
    <w:autoRedefine/>
    <w:qFormat/>
    <w:uiPriority w:val="0"/>
    <w:rPr>
      <w:rFonts w:ascii="Times New Roman" w:hAnsi="Times New Roman"/>
      <w:kern w:val="2"/>
      <w:sz w:val="16"/>
      <w:szCs w:val="16"/>
    </w:rPr>
  </w:style>
  <w:style w:type="character" w:customStyle="1" w:styleId="117">
    <w:name w:val="listbenefit"/>
    <w:autoRedefine/>
    <w:qFormat/>
    <w:uiPriority w:val="0"/>
  </w:style>
  <w:style w:type="character" w:customStyle="1" w:styleId="118">
    <w:name w:val="Char Char27"/>
    <w:autoRedefine/>
    <w:qFormat/>
    <w:uiPriority w:val="0"/>
    <w:rPr>
      <w:b/>
      <w:kern w:val="44"/>
      <w:sz w:val="44"/>
    </w:rPr>
  </w:style>
  <w:style w:type="character" w:customStyle="1" w:styleId="119">
    <w:name w:val="param-value"/>
    <w:basedOn w:val="63"/>
    <w:autoRedefine/>
    <w:qFormat/>
    <w:uiPriority w:val="0"/>
    <w:rPr>
      <w:rFonts w:cs="Times New Roman"/>
    </w:rPr>
  </w:style>
  <w:style w:type="character" w:customStyle="1" w:styleId="120">
    <w:name w:val="纯文本 Char Char Char1"/>
    <w:autoRedefine/>
    <w:qFormat/>
    <w:uiPriority w:val="0"/>
    <w:rPr>
      <w:rFonts w:ascii="宋体" w:hAnsi="Courier New" w:eastAsia="宋体"/>
      <w:kern w:val="2"/>
      <w:sz w:val="21"/>
      <w:lang w:val="en-US" w:eastAsia="zh-CN"/>
    </w:rPr>
  </w:style>
  <w:style w:type="character" w:customStyle="1" w:styleId="121">
    <w:name w:val="apple-converted-space"/>
    <w:basedOn w:val="63"/>
    <w:autoRedefine/>
    <w:qFormat/>
    <w:uiPriority w:val="0"/>
    <w:rPr>
      <w:rFonts w:cs="Times New Roman"/>
    </w:rPr>
  </w:style>
  <w:style w:type="character" w:customStyle="1" w:styleId="122">
    <w:name w:val="Char Char29"/>
    <w:autoRedefine/>
    <w:qFormat/>
    <w:uiPriority w:val="0"/>
    <w:rPr>
      <w:rFonts w:ascii="Times New Roman" w:hAnsi="Times New Roman" w:eastAsia="宋体"/>
      <w:b/>
      <w:kern w:val="44"/>
      <w:sz w:val="44"/>
    </w:rPr>
  </w:style>
  <w:style w:type="character" w:customStyle="1" w:styleId="123">
    <w:name w:val="标题 3 Char"/>
    <w:basedOn w:val="63"/>
    <w:autoRedefine/>
    <w:qFormat/>
    <w:uiPriority w:val="0"/>
    <w:rPr>
      <w:rFonts w:ascii="Times New Roman" w:hAnsi="Times New Roman" w:eastAsia="宋体" w:cs="Times New Roman"/>
      <w:b/>
      <w:bCs/>
      <w:sz w:val="32"/>
      <w:szCs w:val="32"/>
    </w:rPr>
  </w:style>
  <w:style w:type="character" w:customStyle="1" w:styleId="124">
    <w:name w:val="正文文本缩进 Char"/>
    <w:basedOn w:val="63"/>
    <w:autoRedefine/>
    <w:qFormat/>
    <w:uiPriority w:val="0"/>
    <w:rPr>
      <w:rFonts w:ascii="Times New Roman" w:hAnsi="Times New Roman" w:eastAsia="宋体" w:cs="Times New Roman"/>
      <w:sz w:val="20"/>
      <w:szCs w:val="20"/>
    </w:rPr>
  </w:style>
  <w:style w:type="character" w:customStyle="1" w:styleId="125">
    <w:name w:val="Plain Text Char"/>
    <w:autoRedefine/>
    <w:qFormat/>
    <w:uiPriority w:val="0"/>
    <w:rPr>
      <w:rFonts w:ascii="宋体" w:hAnsi="Courier New"/>
    </w:rPr>
  </w:style>
  <w:style w:type="character" w:customStyle="1" w:styleId="126">
    <w:name w:val="HTML 预设格式 Char"/>
    <w:basedOn w:val="63"/>
    <w:autoRedefine/>
    <w:qFormat/>
    <w:uiPriority w:val="0"/>
    <w:rPr>
      <w:rFonts w:ascii="Courier New" w:hAnsi="Courier New" w:eastAsia="宋体" w:cs="Courier New"/>
      <w:sz w:val="20"/>
      <w:szCs w:val="20"/>
    </w:rPr>
  </w:style>
  <w:style w:type="character" w:customStyle="1" w:styleId="127">
    <w:name w:val="批注文字 Char Char"/>
    <w:autoRedefine/>
    <w:qFormat/>
    <w:uiPriority w:val="0"/>
    <w:rPr>
      <w:rFonts w:eastAsia="宋体"/>
      <w:kern w:val="2"/>
      <w:sz w:val="21"/>
      <w:lang w:val="en-US" w:eastAsia="zh-CN"/>
    </w:rPr>
  </w:style>
  <w:style w:type="character" w:customStyle="1" w:styleId="128">
    <w:name w:val="Body Text Indent Char"/>
    <w:autoRedefine/>
    <w:qFormat/>
    <w:uiPriority w:val="0"/>
    <w:rPr>
      <w:rFonts w:ascii="楷体_GB2312" w:eastAsia="楷体_GB2312"/>
      <w:sz w:val="32"/>
    </w:rPr>
  </w:style>
  <w:style w:type="character" w:customStyle="1" w:styleId="129">
    <w:name w:val="已访问的超链接1"/>
    <w:autoRedefine/>
    <w:qFormat/>
    <w:uiPriority w:val="0"/>
    <w:rPr>
      <w:color w:val="auto"/>
      <w:u w:val="none"/>
    </w:rPr>
  </w:style>
  <w:style w:type="character" w:customStyle="1" w:styleId="130">
    <w:name w:val="纯文本 Char Char Char"/>
    <w:autoRedefine/>
    <w:qFormat/>
    <w:uiPriority w:val="0"/>
    <w:rPr>
      <w:rFonts w:ascii="宋体" w:hAnsi="Courier New" w:eastAsia="宋体"/>
      <w:kern w:val="2"/>
      <w:sz w:val="21"/>
      <w:lang w:val="en-US" w:eastAsia="zh-CN"/>
    </w:rPr>
  </w:style>
  <w:style w:type="character" w:customStyle="1" w:styleId="131">
    <w:name w:val="普通文字1 Char"/>
    <w:autoRedefine/>
    <w:qFormat/>
    <w:uiPriority w:val="0"/>
    <w:rPr>
      <w:rFonts w:ascii="宋体" w:eastAsia="宋体"/>
      <w:kern w:val="2"/>
      <w:sz w:val="21"/>
      <w:lang w:val="en-US" w:eastAsia="zh-CN"/>
    </w:rPr>
  </w:style>
  <w:style w:type="character" w:customStyle="1" w:styleId="132">
    <w:name w:val="Comment Subject Char"/>
    <w:autoRedefine/>
    <w:qFormat/>
    <w:uiPriority w:val="0"/>
    <w:rPr>
      <w:b/>
    </w:rPr>
  </w:style>
  <w:style w:type="character" w:customStyle="1" w:styleId="133">
    <w:name w:val="Char Char28"/>
    <w:autoRedefine/>
    <w:qFormat/>
    <w:uiPriority w:val="0"/>
    <w:rPr>
      <w:rFonts w:ascii="Arial" w:hAnsi="Arial" w:eastAsia="黑体"/>
      <w:b/>
      <w:sz w:val="32"/>
    </w:rPr>
  </w:style>
  <w:style w:type="character" w:customStyle="1" w:styleId="134">
    <w:name w:val="Char Char23"/>
    <w:autoRedefine/>
    <w:qFormat/>
    <w:uiPriority w:val="0"/>
    <w:rPr>
      <w:rFonts w:ascii="Arial" w:hAnsi="Arial" w:eastAsia="黑体"/>
      <w:b/>
      <w:kern w:val="2"/>
      <w:sz w:val="24"/>
    </w:rPr>
  </w:style>
  <w:style w:type="character" w:customStyle="1" w:styleId="135">
    <w:name w:val="Char Char21"/>
    <w:autoRedefine/>
    <w:qFormat/>
    <w:uiPriority w:val="0"/>
    <w:rPr>
      <w:rFonts w:ascii="Arial" w:hAnsi="Arial" w:eastAsia="黑体"/>
      <w:kern w:val="2"/>
      <w:sz w:val="24"/>
    </w:rPr>
  </w:style>
  <w:style w:type="character" w:customStyle="1" w:styleId="136">
    <w:name w:val="Char Char2"/>
    <w:autoRedefine/>
    <w:qFormat/>
    <w:uiPriority w:val="0"/>
    <w:rPr>
      <w:rFonts w:ascii="宋体" w:hAnsi="Courier New" w:eastAsia="宋体"/>
      <w:kern w:val="2"/>
      <w:sz w:val="21"/>
      <w:lang w:val="en-US" w:eastAsia="zh-CN"/>
    </w:rPr>
  </w:style>
  <w:style w:type="character" w:customStyle="1" w:styleId="137">
    <w:name w:val="t1"/>
    <w:autoRedefine/>
    <w:qFormat/>
    <w:uiPriority w:val="0"/>
  </w:style>
  <w:style w:type="character" w:customStyle="1" w:styleId="138">
    <w:name w:val="华宇段落1 Char Char Char"/>
    <w:autoRedefine/>
    <w:qFormat/>
    <w:uiPriority w:val="0"/>
    <w:rPr>
      <w:rFonts w:eastAsia="宋体"/>
      <w:kern w:val="2"/>
      <w:sz w:val="24"/>
      <w:lang w:val="en-US" w:eastAsia="zh-CN"/>
    </w:rPr>
  </w:style>
  <w:style w:type="character" w:customStyle="1" w:styleId="139">
    <w:name w:val="纯文本 Char1"/>
    <w:autoRedefine/>
    <w:qFormat/>
    <w:uiPriority w:val="0"/>
    <w:rPr>
      <w:rFonts w:ascii="宋体" w:hAnsi="Courier New"/>
      <w:kern w:val="2"/>
      <w:sz w:val="21"/>
    </w:rPr>
  </w:style>
  <w:style w:type="character" w:customStyle="1" w:styleId="140">
    <w:name w:val="textcontents"/>
    <w:basedOn w:val="63"/>
    <w:autoRedefine/>
    <w:qFormat/>
    <w:uiPriority w:val="0"/>
    <w:rPr>
      <w:rFonts w:cs="Times New Roman"/>
    </w:rPr>
  </w:style>
  <w:style w:type="character" w:customStyle="1" w:styleId="141">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42">
    <w:name w:val="纯文本 Char"/>
    <w:basedOn w:val="63"/>
    <w:autoRedefine/>
    <w:qFormat/>
    <w:uiPriority w:val="99"/>
    <w:rPr>
      <w:rFonts w:ascii="宋体" w:hAnsi="Courier New" w:eastAsia="宋体" w:cs="Courier New"/>
      <w:sz w:val="21"/>
      <w:szCs w:val="21"/>
    </w:rPr>
  </w:style>
  <w:style w:type="character" w:customStyle="1" w:styleId="143">
    <w:name w:val="我的正文 Char Char"/>
    <w:link w:val="144"/>
    <w:autoRedefine/>
    <w:qFormat/>
    <w:uiPriority w:val="0"/>
    <w:rPr>
      <w:rFonts w:ascii="宋体" w:eastAsia="宋体"/>
      <w:sz w:val="21"/>
    </w:rPr>
  </w:style>
  <w:style w:type="paragraph" w:customStyle="1" w:styleId="144">
    <w:name w:val="我的正文"/>
    <w:basedOn w:val="1"/>
    <w:link w:val="143"/>
    <w:autoRedefine/>
    <w:qFormat/>
    <w:uiPriority w:val="0"/>
    <w:pPr>
      <w:widowControl/>
      <w:spacing w:line="360" w:lineRule="auto"/>
      <w:ind w:firstLine="420"/>
    </w:pPr>
    <w:rPr>
      <w:rFonts w:ascii="宋体" w:hAnsi="Calibri"/>
      <w:kern w:val="0"/>
    </w:rPr>
  </w:style>
  <w:style w:type="character" w:customStyle="1" w:styleId="145">
    <w:name w:val="Title Char"/>
    <w:autoRedefine/>
    <w:qFormat/>
    <w:uiPriority w:val="0"/>
    <w:rPr>
      <w:rFonts w:eastAsia="黑体"/>
      <w:b/>
      <w:sz w:val="28"/>
      <w:lang w:val="en-GB"/>
    </w:rPr>
  </w:style>
  <w:style w:type="character" w:customStyle="1" w:styleId="146">
    <w:name w:val="Title1 Char"/>
    <w:autoRedefine/>
    <w:qFormat/>
    <w:uiPriority w:val="0"/>
    <w:rPr>
      <w:rFonts w:eastAsia="宋体"/>
      <w:b/>
      <w:kern w:val="44"/>
      <w:sz w:val="44"/>
      <w:lang w:val="en-US" w:eastAsia="zh-CN"/>
    </w:rPr>
  </w:style>
  <w:style w:type="character" w:customStyle="1" w:styleId="147">
    <w:name w:val="content"/>
    <w:basedOn w:val="63"/>
    <w:autoRedefine/>
    <w:qFormat/>
    <w:uiPriority w:val="0"/>
    <w:rPr>
      <w:rFonts w:cs="Times New Roman"/>
    </w:rPr>
  </w:style>
  <w:style w:type="character" w:customStyle="1" w:styleId="148">
    <w:name w:val="Char Char17"/>
    <w:autoRedefine/>
    <w:qFormat/>
    <w:uiPriority w:val="0"/>
    <w:rPr>
      <w:rFonts w:ascii="宋体" w:hAnsi="Courier New"/>
      <w:kern w:val="2"/>
      <w:sz w:val="21"/>
    </w:rPr>
  </w:style>
  <w:style w:type="character" w:customStyle="1" w:styleId="149">
    <w:name w:val="标准小四 Char Char"/>
    <w:autoRedefine/>
    <w:qFormat/>
    <w:uiPriority w:val="0"/>
    <w:rPr>
      <w:rFonts w:ascii="Arial" w:hAnsi="Arial" w:eastAsia="宋体"/>
      <w:kern w:val="2"/>
      <w:sz w:val="21"/>
      <w:lang w:val="en-US" w:eastAsia="zh-CN"/>
    </w:rPr>
  </w:style>
  <w:style w:type="character" w:customStyle="1" w:styleId="150">
    <w:name w:val="样式 宋体 小四"/>
    <w:autoRedefine/>
    <w:qFormat/>
    <w:uiPriority w:val="0"/>
    <w:rPr>
      <w:rFonts w:ascii="宋体" w:eastAsia="宋体"/>
      <w:sz w:val="24"/>
    </w:rPr>
  </w:style>
  <w:style w:type="character" w:customStyle="1" w:styleId="151">
    <w:name w:val="ih151"/>
    <w:autoRedefine/>
    <w:qFormat/>
    <w:uiPriority w:val="0"/>
    <w:rPr>
      <w:color w:val="666666"/>
      <w:sz w:val="18"/>
      <w:u w:val="none"/>
    </w:rPr>
  </w:style>
  <w:style w:type="character" w:customStyle="1" w:styleId="152">
    <w:name w:val="style13"/>
    <w:autoRedefine/>
    <w:qFormat/>
    <w:uiPriority w:val="0"/>
    <w:rPr>
      <w:sz w:val="18"/>
    </w:rPr>
  </w:style>
  <w:style w:type="character" w:customStyle="1" w:styleId="153">
    <w:name w:val="style131"/>
    <w:autoRedefine/>
    <w:qFormat/>
    <w:uiPriority w:val="0"/>
    <w:rPr>
      <w:sz w:val="18"/>
    </w:rPr>
  </w:style>
  <w:style w:type="character" w:customStyle="1" w:styleId="154">
    <w:name w:val="Char Char25"/>
    <w:autoRedefine/>
    <w:qFormat/>
    <w:uiPriority w:val="0"/>
    <w:rPr>
      <w:rFonts w:ascii="Arial" w:hAnsi="Arial" w:eastAsia="黑体"/>
      <w:b/>
      <w:kern w:val="2"/>
      <w:sz w:val="28"/>
    </w:rPr>
  </w:style>
  <w:style w:type="character" w:customStyle="1" w:styleId="155">
    <w:name w:val="不明显强调1"/>
    <w:basedOn w:val="63"/>
    <w:autoRedefine/>
    <w:qFormat/>
    <w:uiPriority w:val="0"/>
    <w:rPr>
      <w:i/>
    </w:rPr>
  </w:style>
  <w:style w:type="character" w:customStyle="1" w:styleId="156">
    <w:name w:val="标准文本 Char Char"/>
    <w:autoRedefine/>
    <w:qFormat/>
    <w:uiPriority w:val="0"/>
    <w:rPr>
      <w:rFonts w:eastAsia="宋体"/>
      <w:kern w:val="2"/>
      <w:sz w:val="24"/>
      <w:lang w:val="en-US" w:eastAsia="zh-CN"/>
    </w:rPr>
  </w:style>
  <w:style w:type="character" w:customStyle="1" w:styleId="157">
    <w:name w:val="Comment Subject Char1"/>
    <w:basedOn w:val="94"/>
    <w:autoRedefine/>
    <w:qFormat/>
    <w:uiPriority w:val="0"/>
    <w:rPr>
      <w:rFonts w:ascii="Times New Roman" w:hAnsi="Times New Roman" w:eastAsia="宋体" w:cs="Times New Roman"/>
      <w:b/>
      <w:bCs/>
      <w:kern w:val="2"/>
      <w:sz w:val="21"/>
      <w:szCs w:val="20"/>
    </w:rPr>
  </w:style>
  <w:style w:type="character" w:customStyle="1" w:styleId="158">
    <w:name w:val="normalfont1"/>
    <w:autoRedefine/>
    <w:qFormat/>
    <w:uiPriority w:val="0"/>
    <w:rPr>
      <w:rFonts w:ascii="??" w:hAnsi="??"/>
      <w:sz w:val="18"/>
      <w:u w:val="none"/>
    </w:rPr>
  </w:style>
  <w:style w:type="character" w:customStyle="1" w:styleId="159">
    <w:name w:val="小四 段落 宋体 Char Char Char Char Char Char Char Char"/>
    <w:autoRedefine/>
    <w:qFormat/>
    <w:uiPriority w:val="0"/>
    <w:rPr>
      <w:rFonts w:eastAsia="宋体"/>
      <w:kern w:val="2"/>
      <w:sz w:val="24"/>
      <w:lang w:val="en-US" w:eastAsia="zh-CN"/>
    </w:rPr>
  </w:style>
  <w:style w:type="character" w:customStyle="1" w:styleId="160">
    <w:name w:val="标题 Char1"/>
    <w:autoRedefine/>
    <w:qFormat/>
    <w:uiPriority w:val="0"/>
    <w:rPr>
      <w:rFonts w:ascii="Cambria" w:eastAsia="宋体"/>
      <w:b/>
      <w:sz w:val="32"/>
    </w:rPr>
  </w:style>
  <w:style w:type="character" w:customStyle="1" w:styleId="161">
    <w:name w:val="Quote Char Char"/>
    <w:autoRedefine/>
    <w:qFormat/>
    <w:uiPriority w:val="0"/>
    <w:rPr>
      <w:rFonts w:ascii="Calibri" w:hAnsi="Calibri"/>
      <w:i/>
      <w:sz w:val="22"/>
      <w:lang w:eastAsia="en-US"/>
    </w:rPr>
  </w:style>
  <w:style w:type="character" w:customStyle="1" w:styleId="162">
    <w:name w:val="content_lineheight1"/>
    <w:basedOn w:val="63"/>
    <w:autoRedefine/>
    <w:qFormat/>
    <w:uiPriority w:val="0"/>
    <w:rPr>
      <w:rFonts w:cs="Times New Roman"/>
    </w:rPr>
  </w:style>
  <w:style w:type="character" w:customStyle="1" w:styleId="163">
    <w:name w:val="Title Char1"/>
    <w:basedOn w:val="63"/>
    <w:autoRedefine/>
    <w:qFormat/>
    <w:uiPriority w:val="0"/>
    <w:rPr>
      <w:rFonts w:ascii="Cambria" w:hAnsi="Cambria" w:cs="Times New Roman"/>
      <w:b/>
      <w:bCs/>
      <w:kern w:val="2"/>
      <w:sz w:val="32"/>
      <w:szCs w:val="32"/>
    </w:rPr>
  </w:style>
  <w:style w:type="character" w:customStyle="1" w:styleId="164">
    <w:name w:val="正文 + 宋体 Char"/>
    <w:autoRedefine/>
    <w:qFormat/>
    <w:uiPriority w:val="0"/>
    <w:rPr>
      <w:rFonts w:eastAsia="宋体"/>
      <w:kern w:val="2"/>
      <w:sz w:val="24"/>
      <w:lang w:val="en-US" w:eastAsia="zh-CN"/>
    </w:rPr>
  </w:style>
  <w:style w:type="character" w:customStyle="1" w:styleId="165">
    <w:name w:val="特点 Char1"/>
    <w:autoRedefine/>
    <w:qFormat/>
    <w:uiPriority w:val="0"/>
    <w:rPr>
      <w:rFonts w:eastAsia="宋体"/>
      <w:kern w:val="2"/>
      <w:sz w:val="21"/>
      <w:lang w:val="en-US" w:eastAsia="zh-CN"/>
    </w:rPr>
  </w:style>
  <w:style w:type="character" w:customStyle="1" w:styleId="166">
    <w:name w:val="表格抬头 Char Char"/>
    <w:link w:val="167"/>
    <w:autoRedefine/>
    <w:qFormat/>
    <w:uiPriority w:val="0"/>
    <w:rPr>
      <w:rFonts w:ascii="黑体" w:eastAsia="黑体"/>
      <w:b/>
    </w:rPr>
  </w:style>
  <w:style w:type="paragraph" w:customStyle="1" w:styleId="167">
    <w:name w:val="表格抬头"/>
    <w:basedOn w:val="1"/>
    <w:link w:val="166"/>
    <w:autoRedefine/>
    <w:qFormat/>
    <w:uiPriority w:val="0"/>
    <w:pPr>
      <w:jc w:val="center"/>
    </w:pPr>
    <w:rPr>
      <w:rFonts w:ascii="黑体" w:hAnsi="Calibri" w:eastAsia="黑体"/>
      <w:b/>
      <w:kern w:val="0"/>
      <w:sz w:val="20"/>
    </w:rPr>
  </w:style>
  <w:style w:type="character" w:customStyle="1" w:styleId="168">
    <w:name w:val="HTML Preformatted Char"/>
    <w:autoRedefine/>
    <w:qFormat/>
    <w:uiPriority w:val="0"/>
    <w:rPr>
      <w:rFonts w:ascii="黑体" w:hAnsi="Courier New" w:eastAsia="黑体"/>
    </w:rPr>
  </w:style>
  <w:style w:type="character" w:customStyle="1" w:styleId="169">
    <w:name w:val="h Char Char"/>
    <w:autoRedefine/>
    <w:qFormat/>
    <w:uiPriority w:val="0"/>
    <w:rPr>
      <w:rFonts w:eastAsia="宋体"/>
      <w:kern w:val="2"/>
      <w:sz w:val="18"/>
      <w:lang w:val="en-US" w:eastAsia="zh-CN"/>
    </w:rPr>
  </w:style>
  <w:style w:type="character" w:customStyle="1" w:styleId="170">
    <w:name w:val="subtitle1"/>
    <w:autoRedefine/>
    <w:qFormat/>
    <w:uiPriority w:val="0"/>
    <w:rPr>
      <w:rFonts w:ascii="Georgia" w:hAnsi="Georgia"/>
      <w:b/>
      <w:color w:val="666666"/>
      <w:sz w:val="18"/>
    </w:rPr>
  </w:style>
  <w:style w:type="character" w:customStyle="1" w:styleId="171">
    <w:name w:val="样式 非加粗"/>
    <w:autoRedefine/>
    <w:qFormat/>
    <w:uiPriority w:val="0"/>
    <w:rPr>
      <w:rFonts w:eastAsia="宋体"/>
      <w:sz w:val="28"/>
    </w:rPr>
  </w:style>
  <w:style w:type="character" w:customStyle="1" w:styleId="172">
    <w:name w:val="小四 段落 宋体 Char Char Char Char Char"/>
    <w:link w:val="173"/>
    <w:autoRedefine/>
    <w:qFormat/>
    <w:uiPriority w:val="0"/>
    <w:rPr>
      <w:rFonts w:eastAsia="宋体"/>
      <w:kern w:val="2"/>
      <w:sz w:val="24"/>
      <w:lang w:val="en-US" w:eastAsia="zh-CN"/>
    </w:rPr>
  </w:style>
  <w:style w:type="paragraph" w:customStyle="1" w:styleId="173">
    <w:name w:val="小四 段落 宋体"/>
    <w:basedOn w:val="16"/>
    <w:link w:val="172"/>
    <w:autoRedefine/>
    <w:qFormat/>
    <w:uiPriority w:val="0"/>
    <w:pPr>
      <w:tabs>
        <w:tab w:val="clear" w:pos="2952"/>
      </w:tabs>
      <w:spacing w:line="360" w:lineRule="auto"/>
      <w:ind w:left="113" w:right="113" w:firstLine="425"/>
    </w:pPr>
    <w:rPr>
      <w:rFonts w:ascii="Calibri" w:hAnsi="Calibri"/>
      <w:sz w:val="24"/>
      <w:szCs w:val="20"/>
    </w:rPr>
  </w:style>
  <w:style w:type="character" w:customStyle="1" w:styleId="174">
    <w:name w:val="Document Map Char"/>
    <w:autoRedefine/>
    <w:qFormat/>
    <w:uiPriority w:val="0"/>
    <w:rPr>
      <w:shd w:val="clear" w:color="auto" w:fill="000080"/>
    </w:rPr>
  </w:style>
  <w:style w:type="character" w:customStyle="1" w:styleId="175">
    <w:name w:val="para_small"/>
    <w:basedOn w:val="63"/>
    <w:autoRedefine/>
    <w:qFormat/>
    <w:uiPriority w:val="0"/>
    <w:rPr>
      <w:rFonts w:cs="Times New Roman"/>
    </w:rPr>
  </w:style>
  <w:style w:type="character" w:customStyle="1" w:styleId="176">
    <w:name w:val="2nd level Char"/>
    <w:autoRedefine/>
    <w:qFormat/>
    <w:uiPriority w:val="0"/>
    <w:rPr>
      <w:rFonts w:ascii="Arial" w:hAnsi="Arial" w:eastAsia="黑体"/>
      <w:b/>
      <w:kern w:val="2"/>
      <w:sz w:val="32"/>
      <w:lang w:val="en-US" w:eastAsia="zh-CN"/>
    </w:rPr>
  </w:style>
  <w:style w:type="character" w:customStyle="1" w:styleId="177">
    <w:name w:val="小四 段落 宋体 Char Char Char Char1"/>
    <w:autoRedefine/>
    <w:qFormat/>
    <w:uiPriority w:val="0"/>
    <w:rPr>
      <w:rFonts w:eastAsia="宋体"/>
      <w:kern w:val="2"/>
      <w:sz w:val="24"/>
      <w:lang w:val="en-US" w:eastAsia="zh-CN"/>
    </w:rPr>
  </w:style>
  <w:style w:type="character" w:customStyle="1" w:styleId="178">
    <w:name w:val="Body Text Indent 2 Char1"/>
    <w:basedOn w:val="63"/>
    <w:autoRedefine/>
    <w:qFormat/>
    <w:uiPriority w:val="0"/>
    <w:rPr>
      <w:rFonts w:ascii="Times New Roman" w:hAnsi="Times New Roman"/>
      <w:kern w:val="2"/>
      <w:sz w:val="21"/>
    </w:rPr>
  </w:style>
  <w:style w:type="character" w:customStyle="1" w:styleId="179">
    <w:name w:val="明显强调1"/>
    <w:basedOn w:val="63"/>
    <w:autoRedefine/>
    <w:qFormat/>
    <w:uiPriority w:val="0"/>
    <w:rPr>
      <w:b/>
    </w:rPr>
  </w:style>
  <w:style w:type="character" w:customStyle="1" w:styleId="18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81">
    <w:name w:val="Quote Char2"/>
    <w:basedOn w:val="63"/>
    <w:autoRedefine/>
    <w:qFormat/>
    <w:uiPriority w:val="0"/>
    <w:rPr>
      <w:rFonts w:ascii="Times New Roman" w:hAnsi="Times New Roman" w:eastAsia="宋体" w:cs="Times New Roman"/>
      <w:i/>
      <w:iCs/>
      <w:color w:val="000000"/>
      <w:sz w:val="20"/>
      <w:szCs w:val="20"/>
    </w:rPr>
  </w:style>
  <w:style w:type="character" w:customStyle="1" w:styleId="182">
    <w:name w:val="小四 段落 宋体 Char Char Char1"/>
    <w:autoRedefine/>
    <w:qFormat/>
    <w:uiPriority w:val="0"/>
    <w:rPr>
      <w:rFonts w:ascii="宋体" w:hAnsi="宋体" w:eastAsia="宋体"/>
      <w:kern w:val="2"/>
      <w:sz w:val="24"/>
      <w:lang w:val="en-US" w:eastAsia="zh-CN"/>
    </w:rPr>
  </w:style>
  <w:style w:type="character" w:customStyle="1" w:styleId="183">
    <w:name w:val="Quote Char1"/>
    <w:basedOn w:val="63"/>
    <w:link w:val="184"/>
    <w:autoRedefine/>
    <w:qFormat/>
    <w:uiPriority w:val="0"/>
    <w:rPr>
      <w:rFonts w:ascii="Times New Roman" w:hAnsi="Times New Roman"/>
      <w:i/>
      <w:iCs/>
      <w:color w:val="000000"/>
      <w:kern w:val="2"/>
      <w:sz w:val="21"/>
    </w:rPr>
  </w:style>
  <w:style w:type="paragraph" w:customStyle="1" w:styleId="184">
    <w:name w:val="引用1"/>
    <w:basedOn w:val="1"/>
    <w:next w:val="1"/>
    <w:link w:val="183"/>
    <w:autoRedefine/>
    <w:qFormat/>
    <w:uiPriority w:val="0"/>
    <w:pPr>
      <w:widowControl/>
      <w:spacing w:before="200" w:line="276" w:lineRule="auto"/>
      <w:ind w:left="360" w:right="360"/>
    </w:pPr>
    <w:rPr>
      <w:i/>
      <w:iCs/>
      <w:color w:val="000000"/>
      <w:sz w:val="20"/>
    </w:rPr>
  </w:style>
  <w:style w:type="character" w:customStyle="1" w:styleId="185">
    <w:name w:val="文档结构图 Char"/>
    <w:basedOn w:val="63"/>
    <w:autoRedefine/>
    <w:qFormat/>
    <w:uiPriority w:val="0"/>
    <w:rPr>
      <w:rFonts w:ascii="宋体" w:hAnsi="Times New Roman" w:eastAsia="宋体" w:cs="Times New Roman"/>
      <w:sz w:val="18"/>
      <w:szCs w:val="18"/>
    </w:rPr>
  </w:style>
  <w:style w:type="character" w:customStyle="1" w:styleId="186">
    <w:name w:val="标准文本 Char Char Char"/>
    <w:autoRedefine/>
    <w:qFormat/>
    <w:uiPriority w:val="0"/>
    <w:rPr>
      <w:rFonts w:eastAsia="宋体"/>
      <w:kern w:val="2"/>
      <w:sz w:val="24"/>
      <w:lang w:val="en-US" w:eastAsia="zh-CN"/>
    </w:rPr>
  </w:style>
  <w:style w:type="character" w:customStyle="1" w:styleId="187">
    <w:name w:val="纯文本 Char Char"/>
    <w:autoRedefine/>
    <w:qFormat/>
    <w:uiPriority w:val="0"/>
    <w:rPr>
      <w:rFonts w:ascii="宋体" w:hAnsi="Courier New" w:eastAsia="宋体"/>
      <w:kern w:val="2"/>
      <w:sz w:val="21"/>
      <w:lang w:val="en-US" w:eastAsia="zh-CN"/>
    </w:rPr>
  </w:style>
  <w:style w:type="character" w:customStyle="1" w:styleId="188">
    <w:name w:val="case31"/>
    <w:autoRedefine/>
    <w:qFormat/>
    <w:uiPriority w:val="0"/>
    <w:rPr>
      <w:sz w:val="21"/>
    </w:rPr>
  </w:style>
  <w:style w:type="character" w:customStyle="1" w:styleId="189">
    <w:name w:val="标题 3 Char Char"/>
    <w:autoRedefine/>
    <w:qFormat/>
    <w:uiPriority w:val="0"/>
    <w:rPr>
      <w:rFonts w:eastAsia="仿宋_GB2312"/>
      <w:b/>
      <w:kern w:val="2"/>
      <w:sz w:val="32"/>
      <w:lang w:val="en-US" w:eastAsia="zh-CN"/>
    </w:rPr>
  </w:style>
  <w:style w:type="character" w:customStyle="1" w:styleId="190">
    <w:name w:val="正文缩进 Char1"/>
    <w:link w:val="191"/>
    <w:autoRedefine/>
    <w:qFormat/>
    <w:uiPriority w:val="0"/>
    <w:rPr>
      <w:rFonts w:ascii="Times New Roman" w:hAnsi="Times New Roman" w:eastAsia="宋体"/>
      <w:kern w:val="0"/>
      <w:sz w:val="20"/>
    </w:rPr>
  </w:style>
  <w:style w:type="paragraph" w:customStyle="1" w:styleId="191">
    <w:name w:val="正文缩进1"/>
    <w:basedOn w:val="1"/>
    <w:link w:val="190"/>
    <w:autoRedefine/>
    <w:qFormat/>
    <w:uiPriority w:val="0"/>
    <w:pPr>
      <w:ind w:firstLine="420"/>
    </w:pPr>
    <w:rPr>
      <w:kern w:val="0"/>
      <w:sz w:val="20"/>
    </w:rPr>
  </w:style>
  <w:style w:type="character" w:customStyle="1" w:styleId="192">
    <w:name w:val="新图表正文 Char Char"/>
    <w:link w:val="193"/>
    <w:autoRedefine/>
    <w:qFormat/>
    <w:uiPriority w:val="0"/>
    <w:rPr>
      <w:rFonts w:ascii="宋体" w:hAnsi="宋体"/>
      <w:kern w:val="2"/>
      <w:sz w:val="18"/>
      <w:szCs w:val="21"/>
      <w:lang w:val="en-US" w:eastAsia="zh-CN" w:bidi="ar-SA"/>
    </w:rPr>
  </w:style>
  <w:style w:type="paragraph" w:customStyle="1" w:styleId="193">
    <w:name w:val="新图表正文"/>
    <w:link w:val="192"/>
    <w:autoRedefine/>
    <w:qFormat/>
    <w:uiPriority w:val="0"/>
    <w:pPr>
      <w:jc w:val="both"/>
    </w:pPr>
    <w:rPr>
      <w:rFonts w:ascii="宋体" w:hAnsi="宋体" w:eastAsia="宋体" w:cs="Times New Roman"/>
      <w:kern w:val="2"/>
      <w:sz w:val="18"/>
      <w:szCs w:val="21"/>
      <w:lang w:val="en-US" w:eastAsia="zh-CN" w:bidi="ar-SA"/>
    </w:rPr>
  </w:style>
  <w:style w:type="character" w:customStyle="1" w:styleId="194">
    <w:name w:val="样式 首行缩进:  2 字符 Char Char Char"/>
    <w:autoRedefine/>
    <w:qFormat/>
    <w:uiPriority w:val="0"/>
    <w:rPr>
      <w:rFonts w:eastAsia="宋体"/>
      <w:kern w:val="2"/>
      <w:sz w:val="24"/>
      <w:lang w:val="en-US" w:eastAsia="zh-CN"/>
    </w:rPr>
  </w:style>
  <w:style w:type="character" w:customStyle="1" w:styleId="195">
    <w:name w:val="Intense Quote Char1"/>
    <w:basedOn w:val="63"/>
    <w:link w:val="196"/>
    <w:autoRedefine/>
    <w:qFormat/>
    <w:uiPriority w:val="0"/>
    <w:rPr>
      <w:rFonts w:ascii="Times New Roman" w:hAnsi="Times New Roman"/>
      <w:b/>
      <w:bCs/>
      <w:i/>
      <w:iCs/>
      <w:color w:val="4F81BD"/>
      <w:kern w:val="2"/>
      <w:sz w:val="21"/>
    </w:rPr>
  </w:style>
  <w:style w:type="paragraph" w:customStyle="1" w:styleId="196">
    <w:name w:val="明显引用1"/>
    <w:basedOn w:val="1"/>
    <w:next w:val="1"/>
    <w:link w:val="195"/>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7">
    <w:name w:val="Char Char20"/>
    <w:autoRedefine/>
    <w:qFormat/>
    <w:uiPriority w:val="0"/>
    <w:rPr>
      <w:rFonts w:ascii="Arial" w:hAnsi="Arial" w:eastAsia="黑体"/>
      <w:kern w:val="2"/>
      <w:sz w:val="21"/>
    </w:rPr>
  </w:style>
  <w:style w:type="character" w:customStyle="1" w:styleId="198">
    <w:name w:val="No Spacing Char Char"/>
    <w:link w:val="199"/>
    <w:autoRedefine/>
    <w:qFormat/>
    <w:uiPriority w:val="0"/>
    <w:rPr>
      <w:rFonts w:eastAsia="微软雅黑"/>
      <w:kern w:val="2"/>
      <w:sz w:val="24"/>
      <w:szCs w:val="22"/>
      <w:lang w:val="en-US" w:eastAsia="zh-CN" w:bidi="ar-SA"/>
    </w:rPr>
  </w:style>
  <w:style w:type="paragraph" w:customStyle="1" w:styleId="199">
    <w:name w:val="无间隔2"/>
    <w:link w:val="198"/>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200">
    <w:name w:val="小四 段落 宋体 Char Char Char Char Char Char"/>
    <w:autoRedefine/>
    <w:qFormat/>
    <w:uiPriority w:val="0"/>
    <w:rPr>
      <w:rFonts w:eastAsia="宋体"/>
      <w:kern w:val="2"/>
      <w:sz w:val="24"/>
      <w:lang w:val="en-US" w:eastAsia="zh-CN"/>
    </w:rPr>
  </w:style>
  <w:style w:type="character" w:customStyle="1" w:styleId="201">
    <w:name w:val="3zw"/>
    <w:basedOn w:val="63"/>
    <w:autoRedefine/>
    <w:qFormat/>
    <w:uiPriority w:val="0"/>
    <w:rPr>
      <w:rFonts w:cs="Times New Roman"/>
    </w:rPr>
  </w:style>
  <w:style w:type="character" w:customStyle="1" w:styleId="202">
    <w:name w:val="Intense Quote Char Char"/>
    <w:autoRedefine/>
    <w:qFormat/>
    <w:uiPriority w:val="0"/>
    <w:rPr>
      <w:rFonts w:ascii="Calibri" w:hAnsi="Calibri"/>
      <w:b/>
      <w:i/>
      <w:sz w:val="22"/>
      <w:lang w:eastAsia="en-US"/>
    </w:rPr>
  </w:style>
  <w:style w:type="character" w:customStyle="1" w:styleId="203">
    <w:name w:val="Body Text Indent 3 Char"/>
    <w:autoRedefine/>
    <w:qFormat/>
    <w:uiPriority w:val="0"/>
    <w:rPr>
      <w:rFonts w:ascii="Arial" w:hAnsi="Arial" w:eastAsia="仿宋_GB2312"/>
      <w:color w:val="FFFF00"/>
      <w:sz w:val="32"/>
    </w:rPr>
  </w:style>
  <w:style w:type="character" w:customStyle="1" w:styleId="204">
    <w:name w:val="A2"/>
    <w:autoRedefine/>
    <w:qFormat/>
    <w:uiPriority w:val="0"/>
    <w:rPr>
      <w:color w:val="000000"/>
      <w:sz w:val="18"/>
    </w:rPr>
  </w:style>
  <w:style w:type="character" w:customStyle="1" w:styleId="205">
    <w:name w:val="明显参考1"/>
    <w:basedOn w:val="63"/>
    <w:autoRedefine/>
    <w:qFormat/>
    <w:uiPriority w:val="0"/>
    <w:rPr>
      <w:smallCaps/>
      <w:spacing w:val="5"/>
      <w:u w:val="single"/>
    </w:rPr>
  </w:style>
  <w:style w:type="character" w:customStyle="1" w:styleId="206">
    <w:name w:val="111111 Char Char"/>
    <w:link w:val="207"/>
    <w:autoRedefine/>
    <w:qFormat/>
    <w:uiPriority w:val="0"/>
    <w:rPr>
      <w:rFonts w:ascii="宋体" w:hAnsi="宋体" w:eastAsia="黑体"/>
      <w:b/>
      <w:sz w:val="21"/>
    </w:rPr>
  </w:style>
  <w:style w:type="paragraph" w:customStyle="1" w:styleId="207">
    <w:name w:val="111111"/>
    <w:basedOn w:val="1"/>
    <w:link w:val="206"/>
    <w:autoRedefine/>
    <w:qFormat/>
    <w:uiPriority w:val="0"/>
    <w:pPr>
      <w:spacing w:before="120" w:after="120"/>
      <w:jc w:val="center"/>
    </w:pPr>
    <w:rPr>
      <w:rFonts w:ascii="宋体" w:hAnsi="宋体" w:eastAsia="黑体"/>
      <w:b/>
      <w:kern w:val="0"/>
    </w:rPr>
  </w:style>
  <w:style w:type="character" w:customStyle="1" w:styleId="208">
    <w:name w:val="小四 段落 宋体 Char1"/>
    <w:autoRedefine/>
    <w:qFormat/>
    <w:uiPriority w:val="0"/>
    <w:rPr>
      <w:rFonts w:eastAsia="宋体"/>
      <w:kern w:val="2"/>
      <w:sz w:val="24"/>
      <w:lang w:val="en-US" w:eastAsia="zh-CN"/>
    </w:rPr>
  </w:style>
  <w:style w:type="character" w:customStyle="1" w:styleId="209">
    <w:name w:val="title_emph1"/>
    <w:autoRedefine/>
    <w:qFormat/>
    <w:uiPriority w:val="0"/>
    <w:rPr>
      <w:rFonts w:ascii="Arial"/>
      <w:b/>
      <w:sz w:val="18"/>
    </w:rPr>
  </w:style>
  <w:style w:type="character" w:customStyle="1" w:styleId="210">
    <w:name w:val="书籍标题1"/>
    <w:basedOn w:val="63"/>
    <w:autoRedefine/>
    <w:qFormat/>
    <w:uiPriority w:val="0"/>
    <w:rPr>
      <w:i/>
      <w:smallCaps/>
      <w:spacing w:val="5"/>
    </w:rPr>
  </w:style>
  <w:style w:type="character" w:customStyle="1" w:styleId="211">
    <w:name w:val="不明显参考1"/>
    <w:basedOn w:val="63"/>
    <w:autoRedefine/>
    <w:qFormat/>
    <w:uiPriority w:val="0"/>
    <w:rPr>
      <w:smallCaps/>
    </w:rPr>
  </w:style>
  <w:style w:type="character" w:customStyle="1" w:styleId="212">
    <w:name w:val="样式 首行缩进:  2 字符 Char Char"/>
    <w:link w:val="213"/>
    <w:autoRedefine/>
    <w:qFormat/>
    <w:uiPriority w:val="0"/>
    <w:rPr>
      <w:sz w:val="24"/>
    </w:rPr>
  </w:style>
  <w:style w:type="paragraph" w:customStyle="1" w:styleId="213">
    <w:name w:val="样式 首行缩进:  2 字符"/>
    <w:basedOn w:val="1"/>
    <w:link w:val="212"/>
    <w:autoRedefine/>
    <w:qFormat/>
    <w:uiPriority w:val="0"/>
    <w:pPr>
      <w:spacing w:line="360" w:lineRule="auto"/>
      <w:ind w:firstLine="480" w:firstLineChars="200"/>
    </w:pPr>
    <w:rPr>
      <w:rFonts w:ascii="Calibri" w:hAnsi="Calibri"/>
      <w:kern w:val="0"/>
      <w:sz w:val="24"/>
    </w:rPr>
  </w:style>
  <w:style w:type="character" w:customStyle="1" w:styleId="214">
    <w:name w:val="Char Char22"/>
    <w:autoRedefine/>
    <w:qFormat/>
    <w:uiPriority w:val="0"/>
    <w:rPr>
      <w:b/>
      <w:kern w:val="2"/>
      <w:sz w:val="24"/>
    </w:rPr>
  </w:style>
  <w:style w:type="character" w:customStyle="1" w:styleId="215">
    <w:name w:val="point_normal1"/>
    <w:autoRedefine/>
    <w:qFormat/>
    <w:uiPriority w:val="0"/>
    <w:rPr>
      <w:rFonts w:ascii="Arial" w:hAnsi="Arial"/>
      <w:sz w:val="18"/>
    </w:rPr>
  </w:style>
  <w:style w:type="character" w:customStyle="1" w:styleId="216">
    <w:name w:val="Char Char26"/>
    <w:autoRedefine/>
    <w:qFormat/>
    <w:uiPriority w:val="0"/>
    <w:rPr>
      <w:b/>
      <w:kern w:val="2"/>
      <w:sz w:val="32"/>
    </w:rPr>
  </w:style>
  <w:style w:type="character" w:customStyle="1" w:styleId="217">
    <w:name w:val="Char Char24"/>
    <w:autoRedefine/>
    <w:qFormat/>
    <w:uiPriority w:val="0"/>
    <w:rPr>
      <w:b/>
      <w:kern w:val="2"/>
      <w:sz w:val="28"/>
    </w:rPr>
  </w:style>
  <w:style w:type="character" w:customStyle="1" w:styleId="218">
    <w:name w:val="concon"/>
    <w:autoRedefine/>
    <w:qFormat/>
    <w:uiPriority w:val="0"/>
  </w:style>
  <w:style w:type="paragraph" w:customStyle="1" w:styleId="219">
    <w:name w:val="标准文本"/>
    <w:basedOn w:val="1"/>
    <w:autoRedefine/>
    <w:qFormat/>
    <w:uiPriority w:val="0"/>
    <w:pPr>
      <w:spacing w:line="360" w:lineRule="auto"/>
      <w:ind w:firstLine="480" w:firstLineChars="200"/>
    </w:pPr>
    <w:rPr>
      <w:rFonts w:cs="宋体"/>
      <w:sz w:val="24"/>
      <w:szCs w:val="24"/>
    </w:rPr>
  </w:style>
  <w:style w:type="paragraph" w:customStyle="1" w:styleId="220">
    <w:name w:val="Char Char Char Char Char Char Char Char Char Char Char Char Char1"/>
    <w:basedOn w:val="1"/>
    <w:autoRedefine/>
    <w:qFormat/>
    <w:uiPriority w:val="0"/>
    <w:pPr>
      <w:widowControl/>
      <w:spacing w:after="160" w:line="240" w:lineRule="exact"/>
    </w:pPr>
    <w:rPr>
      <w:szCs w:val="24"/>
    </w:rPr>
  </w:style>
  <w:style w:type="paragraph" w:customStyle="1" w:styleId="221">
    <w:name w:val="列出段落2"/>
    <w:basedOn w:val="1"/>
    <w:autoRedefine/>
    <w:qFormat/>
    <w:uiPriority w:val="0"/>
    <w:pPr>
      <w:widowControl/>
      <w:ind w:left="720"/>
    </w:pPr>
    <w:rPr>
      <w:rFonts w:ascii="Arial" w:hAnsi="Arial" w:eastAsia="黑体" w:cs="Arial"/>
      <w:kern w:val="0"/>
      <w:sz w:val="24"/>
      <w:szCs w:val="24"/>
      <w:lang w:eastAsia="en-US"/>
    </w:rPr>
  </w:style>
  <w:style w:type="paragraph" w:customStyle="1" w:styleId="222">
    <w:name w:val="flType"/>
    <w:basedOn w:val="223"/>
    <w:autoRedefine/>
    <w:qFormat/>
    <w:uiPriority w:val="0"/>
    <w:pPr>
      <w:spacing w:after="284"/>
    </w:pPr>
    <w:rPr>
      <w:rFonts w:eastAsia="宋体"/>
      <w:b w:val="0"/>
    </w:rPr>
  </w:style>
  <w:style w:type="paragraph" w:customStyle="1" w:styleId="223">
    <w:name w:val="flName"/>
    <w:basedOn w:val="224"/>
    <w:autoRedefine/>
    <w:qFormat/>
    <w:uiPriority w:val="0"/>
    <w:pPr>
      <w:spacing w:before="0" w:line="113" w:lineRule="atLeast"/>
    </w:pPr>
  </w:style>
  <w:style w:type="paragraph" w:customStyle="1" w:styleId="224">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5">
    <w:name w:val="华宇段落1 Char"/>
    <w:basedOn w:val="1"/>
    <w:autoRedefine/>
    <w:qFormat/>
    <w:uiPriority w:val="0"/>
    <w:pPr>
      <w:spacing w:line="360" w:lineRule="auto"/>
      <w:ind w:firstLine="200" w:firstLineChars="200"/>
    </w:pPr>
    <w:rPr>
      <w:bCs/>
      <w:sz w:val="24"/>
      <w:szCs w:val="24"/>
    </w:rPr>
  </w:style>
  <w:style w:type="paragraph" w:customStyle="1" w:styleId="226">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7">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8">
    <w:name w:val="greytypebeni"/>
    <w:basedOn w:val="1"/>
    <w:autoRedefine/>
    <w:qFormat/>
    <w:uiPriority w:val="0"/>
    <w:pPr>
      <w:widowControl/>
    </w:pPr>
    <w:rPr>
      <w:rFonts w:ascii="宋体" w:hAnsi="宋体" w:cs="宋体"/>
      <w:kern w:val="0"/>
      <w:sz w:val="24"/>
      <w:szCs w:val="24"/>
    </w:rPr>
  </w:style>
  <w:style w:type="paragraph" w:customStyle="1" w:styleId="229">
    <w:name w:val="Char Char1 Char Char Char Char1 Char Char Char Char Char Char"/>
    <w:basedOn w:val="1"/>
    <w:autoRedefine/>
    <w:qFormat/>
    <w:uiPriority w:val="0"/>
    <w:rPr>
      <w:rFonts w:ascii="Tahoma" w:hAnsi="Tahoma"/>
      <w:sz w:val="24"/>
    </w:rPr>
  </w:style>
  <w:style w:type="paragraph" w:customStyle="1" w:styleId="230">
    <w:name w:val="样式 样式 标题 3H3sect1.2.3BOD 0Heading 3 - oldh3l3CTLevel 3 Head... +..."/>
    <w:basedOn w:val="1"/>
    <w:autoRedefine/>
    <w:qFormat/>
    <w:uiPriority w:val="0"/>
    <w:pPr>
      <w:keepNext/>
      <w:keepLines/>
      <w:spacing w:beforeLines="50" w:afterLines="50"/>
      <w:outlineLvl w:val="2"/>
    </w:pPr>
    <w:rPr>
      <w:rFonts w:cs="宋体"/>
      <w:b/>
      <w:bCs/>
      <w:sz w:val="24"/>
    </w:rPr>
  </w:style>
  <w:style w:type="paragraph" w:customStyle="1" w:styleId="231">
    <w:name w:val="Char Char1"/>
    <w:basedOn w:val="1"/>
    <w:autoRedefine/>
    <w:qFormat/>
    <w:uiPriority w:val="0"/>
    <w:rPr>
      <w:rFonts w:ascii="Tahoma" w:hAnsi="Tahoma" w:cs="Tahoma"/>
      <w:sz w:val="24"/>
    </w:rPr>
  </w:style>
  <w:style w:type="paragraph" w:customStyle="1" w:styleId="232">
    <w:name w:val="小四 段落 宋体 Char Char Char"/>
    <w:basedOn w:val="16"/>
    <w:autoRedefine/>
    <w:qFormat/>
    <w:uiPriority w:val="0"/>
    <w:pPr>
      <w:tabs>
        <w:tab w:val="clear" w:pos="2952"/>
      </w:tabs>
      <w:spacing w:line="360" w:lineRule="auto"/>
      <w:ind w:left="0" w:right="-33" w:firstLine="545" w:firstLineChars="227"/>
    </w:pPr>
    <w:rPr>
      <w:sz w:val="24"/>
    </w:rPr>
  </w:style>
  <w:style w:type="paragraph" w:customStyle="1" w:styleId="233">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4">
    <w:name w:val="font13"/>
    <w:basedOn w:val="1"/>
    <w:autoRedefine/>
    <w:qFormat/>
    <w:uiPriority w:val="0"/>
    <w:pPr>
      <w:widowControl/>
      <w:spacing w:before="100" w:beforeAutospacing="1" w:after="100" w:afterAutospacing="1"/>
    </w:pPr>
    <w:rPr>
      <w:i/>
      <w:iCs/>
      <w:kern w:val="0"/>
      <w:sz w:val="36"/>
      <w:szCs w:val="36"/>
    </w:rPr>
  </w:style>
  <w:style w:type="paragraph" w:customStyle="1" w:styleId="235">
    <w:name w:val="中等深浅网格 1 - 强调文字颜色 21"/>
    <w:basedOn w:val="1"/>
    <w:autoRedefine/>
    <w:qFormat/>
    <w:uiPriority w:val="0"/>
    <w:pPr>
      <w:ind w:firstLine="420" w:firstLineChars="200"/>
    </w:pPr>
    <w:rPr>
      <w:rFonts w:ascii="Calibri" w:hAnsi="Calibri"/>
      <w:szCs w:val="22"/>
    </w:rPr>
  </w:style>
  <w:style w:type="paragraph" w:customStyle="1" w:styleId="236">
    <w:name w:val="表格文字"/>
    <w:basedOn w:val="1"/>
    <w:autoRedefine/>
    <w:qFormat/>
    <w:uiPriority w:val="0"/>
    <w:pPr>
      <w:adjustRightInd w:val="0"/>
      <w:spacing w:line="360" w:lineRule="auto"/>
      <w:ind w:firstLine="200" w:firstLineChars="200"/>
      <w:textAlignment w:val="baseline"/>
    </w:pPr>
    <w:rPr>
      <w:rFonts w:ascii="Arial" w:hAnsi="Arial"/>
      <w:kern w:val="0"/>
      <w:sz w:val="24"/>
    </w:rPr>
  </w:style>
  <w:style w:type="paragraph" w:customStyle="1" w:styleId="237">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0"/>
    </w:rPr>
  </w:style>
  <w:style w:type="paragraph" w:customStyle="1" w:styleId="238">
    <w:name w:val="默认段落字体 Para Char Char Char Char Char Char Char Char Char1 Char Char Char Char Char Char Char"/>
    <w:basedOn w:val="18"/>
    <w:autoRedefine/>
    <w:qFormat/>
    <w:uiPriority w:val="0"/>
  </w:style>
  <w:style w:type="paragraph" w:customStyle="1" w:styleId="239">
    <w:name w:val="样式 样式 首行缩进:  2 字符 + 行距: 1.5 倍行距"/>
    <w:basedOn w:val="1"/>
    <w:autoRedefine/>
    <w:qFormat/>
    <w:uiPriority w:val="0"/>
    <w:pPr>
      <w:spacing w:line="360" w:lineRule="auto"/>
      <w:ind w:firstLine="470" w:firstLineChars="196"/>
    </w:pPr>
    <w:rPr>
      <w:sz w:val="24"/>
    </w:rPr>
  </w:style>
  <w:style w:type="paragraph" w:customStyle="1" w:styleId="240">
    <w:name w:val="正文11"/>
    <w:basedOn w:val="1"/>
    <w:next w:val="1"/>
    <w:autoRedefine/>
    <w:qFormat/>
    <w:uiPriority w:val="0"/>
    <w:pPr>
      <w:spacing w:before="156" w:line="360" w:lineRule="auto"/>
      <w:ind w:firstLine="510" w:firstLineChars="200"/>
    </w:pPr>
    <w:rPr>
      <w:sz w:val="24"/>
    </w:rPr>
  </w:style>
  <w:style w:type="paragraph" w:customStyle="1" w:styleId="241">
    <w:name w:val="Pa5"/>
    <w:basedOn w:val="1"/>
    <w:next w:val="1"/>
    <w:autoRedefine/>
    <w:qFormat/>
    <w:uiPriority w:val="0"/>
    <w:pPr>
      <w:autoSpaceDE w:val="0"/>
      <w:autoSpaceDN w:val="0"/>
      <w:adjustRightInd w:val="0"/>
      <w:spacing w:line="241" w:lineRule="atLeast"/>
    </w:pPr>
    <w:rPr>
      <w:rFonts w:ascii="HYDaHeiJ" w:eastAsia="HYDaHeiJ"/>
      <w:kern w:val="0"/>
      <w:sz w:val="24"/>
      <w:szCs w:val="24"/>
    </w:rPr>
  </w:style>
  <w:style w:type="paragraph" w:customStyle="1" w:styleId="242">
    <w:name w:val="Char Char11"/>
    <w:basedOn w:val="1"/>
    <w:autoRedefine/>
    <w:qFormat/>
    <w:uiPriority w:val="0"/>
    <w:rPr>
      <w:rFonts w:ascii="Tahoma" w:hAnsi="Tahoma"/>
      <w:sz w:val="24"/>
    </w:rPr>
  </w:style>
  <w:style w:type="paragraph" w:customStyle="1" w:styleId="243">
    <w:name w:val="丁华正文"/>
    <w:basedOn w:val="47"/>
    <w:autoRedefine/>
    <w:qFormat/>
    <w:uiPriority w:val="0"/>
    <w:pPr>
      <w:adjustRightInd w:val="0"/>
      <w:snapToGrid w:val="0"/>
      <w:spacing w:line="360" w:lineRule="auto"/>
      <w:ind w:left="0" w:firstLine="510"/>
    </w:pPr>
    <w:rPr>
      <w:sz w:val="24"/>
    </w:rPr>
  </w:style>
  <w:style w:type="paragraph" w:customStyle="1" w:styleId="244">
    <w:name w:val="正文 居中"/>
    <w:basedOn w:val="1"/>
    <w:autoRedefine/>
    <w:qFormat/>
    <w:uiPriority w:val="0"/>
    <w:pPr>
      <w:spacing w:line="360" w:lineRule="auto"/>
      <w:jc w:val="center"/>
    </w:pPr>
    <w:rPr>
      <w:sz w:val="24"/>
    </w:rPr>
  </w:style>
  <w:style w:type="paragraph" w:customStyle="1" w:styleId="245">
    <w:name w:val="Char Char3"/>
    <w:basedOn w:val="1"/>
    <w:autoRedefine/>
    <w:qFormat/>
    <w:uiPriority w:val="0"/>
    <w:rPr>
      <w:rFonts w:ascii="Tahoma" w:hAnsi="Tahoma" w:cs="Tahoma"/>
      <w:sz w:val="24"/>
    </w:rPr>
  </w:style>
  <w:style w:type="paragraph" w:customStyle="1" w:styleId="246">
    <w:name w:val="Char Char Char Char Char"/>
    <w:basedOn w:val="1"/>
    <w:autoRedefine/>
    <w:qFormat/>
    <w:uiPriority w:val="0"/>
    <w:rPr>
      <w:rFonts w:ascii="Tahoma" w:hAnsi="Tahoma"/>
      <w:sz w:val="24"/>
    </w:rPr>
  </w:style>
  <w:style w:type="paragraph" w:customStyle="1" w:styleId="247">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8">
    <w:name w:val="Char Char1 Char Char Char Char Char Char Char"/>
    <w:basedOn w:val="1"/>
    <w:autoRedefine/>
    <w:qFormat/>
    <w:uiPriority w:val="0"/>
    <w:rPr>
      <w:rFonts w:ascii="Tahoma" w:hAnsi="Tahoma" w:cs="Tahoma"/>
      <w:sz w:val="24"/>
    </w:rPr>
  </w:style>
  <w:style w:type="paragraph" w:customStyle="1" w:styleId="249">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0">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1">
    <w:name w:val="Char Char1 Char Char Char Char"/>
    <w:basedOn w:val="18"/>
    <w:autoRedefine/>
    <w:qFormat/>
    <w:uiPriority w:val="0"/>
    <w:pPr>
      <w:adjustRightInd w:val="0"/>
      <w:spacing w:line="436" w:lineRule="exact"/>
      <w:ind w:left="357"/>
      <w:outlineLvl w:val="3"/>
    </w:pPr>
    <w:rPr>
      <w:rFonts w:ascii="Tahoma" w:hAnsi="Tahoma" w:cs="Tahoma"/>
      <w:b/>
      <w:sz w:val="24"/>
      <w:szCs w:val="24"/>
    </w:rPr>
  </w:style>
  <w:style w:type="paragraph" w:customStyle="1" w:styleId="252">
    <w:name w:val="标准小四"/>
    <w:basedOn w:val="1"/>
    <w:autoRedefine/>
    <w:qFormat/>
    <w:uiPriority w:val="0"/>
    <w:pPr>
      <w:spacing w:line="360" w:lineRule="auto"/>
      <w:ind w:firstLine="480" w:firstLineChars="200"/>
    </w:pPr>
    <w:rPr>
      <w:rFonts w:ascii="Arial" w:hAnsi="Arial"/>
      <w:sz w:val="24"/>
      <w:szCs w:val="21"/>
    </w:rPr>
  </w:style>
  <w:style w:type="paragraph" w:customStyle="1" w:styleId="25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4">
    <w:name w:val="Char Char Char Char Char Char Char1"/>
    <w:basedOn w:val="1"/>
    <w:autoRedefine/>
    <w:qFormat/>
    <w:uiPriority w:val="0"/>
    <w:rPr>
      <w:rFonts w:ascii="Tahoma" w:hAnsi="Tahoma"/>
      <w:sz w:val="24"/>
    </w:rPr>
  </w:style>
  <w:style w:type="paragraph" w:customStyle="1" w:styleId="255">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b/>
      <w:bCs/>
      <w:kern w:val="0"/>
      <w:sz w:val="20"/>
    </w:rPr>
  </w:style>
  <w:style w:type="paragraph" w:customStyle="1" w:styleId="256">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7">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8">
    <w:name w:val="默认段落字体 Para Char"/>
    <w:basedOn w:val="1"/>
    <w:autoRedefine/>
    <w:qFormat/>
    <w:uiPriority w:val="0"/>
    <w:rPr>
      <w:sz w:val="24"/>
      <w:szCs w:val="24"/>
    </w:rPr>
  </w:style>
  <w:style w:type="paragraph" w:customStyle="1" w:styleId="259">
    <w:name w:val="列出段落11"/>
    <w:basedOn w:val="1"/>
    <w:autoRedefine/>
    <w:qFormat/>
    <w:uiPriority w:val="0"/>
    <w:pPr>
      <w:widowControl/>
      <w:ind w:left="720"/>
      <w:contextualSpacing/>
    </w:pPr>
    <w:rPr>
      <w:rFonts w:ascii="Arial" w:hAnsi="Arial" w:eastAsia="黑体"/>
      <w:kern w:val="0"/>
      <w:sz w:val="24"/>
      <w:szCs w:val="24"/>
      <w:lang w:eastAsia="en-US"/>
    </w:rPr>
  </w:style>
  <w:style w:type="paragraph" w:customStyle="1" w:styleId="260">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1">
    <w:name w:val="标题1，章节第一层"/>
    <w:basedOn w:val="262"/>
    <w:next w:val="262"/>
    <w:autoRedefine/>
    <w:qFormat/>
    <w:uiPriority w:val="0"/>
    <w:pPr>
      <w:tabs>
        <w:tab w:val="left" w:pos="693"/>
      </w:tabs>
      <w:ind w:left="482"/>
      <w:outlineLvl w:val="0"/>
    </w:pPr>
    <w:rPr>
      <w:color w:val="000000"/>
      <w:sz w:val="24"/>
      <w:szCs w:val="24"/>
    </w:rPr>
  </w:style>
  <w:style w:type="paragraph" w:customStyle="1" w:styleId="262">
    <w:name w:val="正文格式"/>
    <w:basedOn w:val="1"/>
    <w:autoRedefine/>
    <w:qFormat/>
    <w:uiPriority w:val="0"/>
    <w:pPr>
      <w:widowControl/>
      <w:adjustRightInd w:val="0"/>
      <w:snapToGrid w:val="0"/>
      <w:spacing w:beforeLines="25" w:line="360" w:lineRule="auto"/>
      <w:ind w:left="178" w:right="44" w:rightChars="21" w:hanging="178" w:hangingChars="85"/>
      <w:textAlignment w:val="baseline"/>
    </w:pPr>
    <w:rPr>
      <w:rFonts w:ascii="宋体" w:hAnsi="宋体"/>
      <w:bCs/>
      <w:kern w:val="0"/>
      <w:szCs w:val="21"/>
    </w:rPr>
  </w:style>
  <w:style w:type="paragraph" w:customStyle="1" w:styleId="263">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4">
    <w:name w:val="正文表标题"/>
    <w:next w:val="256"/>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5">
    <w:name w:val="默认段落字体 Para Char Char Char Char Char Char Char"/>
    <w:basedOn w:val="1"/>
    <w:autoRedefine/>
    <w:qFormat/>
    <w:uiPriority w:val="0"/>
  </w:style>
  <w:style w:type="paragraph" w:customStyle="1" w:styleId="266">
    <w:name w:val="Char Char Char1"/>
    <w:basedOn w:val="18"/>
    <w:autoRedefine/>
    <w:qFormat/>
    <w:uiPriority w:val="0"/>
    <w:pPr>
      <w:spacing w:line="436" w:lineRule="exact"/>
    </w:pPr>
    <w:rPr>
      <w:szCs w:val="24"/>
    </w:rPr>
  </w:style>
  <w:style w:type="paragraph" w:customStyle="1" w:styleId="267">
    <w:name w:val="表格1"/>
    <w:basedOn w:val="1"/>
    <w:autoRedefine/>
    <w:qFormat/>
    <w:uiPriority w:val="0"/>
    <w:pPr>
      <w:adjustRightInd w:val="0"/>
      <w:textAlignment w:val="baseline"/>
    </w:pPr>
    <w:rPr>
      <w:rFonts w:ascii="宋体"/>
      <w:kern w:val="24"/>
      <w:szCs w:val="21"/>
    </w:rPr>
  </w:style>
  <w:style w:type="paragraph" w:customStyle="1" w:styleId="268">
    <w:name w:val="项目符号：一级"/>
    <w:basedOn w:val="262"/>
    <w:next w:val="262"/>
    <w:autoRedefine/>
    <w:qFormat/>
    <w:uiPriority w:val="0"/>
    <w:pPr>
      <w:ind w:right="-134" w:rightChars="-64"/>
    </w:pPr>
    <w:rPr>
      <w:bCs w:val="0"/>
    </w:rPr>
  </w:style>
  <w:style w:type="paragraph" w:customStyle="1" w:styleId="26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kern w:val="0"/>
      <w:sz w:val="20"/>
    </w:rPr>
  </w:style>
  <w:style w:type="paragraph" w:customStyle="1" w:styleId="270">
    <w:name w:val="Char1 Char Char Char1"/>
    <w:basedOn w:val="1"/>
    <w:autoRedefine/>
    <w:qFormat/>
    <w:uiPriority w:val="0"/>
    <w:rPr>
      <w:rFonts w:ascii="Tahoma" w:hAnsi="Tahoma" w:cs="Tahoma"/>
      <w:sz w:val="24"/>
    </w:rPr>
  </w:style>
  <w:style w:type="paragraph" w:customStyle="1" w:styleId="271">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2">
    <w:name w:val="正文文本缩进1"/>
    <w:basedOn w:val="1"/>
    <w:autoRedefine/>
    <w:qFormat/>
    <w:uiPriority w:val="0"/>
    <w:pPr>
      <w:spacing w:after="120"/>
      <w:ind w:left="420" w:leftChars="200"/>
    </w:pPr>
    <w:rPr>
      <w:szCs w:val="24"/>
    </w:rPr>
  </w:style>
  <w:style w:type="paragraph" w:customStyle="1" w:styleId="273">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4">
    <w:name w:val="表格"/>
    <w:basedOn w:val="1"/>
    <w:autoRedefine/>
    <w:qFormat/>
    <w:uiPriority w:val="0"/>
    <w:pPr>
      <w:snapToGrid w:val="0"/>
      <w:ind w:firstLine="21" w:firstLineChars="21"/>
    </w:pPr>
    <w:rPr>
      <w:rFonts w:ascii="宋体" w:hAnsi="宋体" w:cs="宋体"/>
      <w:kern w:val="0"/>
      <w:sz w:val="20"/>
    </w:rPr>
  </w:style>
  <w:style w:type="paragraph" w:customStyle="1" w:styleId="275">
    <w:name w:val="Char Char Char Char Char Char Char"/>
    <w:basedOn w:val="1"/>
    <w:autoRedefine/>
    <w:qFormat/>
    <w:uiPriority w:val="0"/>
    <w:rPr>
      <w:rFonts w:ascii="Tahoma" w:hAnsi="Tahoma"/>
      <w:sz w:val="24"/>
    </w:rPr>
  </w:style>
  <w:style w:type="paragraph" w:customStyle="1" w:styleId="276">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7">
    <w:name w:val="表格内文字"/>
    <w:basedOn w:val="1"/>
    <w:autoRedefine/>
    <w:qFormat/>
    <w:uiPriority w:val="0"/>
    <w:pPr>
      <w:spacing w:line="300" w:lineRule="atLeast"/>
    </w:pPr>
    <w:rPr>
      <w:sz w:val="18"/>
      <w:szCs w:val="24"/>
    </w:rPr>
  </w:style>
  <w:style w:type="paragraph" w:customStyle="1" w:styleId="278">
    <w:name w:val="样式3"/>
    <w:basedOn w:val="1"/>
    <w:next w:val="1"/>
    <w:autoRedefine/>
    <w:qFormat/>
    <w:uiPriority w:val="0"/>
    <w:pPr>
      <w:spacing w:line="360" w:lineRule="auto"/>
    </w:pPr>
  </w:style>
  <w:style w:type="paragraph" w:customStyle="1" w:styleId="279">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0">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1">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2">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3">
    <w:name w:val="正文2"/>
    <w:basedOn w:val="1"/>
    <w:autoRedefine/>
    <w:qFormat/>
    <w:uiPriority w:val="0"/>
    <w:pPr>
      <w:spacing w:before="156" w:line="360" w:lineRule="auto"/>
      <w:ind w:firstLine="510" w:firstLineChars="200"/>
    </w:pPr>
    <w:rPr>
      <w:sz w:val="24"/>
    </w:rPr>
  </w:style>
  <w:style w:type="paragraph" w:customStyle="1" w:styleId="284">
    <w:name w:val="content_lineheight"/>
    <w:basedOn w:val="1"/>
    <w:autoRedefine/>
    <w:qFormat/>
    <w:uiPriority w:val="0"/>
    <w:pPr>
      <w:widowControl/>
      <w:spacing w:before="100" w:beforeAutospacing="1" w:after="100" w:afterAutospacing="1"/>
    </w:pPr>
    <w:rPr>
      <w:rFonts w:ascii="宋体" w:hAnsi="宋体"/>
      <w:kern w:val="0"/>
      <w:sz w:val="24"/>
      <w:szCs w:val="24"/>
    </w:rPr>
  </w:style>
  <w:style w:type="paragraph" w:customStyle="1" w:styleId="285">
    <w:name w:val="章标题"/>
    <w:next w:val="256"/>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6">
    <w:name w:val="样式4 Char"/>
    <w:basedOn w:val="1"/>
    <w:autoRedefine/>
    <w:qFormat/>
    <w:uiPriority w:val="0"/>
    <w:pPr>
      <w:widowControl/>
      <w:spacing w:line="360" w:lineRule="auto"/>
      <w:ind w:firstLine="480"/>
    </w:pPr>
    <w:rPr>
      <w:rFonts w:cs="宋体"/>
      <w:color w:val="000000"/>
      <w:kern w:val="0"/>
      <w:sz w:val="24"/>
      <w:szCs w:val="24"/>
    </w:rPr>
  </w:style>
  <w:style w:type="paragraph" w:customStyle="1" w:styleId="287">
    <w:name w:val="Char1"/>
    <w:basedOn w:val="1"/>
    <w:autoRedefine/>
    <w:qFormat/>
    <w:uiPriority w:val="0"/>
    <w:rPr>
      <w:rFonts w:ascii="仿宋_GB2312" w:hAnsi="宋体" w:eastAsia="仿宋_GB2312" w:cs="宋体"/>
      <w:b/>
      <w:sz w:val="32"/>
      <w:szCs w:val="32"/>
    </w:rPr>
  </w:style>
  <w:style w:type="paragraph" w:customStyle="1" w:styleId="288">
    <w:name w:val="Char Char Char Char Char Char Char Char Char Char Char1 Char Char Char1"/>
    <w:basedOn w:val="1"/>
    <w:autoRedefine/>
    <w:qFormat/>
    <w:uiPriority w:val="0"/>
    <w:pPr>
      <w:ind w:firstLine="200" w:firstLineChars="200"/>
    </w:pPr>
    <w:rPr>
      <w:rFonts w:ascii="Tahoma" w:hAnsi="Tahoma"/>
      <w:sz w:val="24"/>
      <w:szCs w:val="24"/>
    </w:rPr>
  </w:style>
  <w:style w:type="paragraph" w:customStyle="1" w:styleId="289">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0">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1">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2">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标题3，章节第三层"/>
    <w:basedOn w:val="1"/>
    <w:next w:val="262"/>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4">
    <w:name w:val="Char Char1 Char1"/>
    <w:basedOn w:val="1"/>
    <w:autoRedefine/>
    <w:qFormat/>
    <w:uiPriority w:val="0"/>
    <w:pPr>
      <w:widowControl/>
      <w:spacing w:after="160" w:line="240" w:lineRule="exact"/>
    </w:pPr>
    <w:rPr>
      <w:rFonts w:ascii="Verdana" w:hAnsi="Verdana"/>
      <w:kern w:val="0"/>
      <w:sz w:val="20"/>
      <w:lang w:eastAsia="en-US"/>
    </w:rPr>
  </w:style>
  <w:style w:type="paragraph" w:customStyle="1" w:styleId="295">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6">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7">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8">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99">
    <w:name w:val="font11"/>
    <w:basedOn w:val="1"/>
    <w:autoRedefine/>
    <w:qFormat/>
    <w:uiPriority w:val="0"/>
    <w:pPr>
      <w:widowControl/>
      <w:spacing w:before="100" w:beforeAutospacing="1" w:after="100" w:afterAutospacing="1"/>
    </w:pPr>
    <w:rPr>
      <w:b/>
      <w:bCs/>
      <w:kern w:val="0"/>
      <w:sz w:val="18"/>
      <w:szCs w:val="18"/>
    </w:rPr>
  </w:style>
  <w:style w:type="paragraph" w:customStyle="1" w:styleId="300">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1">
    <w:name w:val="标题 4宋体"/>
    <w:basedOn w:val="6"/>
    <w:autoRedefine/>
    <w:qFormat/>
    <w:uiPriority w:val="0"/>
    <w:pPr>
      <w:keepLines w:val="0"/>
      <w:autoSpaceDE w:val="0"/>
      <w:autoSpaceDN w:val="0"/>
      <w:adjustRightInd w:val="0"/>
      <w:spacing w:before="0" w:after="0" w:line="360" w:lineRule="auto"/>
    </w:pPr>
    <w:rPr>
      <w:rFonts w:ascii="宋体" w:hAnsi="宋体" w:eastAsia="宋体"/>
      <w:bCs/>
      <w:color w:val="000000"/>
      <w:kern w:val="0"/>
      <w:sz w:val="24"/>
    </w:rPr>
  </w:style>
  <w:style w:type="paragraph" w:customStyle="1" w:styleId="30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3">
    <w:name w:val="方案正文"/>
    <w:basedOn w:val="1"/>
    <w:autoRedefine/>
    <w:qFormat/>
    <w:uiPriority w:val="0"/>
    <w:pPr>
      <w:spacing w:before="156" w:line="360" w:lineRule="auto"/>
      <w:ind w:firstLine="359" w:firstLineChars="171"/>
    </w:pPr>
    <w:rPr>
      <w:rFonts w:ascii="Arial" w:hAnsi="Arial" w:cs="宋体"/>
      <w:sz w:val="24"/>
      <w:szCs w:val="21"/>
    </w:rPr>
  </w:style>
  <w:style w:type="paragraph" w:customStyle="1" w:styleId="30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i/>
      <w:iCs/>
      <w:kern w:val="0"/>
      <w:sz w:val="20"/>
    </w:rPr>
  </w:style>
  <w:style w:type="paragraph" w:customStyle="1" w:styleId="305">
    <w:name w:val="普通文字"/>
    <w:basedOn w:val="1"/>
    <w:next w:val="1"/>
    <w:autoRedefine/>
    <w:qFormat/>
    <w:uiPriority w:val="0"/>
    <w:rPr>
      <w:rFonts w:ascii="宋体" w:hAnsi="宋体" w:cs="宋体"/>
      <w:kern w:val="0"/>
      <w:sz w:val="24"/>
      <w:u w:color="000000"/>
    </w:rPr>
  </w:style>
  <w:style w:type="paragraph" w:customStyle="1" w:styleId="30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kern w:val="0"/>
      <w:sz w:val="20"/>
    </w:rPr>
  </w:style>
  <w:style w:type="paragraph" w:customStyle="1" w:styleId="307">
    <w:name w:val="font7"/>
    <w:basedOn w:val="1"/>
    <w:autoRedefine/>
    <w:qFormat/>
    <w:uiPriority w:val="0"/>
    <w:pPr>
      <w:widowControl/>
      <w:spacing w:before="100" w:beforeAutospacing="1" w:after="100" w:afterAutospacing="1"/>
    </w:pPr>
    <w:rPr>
      <w:rFonts w:ascii="宋体" w:hAnsi="宋体"/>
      <w:b/>
      <w:bCs/>
      <w:kern w:val="0"/>
      <w:sz w:val="24"/>
      <w:szCs w:val="24"/>
    </w:rPr>
  </w:style>
  <w:style w:type="paragraph" w:customStyle="1" w:styleId="308">
    <w:name w:val="标题3"/>
    <w:basedOn w:val="5"/>
    <w:autoRedefine/>
    <w:qFormat/>
    <w:uiPriority w:val="0"/>
    <w:pPr>
      <w:keepNext w:val="0"/>
      <w:keepLines w:val="0"/>
      <w:spacing w:line="360" w:lineRule="auto"/>
    </w:pPr>
    <w:rPr>
      <w:rFonts w:eastAsia="仿宋_GB2312"/>
      <w:b w:val="0"/>
      <w:bCs/>
      <w:sz w:val="30"/>
      <w:szCs w:val="32"/>
    </w:rPr>
  </w:style>
  <w:style w:type="paragraph" w:customStyle="1" w:styleId="309">
    <w:name w:val="retrait3"/>
    <w:basedOn w:val="1"/>
    <w:autoRedefine/>
    <w:qFormat/>
    <w:uiPriority w:val="0"/>
    <w:pPr>
      <w:widowControl/>
      <w:spacing w:before="20" w:after="20"/>
      <w:ind w:left="851"/>
    </w:pPr>
    <w:rPr>
      <w:rFonts w:ascii="Arial" w:hAnsi="Arial"/>
      <w:kern w:val="0"/>
      <w:sz w:val="24"/>
      <w:lang w:val="en-GB"/>
    </w:rPr>
  </w:style>
  <w:style w:type="paragraph" w:customStyle="1" w:styleId="310">
    <w:name w:val="项目符号，一级"/>
    <w:basedOn w:val="262"/>
    <w:next w:val="262"/>
    <w:autoRedefine/>
    <w:qFormat/>
    <w:uiPriority w:val="0"/>
    <w:pPr>
      <w:tabs>
        <w:tab w:val="left" w:pos="1320"/>
      </w:tabs>
      <w:spacing w:line="240" w:lineRule="atLeast"/>
      <w:ind w:left="376" w:leftChars="179" w:firstLine="0"/>
    </w:pPr>
    <w:rPr>
      <w:bCs w:val="0"/>
      <w:color w:val="000000"/>
      <w:szCs w:val="24"/>
    </w:rPr>
  </w:style>
  <w:style w:type="paragraph" w:customStyle="1" w:styleId="311">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2">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3">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4">
    <w:name w:val="表头_5"/>
    <w:basedOn w:val="1"/>
    <w:autoRedefine/>
    <w:qFormat/>
    <w:uiPriority w:val="0"/>
    <w:pPr>
      <w:adjustRightInd w:val="0"/>
      <w:spacing w:line="360" w:lineRule="auto"/>
      <w:textAlignment w:val="baseline"/>
    </w:pPr>
    <w:rPr>
      <w:b/>
      <w:bCs/>
      <w:sz w:val="28"/>
      <w:szCs w:val="21"/>
    </w:rPr>
  </w:style>
  <w:style w:type="paragraph" w:customStyle="1" w:styleId="31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6">
    <w:name w:val="_Style 42"/>
    <w:basedOn w:val="1"/>
    <w:next w:val="23"/>
    <w:autoRedefine/>
    <w:qFormat/>
    <w:uiPriority w:val="0"/>
    <w:rPr>
      <w:rFonts w:ascii="楷体_GB2312" w:hAnsi="Arial" w:eastAsia="楷体_GB2312"/>
      <w:sz w:val="28"/>
    </w:rPr>
  </w:style>
  <w:style w:type="paragraph" w:customStyle="1" w:styleId="31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b/>
      <w:bCs/>
      <w:kern w:val="0"/>
      <w:sz w:val="20"/>
    </w:rPr>
  </w:style>
  <w:style w:type="paragraph" w:customStyle="1" w:styleId="318">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19">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0">
    <w:name w:val="p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21">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2">
    <w:name w:val="样式 段后: 0.25 行"/>
    <w:basedOn w:val="1"/>
    <w:autoRedefine/>
    <w:qFormat/>
    <w:uiPriority w:val="0"/>
    <w:pPr>
      <w:widowControl/>
      <w:spacing w:afterLines="25" w:line="300" w:lineRule="auto"/>
      <w:ind w:firstLine="420" w:firstLineChars="200"/>
    </w:pPr>
    <w:rPr>
      <w:rFonts w:ascii="Arial" w:hAnsi="Arial" w:cs="宋体"/>
      <w:kern w:val="0"/>
      <w:sz w:val="22"/>
      <w:lang w:eastAsia="en-US"/>
    </w:rPr>
  </w:style>
  <w:style w:type="paragraph" w:customStyle="1" w:styleId="323">
    <w:name w:val="Char Char Char Char Char Char Char Char Char Char Char Char Char"/>
    <w:basedOn w:val="18"/>
    <w:autoRedefine/>
    <w:qFormat/>
    <w:uiPriority w:val="0"/>
    <w:rPr>
      <w:rFonts w:ascii="Tahoma" w:hAnsi="Tahoma"/>
      <w:sz w:val="24"/>
      <w:szCs w:val="24"/>
    </w:rPr>
  </w:style>
  <w:style w:type="paragraph" w:customStyle="1" w:styleId="32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i/>
      <w:iCs/>
      <w:kern w:val="0"/>
      <w:sz w:val="20"/>
    </w:rPr>
  </w:style>
  <w:style w:type="paragraph" w:customStyle="1" w:styleId="325">
    <w:name w:val="段落"/>
    <w:basedOn w:val="1"/>
    <w:autoRedefine/>
    <w:qFormat/>
    <w:uiPriority w:val="0"/>
    <w:pPr>
      <w:spacing w:line="460" w:lineRule="exact"/>
      <w:ind w:firstLine="480"/>
    </w:pPr>
    <w:rPr>
      <w:sz w:val="24"/>
    </w:rPr>
  </w:style>
  <w:style w:type="paragraph" w:customStyle="1" w:styleId="326">
    <w:name w:val="列出段落1"/>
    <w:basedOn w:val="1"/>
    <w:autoRedefine/>
    <w:qFormat/>
    <w:uiPriority w:val="0"/>
    <w:pPr>
      <w:widowControl/>
      <w:ind w:left="720"/>
      <w:contextualSpacing/>
    </w:pPr>
    <w:rPr>
      <w:rFonts w:ascii="Arial" w:hAnsi="Arial" w:eastAsia="黑体"/>
      <w:kern w:val="0"/>
      <w:sz w:val="24"/>
      <w:szCs w:val="24"/>
      <w:lang w:eastAsia="en-US"/>
    </w:rPr>
  </w:style>
  <w:style w:type="paragraph" w:customStyle="1" w:styleId="327">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8">
    <w:name w:val="7"/>
    <w:basedOn w:val="1"/>
    <w:next w:val="55"/>
    <w:autoRedefine/>
    <w:qFormat/>
    <w:uiPriority w:val="0"/>
    <w:pPr>
      <w:widowControl/>
      <w:spacing w:before="100" w:beforeAutospacing="1" w:after="100" w:afterAutospacing="1"/>
    </w:pPr>
    <w:rPr>
      <w:rFonts w:ascii="宋体" w:hAnsi="宋体"/>
      <w:kern w:val="0"/>
      <w:sz w:val="24"/>
    </w:rPr>
  </w:style>
  <w:style w:type="paragraph" w:customStyle="1" w:styleId="329">
    <w:name w:val="font9"/>
    <w:basedOn w:val="1"/>
    <w:autoRedefine/>
    <w:qFormat/>
    <w:uiPriority w:val="0"/>
    <w:pPr>
      <w:widowControl/>
      <w:spacing w:before="100" w:beforeAutospacing="1" w:after="100" w:afterAutospacing="1"/>
    </w:pPr>
    <w:rPr>
      <w:b/>
      <w:bCs/>
      <w:kern w:val="0"/>
      <w:sz w:val="20"/>
    </w:rPr>
  </w:style>
  <w:style w:type="paragraph" w:customStyle="1" w:styleId="330">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1">
    <w:name w:val="Char1 Char Char Char"/>
    <w:basedOn w:val="1"/>
    <w:autoRedefine/>
    <w:qFormat/>
    <w:uiPriority w:val="0"/>
    <w:rPr>
      <w:rFonts w:ascii="Tahoma" w:hAnsi="Tahoma"/>
      <w:sz w:val="24"/>
    </w:rPr>
  </w:style>
  <w:style w:type="paragraph" w:customStyle="1" w:styleId="332">
    <w:name w:val="表蕊"/>
    <w:basedOn w:val="1"/>
    <w:autoRedefine/>
    <w:qFormat/>
    <w:uiPriority w:val="0"/>
    <w:pPr>
      <w:adjustRightInd w:val="0"/>
      <w:spacing w:line="320" w:lineRule="atLeast"/>
      <w:textAlignment w:val="baseline"/>
    </w:pPr>
    <w:rPr>
      <w:rFonts w:eastAsia="楷体_GB2312"/>
      <w:spacing w:val="-10"/>
      <w:kern w:val="0"/>
    </w:rPr>
  </w:style>
  <w:style w:type="paragraph" w:customStyle="1" w:styleId="333">
    <w:name w:val="样式2"/>
    <w:basedOn w:val="1"/>
    <w:autoRedefine/>
    <w:qFormat/>
    <w:uiPriority w:val="0"/>
    <w:pPr>
      <w:spacing w:line="360" w:lineRule="auto"/>
      <w:ind w:left="200" w:leftChars="200"/>
    </w:pPr>
    <w:rPr>
      <w:rFonts w:ascii="宋体" w:hAnsi="宋体"/>
      <w:b/>
      <w:sz w:val="24"/>
      <w:szCs w:val="24"/>
    </w:rPr>
  </w:style>
  <w:style w:type="paragraph" w:customStyle="1" w:styleId="334">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5">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6">
    <w:name w:val="zw"/>
    <w:basedOn w:val="1"/>
    <w:autoRedefine/>
    <w:qFormat/>
    <w:uiPriority w:val="0"/>
    <w:pPr>
      <w:widowControl/>
      <w:spacing w:line="360" w:lineRule="auto"/>
      <w:ind w:firstLine="480" w:firstLineChars="200"/>
    </w:pPr>
    <w:rPr>
      <w:rFonts w:ascii="宋体" w:hAnsi="宋体"/>
      <w:bCs/>
      <w:kern w:val="0"/>
      <w:sz w:val="24"/>
    </w:rPr>
  </w:style>
  <w:style w:type="paragraph" w:customStyle="1" w:styleId="337">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8">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39">
    <w:name w:val="1"/>
    <w:basedOn w:val="1"/>
    <w:next w:val="53"/>
    <w:autoRedefine/>
    <w:qFormat/>
    <w:uiPriority w:val="0"/>
    <w:pPr>
      <w:spacing w:line="360" w:lineRule="auto"/>
    </w:pPr>
    <w:rPr>
      <w:rFonts w:eastAsia="仿宋_GB2312"/>
      <w:sz w:val="24"/>
      <w:szCs w:val="24"/>
    </w:rPr>
  </w:style>
  <w:style w:type="paragraph" w:customStyle="1" w:styleId="340">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1">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2">
    <w:name w:val="font5"/>
    <w:basedOn w:val="1"/>
    <w:autoRedefine/>
    <w:qFormat/>
    <w:uiPriority w:val="0"/>
    <w:pPr>
      <w:widowControl/>
      <w:spacing w:before="100" w:beforeAutospacing="1" w:after="100" w:afterAutospacing="1"/>
    </w:pPr>
    <w:rPr>
      <w:rFonts w:ascii="宋体" w:hAnsi="宋体" w:cs="宋体"/>
      <w:kern w:val="0"/>
      <w:sz w:val="18"/>
      <w:szCs w:val="18"/>
    </w:rPr>
  </w:style>
  <w:style w:type="paragraph" w:customStyle="1" w:styleId="343">
    <w:name w:val="小四 段落 宋体 Char"/>
    <w:basedOn w:val="16"/>
    <w:autoRedefine/>
    <w:qFormat/>
    <w:uiPriority w:val="0"/>
    <w:pPr>
      <w:tabs>
        <w:tab w:val="clear" w:pos="2952"/>
      </w:tabs>
      <w:ind w:left="0" w:right="-33" w:firstLine="600" w:firstLineChars="200"/>
    </w:pPr>
    <w:rPr>
      <w:rFonts w:ascii="仿宋_GB2312" w:eastAsia="仿宋_GB2312"/>
      <w:sz w:val="30"/>
      <w:szCs w:val="30"/>
    </w:rPr>
  </w:style>
  <w:style w:type="paragraph" w:customStyle="1" w:styleId="344">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5">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6">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7">
    <w:name w:val="马刚标题4"/>
    <w:basedOn w:val="348"/>
    <w:next w:val="1"/>
    <w:autoRedefine/>
    <w:qFormat/>
    <w:uiPriority w:val="0"/>
    <w:pPr>
      <w:tabs>
        <w:tab w:val="left" w:pos="567"/>
        <w:tab w:val="left" w:pos="735"/>
        <w:tab w:val="left" w:pos="1050"/>
      </w:tabs>
      <w:spacing w:before="100" w:after="40"/>
      <w:outlineLvl w:val="3"/>
    </w:pPr>
    <w:rPr>
      <w:b w:val="0"/>
    </w:rPr>
  </w:style>
  <w:style w:type="paragraph" w:customStyle="1" w:styleId="348">
    <w:name w:val="马刚标题3"/>
    <w:basedOn w:val="1"/>
    <w:next w:val="1"/>
    <w:autoRedefine/>
    <w:qFormat/>
    <w:uiPriority w:val="0"/>
    <w:pPr>
      <w:keepNext/>
      <w:keepLines/>
      <w:tabs>
        <w:tab w:val="left" w:pos="567"/>
        <w:tab w:val="left" w:pos="735"/>
      </w:tabs>
      <w:spacing w:before="120" w:after="60" w:line="413" w:lineRule="auto"/>
      <w:ind w:left="567" w:hanging="567"/>
      <w:outlineLvl w:val="2"/>
    </w:pPr>
    <w:rPr>
      <w:rFonts w:ascii="黑体" w:hAnsi="Arial" w:eastAsia="黑体"/>
      <w:b/>
      <w:bCs/>
      <w:sz w:val="24"/>
    </w:rPr>
  </w:style>
  <w:style w:type="paragraph" w:customStyle="1" w:styleId="349">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0">
    <w:name w:val="font10"/>
    <w:basedOn w:val="1"/>
    <w:autoRedefine/>
    <w:qFormat/>
    <w:uiPriority w:val="0"/>
    <w:pPr>
      <w:widowControl/>
      <w:spacing w:before="100" w:beforeAutospacing="1" w:after="100" w:afterAutospacing="1"/>
    </w:pPr>
    <w:rPr>
      <w:rFonts w:ascii="楷体_GB2312" w:hAnsi="宋体" w:eastAsia="楷体_GB2312" w:cs="宋体"/>
      <w:b/>
      <w:bCs/>
      <w:kern w:val="0"/>
      <w:sz w:val="18"/>
      <w:szCs w:val="18"/>
    </w:rPr>
  </w:style>
  <w:style w:type="paragraph" w:customStyle="1" w:styleId="351">
    <w:name w:val="font12"/>
    <w:basedOn w:val="1"/>
    <w:autoRedefine/>
    <w:qFormat/>
    <w:uiPriority w:val="0"/>
    <w:pPr>
      <w:widowControl/>
      <w:spacing w:before="100" w:beforeAutospacing="1" w:after="100" w:afterAutospacing="1"/>
    </w:pPr>
    <w:rPr>
      <w:rFonts w:ascii="宋体" w:hAnsi="宋体" w:cs="宋体"/>
      <w:kern w:val="0"/>
      <w:sz w:val="36"/>
      <w:szCs w:val="36"/>
    </w:rPr>
  </w:style>
  <w:style w:type="paragraph" w:customStyle="1" w:styleId="352">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3">
    <w:name w:val="丁华标题3"/>
    <w:basedOn w:val="354"/>
    <w:next w:val="243"/>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4">
    <w:name w:val="丁华标题2"/>
    <w:basedOn w:val="3"/>
    <w:next w:val="243"/>
    <w:autoRedefine/>
    <w:qFormat/>
    <w:uiPriority w:val="0"/>
    <w:pPr>
      <w:numPr>
        <w:ilvl w:val="1"/>
        <w:numId w:val="4"/>
      </w:numPr>
      <w:spacing w:line="413" w:lineRule="auto"/>
    </w:pPr>
    <w:rPr>
      <w:rFonts w:ascii="Arial" w:hAnsi="Arial" w:eastAsia="黑体"/>
      <w:b w:val="0"/>
      <w:sz w:val="28"/>
      <w:szCs w:val="20"/>
    </w:rPr>
  </w:style>
  <w:style w:type="paragraph" w:customStyle="1" w:styleId="355">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6">
    <w:name w:val="Char"/>
    <w:basedOn w:val="1"/>
    <w:autoRedefine/>
    <w:qFormat/>
    <w:uiPriority w:val="0"/>
    <w:pPr>
      <w:spacing w:afterLines="50" w:line="360" w:lineRule="auto"/>
    </w:pPr>
    <w:rPr>
      <w:rFonts w:ascii="Tahoma" w:hAnsi="Tahoma"/>
      <w:sz w:val="24"/>
    </w:rPr>
  </w:style>
  <w:style w:type="paragraph" w:customStyle="1" w:styleId="357">
    <w:name w:val="项目符号，二级"/>
    <w:basedOn w:val="262"/>
    <w:next w:val="262"/>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8">
    <w:name w:val="_Style 1"/>
    <w:basedOn w:val="1"/>
    <w:autoRedefine/>
    <w:qFormat/>
    <w:uiPriority w:val="0"/>
    <w:pPr>
      <w:ind w:firstLine="420" w:firstLineChars="200"/>
    </w:pPr>
    <w:rPr>
      <w:rFonts w:ascii="Calibri" w:hAnsi="Calibri"/>
      <w:szCs w:val="22"/>
    </w:rPr>
  </w:style>
  <w:style w:type="paragraph" w:customStyle="1" w:styleId="359">
    <w:name w:val="Char Char Char Char Char Char Char Char Char Char Char Char Char Char1"/>
    <w:basedOn w:val="1"/>
    <w:autoRedefine/>
    <w:qFormat/>
    <w:uiPriority w:val="0"/>
    <w:rPr>
      <w:rFonts w:ascii="Tahoma" w:hAnsi="Tahoma" w:cs="Tahoma"/>
      <w:sz w:val="24"/>
    </w:rPr>
  </w:style>
  <w:style w:type="paragraph" w:customStyle="1" w:styleId="360">
    <w:name w:val="Char Char Char Char Char1"/>
    <w:basedOn w:val="1"/>
    <w:autoRedefine/>
    <w:qFormat/>
    <w:uiPriority w:val="0"/>
    <w:rPr>
      <w:rFonts w:ascii="Tahoma" w:hAnsi="Tahoma" w:cs="Tahoma"/>
      <w:sz w:val="24"/>
    </w:rPr>
  </w:style>
  <w:style w:type="paragraph" w:customStyle="1" w:styleId="36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b/>
      <w:bCs/>
      <w:kern w:val="0"/>
      <w:sz w:val="20"/>
    </w:rPr>
  </w:style>
  <w:style w:type="paragraph" w:customStyle="1" w:styleId="362">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3">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4">
    <w:name w:val="样式1"/>
    <w:basedOn w:val="1"/>
    <w:autoRedefine/>
    <w:qFormat/>
    <w:uiPriority w:val="0"/>
    <w:pPr>
      <w:spacing w:line="300" w:lineRule="auto"/>
      <w:ind w:firstLine="480" w:firstLineChars="200"/>
    </w:pPr>
    <w:rPr>
      <w:sz w:val="24"/>
      <w:szCs w:val="24"/>
    </w:rPr>
  </w:style>
  <w:style w:type="paragraph" w:customStyle="1" w:styleId="365">
    <w:name w:val="Bullets L1"/>
    <w:basedOn w:val="1"/>
    <w:autoRedefine/>
    <w:qFormat/>
    <w:uiPriority w:val="0"/>
    <w:pPr>
      <w:widowControl/>
      <w:numPr>
        <w:ilvl w:val="0"/>
        <w:numId w:val="5"/>
      </w:numPr>
      <w:spacing w:before="60" w:after="60"/>
    </w:pPr>
    <w:rPr>
      <w:rFonts w:ascii="Arial" w:hAnsi="Arial"/>
      <w:kern w:val="0"/>
      <w:sz w:val="20"/>
    </w:rPr>
  </w:style>
  <w:style w:type="paragraph" w:customStyle="1" w:styleId="366">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7">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i/>
      <w:iCs/>
      <w:kern w:val="0"/>
      <w:sz w:val="20"/>
    </w:rPr>
  </w:style>
  <w:style w:type="paragraph" w:customStyle="1" w:styleId="368">
    <w:name w:val="正文 首行缩进:  2 字符 Char"/>
    <w:basedOn w:val="1"/>
    <w:autoRedefine/>
    <w:qFormat/>
    <w:uiPriority w:val="0"/>
    <w:pPr>
      <w:spacing w:line="360" w:lineRule="auto"/>
      <w:ind w:firstLine="480"/>
    </w:pPr>
    <w:rPr>
      <w:rFonts w:cs="宋体"/>
      <w:sz w:val="24"/>
    </w:rPr>
  </w:style>
  <w:style w:type="paragraph" w:customStyle="1" w:styleId="369">
    <w:name w:val="Char2"/>
    <w:basedOn w:val="1"/>
    <w:autoRedefine/>
    <w:qFormat/>
    <w:uiPriority w:val="0"/>
    <w:rPr>
      <w:rFonts w:ascii="Tahoma" w:hAnsi="Tahoma" w:cs="仿宋_GB2312"/>
      <w:sz w:val="24"/>
      <w:szCs w:val="28"/>
    </w:rPr>
  </w:style>
  <w:style w:type="paragraph" w:customStyle="1" w:styleId="370">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1">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2">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3">
    <w:name w:val="论文正文"/>
    <w:basedOn w:val="34"/>
    <w:autoRedefine/>
    <w:qFormat/>
    <w:uiPriority w:val="0"/>
    <w:pPr>
      <w:spacing w:line="360" w:lineRule="auto"/>
      <w:ind w:left="0" w:firstLine="200" w:firstLineChars="200"/>
    </w:pPr>
    <w:rPr>
      <w:sz w:val="28"/>
      <w:szCs w:val="24"/>
    </w:rPr>
  </w:style>
  <w:style w:type="paragraph" w:customStyle="1" w:styleId="374">
    <w:name w:val="列出段落3"/>
    <w:basedOn w:val="1"/>
    <w:autoRedefine/>
    <w:qFormat/>
    <w:uiPriority w:val="0"/>
    <w:pPr>
      <w:ind w:firstLine="420" w:firstLineChars="200"/>
    </w:pPr>
    <w:rPr>
      <w:szCs w:val="24"/>
    </w:rPr>
  </w:style>
  <w:style w:type="paragraph" w:customStyle="1" w:styleId="375">
    <w:name w:val="丁华标题1"/>
    <w:basedOn w:val="2"/>
    <w:next w:val="243"/>
    <w:autoRedefine/>
    <w:qFormat/>
    <w:uiPriority w:val="0"/>
    <w:pPr>
      <w:keepLines/>
      <w:tabs>
        <w:tab w:val="left" w:pos="567"/>
        <w:tab w:val="clear" w:pos="1440"/>
        <w:tab w:val="clear" w:pos="5670"/>
      </w:tabs>
      <w:spacing w:line="576" w:lineRule="auto"/>
      <w:ind w:left="567" w:firstLine="0" w:firstLineChars="0"/>
    </w:pPr>
    <w:rPr>
      <w:rFonts w:ascii="Times New Roman"/>
      <w:b w:val="0"/>
      <w:sz w:val="32"/>
      <w:szCs w:val="20"/>
    </w:rPr>
  </w:style>
  <w:style w:type="paragraph" w:customStyle="1" w:styleId="376">
    <w:name w:val="插图"/>
    <w:basedOn w:val="1"/>
    <w:autoRedefine/>
    <w:qFormat/>
    <w:uiPriority w:val="0"/>
    <w:pPr>
      <w:tabs>
        <w:tab w:val="left" w:pos="1620"/>
      </w:tabs>
      <w:adjustRightInd w:val="0"/>
      <w:jc w:val="center"/>
    </w:pPr>
    <w:rPr>
      <w:bCs/>
      <w:color w:val="000000"/>
      <w:szCs w:val="22"/>
    </w:rPr>
  </w:style>
  <w:style w:type="paragraph" w:customStyle="1" w:styleId="377">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79">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0">
    <w:name w:val="标题2，章节第二层"/>
    <w:basedOn w:val="1"/>
    <w:next w:val="262"/>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1">
    <w:name w:val="样式 标题 3H3sect1.2.3BOD 0Heading 3 - oldh3l3CTLevel 3 Head..."/>
    <w:basedOn w:val="5"/>
    <w:autoRedefine/>
    <w:qFormat/>
    <w:uiPriority w:val="0"/>
    <w:pPr>
      <w:spacing w:beforeLines="50" w:afterLines="50"/>
    </w:pPr>
    <w:rPr>
      <w:rFonts w:cs="宋体"/>
      <w:bCs/>
      <w:sz w:val="30"/>
    </w:rPr>
  </w:style>
  <w:style w:type="paragraph" w:customStyle="1" w:styleId="382">
    <w:name w:val="Char Char Char Char Char Char Char Char Char Char Char1"/>
    <w:basedOn w:val="1"/>
    <w:autoRedefine/>
    <w:qFormat/>
    <w:uiPriority w:val="0"/>
    <w:rPr>
      <w:rFonts w:ascii="Tahoma" w:hAnsi="Tahoma"/>
      <w:sz w:val="24"/>
    </w:rPr>
  </w:style>
  <w:style w:type="paragraph" w:customStyle="1" w:styleId="383">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4">
    <w:name w:val="font14"/>
    <w:basedOn w:val="1"/>
    <w:autoRedefine/>
    <w:qFormat/>
    <w:uiPriority w:val="0"/>
    <w:pPr>
      <w:widowControl/>
      <w:spacing w:before="100" w:beforeAutospacing="1" w:after="100" w:afterAutospacing="1"/>
    </w:pPr>
    <w:rPr>
      <w:kern w:val="0"/>
      <w:sz w:val="36"/>
      <w:szCs w:val="36"/>
    </w:rPr>
  </w:style>
  <w:style w:type="paragraph" w:customStyle="1" w:styleId="385">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6">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7">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389">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0">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1">
    <w:name w:val="Default Text"/>
    <w:basedOn w:val="1"/>
    <w:autoRedefine/>
    <w:qFormat/>
    <w:uiPriority w:val="0"/>
    <w:pPr>
      <w:widowControl/>
    </w:pPr>
    <w:rPr>
      <w:kern w:val="0"/>
      <w:sz w:val="24"/>
      <w:lang w:eastAsia="en-US"/>
    </w:rPr>
  </w:style>
  <w:style w:type="paragraph" w:customStyle="1" w:styleId="39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3">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pPr>
    <w:rPr>
      <w:rFonts w:ascii="Times New Roman"/>
      <w:b w:val="0"/>
      <w:sz w:val="32"/>
      <w:szCs w:val="20"/>
    </w:rPr>
  </w:style>
  <w:style w:type="paragraph" w:customStyle="1" w:styleId="394">
    <w:name w:val="Char11"/>
    <w:basedOn w:val="1"/>
    <w:autoRedefine/>
    <w:qFormat/>
    <w:uiPriority w:val="0"/>
    <w:pPr>
      <w:widowControl/>
      <w:spacing w:after="160" w:line="240" w:lineRule="exact"/>
    </w:pPr>
    <w:rPr>
      <w:rFonts w:ascii="Verdana" w:hAnsi="Verdana" w:eastAsia="仿宋_GB2312"/>
      <w:kern w:val="0"/>
      <w:sz w:val="24"/>
      <w:lang w:eastAsia="en-US"/>
    </w:rPr>
  </w:style>
  <w:style w:type="paragraph" w:customStyle="1" w:styleId="395">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6">
    <w:name w:val="二级条标题"/>
    <w:basedOn w:val="1"/>
    <w:next w:val="256"/>
    <w:autoRedefine/>
    <w:qFormat/>
    <w:uiPriority w:val="0"/>
    <w:pPr>
      <w:widowControl/>
      <w:tabs>
        <w:tab w:val="left" w:pos="2240"/>
      </w:tabs>
      <w:ind w:hanging="420"/>
      <w:outlineLvl w:val="3"/>
    </w:pPr>
    <w:rPr>
      <w:rFonts w:eastAsia="黑体"/>
      <w:kern w:val="0"/>
    </w:rPr>
  </w:style>
  <w:style w:type="paragraph" w:customStyle="1" w:styleId="397">
    <w:name w:val="font8"/>
    <w:basedOn w:val="1"/>
    <w:autoRedefine/>
    <w:qFormat/>
    <w:uiPriority w:val="0"/>
    <w:pPr>
      <w:widowControl/>
      <w:spacing w:before="100" w:beforeAutospacing="1" w:after="100" w:afterAutospacing="1"/>
    </w:pPr>
    <w:rPr>
      <w:rFonts w:ascii="宋体" w:hAnsi="宋体" w:cs="宋体"/>
      <w:b/>
      <w:bCs/>
      <w:i/>
      <w:iCs/>
      <w:kern w:val="0"/>
      <w:sz w:val="20"/>
    </w:rPr>
  </w:style>
  <w:style w:type="paragraph" w:customStyle="1" w:styleId="398">
    <w:name w:val="Pa6"/>
    <w:basedOn w:val="1"/>
    <w:next w:val="1"/>
    <w:autoRedefine/>
    <w:qFormat/>
    <w:uiPriority w:val="0"/>
    <w:pPr>
      <w:autoSpaceDE w:val="0"/>
      <w:autoSpaceDN w:val="0"/>
      <w:adjustRightInd w:val="0"/>
      <w:spacing w:line="241" w:lineRule="atLeast"/>
    </w:pPr>
    <w:rPr>
      <w:rFonts w:ascii="HYDaHeiJ" w:eastAsia="HYDaHeiJ"/>
      <w:kern w:val="0"/>
      <w:sz w:val="24"/>
      <w:szCs w:val="24"/>
    </w:rPr>
  </w:style>
  <w:style w:type="paragraph" w:customStyle="1" w:styleId="399">
    <w:name w:val="TOC 标题1"/>
    <w:basedOn w:val="2"/>
    <w:next w:val="1"/>
    <w:autoRedefine/>
    <w:qFormat/>
    <w:uiPriority w:val="0"/>
    <w:pPr>
      <w:keepLines/>
      <w:widowControl/>
      <w:tabs>
        <w:tab w:val="clear" w:pos="1440"/>
        <w:tab w:val="clear" w:pos="5670"/>
      </w:tabs>
      <w:spacing w:line="276" w:lineRule="auto"/>
      <w:ind w:firstLine="0" w:firstLineChars="0"/>
      <w:outlineLvl w:val="9"/>
    </w:pPr>
    <w:rPr>
      <w:rFonts w:ascii="Cambria" w:hAnsi="Cambria" w:eastAsia="宋体"/>
      <w:bCs/>
      <w:color w:val="365F91"/>
      <w:kern w:val="0"/>
    </w:rPr>
  </w:style>
  <w:style w:type="paragraph" w:customStyle="1" w:styleId="400">
    <w:name w:val="正文 + 宋体"/>
    <w:basedOn w:val="1"/>
    <w:autoRedefine/>
    <w:qFormat/>
    <w:uiPriority w:val="0"/>
    <w:pPr>
      <w:spacing w:line="360" w:lineRule="auto"/>
      <w:ind w:firstLine="420" w:firstLineChars="200"/>
    </w:pPr>
    <w:rPr>
      <w:szCs w:val="24"/>
    </w:rPr>
  </w:style>
  <w:style w:type="paragraph" w:customStyle="1" w:styleId="401">
    <w:name w:val="Char Char Char Char Char Char Char Char1"/>
    <w:basedOn w:val="1"/>
    <w:autoRedefine/>
    <w:qFormat/>
    <w:uiPriority w:val="0"/>
    <w:rPr>
      <w:rFonts w:ascii="Tahoma" w:hAnsi="Tahoma" w:cs="Tahoma"/>
      <w:sz w:val="24"/>
    </w:rPr>
  </w:style>
  <w:style w:type="paragraph" w:customStyle="1" w:styleId="402">
    <w:name w:val="Char Char Char Char1"/>
    <w:basedOn w:val="18"/>
    <w:autoRedefine/>
    <w:qFormat/>
    <w:uiPriority w:val="0"/>
    <w:pPr>
      <w:adjustRightInd w:val="0"/>
      <w:snapToGrid w:val="0"/>
      <w:spacing w:line="360" w:lineRule="auto"/>
    </w:pPr>
    <w:rPr>
      <w:rFonts w:ascii="Tahoma" w:hAnsi="Tahoma"/>
      <w:sz w:val="24"/>
      <w:szCs w:val="24"/>
    </w:rPr>
  </w:style>
  <w:style w:type="paragraph" w:customStyle="1" w:styleId="403">
    <w:name w:val="正文1"/>
    <w:basedOn w:val="1"/>
    <w:autoRedefine/>
    <w:qFormat/>
    <w:uiPriority w:val="0"/>
    <w:rPr>
      <w:rFonts w:ascii="Calibri" w:hAnsi="Calibri" w:eastAsia="Times New Roman" w:cs="宋体"/>
      <w:kern w:val="0"/>
      <w:lang w:val="zh-CN"/>
    </w:rPr>
  </w:style>
  <w:style w:type="paragraph" w:customStyle="1" w:styleId="404">
    <w:name w:val="font6"/>
    <w:basedOn w:val="1"/>
    <w:autoRedefine/>
    <w:qFormat/>
    <w:uiPriority w:val="0"/>
    <w:pPr>
      <w:widowControl/>
      <w:spacing w:before="100" w:beforeAutospacing="1" w:after="100" w:afterAutospacing="1"/>
    </w:pPr>
    <w:rPr>
      <w:rFonts w:ascii="宋体" w:hAnsi="宋体" w:cs="宋体"/>
      <w:b/>
      <w:bCs/>
      <w:kern w:val="0"/>
      <w:sz w:val="20"/>
    </w:rPr>
  </w:style>
  <w:style w:type="paragraph" w:customStyle="1" w:styleId="40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6"/>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7"/>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paragraph" w:customStyle="1" w:styleId="455">
    <w:name w:val="样式 标题 2 + 段后: 156 磅"/>
    <w:autoRedefine/>
    <w:qFormat/>
    <w:uiPriority w:val="0"/>
    <w:pPr>
      <w:keepNext/>
      <w:keepLines/>
      <w:widowControl w:val="0"/>
      <w:autoSpaceDE w:val="0"/>
      <w:autoSpaceDN w:val="0"/>
      <w:adjustRightInd w:val="0"/>
      <w:spacing w:before="100" w:after="100" w:line="240" w:lineRule="auto"/>
      <w:jc w:val="center"/>
      <w:outlineLvl w:val="1"/>
    </w:pPr>
    <w:rPr>
      <w:rFonts w:ascii="Arial" w:hAnsi="Arial" w:eastAsia="宋体" w:cs="宋体"/>
      <w:b/>
      <w:bCs/>
      <w:kern w:val="0"/>
      <w:sz w:val="30"/>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4FB55E-FCDD-49F0-B4D1-1C28E0C2212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3222</Words>
  <Characters>18371</Characters>
  <Lines>153</Lines>
  <Paragraphs>43</Paragraphs>
  <TotalTime>2</TotalTime>
  <ScaleCrop>false</ScaleCrop>
  <LinksUpToDate>false</LinksUpToDate>
  <CharactersWithSpaces>21550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为我撩人°</cp:lastModifiedBy>
  <cp:lastPrinted>2023-12-14T01:03:00Z</cp:lastPrinted>
  <dcterms:modified xsi:type="dcterms:W3CDTF">2024-03-21T09:05:11Z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9C48C96A2486436DAF8F86B2217FC794_13</vt:lpwstr>
  </property>
</Properties>
</file>