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62" w:beforeLines="20" w:after="62" w:afterLines="20" w:line="480" w:lineRule="exact"/>
        <w:ind w:firstLine="0" w:firstLineChars="0"/>
        <w:jc w:val="center"/>
        <w:rPr>
          <w:rFonts w:hint="eastAsia" w:ascii="Arial" w:hAnsi="Arial"/>
          <w:color w:val="000000" w:themeColor="text1"/>
          <w:kern w:val="2"/>
          <w:sz w:val="32"/>
          <w:szCs w:val="32"/>
          <w:highlight w:val="none"/>
          <w:lang w:val="zh-CN"/>
          <w14:textFill>
            <w14:solidFill>
              <w14:schemeClr w14:val="tx1"/>
            </w14:solidFill>
          </w14:textFill>
        </w:rPr>
      </w:pPr>
      <w:r>
        <w:rPr>
          <w:rFonts w:ascii="Arial" w:hAnsi="Arial"/>
          <w:color w:val="000000" w:themeColor="text1"/>
          <w:kern w:val="2"/>
          <w:sz w:val="32"/>
          <w:szCs w:val="32"/>
          <w:highlight w:val="none"/>
          <w:lang w:val="zh-CN"/>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货物</w:t>
      </w:r>
      <w:r>
        <w:rPr>
          <w:rFonts w:hint="eastAsia" w:ascii="Arial" w:hAnsi="Arial"/>
          <w:color w:val="000000" w:themeColor="text1"/>
          <w:kern w:val="2"/>
          <w:sz w:val="32"/>
          <w:szCs w:val="32"/>
          <w:highlight w:val="none"/>
          <w:lang w:val="zh-CN"/>
          <w14:textFill>
            <w14:solidFill>
              <w14:schemeClr w14:val="tx1"/>
            </w14:solidFill>
          </w14:textFill>
        </w:rPr>
        <w:t>需求及技术要求</w:t>
      </w:r>
    </w:p>
    <w:p>
      <w:pPr>
        <w:pStyle w:val="8"/>
        <w:widowControl w:val="0"/>
        <w:numPr>
          <w:ilvl w:val="0"/>
          <w:numId w:val="0"/>
        </w:numPr>
        <w:jc w:val="both"/>
        <w:rPr>
          <w:rFonts w:hint="default"/>
          <w:color w:val="000000" w:themeColor="text1"/>
          <w:highlight w:val="none"/>
          <w:lang w:val="en-US" w:eastAsia="zh-CN"/>
          <w14:textFill>
            <w14:solidFill>
              <w14:schemeClr w14:val="tx1"/>
            </w14:solidFill>
          </w14:textFill>
        </w:rPr>
      </w:pPr>
    </w:p>
    <w:p>
      <w:pPr>
        <w:pStyle w:val="8"/>
        <w:widowControl w:val="0"/>
        <w:numPr>
          <w:ilvl w:val="0"/>
          <w:numId w:val="0"/>
        </w:numPr>
        <w:jc w:val="both"/>
        <w:rPr>
          <w:rFonts w:hint="default" w:ascii="宋体" w:hAnsi="宋体" w:cs="宋体"/>
          <w:b w:val="0"/>
          <w:bCs w:val="0"/>
          <w:color w:val="000000" w:themeColor="text1"/>
          <w:spacing w:val="0"/>
          <w:sz w:val="21"/>
          <w:szCs w:val="21"/>
          <w:highlight w:val="none"/>
          <w:lang w:val="en-US" w:eastAsia="zh-CN"/>
          <w14:textFill>
            <w14:solidFill>
              <w14:schemeClr w14:val="tx1"/>
            </w14:solidFill>
          </w14:textFill>
        </w:rPr>
      </w:pPr>
    </w:p>
    <w:p>
      <w:pPr>
        <w:keepNext/>
        <w:keepLines/>
        <w:shd w:val="clear" w:color="auto" w:fill="FFFFFF"/>
        <w:wordWrap w:val="0"/>
        <w:autoSpaceDE w:val="0"/>
        <w:autoSpaceDN w:val="0"/>
        <w:adjustRightInd w:val="0"/>
        <w:spacing w:line="440" w:lineRule="exact"/>
        <w:ind w:firstLine="472" w:firstLineChars="196"/>
        <w:jc w:val="left"/>
        <w:outlineLvl w:val="2"/>
        <w:rPr>
          <w:rFonts w:ascii="宋体" w:hAnsi="宋体" w:eastAsia="宋体" w:cs="宋体"/>
          <w:b/>
          <w:color w:val="000000" w:themeColor="text1"/>
          <w:kern w:val="0"/>
          <w:sz w:val="24"/>
          <w:szCs w:val="20"/>
          <w:highlight w:val="none"/>
          <w:shd w:val="clear" w:color="auto" w:fill="FFFFFF"/>
          <w14:textFill>
            <w14:solidFill>
              <w14:schemeClr w14:val="tx1"/>
            </w14:solidFill>
          </w14:textFill>
        </w:rPr>
      </w:pPr>
      <w:r>
        <w:rPr>
          <w:rFonts w:hint="eastAsia" w:ascii="宋体" w:hAnsi="宋体" w:eastAsia="宋体" w:cs="宋体"/>
          <w:b/>
          <w:color w:val="000000" w:themeColor="text1"/>
          <w:kern w:val="0"/>
          <w:sz w:val="24"/>
          <w:szCs w:val="20"/>
          <w:highlight w:val="none"/>
          <w:shd w:val="clear" w:color="auto" w:fill="FFFFFF"/>
          <w14:textFill>
            <w14:solidFill>
              <w14:schemeClr w14:val="tx1"/>
            </w14:solidFill>
          </w14:textFill>
        </w:rPr>
        <w:t>一、货物需求一览表</w:t>
      </w:r>
    </w:p>
    <w:tbl>
      <w:tblPr>
        <w:tblStyle w:val="9"/>
        <w:tblpPr w:leftFromText="180" w:rightFromText="180" w:vertAnchor="text" w:horzAnchor="page" w:tblpXSpec="center" w:tblpY="309"/>
        <w:tblOverlap w:val="never"/>
        <w:tblW w:w="5578" w:type="pct"/>
        <w:tblInd w:w="0" w:type="dxa"/>
        <w:tblLayout w:type="fixed"/>
        <w:tblCellMar>
          <w:top w:w="0" w:type="dxa"/>
          <w:left w:w="108" w:type="dxa"/>
          <w:bottom w:w="0" w:type="dxa"/>
          <w:right w:w="108" w:type="dxa"/>
        </w:tblCellMar>
      </w:tblPr>
      <w:tblGrid>
        <w:gridCol w:w="413"/>
        <w:gridCol w:w="2271"/>
        <w:gridCol w:w="4575"/>
        <w:gridCol w:w="1124"/>
        <w:gridCol w:w="1124"/>
      </w:tblGrid>
      <w:tr>
        <w:tblPrEx>
          <w:tblCellMar>
            <w:top w:w="0" w:type="dxa"/>
            <w:left w:w="108" w:type="dxa"/>
            <w:bottom w:w="0" w:type="dxa"/>
            <w:right w:w="108" w:type="dxa"/>
          </w:tblCellMar>
        </w:tblPrEx>
        <w:trPr>
          <w:trHeight w:val="340" w:hRule="atLeast"/>
        </w:trPr>
        <w:tc>
          <w:tcPr>
            <w:tcW w:w="2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themeColor="text1"/>
                <w:szCs w:val="21"/>
                <w:highlight w:val="none"/>
                <w14:textFill>
                  <w14:solidFill>
                    <w14:schemeClr w14:val="tx1"/>
                  </w14:solidFill>
                </w14:textFill>
              </w:rPr>
            </w:pPr>
            <w:bookmarkStart w:id="0" w:name="_Toc4579"/>
            <w:bookmarkStart w:id="1" w:name="_Toc8852"/>
            <w:r>
              <w:rPr>
                <w:rFonts w:hint="eastAsia" w:ascii="宋体" w:hAnsi="宋体" w:eastAsia="宋体" w:cs="宋体"/>
                <w:b/>
                <w:bCs/>
                <w:color w:val="000000" w:themeColor="text1"/>
                <w:kern w:val="0"/>
                <w:szCs w:val="21"/>
                <w:highlight w:val="none"/>
                <w:lang w:bidi="ar"/>
                <w14:textFill>
                  <w14:solidFill>
                    <w14:schemeClr w14:val="tx1"/>
                  </w14:solidFill>
                </w14:textFill>
              </w:rPr>
              <w:t>序号</w:t>
            </w:r>
          </w:p>
        </w:tc>
        <w:tc>
          <w:tcPr>
            <w:tcW w:w="11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名称</w:t>
            </w:r>
          </w:p>
        </w:tc>
        <w:tc>
          <w:tcPr>
            <w:tcW w:w="240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lang w:bidi="ar"/>
                <w14:textFill>
                  <w14:solidFill>
                    <w14:schemeClr w14:val="tx1"/>
                  </w14:solidFill>
                </w14:textFill>
              </w:rPr>
              <w:t>竞争性谈判技术参数</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themeColor="text1"/>
                <w:kern w:val="0"/>
                <w:szCs w:val="21"/>
                <w:highlight w:val="none"/>
                <w:lang w:bidi="ar"/>
                <w14:textFill>
                  <w14:solidFill>
                    <w14:schemeClr w14:val="tx1"/>
                  </w14:solidFill>
                </w14:textFill>
              </w:rPr>
            </w:pPr>
            <w:r>
              <w:rPr>
                <w:rFonts w:hint="eastAsia" w:ascii="宋体" w:hAnsi="宋体" w:cs="宋体"/>
                <w:b/>
                <w:bCs/>
                <w:color w:val="000000" w:themeColor="text1"/>
                <w:kern w:val="0"/>
                <w:szCs w:val="21"/>
                <w:highlight w:val="none"/>
                <w:lang w:val="en-US" w:eastAsia="zh-CN" w:bidi="ar"/>
                <w14:textFill>
                  <w14:solidFill>
                    <w14:schemeClr w14:val="tx1"/>
                  </w14:solidFill>
                </w14:textFill>
              </w:rPr>
              <w:t>暂定</w:t>
            </w:r>
            <w:r>
              <w:rPr>
                <w:rFonts w:hint="eastAsia" w:ascii="宋体" w:hAnsi="宋体" w:eastAsia="宋体" w:cs="宋体"/>
                <w:b/>
                <w:bCs/>
                <w:color w:val="000000" w:themeColor="text1"/>
                <w:kern w:val="0"/>
                <w:szCs w:val="21"/>
                <w:highlight w:val="none"/>
                <w:lang w:bidi="ar"/>
                <w14:textFill>
                  <w14:solidFill>
                    <w14:schemeClr w14:val="tx1"/>
                  </w14:solidFill>
                </w14:textFill>
              </w:rPr>
              <w:t>数量</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pPr>
            <w:r>
              <w:rPr>
                <w:rFonts w:hint="eastAsia" w:ascii="宋体" w:hAnsi="宋体" w:cs="宋体"/>
                <w:b/>
                <w:bCs/>
                <w:color w:val="000000" w:themeColor="text1"/>
                <w:kern w:val="0"/>
                <w:szCs w:val="21"/>
                <w:highlight w:val="none"/>
                <w:lang w:val="en-US" w:eastAsia="zh-CN" w:bidi="ar"/>
                <w14:textFill>
                  <w14:solidFill>
                    <w14:schemeClr w14:val="tx1"/>
                  </w14:solidFill>
                </w14:textFill>
              </w:rPr>
              <w:t>单位</w:t>
            </w:r>
          </w:p>
        </w:tc>
      </w:tr>
      <w:tr>
        <w:tblPrEx>
          <w:tblCellMar>
            <w:top w:w="0" w:type="dxa"/>
            <w:left w:w="108" w:type="dxa"/>
            <w:bottom w:w="0" w:type="dxa"/>
            <w:right w:w="108" w:type="dxa"/>
          </w:tblCellMar>
        </w:tblPrEx>
        <w:trPr>
          <w:trHeight w:val="962" w:hRule="atLeast"/>
        </w:trPr>
        <w:tc>
          <w:tcPr>
            <w:tcW w:w="21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1</w:t>
            </w:r>
          </w:p>
        </w:tc>
        <w:tc>
          <w:tcPr>
            <w:tcW w:w="11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themeColor="text1"/>
                <w:kern w:val="0"/>
                <w:szCs w:val="21"/>
                <w:highlight w:val="none"/>
                <w:lang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中粗砂</w:t>
            </w:r>
          </w:p>
        </w:tc>
        <w:tc>
          <w:tcPr>
            <w:tcW w:w="2406"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Theme="minorEastAsia" w:hAnsiTheme="minorEastAsia" w:eastAsiaTheme="minorEastAsia" w:cstheme="minorEastAsia"/>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1"/>
                <w:szCs w:val="21"/>
                <w:highlight w:val="none"/>
                <w:u w:val="none"/>
                <w:lang w:val="en-US" w:eastAsia="zh-CN" w:bidi="ar"/>
                <w14:textFill>
                  <w14:solidFill>
                    <w14:schemeClr w14:val="tx1"/>
                  </w14:solidFill>
                </w14:textFill>
              </w:rPr>
              <w:t>所供砂应洁净、坚硬，细度模数为2.4～2.9的中粗砂，含泥量不大于3%</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20000</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吨</w:t>
            </w:r>
          </w:p>
        </w:tc>
      </w:tr>
      <w:tr>
        <w:tblPrEx>
          <w:tblCellMar>
            <w:top w:w="0" w:type="dxa"/>
            <w:left w:w="108" w:type="dxa"/>
            <w:bottom w:w="0" w:type="dxa"/>
            <w:right w:w="108" w:type="dxa"/>
          </w:tblCellMar>
        </w:tblPrEx>
        <w:trPr>
          <w:trHeight w:val="922" w:hRule="atLeast"/>
        </w:trPr>
        <w:tc>
          <w:tcPr>
            <w:tcW w:w="21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2</w:t>
            </w:r>
          </w:p>
        </w:tc>
        <w:tc>
          <w:tcPr>
            <w:tcW w:w="11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themeColor="text1"/>
                <w:kern w:val="0"/>
                <w:szCs w:val="21"/>
                <w:highlight w:val="none"/>
                <w:lang w:bidi="ar"/>
                <w14:textFill>
                  <w14:solidFill>
                    <w14:schemeClr w14:val="tx1"/>
                  </w14:solidFill>
                </w14:textFill>
              </w:rPr>
            </w:pPr>
            <w:r>
              <w:rPr>
                <w:rFonts w:hint="eastAsia" w:ascii="宋体" w:hAnsi="宋体" w:eastAsia="宋体" w:cs="宋体"/>
                <w:b/>
                <w:bCs/>
                <w:color w:val="000000" w:themeColor="text1"/>
                <w:kern w:val="0"/>
                <w:szCs w:val="21"/>
                <w:highlight w:val="none"/>
                <w:lang w:val="en-US" w:eastAsia="zh-CN" w:bidi="ar"/>
                <w14:textFill>
                  <w14:solidFill>
                    <w14:schemeClr w14:val="tx1"/>
                  </w14:solidFill>
                </w14:textFill>
              </w:rPr>
              <w:t>机制砂</w:t>
            </w:r>
          </w:p>
        </w:tc>
        <w:tc>
          <w:tcPr>
            <w:tcW w:w="2406"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default" w:asciiTheme="minorEastAsia" w:hAnsiTheme="minorEastAsia" w:eastAsiaTheme="minorEastAsia" w:cstheme="minorEastAsia"/>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1"/>
                <w:szCs w:val="21"/>
                <w:highlight w:val="none"/>
                <w:u w:val="none"/>
                <w:lang w:val="en-US" w:eastAsia="zh-CN" w:bidi="ar"/>
                <w14:textFill>
                  <w14:solidFill>
                    <w14:schemeClr w14:val="tx1"/>
                  </w14:solidFill>
                </w14:textFill>
              </w:rPr>
              <w:t>含泥量、细度模数等指标均符合安徽省地方相关标准要求</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30000</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吨</w:t>
            </w:r>
          </w:p>
        </w:tc>
      </w:tr>
    </w:tbl>
    <w:p>
      <w:pPr>
        <w:keepNext/>
        <w:keepLines/>
        <w:shd w:val="clear" w:color="auto" w:fill="FFFFFF"/>
        <w:wordWrap w:val="0"/>
        <w:autoSpaceDE w:val="0"/>
        <w:autoSpaceDN w:val="0"/>
        <w:adjustRightInd w:val="0"/>
        <w:spacing w:line="360" w:lineRule="auto"/>
        <w:jc w:val="left"/>
        <w:outlineLvl w:val="2"/>
        <w:rPr>
          <w:rFonts w:hint="eastAsia" w:ascii="宋体" w:hAnsi="宋体" w:eastAsia="宋体" w:cs="宋体"/>
          <w:b/>
          <w:color w:val="000000" w:themeColor="text1"/>
          <w:kern w:val="0"/>
          <w:sz w:val="24"/>
          <w:szCs w:val="20"/>
          <w:highlight w:val="none"/>
          <w:shd w:val="clear" w:color="auto" w:fill="FFFFFF"/>
          <w14:textFill>
            <w14:solidFill>
              <w14:schemeClr w14:val="tx1"/>
            </w14:solidFill>
          </w14:textFill>
        </w:rPr>
      </w:pPr>
    </w:p>
    <w:p>
      <w:pPr>
        <w:topLinePunct/>
        <w:spacing w:line="360" w:lineRule="auto"/>
        <w:rPr>
          <w:rFonts w:hint="eastAsia" w:asciiTheme="minorEastAsia" w:hAnsiTheme="minorEastAsia" w:eastAsiaTheme="minorEastAsia" w:cstheme="minorEastAsia"/>
          <w:b/>
          <w:color w:val="000000" w:themeColor="text1"/>
          <w:kern w:val="0"/>
          <w:sz w:val="21"/>
          <w:szCs w:val="21"/>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包含</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但不限于</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出厂价（生产厂家）+运费+税费+财务费用等一切费用。</w:t>
      </w:r>
    </w:p>
    <w:p>
      <w:pPr>
        <w:pStyle w:val="5"/>
        <w:numPr>
          <w:ilvl w:val="0"/>
          <w:numId w:val="0"/>
        </w:numPr>
        <w:spacing w:line="360" w:lineRule="auto"/>
        <w:ind w:leftChars="0"/>
        <w:jc w:val="both"/>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1、技术标准及要求：</w:t>
      </w:r>
      <w:r>
        <w:rPr>
          <w:rFonts w:hint="eastAsia" w:asciiTheme="minorEastAsia" w:hAnsiTheme="minorEastAsia" w:eastAsiaTheme="minorEastAsia" w:cstheme="minorEastAsia"/>
          <w:bCs/>
          <w:color w:val="000000" w:themeColor="text1"/>
          <w:sz w:val="21"/>
          <w:szCs w:val="21"/>
          <w:highlight w:val="none"/>
          <w:u w:val="single"/>
          <w14:textFill>
            <w14:solidFill>
              <w14:schemeClr w14:val="tx1"/>
            </w14:solidFill>
          </w14:textFill>
        </w:rPr>
        <w:t>符合业主的作业指导书、</w:t>
      </w:r>
      <w:r>
        <w:rPr>
          <w:rFonts w:hint="eastAsia" w:asciiTheme="minorEastAsia" w:hAnsiTheme="minorEastAsia" w:eastAsiaTheme="minorEastAsia" w:cstheme="minorEastAsia"/>
          <w:bCs/>
          <w:color w:val="000000" w:themeColor="text1"/>
          <w:sz w:val="21"/>
          <w:szCs w:val="21"/>
          <w:highlight w:val="none"/>
          <w:u w:val="single"/>
          <w:lang w:val="en-US" w:eastAsia="zh-CN"/>
          <w14:textFill>
            <w14:solidFill>
              <w14:schemeClr w14:val="tx1"/>
            </w14:solidFill>
          </w14:textFill>
        </w:rPr>
        <w:t>采购</w:t>
      </w:r>
      <w:r>
        <w:rPr>
          <w:rFonts w:hint="eastAsia" w:asciiTheme="minorEastAsia" w:hAnsiTheme="minorEastAsia" w:eastAsiaTheme="minorEastAsia" w:cstheme="minorEastAsia"/>
          <w:bCs/>
          <w:color w:val="000000" w:themeColor="text1"/>
          <w:sz w:val="21"/>
          <w:szCs w:val="21"/>
          <w:highlight w:val="none"/>
          <w:u w:val="single"/>
          <w14:textFill>
            <w14:solidFill>
              <w14:schemeClr w14:val="tx1"/>
            </w14:solidFill>
          </w14:textFill>
        </w:rPr>
        <w:t>文件、技术规范要求，</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具体质量要求如下：</w:t>
      </w:r>
    </w:p>
    <w:p>
      <w:pPr>
        <w:spacing w:line="360" w:lineRule="auto"/>
        <w:rPr>
          <w:rFonts w:hint="eastAsia" w:asciiTheme="minorEastAsia" w:hAnsiTheme="minorEastAsia" w:eastAsiaTheme="minorEastAsia" w:cs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1"/>
          <w:szCs w:val="21"/>
          <w:highlight w:val="none"/>
          <w:u w:val="none"/>
          <w:lang w:val="en-US" w:eastAsia="zh-CN" w:bidi="ar"/>
          <w14:textFill>
            <w14:solidFill>
              <w14:schemeClr w14:val="tx1"/>
            </w14:solidFill>
          </w14:textFill>
        </w:rPr>
        <w:t>2、质量要求：符合业主的作业指导书、磋商文件、技术规范要求，具体质量要求如下：所供砂应洁净、坚硬，细度模数为2.4～2.9的中粗砂，含泥量不大于3%。中粗砂必须符合项目部的质量和级配要求，并经采购人验收认可。中标人应按采购人要求供料，若含水率超过规定指标（含水率3%）应扣除重量，含水量由采购人试验室检测，对于检测含水量过多的黄砂采购人有权且不承担此过程产生的任何费用。</w:t>
      </w:r>
    </w:p>
    <w:p>
      <w:pPr>
        <w:spacing w:line="360" w:lineRule="auto"/>
        <w:rPr>
          <w:rFonts w:hint="eastAsia" w:asciiTheme="minorEastAsia" w:hAnsiTheme="minorEastAsia" w:eastAsiaTheme="minorEastAsia" w:cstheme="minorEastAsia"/>
          <w:color w:val="000000" w:themeColor="text1"/>
          <w:highlight w:val="none"/>
          <w:u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u w:val="none"/>
          <w14:textFill>
            <w14:solidFill>
              <w14:schemeClr w14:val="tx1"/>
            </w14:solidFill>
          </w14:textFill>
        </w:rPr>
        <w:t>中标人按</w:t>
      </w:r>
      <w:r>
        <w:rPr>
          <w:rFonts w:hint="eastAsia" w:asciiTheme="minorEastAsia" w:hAnsiTheme="minorEastAsia" w:eastAsiaTheme="minorEastAsia" w:cstheme="minorEastAsia"/>
          <w:color w:val="000000" w:themeColor="text1"/>
          <w:highlight w:val="none"/>
          <w:u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highlight w:val="none"/>
          <w:u w:val="none"/>
          <w14:textFill>
            <w14:solidFill>
              <w14:schemeClr w14:val="tx1"/>
            </w14:solidFill>
          </w14:textFill>
        </w:rPr>
        <w:t>规定的质量、数量要求供货，货到现场后由</w:t>
      </w:r>
      <w:r>
        <w:rPr>
          <w:rFonts w:hint="eastAsia" w:asciiTheme="minorEastAsia" w:hAnsiTheme="minorEastAsia" w:eastAsiaTheme="minorEastAsia" w:cstheme="minorEastAsia"/>
          <w:color w:val="000000" w:themeColor="text1"/>
          <w:highlight w:val="none"/>
          <w:u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highlight w:val="none"/>
          <w:u w:val="none"/>
          <w14:textFill>
            <w14:solidFill>
              <w14:schemeClr w14:val="tx1"/>
            </w14:solidFill>
          </w14:textFill>
        </w:rPr>
        <w:t>项目材料员、质检员共同进行验收；</w:t>
      </w:r>
      <w:r>
        <w:rPr>
          <w:rFonts w:hint="eastAsia" w:asciiTheme="minorEastAsia" w:hAnsiTheme="minorEastAsia" w:eastAsiaTheme="minorEastAsia" w:cstheme="minorEastAsia"/>
          <w:color w:val="000000" w:themeColor="text1"/>
          <w:highlight w:val="none"/>
          <w:u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highlight w:val="none"/>
          <w:u w:val="none"/>
          <w14:textFill>
            <w14:solidFill>
              <w14:schemeClr w14:val="tx1"/>
            </w14:solidFill>
          </w14:textFill>
        </w:rPr>
        <w:t>随机取样抽检，如检验不合格，</w:t>
      </w:r>
      <w:r>
        <w:rPr>
          <w:rFonts w:hint="eastAsia" w:asciiTheme="minorEastAsia" w:hAnsiTheme="minorEastAsia" w:eastAsiaTheme="minorEastAsia" w:cstheme="minorEastAsia"/>
          <w:color w:val="000000" w:themeColor="text1"/>
          <w:highlight w:val="none"/>
          <w:u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highlight w:val="none"/>
          <w:u w:val="none"/>
          <w14:textFill>
            <w14:solidFill>
              <w14:schemeClr w14:val="tx1"/>
            </w14:solidFill>
          </w14:textFill>
        </w:rPr>
        <w:t>一律拒绝验收，中标人必须无条件拉走并承担合同约定的违约责任；验收合格后</w:t>
      </w:r>
      <w:r>
        <w:rPr>
          <w:rFonts w:hint="eastAsia" w:asciiTheme="minorEastAsia" w:hAnsiTheme="minorEastAsia" w:eastAsiaTheme="minorEastAsia" w:cstheme="minorEastAsia"/>
          <w:color w:val="000000" w:themeColor="text1"/>
          <w:highlight w:val="none"/>
          <w:u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highlight w:val="none"/>
          <w:u w:val="none"/>
          <w14:textFill>
            <w14:solidFill>
              <w14:schemeClr w14:val="tx1"/>
            </w14:solidFill>
          </w14:textFill>
        </w:rPr>
        <w:t>开具收料单，作为结算依据</w:t>
      </w:r>
      <w:r>
        <w:rPr>
          <w:rFonts w:hint="eastAsia" w:asciiTheme="minorEastAsia" w:hAnsiTheme="minorEastAsia" w:eastAsiaTheme="minorEastAsia" w:cstheme="minorEastAsia"/>
          <w:b/>
          <w:bCs/>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u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highlight w:val="none"/>
          <w:u w:val="none"/>
          <w14:textFill>
            <w14:solidFill>
              <w14:schemeClr w14:val="tx1"/>
            </w14:solidFill>
          </w14:textFill>
        </w:rPr>
        <w:t>、</w:t>
      </w:r>
      <w:r>
        <w:rPr>
          <w:rFonts w:hint="eastAsia" w:ascii="Times New Roman" w:hAnsi="Times New Roman" w:eastAsia="宋体" w:cs="Times New Roman"/>
          <w:b/>
          <w:bCs/>
          <w:color w:val="000000" w:themeColor="text1"/>
          <w:highlight w:val="none"/>
          <w14:textFill>
            <w14:solidFill>
              <w14:schemeClr w14:val="tx1"/>
            </w14:solidFill>
          </w14:textFill>
        </w:rPr>
        <w:t>产品价格变动</w:t>
      </w: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调价机制</w:t>
      </w:r>
      <w:r>
        <w:rPr>
          <w:rFonts w:hint="eastAsia" w:ascii="Times New Roman" w:hAnsi="Times New Roman" w:eastAsia="宋体" w:cs="Times New Roman"/>
          <w:b/>
          <w:bCs/>
          <w:color w:val="000000" w:themeColor="text1"/>
          <w:highlight w:val="none"/>
          <w14:textFill>
            <w14:solidFill>
              <w14:schemeClr w14:val="tx1"/>
            </w14:solidFill>
          </w14:textFill>
        </w:rPr>
        <w:t>：</w:t>
      </w:r>
      <w:r>
        <w:rPr>
          <w:rFonts w:hint="eastAsia" w:ascii="Times New Roman" w:hAnsi="Times New Roman" w:eastAsia="宋体" w:cs="Times New Roman"/>
          <w:b/>
          <w:bCs/>
          <w:color w:val="000000" w:themeColor="text1"/>
          <w:highlight w:val="none"/>
          <w:lang w:val="en-US" w:eastAsia="zh-CN"/>
          <w14:textFill>
            <w14:solidFill>
              <w14:schemeClr w14:val="tx1"/>
            </w14:solidFill>
          </w14:textFill>
        </w:rPr>
        <w:t>本</w:t>
      </w:r>
      <w:r>
        <w:rPr>
          <w:rFonts w:hint="eastAsia"/>
          <w:b/>
          <w:bCs/>
          <w:color w:val="000000" w:themeColor="text1"/>
          <w:highlight w:val="none"/>
          <w:lang w:val="en-US" w:eastAsia="zh-CN"/>
          <w14:textFill>
            <w14:solidFill>
              <w14:schemeClr w14:val="tx1"/>
            </w14:solidFill>
          </w14:textFill>
        </w:rPr>
        <w:t>项目</w:t>
      </w:r>
      <w:r>
        <w:rPr>
          <w:rFonts w:hint="eastAsia"/>
          <w:b/>
          <w:bCs/>
          <w:color w:val="000000" w:themeColor="text1"/>
          <w:highlight w:val="none"/>
          <w14:textFill>
            <w14:solidFill>
              <w14:schemeClr w14:val="tx1"/>
            </w14:solidFill>
          </w14:textFill>
        </w:rPr>
        <w:t>实行浮动单价结算。自现场供货之日起，对供货商供应的材料结算价每月进行一次价格调整。</w:t>
      </w:r>
    </w:p>
    <w:p>
      <w:pPr>
        <w:ind w:firstLine="422" w:firstLineChars="200"/>
        <w:rPr>
          <w:rFonts w:hint="default" w:eastAsia="宋体"/>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供应商最终结算价</w:t>
      </w:r>
      <w:r>
        <w:rPr>
          <w:rFonts w:hint="eastAsia" w:asciiTheme="minorEastAsia" w:hAnsiTheme="minorEastAsia" w:eastAsiaTheme="minorEastAsia" w:cstheme="minorEastAsia"/>
          <w:b/>
          <w:bCs/>
          <w:color w:val="000000" w:themeColor="text1"/>
          <w:highlight w:val="none"/>
          <w:u w:val="none"/>
          <w:lang w:val="en-US" w:eastAsia="zh-CN"/>
          <w14:textFill>
            <w14:solidFill>
              <w14:schemeClr w14:val="tx1"/>
            </w14:solidFill>
          </w14:textFill>
        </w:rPr>
        <w:t>=实际供货数量*</w:t>
      </w:r>
      <w:r>
        <w:rPr>
          <w:rFonts w:hint="eastAsia"/>
          <w:b/>
          <w:bCs/>
          <w:color w:val="000000" w:themeColor="text1"/>
          <w:highlight w:val="none"/>
          <w:lang w:val="en-US" w:eastAsia="zh-CN"/>
          <w14:textFill>
            <w14:solidFill>
              <w14:schemeClr w14:val="tx1"/>
            </w14:solidFill>
          </w14:textFill>
        </w:rPr>
        <w:t>安庆市建管处供货当月</w:t>
      </w:r>
      <w:r>
        <w:rPr>
          <w:rFonts w:hint="eastAsia"/>
          <w:b/>
          <w:bCs/>
          <w:color w:val="000000" w:themeColor="text1"/>
          <w:highlight w:val="none"/>
          <w14:textFill>
            <w14:solidFill>
              <w14:schemeClr w14:val="tx1"/>
            </w14:solidFill>
          </w14:textFill>
        </w:rPr>
        <w:t>公布的</w:t>
      </w:r>
      <w:r>
        <w:rPr>
          <w:rFonts w:hint="eastAsia"/>
          <w:b/>
          <w:bCs/>
          <w:color w:val="000000" w:themeColor="text1"/>
          <w:highlight w:val="none"/>
          <w:lang w:val="en-US" w:eastAsia="zh-CN"/>
          <w14:textFill>
            <w14:solidFill>
              <w14:schemeClr w14:val="tx1"/>
            </w14:solidFill>
          </w14:textFill>
        </w:rPr>
        <w:t>安庆</w:t>
      </w:r>
      <w:r>
        <w:rPr>
          <w:rFonts w:hint="eastAsia"/>
          <w:b/>
          <w:bCs/>
          <w:color w:val="000000" w:themeColor="text1"/>
          <w:highlight w:val="none"/>
          <w14:textFill>
            <w14:solidFill>
              <w14:schemeClr w14:val="tx1"/>
            </w14:solidFill>
          </w14:textFill>
        </w:rPr>
        <w:t>市场建筑</w:t>
      </w:r>
      <w:r>
        <w:rPr>
          <w:rFonts w:hint="eastAsia"/>
          <w:b/>
          <w:bCs/>
          <w:color w:val="000000" w:themeColor="text1"/>
          <w:highlight w:val="none"/>
          <w:lang w:val="en-US" w:eastAsia="zh-CN"/>
          <w14:textFill>
            <w14:solidFill>
              <w14:schemeClr w14:val="tx1"/>
            </w14:solidFill>
          </w14:textFill>
        </w:rPr>
        <w:t>材料</w:t>
      </w:r>
      <w:r>
        <w:rPr>
          <w:rFonts w:hint="eastAsia"/>
          <w:b/>
          <w:bCs/>
          <w:color w:val="000000" w:themeColor="text1"/>
          <w:highlight w:val="none"/>
          <w14:textFill>
            <w14:solidFill>
              <w14:schemeClr w14:val="tx1"/>
            </w14:solidFill>
          </w14:textFill>
        </w:rPr>
        <w:t>价格行情所对应的</w:t>
      </w:r>
      <w:r>
        <w:rPr>
          <w:rFonts w:hint="eastAsia"/>
          <w:b/>
          <w:bCs/>
          <w:color w:val="000000" w:themeColor="text1"/>
          <w:highlight w:val="none"/>
          <w:lang w:val="en-US" w:eastAsia="zh-CN"/>
          <w14:textFill>
            <w14:solidFill>
              <w14:schemeClr w14:val="tx1"/>
            </w14:solidFill>
          </w14:textFill>
        </w:rPr>
        <w:t>供货材料价格</w:t>
      </w:r>
      <w:r>
        <w:rPr>
          <w:rFonts w:hint="eastAsia" w:asciiTheme="minorEastAsia" w:hAnsiTheme="minorEastAsia" w:eastAsiaTheme="minorEastAsia" w:cstheme="minorEastAsia"/>
          <w:b/>
          <w:bCs/>
          <w:color w:val="000000" w:themeColor="text1"/>
          <w:highlight w:val="none"/>
          <w:u w:val="none"/>
          <w:lang w:val="en-US" w:eastAsia="zh-CN"/>
          <w14:textFill>
            <w14:solidFill>
              <w14:schemeClr w14:val="tx1"/>
            </w14:solidFill>
          </w14:textFill>
        </w:rPr>
        <w:t>*中标费率。</w:t>
      </w:r>
    </w:p>
    <w:bookmarkEnd w:id="0"/>
    <w:bookmarkEnd w:id="1"/>
    <w:p>
      <w:pPr>
        <w:pStyle w:val="6"/>
        <w:rPr>
          <w:rFonts w:ascii="宋体" w:hAnsi="宋体" w:eastAsia="宋体" w:cs="宋体"/>
          <w:color w:val="000000" w:themeColor="text1"/>
          <w:szCs w:val="21"/>
          <w:highlight w:val="none"/>
          <w14:textFill>
            <w14:solidFill>
              <w14:schemeClr w14:val="tx1"/>
            </w14:solidFill>
          </w14:textFill>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8BA72"/>
    <w:multiLevelType w:val="singleLevel"/>
    <w:tmpl w:val="AB18BA72"/>
    <w:lvl w:ilvl="0" w:tentative="0">
      <w:start w:val="1"/>
      <w:numFmt w:val="bullet"/>
      <w:pStyle w:val="8"/>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ZGU5YzFmMjAyNTFlYzY2YTkwYmU3ZGU5YzU4YjEifQ=="/>
  </w:docVars>
  <w:rsids>
    <w:rsidRoot w:val="2F8E6861"/>
    <w:rsid w:val="2F8E6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firstLine="490" w:firstLineChars="175"/>
      <w:jc w:val="left"/>
    </w:pPr>
  </w:style>
  <w:style w:type="paragraph" w:styleId="3">
    <w:name w:val="Body Text Indent"/>
    <w:basedOn w:val="1"/>
    <w:next w:val="4"/>
    <w:qFormat/>
    <w:uiPriority w:val="0"/>
    <w:pPr>
      <w:ind w:firstLine="645"/>
    </w:pPr>
    <w:rPr>
      <w:sz w:val="20"/>
    </w:rPr>
  </w:style>
  <w:style w:type="paragraph" w:styleId="4">
    <w:name w:val="envelope return"/>
    <w:basedOn w:val="1"/>
    <w:unhideWhenUsed/>
    <w:qFormat/>
    <w:uiPriority w:val="99"/>
    <w:pPr>
      <w:snapToGrid w:val="0"/>
    </w:pPr>
    <w:rPr>
      <w:rFonts w:ascii="Arial" w:hAnsi="Arial"/>
    </w:rPr>
  </w:style>
  <w:style w:type="paragraph" w:styleId="6">
    <w:name w:val="Body Text"/>
    <w:basedOn w:val="1"/>
    <w:next w:val="7"/>
    <w:qFormat/>
    <w:uiPriority w:val="0"/>
    <w:rPr>
      <w:rFonts w:ascii="楷体_GB2312" w:hAnsi="Arial" w:eastAsia="楷体_GB2312"/>
      <w:sz w:val="20"/>
    </w:rPr>
  </w:style>
  <w:style w:type="paragraph" w:customStyle="1" w:styleId="7">
    <w:name w:val="目录 72"/>
    <w:basedOn w:val="1"/>
    <w:next w:val="1"/>
    <w:qFormat/>
    <w:uiPriority w:val="39"/>
    <w:pPr>
      <w:ind w:left="1260"/>
    </w:pPr>
    <w:rPr>
      <w:sz w:val="18"/>
    </w:rPr>
  </w:style>
  <w:style w:type="paragraph" w:styleId="8">
    <w:name w:val="List Bullet 2"/>
    <w:basedOn w:val="1"/>
    <w:uiPriority w:val="0"/>
    <w:pPr>
      <w:numPr>
        <w:ilvl w:val="0"/>
        <w:numId w:val="1"/>
      </w:numP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2023-11-20T07:33:00Z</dcterms:created>
  <dc:creator>媛媛__</dc:creator>
  <cp:lastModifiedBy>媛媛__</cp:lastModifiedBy>
  <dcterms:modified xsi:type="dcterms:W3CDTF">2023-11-20T07:34:01Z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A3774F3CECA846E19919AFFFBD360CBF_11</vt:lpwstr>
  </property>
</Properties>
</file>