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2" w:beforeLines="20" w:after="62" w:afterLines="20" w:line="480" w:lineRule="exact"/>
        <w:ind w:firstLine="0" w:firstLineChars="0"/>
        <w:jc w:val="center"/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ascii="Arial" w:hAnsi="Arial"/>
          <w:color w:val="auto"/>
          <w:kern w:val="2"/>
          <w:sz w:val="32"/>
          <w:szCs w:val="32"/>
          <w:highlight w:val="none"/>
          <w:lang w:val="zh-CN"/>
        </w:rPr>
        <w:t xml:space="preserve"> 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货物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  <w:t>需求及技术要求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420" w:lineRule="exact"/>
        <w:jc w:val="both"/>
        <w:textAlignment w:val="auto"/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Toc8852"/>
      <w:bookmarkStart w:id="1" w:name="_Toc4579"/>
    </w:p>
    <w:p>
      <w:pPr>
        <w:keepNext/>
        <w:keepLines/>
        <w:shd w:val="clear" w:color="auto" w:fill="FFFFFF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color w:val="auto"/>
          <w:kern w:val="0"/>
          <w:sz w:val="24"/>
          <w:szCs w:val="20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highlight w:val="none"/>
          <w:shd w:val="clear" w:color="auto" w:fill="FFFFFF"/>
        </w:rPr>
        <w:t>一、货物需求一览表</w:t>
      </w:r>
    </w:p>
    <w:tbl>
      <w:tblPr>
        <w:tblStyle w:val="9"/>
        <w:tblpPr w:leftFromText="180" w:rightFromText="180" w:vertAnchor="text" w:horzAnchor="page" w:tblpXSpec="center" w:tblpY="309"/>
        <w:tblOverlap w:val="never"/>
        <w:tblW w:w="46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271"/>
        <w:gridCol w:w="5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3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水泥（P.II52.5）</w:t>
            </w:r>
          </w:p>
        </w:tc>
        <w:tc>
          <w:tcPr>
            <w:tcW w:w="3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GB175-2020通用硅酸盐水泥标准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水泥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P.O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3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GB175-2020通用硅酸盐水泥标准</w:t>
            </w:r>
          </w:p>
        </w:tc>
      </w:tr>
    </w:tbl>
    <w:p>
      <w:pPr>
        <w:tabs>
          <w:tab w:val="left" w:pos="567"/>
        </w:tabs>
        <w:spacing w:before="120" w:line="36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tabs>
          <w:tab w:val="left" w:pos="567"/>
        </w:tabs>
        <w:spacing w:before="120" w:line="360" w:lineRule="auto"/>
        <w:rPr>
          <w:rFonts w:hint="eastAsia" w:ascii="宋体" w:hAnsi="宋体" w:cs="Times New Roman"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注：供应商所提供的水泥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制造商具备全能化生产工艺（自有矿山、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旋窑工艺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），在合同签订前采购人将对中标人全能化生产工艺（自有矿山、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旋窑工艺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）进行现场核实，如不能达到全能化生产工艺（自有矿山、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旋窑工艺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）要求采购人有权取消中标候选人中标资格，取消中标候选人中标资格后采购人可以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  <w:t>确定下一候选人为成交人，也可以重新开展采购活动</w:t>
      </w:r>
      <w:r>
        <w:rPr>
          <w:rFonts w:hint="eastAsia" w:ascii="宋体" w:hAnsi="宋体" w:cs="Times New Roman"/>
          <w:color w:val="auto"/>
          <w:kern w:val="2"/>
          <w:sz w:val="21"/>
          <w:szCs w:val="21"/>
          <w:highlight w:val="none"/>
          <w:lang w:eastAsia="zh-CN"/>
        </w:rPr>
        <w:t>。</w:t>
      </w:r>
    </w:p>
    <w:p>
      <w:pPr>
        <w:tabs>
          <w:tab w:val="left" w:pos="567"/>
        </w:tabs>
        <w:spacing w:before="120" w:line="360" w:lineRule="auto"/>
        <w:rPr>
          <w:rFonts w:hint="eastAsia" w:ascii="宋体" w:hAnsi="宋体" w:cs="Times New Roman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none"/>
          <w:lang w:val="en-US" w:eastAsia="zh-CN"/>
        </w:rPr>
        <w:t>此次投标报价费率报的是水泥（P.O42.5）价格费率，后期如甲方要求供货水泥（P.II52.5），则结算单价在水泥（P.O42.5）的价格基础上上浮 20元/吨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none"/>
          <w:lang w:eastAsia="zh-CN"/>
        </w:rPr>
        <w:t>）</w:t>
      </w:r>
    </w:p>
    <w:p>
      <w:pPr>
        <w:pStyle w:val="6"/>
        <w:tabs>
          <w:tab w:val="left" w:pos="567"/>
        </w:tabs>
        <w:spacing w:line="360" w:lineRule="auto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二、说明：报价包含但不限于到场所需的一切费用，包括：产品的加工、材料费用；产品的装车、运输、运输过程中的安全等费用；税金。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三、到货地点： 安庆市宜秀区大龙山镇环城西路新材料产业园1号</w:t>
      </w:r>
      <w:r>
        <w:rPr>
          <w:rFonts w:hint="eastAsia"/>
          <w:color w:val="auto"/>
          <w:highlight w:val="none"/>
        </w:rPr>
        <w:t xml:space="preserve">                                                                                                                                                     </w:t>
      </w:r>
    </w:p>
    <w:p>
      <w:pPr>
        <w:keepNext/>
        <w:keepLines/>
        <w:shd w:val="clear" w:color="auto" w:fill="FFFFFF"/>
        <w:wordWrap w:val="0"/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 w:eastAsia="宋体" w:cs="宋体"/>
          <w:b w:val="0"/>
          <w:bCs/>
          <w:color w:val="auto"/>
          <w:kern w:val="0"/>
          <w:sz w:val="24"/>
          <w:szCs w:val="20"/>
          <w:highlight w:val="none"/>
          <w:shd w:val="clear" w:color="auto" w:fill="FFFFFF"/>
        </w:rPr>
      </w:pPr>
      <w:bookmarkStart w:id="2" w:name="_Toc23093"/>
      <w:bookmarkStart w:id="3" w:name="_Toc466"/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0"/>
          <w:highlight w:val="none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0"/>
          <w:highlight w:val="none"/>
          <w:shd w:val="clear" w:color="auto" w:fill="FFFFFF"/>
        </w:rPr>
        <w:t>验收</w:t>
      </w:r>
      <w:bookmarkEnd w:id="2"/>
      <w:bookmarkEnd w:id="3"/>
    </w:p>
    <w:p>
      <w:pPr>
        <w:widowControl/>
        <w:spacing w:after="240" w:line="360" w:lineRule="auto"/>
        <w:ind w:firstLine="480"/>
        <w:jc w:val="left"/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1、数量验收：重量以买方磅秤数量为准，如卖方对数量有异议，可到第三方进行公正。由此引发的费用由计重误差大的一方承担。误差过大双方协商解决。</w:t>
      </w:r>
    </w:p>
    <w:p>
      <w:pPr>
        <w:widowControl/>
        <w:spacing w:after="240" w:line="360" w:lineRule="auto"/>
        <w:ind w:firstLine="420" w:firstLineChars="200"/>
        <w:jc w:val="left"/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2、质量验收：货到现场后，买方试验人员按照规定的材料批次和频率进行抽检并留样，若买方试验室抽检材料不符合要求，买方电话通知卖方，卖方自接到通知后24小时内自费清除不合格材料出场；买方的验证并不能免除卖方对所供应原材料在质量方面的责任，当因材料质量原因造成买方工程停工或返工时，卖方应负全部责任并承担相应的费用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u w:val="none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</w:rPr>
        <w:t>产品价格变动</w:t>
      </w: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  <w:lang w:val="en-US" w:eastAsia="zh-CN"/>
        </w:rPr>
        <w:t>调价机制</w:t>
      </w: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  <w:lang w:val="en-US" w:eastAsia="zh-CN"/>
        </w:rPr>
        <w:t>本</w:t>
      </w:r>
      <w:r>
        <w:rPr>
          <w:rFonts w:hint="eastAsia"/>
          <w:b/>
          <w:bCs/>
          <w:color w:val="auto"/>
          <w:highlight w:val="none"/>
          <w:lang w:val="en-US" w:eastAsia="zh-CN"/>
        </w:rPr>
        <w:t>项目</w:t>
      </w:r>
      <w:r>
        <w:rPr>
          <w:rFonts w:hint="eastAsia"/>
          <w:b/>
          <w:bCs/>
          <w:color w:val="auto"/>
          <w:highlight w:val="none"/>
        </w:rPr>
        <w:t>实行浮动单价结算。自现场供货之日起，对供货商供应的材料结算价每月进行一次价格调整。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 w:ascii="Arial" w:hAnsi="Arial"/>
          <w:color w:val="auto"/>
          <w:kern w:val="2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供应商最终结算价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u w:val="none"/>
          <w:lang w:val="en-US" w:eastAsia="zh-CN"/>
        </w:rPr>
        <w:t>=实际供货数量*</w:t>
      </w:r>
      <w:r>
        <w:rPr>
          <w:rFonts w:hint="eastAsia"/>
          <w:b/>
          <w:bCs/>
          <w:color w:val="auto"/>
          <w:highlight w:val="none"/>
          <w:lang w:val="en-US" w:eastAsia="zh-CN"/>
        </w:rPr>
        <w:t>安庆市建管处供货当月</w:t>
      </w:r>
      <w:r>
        <w:rPr>
          <w:rFonts w:hint="eastAsia"/>
          <w:b/>
          <w:bCs/>
          <w:color w:val="auto"/>
          <w:highlight w:val="none"/>
        </w:rPr>
        <w:t>公布的</w:t>
      </w:r>
      <w:r>
        <w:rPr>
          <w:rFonts w:hint="eastAsia"/>
          <w:b/>
          <w:bCs/>
          <w:color w:val="auto"/>
          <w:highlight w:val="none"/>
          <w:lang w:val="en-US" w:eastAsia="zh-CN"/>
        </w:rPr>
        <w:t>安庆</w:t>
      </w:r>
      <w:r>
        <w:rPr>
          <w:rFonts w:hint="eastAsia"/>
          <w:b/>
          <w:bCs/>
          <w:color w:val="auto"/>
          <w:highlight w:val="none"/>
        </w:rPr>
        <w:t>市场建筑</w:t>
      </w:r>
      <w:r>
        <w:rPr>
          <w:rFonts w:hint="eastAsia"/>
          <w:b/>
          <w:bCs/>
          <w:color w:val="auto"/>
          <w:highlight w:val="none"/>
          <w:lang w:val="en-US" w:eastAsia="zh-CN"/>
        </w:rPr>
        <w:t>材料</w:t>
      </w:r>
      <w:r>
        <w:rPr>
          <w:rFonts w:hint="eastAsia"/>
          <w:b/>
          <w:bCs/>
          <w:color w:val="auto"/>
          <w:highlight w:val="none"/>
        </w:rPr>
        <w:t>价格行情所对应</w:t>
      </w:r>
      <w:r>
        <w:rPr>
          <w:rFonts w:hint="eastAsia"/>
          <w:b/>
          <w:bCs/>
          <w:color w:val="auto"/>
          <w:highlight w:val="none"/>
          <w:lang w:val="en-US" w:eastAsia="zh-CN"/>
        </w:rPr>
        <w:t>材料价格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u w:val="none"/>
          <w:lang w:val="en-US" w:eastAsia="zh-CN"/>
        </w:rPr>
        <w:t>*中标费率。</w:t>
      </w:r>
      <w:bookmarkEnd w:id="0"/>
      <w:bookmarkEnd w:id="1"/>
    </w:p>
    <w:p>
      <w:pPr>
        <w:pStyle w:val="5"/>
        <w:tabs>
          <w:tab w:val="clear" w:pos="1440"/>
          <w:tab w:val="clear" w:pos="5670"/>
        </w:tabs>
        <w:spacing w:beforeLines="0" w:afterLines="0"/>
        <w:ind w:firstLine="0" w:firstLineChars="0"/>
        <w:jc w:val="center"/>
        <w:rPr>
          <w:rFonts w:hint="eastAsia" w:ascii="Arial" w:hAnsi="Arial"/>
          <w:color w:val="auto"/>
          <w:kern w:val="2"/>
          <w:sz w:val="32"/>
          <w:szCs w:val="32"/>
          <w:highlight w:val="none"/>
        </w:rPr>
      </w:pPr>
    </w:p>
    <w:p>
      <w:pPr>
        <w:pStyle w:val="5"/>
        <w:tabs>
          <w:tab w:val="clear" w:pos="1440"/>
          <w:tab w:val="clear" w:pos="5670"/>
        </w:tabs>
        <w:spacing w:beforeLines="0" w:afterLines="0"/>
        <w:ind w:firstLine="0" w:firstLineChars="0"/>
        <w:jc w:val="center"/>
        <w:rPr>
          <w:rFonts w:hint="eastAsia" w:ascii="Arial" w:hAnsi="Arial"/>
          <w:color w:val="auto"/>
          <w:kern w:val="2"/>
          <w:sz w:val="32"/>
          <w:szCs w:val="32"/>
          <w:highlight w:val="none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E832E"/>
    <w:multiLevelType w:val="singleLevel"/>
    <w:tmpl w:val="0B5E832E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38305928"/>
    <w:rsid w:val="383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qFormat/>
    <w:uiPriority w:val="0"/>
    <w:rPr>
      <w:rFonts w:ascii="楷体_GB2312" w:hAnsi="Arial" w:eastAsia="楷体_GB2312"/>
      <w:sz w:val="20"/>
    </w:rPr>
  </w:style>
  <w:style w:type="paragraph" w:customStyle="1" w:styleId="7">
    <w:name w:val="目录 72"/>
    <w:basedOn w:val="1"/>
    <w:next w:val="1"/>
    <w:qFormat/>
    <w:uiPriority w:val="39"/>
    <w:pPr>
      <w:ind w:left="1260"/>
    </w:pPr>
    <w:rPr>
      <w:sz w:val="18"/>
    </w:rPr>
  </w:style>
  <w:style w:type="paragraph" w:styleId="8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2023-11-20T08:04:00Z</dcterms:created>
  <dc:creator>媛媛__</dc:creator>
  <cp:lastModifiedBy>媛媛__</cp:lastModifiedBy>
  <dcterms:modified xsi:type="dcterms:W3CDTF">2023-11-20T08:05:04Z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A88B71ACAE5244F79E8F55A1DF2ABE36_11</vt:lpwstr>
  </property>
</Properties>
</file>